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spacing w:after="0"/>
        <w:rPr>
          <w:sz w:val="20"/>
          <w:szCs w:val="20"/>
          <w:color w:val="auto"/>
        </w:rPr>
      </w:pPr>
      <w:r>
        <w:rPr>
          <w:rFonts w:ascii="Arial" w:cs="Arial" w:eastAsia="Arial" w:hAnsi="Arial"/>
          <w:sz w:val="36"/>
          <w:szCs w:val="36"/>
          <w:color w:val="FFFFFF"/>
        </w:rPr>
        <w:t>ANNUAL REPORT 2022</w:t>
      </w:r>
    </w:p>
    <w:p>
      <w:pPr>
        <w:sectPr>
          <w:pgSz w:w="11880" w:h="15480" w:orient="portrait"/>
          <w:cols w:equalWidth="0" w:num="1">
            <w:col w:w="9580"/>
          </w:cols>
          <w:pgMar w:left="860" w:top="1440" w:right="1440" w:bottom="1440" w:gutter="0" w:footer="0" w:header="0"/>
        </w:sectPr>
      </w:pPr>
    </w:p>
    <w:bookmarkStart w:id="1" w:name="page2"/>
    <w:bookmarkEnd w:id="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SCHEDULE 14A INFORMATION</w:t>
      </w:r>
    </w:p>
    <w:p>
      <w:pPr>
        <w:spacing w:after="0" w:line="1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41" w:lineRule="exact"/>
        <w:rPr>
          <w:sz w:val="20"/>
          <w:szCs w:val="20"/>
          <w:color w:val="auto"/>
        </w:rPr>
      </w:pPr>
    </w:p>
    <w:p>
      <w:pPr>
        <w:spacing w:after="0"/>
        <w:tabs>
          <w:tab w:leader="none" w:pos="430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Arial" w:cs="Arial" w:eastAsia="Arial" w:hAnsi="Arial"/>
          <w:sz w:val="16"/>
          <w:szCs w:val="16"/>
          <w:color w:val="auto"/>
        </w:rPr>
        <w:t>ý</w:t>
      </w:r>
    </w:p>
    <w:p>
      <w:pPr>
        <w:spacing w:after="0" w:line="121" w:lineRule="exact"/>
        <w:rPr>
          <w:sz w:val="20"/>
          <w:szCs w:val="20"/>
          <w:color w:val="auto"/>
        </w:rPr>
      </w:pPr>
    </w:p>
    <w:p>
      <w:pPr>
        <w:spacing w:after="0"/>
        <w:tabs>
          <w:tab w:leader="none" w:pos="430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Arial" w:cs="Arial" w:eastAsia="Arial" w:hAnsi="Arial"/>
          <w:sz w:val="16"/>
          <w:szCs w:val="16"/>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29" w:lineRule="exact"/>
        <w:rPr>
          <w:sz w:val="20"/>
          <w:szCs w:val="20"/>
          <w:color w:val="auto"/>
        </w:rPr>
      </w:pPr>
    </w:p>
    <w:p>
      <w:pPr>
        <w:ind w:left="720" w:hanging="720"/>
        <w:spacing w:after="0"/>
        <w:tabs>
          <w:tab w:leader="none" w:pos="7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Preliminary Proxy Statement</w:t>
      </w:r>
    </w:p>
    <w:p>
      <w:pPr>
        <w:spacing w:after="0" w:line="129" w:lineRule="exact"/>
        <w:rPr>
          <w:rFonts w:ascii="Arial" w:cs="Arial" w:eastAsia="Arial" w:hAnsi="Arial"/>
          <w:sz w:val="16"/>
          <w:szCs w:val="16"/>
          <w:color w:val="auto"/>
        </w:rPr>
      </w:pPr>
    </w:p>
    <w:p>
      <w:pPr>
        <w:ind w:left="720" w:hanging="720"/>
        <w:spacing w:after="0"/>
        <w:tabs>
          <w:tab w:leader="none" w:pos="720" w:val="left"/>
        </w:tabs>
        <w:numPr>
          <w:ilvl w:val="0"/>
          <w:numId w:val="1"/>
        </w:numPr>
        <w:rPr>
          <w:rFonts w:ascii="Arial" w:cs="Arial" w:eastAsia="Arial" w:hAnsi="Arial"/>
          <w:sz w:val="16"/>
          <w:szCs w:val="16"/>
          <w:color w:val="auto"/>
        </w:rPr>
      </w:pPr>
      <w:r>
        <w:rPr>
          <w:rFonts w:ascii="Arial" w:cs="Arial" w:eastAsia="Arial" w:hAnsi="Arial"/>
          <w:sz w:val="18"/>
          <w:szCs w:val="18"/>
          <w:color w:val="auto"/>
        </w:rPr>
        <w:t>Confidential, for Use of the Commission Only (as permitted by Rule 14a-6(e)(2))</w:t>
      </w:r>
    </w:p>
    <w:p>
      <w:pPr>
        <w:spacing w:after="0" w:line="129" w:lineRule="exact"/>
        <w:rPr>
          <w:sz w:val="20"/>
          <w:szCs w:val="20"/>
          <w:color w:val="auto"/>
        </w:rPr>
      </w:pPr>
    </w:p>
    <w:p>
      <w:pPr>
        <w:ind w:left="720" w:hanging="720"/>
        <w:spacing w:after="0"/>
        <w:tabs>
          <w:tab w:leader="none" w:pos="720" w:val="left"/>
        </w:tabs>
        <w:numPr>
          <w:ilvl w:val="0"/>
          <w:numId w:val="2"/>
        </w:numPr>
        <w:rPr>
          <w:rFonts w:ascii="Arial" w:cs="Arial" w:eastAsia="Arial" w:hAnsi="Arial"/>
          <w:sz w:val="16"/>
          <w:szCs w:val="16"/>
          <w:color w:val="auto"/>
        </w:rPr>
      </w:pPr>
      <w:r>
        <w:rPr>
          <w:rFonts w:ascii="Arial" w:cs="Arial" w:eastAsia="Arial" w:hAnsi="Arial"/>
          <w:sz w:val="18"/>
          <w:szCs w:val="18"/>
          <w:color w:val="auto"/>
        </w:rPr>
        <w:t>Definitive Proxy Statement</w:t>
      </w:r>
    </w:p>
    <w:p>
      <w:pPr>
        <w:spacing w:after="0" w:line="69" w:lineRule="exact"/>
        <w:rPr>
          <w:sz w:val="20"/>
          <w:szCs w:val="20"/>
          <w:color w:val="auto"/>
        </w:rPr>
      </w:pPr>
    </w:p>
    <w:p>
      <w:pPr>
        <w:ind w:left="720" w:hanging="720"/>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Definitive Additional Materials</w:t>
      </w:r>
    </w:p>
    <w:p>
      <w:pPr>
        <w:spacing w:after="0" w:line="129" w:lineRule="exact"/>
        <w:rPr>
          <w:rFonts w:ascii="Arial" w:cs="Arial" w:eastAsia="Arial" w:hAnsi="Arial"/>
          <w:sz w:val="16"/>
          <w:szCs w:val="16"/>
          <w:color w:val="auto"/>
        </w:rPr>
      </w:pPr>
    </w:p>
    <w:p>
      <w:pPr>
        <w:ind w:left="720" w:hanging="720"/>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8"/>
          <w:szCs w:val="18"/>
          <w:color w:val="auto"/>
        </w:rPr>
        <w:t>Soliciting Material Pursuant to § 240.14a-12</w:t>
      </w:r>
    </w:p>
    <w:p>
      <w:pPr>
        <w:spacing w:after="0" w:line="209" w:lineRule="exact"/>
        <w:rPr>
          <w:sz w:val="20"/>
          <w:szCs w:val="20"/>
          <w:color w:val="auto"/>
        </w:rPr>
      </w:pPr>
    </w:p>
    <w:p>
      <w:pPr>
        <w:jc w:val="center"/>
        <w:ind w:right="-359"/>
        <w:spacing w:after="0"/>
        <w:rPr>
          <w:sz w:val="20"/>
          <w:szCs w:val="20"/>
          <w:color w:val="auto"/>
        </w:rPr>
      </w:pPr>
      <w:r>
        <w:rPr>
          <w:rFonts w:ascii="Arial" w:cs="Arial" w:eastAsia="Arial" w:hAnsi="Arial"/>
          <w:sz w:val="32"/>
          <w:szCs w:val="32"/>
          <w:b w:val="1"/>
          <w:bCs w:val="1"/>
          <w:color w:val="auto"/>
        </w:rPr>
        <w:t>Tenable Holdings, Inc.</w:t>
      </w:r>
    </w:p>
    <w:p>
      <w:pPr>
        <w:spacing w:after="0" w:line="116"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(Name of Registrant as Specified In Its Charter)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29" w:lineRule="exact"/>
        <w:rPr>
          <w:sz w:val="20"/>
          <w:szCs w:val="20"/>
          <w:color w:val="auto"/>
        </w:rPr>
      </w:pPr>
    </w:p>
    <w:p>
      <w:pPr>
        <w:ind w:left="720" w:hanging="720"/>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8"/>
          <w:szCs w:val="18"/>
          <w:color w:val="auto"/>
        </w:rPr>
        <w:t>No fee required.</w:t>
      </w:r>
    </w:p>
    <w:p>
      <w:pPr>
        <w:spacing w:after="0" w:line="69" w:lineRule="exact"/>
        <w:rPr>
          <w:sz w:val="20"/>
          <w:szCs w:val="20"/>
          <w:color w:val="auto"/>
        </w:rPr>
      </w:pPr>
    </w:p>
    <w:p>
      <w:pPr>
        <w:ind w:left="720" w:hanging="720"/>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8"/>
          <w:szCs w:val="18"/>
          <w:color w:val="auto"/>
        </w:rPr>
        <w:t>Fee paid previously with preliminary materials.</w:t>
      </w:r>
    </w:p>
    <w:p>
      <w:pPr>
        <w:spacing w:after="0" w:line="69" w:lineRule="exact"/>
        <w:rPr>
          <w:rFonts w:ascii="Arial" w:cs="Arial" w:eastAsia="Arial" w:hAnsi="Arial"/>
          <w:sz w:val="16"/>
          <w:szCs w:val="16"/>
          <w:color w:val="auto"/>
        </w:rPr>
      </w:pPr>
    </w:p>
    <w:p>
      <w:pPr>
        <w:ind w:left="720" w:hanging="720"/>
        <w:spacing w:after="0"/>
        <w:tabs>
          <w:tab w:leader="none" w:pos="720" w:val="left"/>
        </w:tabs>
        <w:numPr>
          <w:ilvl w:val="0"/>
          <w:numId w:val="5"/>
        </w:numPr>
        <w:rPr>
          <w:rFonts w:ascii="Arial" w:cs="Arial" w:eastAsia="Arial" w:hAnsi="Arial"/>
          <w:sz w:val="15"/>
          <w:szCs w:val="15"/>
          <w:color w:val="auto"/>
        </w:rPr>
      </w:pPr>
      <w:r>
        <w:rPr>
          <w:rFonts w:ascii="Arial" w:cs="Arial" w:eastAsia="Arial" w:hAnsi="Arial"/>
          <w:sz w:val="17"/>
          <w:szCs w:val="17"/>
          <w:color w:val="auto"/>
        </w:rPr>
        <w:t>Fee computed on table in exhibit required by Item 25(b) per Exchange Act Rules 14a-6(i)(1) and 0-11.</w:t>
      </w:r>
    </w:p>
    <w:p>
      <w:pPr>
        <w:sectPr>
          <w:pgSz w:w="11880" w:h="15480" w:orient="portrait"/>
          <w:cols w:equalWidth="0" w:num="1">
            <w:col w:w="9000"/>
          </w:cols>
          <w:pgMar w:left="1440" w:top="30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1</w:t>
      </w:r>
    </w:p>
    <w:p>
      <w:pPr>
        <w:sectPr>
          <w:pgSz w:w="11880" w:h="15480" w:orient="portrait"/>
          <w:cols w:equalWidth="0" w:num="1">
            <w:col w:w="9000"/>
          </w:cols>
          <w:pgMar w:left="1440" w:top="309" w:right="1440" w:bottom="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914400</wp:posOffset>
            </wp:positionH>
            <wp:positionV relativeFrom="page">
              <wp:posOffset>1138555</wp:posOffset>
            </wp:positionV>
            <wp:extent cx="5715000" cy="7265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00" cy="726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880" w:h="15480" w:orient="portrait"/>
          <w:cols w:equalWidth="0" w:num="1">
            <w:col w:w="9000"/>
          </w:cols>
          <w:pgMar w:left="1440" w:top="1440" w:right="1440" w:bottom="0" w:gutter="0" w:footer="0" w:header="0"/>
        </w:sectPr>
      </w:pPr>
    </w:p>
    <w:bookmarkStart w:id="4" w:name="page5"/>
    <w:bookmarkEnd w:id="4"/>
    <w:p>
      <w:pPr>
        <w:ind w:left="60"/>
        <w:spacing w:after="0"/>
        <w:rPr>
          <w:sz w:val="20"/>
          <w:szCs w:val="20"/>
          <w:color w:val="auto"/>
        </w:rPr>
      </w:pPr>
      <w:r>
        <w:rPr>
          <w:rFonts w:ascii="Arial" w:cs="Arial" w:eastAsia="Arial" w:hAnsi="Arial"/>
          <w:sz w:val="32"/>
          <w:szCs w:val="32"/>
          <w:b w:val="1"/>
          <w:bCs w:val="1"/>
          <w:color w:val="000019"/>
        </w:rPr>
        <w:drawing>
          <wp:anchor simplePos="0" relativeHeight="251657728" behindDoc="1" locked="0" layoutInCell="0" allowOverlap="1">
            <wp:simplePos x="0" y="0"/>
            <wp:positionH relativeFrom="page">
              <wp:posOffset>5867400</wp:posOffset>
            </wp:positionH>
            <wp:positionV relativeFrom="page">
              <wp:posOffset>570865</wp:posOffset>
            </wp:positionV>
            <wp:extent cx="714375" cy="714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14375" cy="714375"/>
                    </a:xfrm>
                    <a:prstGeom prst="rect">
                      <a:avLst/>
                    </a:prstGeom>
                    <a:noFill/>
                  </pic:spPr>
                </pic:pic>
              </a:graphicData>
            </a:graphic>
          </wp:anchor>
        </w:drawing>
        <w:t>NOTICE OF ANNUAL MEETING OF STOCKHOLDERS</w:t>
      </w:r>
    </w:p>
    <w:p>
      <w:pPr>
        <w:spacing w:after="0" w:line="200" w:lineRule="exact"/>
        <w:rPr>
          <w:sz w:val="20"/>
          <w:szCs w:val="20"/>
          <w:color w:val="auto"/>
        </w:rPr>
      </w:pP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305"/>
        </w:trPr>
        <w:tc>
          <w:tcPr>
            <w:tcW w:w="3120" w:type="dxa"/>
            <w:vAlign w:val="bottom"/>
            <w:tcBorders>
              <w:top w:val="single" w:sz="8" w:color="000019"/>
              <w:right w:val="single" w:sz="8" w:color="000019"/>
            </w:tcBorders>
          </w:tcPr>
          <w:p>
            <w:pPr>
              <w:ind w:left="60"/>
              <w:spacing w:after="0"/>
              <w:rPr>
                <w:sz w:val="20"/>
                <w:szCs w:val="20"/>
                <w:color w:val="auto"/>
              </w:rPr>
            </w:pPr>
            <w:r>
              <w:rPr>
                <w:rFonts w:ascii="Arial" w:cs="Arial" w:eastAsia="Arial" w:hAnsi="Arial"/>
                <w:sz w:val="20"/>
                <w:szCs w:val="20"/>
                <w:b w:val="1"/>
                <w:bCs w:val="1"/>
                <w:color w:val="000019"/>
              </w:rPr>
              <w:t>WHEN</w:t>
            </w:r>
          </w:p>
        </w:tc>
        <w:tc>
          <w:tcPr>
            <w:tcW w:w="3100" w:type="dxa"/>
            <w:vAlign w:val="bottom"/>
            <w:tcBorders>
              <w:top w:val="single" w:sz="8" w:color="000019"/>
              <w:right w:val="single" w:sz="8" w:color="000019"/>
            </w:tcBorders>
          </w:tcPr>
          <w:p>
            <w:pPr>
              <w:ind w:left="40"/>
              <w:spacing w:after="0"/>
              <w:rPr>
                <w:sz w:val="20"/>
                <w:szCs w:val="20"/>
                <w:color w:val="auto"/>
              </w:rPr>
            </w:pPr>
            <w:r>
              <w:rPr>
                <w:rFonts w:ascii="Arial" w:cs="Arial" w:eastAsia="Arial" w:hAnsi="Arial"/>
                <w:sz w:val="20"/>
                <w:szCs w:val="20"/>
                <w:b w:val="1"/>
                <w:bCs w:val="1"/>
                <w:color w:val="000019"/>
              </w:rPr>
              <w:t>WHERE</w:t>
            </w:r>
          </w:p>
        </w:tc>
        <w:tc>
          <w:tcPr>
            <w:tcW w:w="3100" w:type="dxa"/>
            <w:vAlign w:val="bottom"/>
            <w:tcBorders>
              <w:top w:val="single" w:sz="8" w:color="000019"/>
            </w:tcBorders>
          </w:tcPr>
          <w:p>
            <w:pPr>
              <w:ind w:left="40"/>
              <w:spacing w:after="0"/>
              <w:rPr>
                <w:sz w:val="20"/>
                <w:szCs w:val="20"/>
                <w:color w:val="auto"/>
              </w:rPr>
            </w:pPr>
            <w:r>
              <w:rPr>
                <w:rFonts w:ascii="Arial" w:cs="Arial" w:eastAsia="Arial" w:hAnsi="Arial"/>
                <w:sz w:val="20"/>
                <w:szCs w:val="20"/>
                <w:b w:val="1"/>
                <w:bCs w:val="1"/>
                <w:color w:val="000019"/>
              </w:rPr>
              <w:t>RECORD DATE</w:t>
            </w:r>
          </w:p>
        </w:tc>
      </w:tr>
      <w:tr>
        <w:trPr>
          <w:trHeight w:val="343"/>
        </w:trPr>
        <w:tc>
          <w:tcPr>
            <w:tcW w:w="3120" w:type="dxa"/>
            <w:vAlign w:val="bottom"/>
            <w:tcBorders>
              <w:right w:val="single" w:sz="8" w:color="000019"/>
            </w:tcBorders>
          </w:tcPr>
          <w:p>
            <w:pPr>
              <w:ind w:left="60"/>
              <w:spacing w:after="0"/>
              <w:rPr>
                <w:sz w:val="20"/>
                <w:szCs w:val="20"/>
                <w:color w:val="auto"/>
              </w:rPr>
            </w:pPr>
            <w:r>
              <w:rPr>
                <w:rFonts w:ascii="Arial" w:cs="Arial" w:eastAsia="Arial" w:hAnsi="Arial"/>
                <w:sz w:val="20"/>
                <w:szCs w:val="20"/>
                <w:color w:val="000019"/>
              </w:rPr>
              <w:t>Wednesday, May 24, 2023</w:t>
            </w:r>
          </w:p>
        </w:tc>
        <w:tc>
          <w:tcPr>
            <w:tcW w:w="3100" w:type="dxa"/>
            <w:vAlign w:val="bottom"/>
            <w:tcBorders>
              <w:right w:val="single" w:sz="8" w:color="000019"/>
            </w:tcBorders>
          </w:tcPr>
          <w:p>
            <w:pPr>
              <w:ind w:left="40"/>
              <w:spacing w:after="0"/>
              <w:rPr>
                <w:sz w:val="20"/>
                <w:szCs w:val="20"/>
                <w:color w:val="auto"/>
              </w:rPr>
            </w:pPr>
            <w:r>
              <w:rPr>
                <w:rFonts w:ascii="Arial" w:cs="Arial" w:eastAsia="Arial" w:hAnsi="Arial"/>
                <w:sz w:val="20"/>
                <w:szCs w:val="20"/>
                <w:color w:val="000019"/>
              </w:rPr>
              <w:t>Via Webcast</w:t>
            </w:r>
          </w:p>
        </w:tc>
        <w:tc>
          <w:tcPr>
            <w:tcW w:w="3100" w:type="dxa"/>
            <w:vAlign w:val="bottom"/>
          </w:tcPr>
          <w:p>
            <w:pPr>
              <w:ind w:left="40"/>
              <w:spacing w:after="0"/>
              <w:rPr>
                <w:sz w:val="20"/>
                <w:szCs w:val="20"/>
                <w:color w:val="auto"/>
              </w:rPr>
            </w:pPr>
            <w:r>
              <w:rPr>
                <w:rFonts w:ascii="Arial" w:cs="Arial" w:eastAsia="Arial" w:hAnsi="Arial"/>
                <w:sz w:val="20"/>
                <w:szCs w:val="20"/>
                <w:color w:val="000019"/>
              </w:rPr>
              <w:t>March 30, 2023</w:t>
            </w:r>
          </w:p>
        </w:tc>
      </w:tr>
      <w:tr>
        <w:trPr>
          <w:trHeight w:val="275"/>
        </w:trPr>
        <w:tc>
          <w:tcPr>
            <w:tcW w:w="3120" w:type="dxa"/>
            <w:vAlign w:val="bottom"/>
            <w:tcBorders>
              <w:right w:val="single" w:sz="8" w:color="000019"/>
            </w:tcBorders>
          </w:tcPr>
          <w:p>
            <w:pPr>
              <w:ind w:left="60"/>
              <w:spacing w:after="0"/>
              <w:rPr>
                <w:sz w:val="20"/>
                <w:szCs w:val="20"/>
                <w:color w:val="auto"/>
              </w:rPr>
            </w:pPr>
            <w:r>
              <w:rPr>
                <w:rFonts w:ascii="Arial" w:cs="Arial" w:eastAsia="Arial" w:hAnsi="Arial"/>
                <w:sz w:val="20"/>
                <w:szCs w:val="20"/>
                <w:color w:val="000019"/>
              </w:rPr>
              <w:t>1:00 pm Eastern Time</w:t>
            </w:r>
          </w:p>
        </w:tc>
        <w:tc>
          <w:tcPr>
            <w:tcW w:w="3100" w:type="dxa"/>
            <w:vAlign w:val="bottom"/>
            <w:tcBorders>
              <w:right w:val="single" w:sz="8" w:color="000019"/>
            </w:tcBorders>
          </w:tcPr>
          <w:p>
            <w:pPr>
              <w:ind w:left="40"/>
              <w:spacing w:after="0"/>
              <w:rPr>
                <w:sz w:val="20"/>
                <w:szCs w:val="20"/>
                <w:color w:val="auto"/>
              </w:rPr>
            </w:pPr>
            <w:r>
              <w:rPr>
                <w:rFonts w:ascii="Arial" w:cs="Arial" w:eastAsia="Arial" w:hAnsi="Arial"/>
                <w:sz w:val="20"/>
                <w:szCs w:val="20"/>
                <w:color w:val="000019"/>
              </w:rPr>
              <w:t>https://www.proxydocs.com/</w:t>
            </w:r>
          </w:p>
        </w:tc>
        <w:tc>
          <w:tcPr>
            <w:tcW w:w="3100" w:type="dxa"/>
            <w:vAlign w:val="bottom"/>
          </w:tcPr>
          <w:p>
            <w:pPr>
              <w:ind w:left="40"/>
              <w:spacing w:after="0"/>
              <w:rPr>
                <w:sz w:val="20"/>
                <w:szCs w:val="20"/>
                <w:color w:val="auto"/>
              </w:rPr>
            </w:pPr>
            <w:r>
              <w:rPr>
                <w:rFonts w:ascii="Arial" w:cs="Arial" w:eastAsia="Arial" w:hAnsi="Arial"/>
                <w:sz w:val="20"/>
                <w:szCs w:val="20"/>
                <w:color w:val="000019"/>
              </w:rPr>
              <w:t>Only stockholders of record at the</w:t>
            </w:r>
          </w:p>
        </w:tc>
      </w:tr>
      <w:tr>
        <w:trPr>
          <w:trHeight w:val="200"/>
        </w:trPr>
        <w:tc>
          <w:tcPr>
            <w:tcW w:w="3120" w:type="dxa"/>
            <w:vAlign w:val="bottom"/>
            <w:tcBorders>
              <w:right w:val="single" w:sz="8" w:color="000019"/>
            </w:tcBorders>
          </w:tcPr>
          <w:p>
            <w:pPr>
              <w:spacing w:after="0"/>
              <w:rPr>
                <w:sz w:val="17"/>
                <w:szCs w:val="17"/>
                <w:color w:val="auto"/>
              </w:rPr>
            </w:pPr>
          </w:p>
        </w:tc>
        <w:tc>
          <w:tcPr>
            <w:tcW w:w="3100" w:type="dxa"/>
            <w:vAlign w:val="bottom"/>
            <w:tcBorders>
              <w:right w:val="single" w:sz="8" w:color="000019"/>
            </w:tcBorders>
          </w:tcPr>
          <w:p>
            <w:pPr>
              <w:ind w:left="40"/>
              <w:spacing w:after="0" w:line="200" w:lineRule="exact"/>
              <w:rPr>
                <w:sz w:val="20"/>
                <w:szCs w:val="20"/>
                <w:color w:val="auto"/>
              </w:rPr>
            </w:pPr>
            <w:r>
              <w:rPr>
                <w:rFonts w:ascii="Arial" w:cs="Arial" w:eastAsia="Arial" w:hAnsi="Arial"/>
                <w:sz w:val="20"/>
                <w:szCs w:val="20"/>
                <w:color w:val="000019"/>
              </w:rPr>
              <w:t>TENB</w:t>
            </w:r>
          </w:p>
        </w:tc>
        <w:tc>
          <w:tcPr>
            <w:tcW w:w="3100" w:type="dxa"/>
            <w:vAlign w:val="bottom"/>
          </w:tcPr>
          <w:p>
            <w:pPr>
              <w:ind w:left="40"/>
              <w:spacing w:after="0" w:line="200" w:lineRule="exact"/>
              <w:rPr>
                <w:sz w:val="20"/>
                <w:szCs w:val="20"/>
                <w:color w:val="auto"/>
              </w:rPr>
            </w:pPr>
            <w:r>
              <w:rPr>
                <w:rFonts w:ascii="Arial" w:cs="Arial" w:eastAsia="Arial" w:hAnsi="Arial"/>
                <w:sz w:val="20"/>
                <w:szCs w:val="20"/>
                <w:color w:val="000019"/>
                <w:w w:val="98"/>
              </w:rPr>
              <w:t>close of business on that date may</w:t>
            </w:r>
          </w:p>
        </w:tc>
      </w:tr>
      <w:tr>
        <w:trPr>
          <w:trHeight w:val="200"/>
        </w:trPr>
        <w:tc>
          <w:tcPr>
            <w:tcW w:w="3120" w:type="dxa"/>
            <w:vAlign w:val="bottom"/>
            <w:tcBorders>
              <w:right w:val="single" w:sz="8" w:color="000019"/>
            </w:tcBorders>
          </w:tcPr>
          <w:p>
            <w:pPr>
              <w:spacing w:after="0"/>
              <w:rPr>
                <w:sz w:val="17"/>
                <w:szCs w:val="17"/>
                <w:color w:val="auto"/>
              </w:rPr>
            </w:pPr>
          </w:p>
        </w:tc>
        <w:tc>
          <w:tcPr>
            <w:tcW w:w="3100" w:type="dxa"/>
            <w:vAlign w:val="bottom"/>
            <w:tcBorders>
              <w:right w:val="single" w:sz="8" w:color="000019"/>
            </w:tcBorders>
          </w:tcPr>
          <w:p>
            <w:pPr>
              <w:spacing w:after="0"/>
              <w:rPr>
                <w:sz w:val="17"/>
                <w:szCs w:val="17"/>
                <w:color w:val="auto"/>
              </w:rPr>
            </w:pPr>
          </w:p>
        </w:tc>
        <w:tc>
          <w:tcPr>
            <w:tcW w:w="3100" w:type="dxa"/>
            <w:vAlign w:val="bottom"/>
          </w:tcPr>
          <w:p>
            <w:pPr>
              <w:ind w:left="40"/>
              <w:spacing w:after="0" w:line="200" w:lineRule="exact"/>
              <w:rPr>
                <w:sz w:val="20"/>
                <w:szCs w:val="20"/>
                <w:color w:val="auto"/>
              </w:rPr>
            </w:pPr>
            <w:r>
              <w:rPr>
                <w:rFonts w:ascii="Arial" w:cs="Arial" w:eastAsia="Arial" w:hAnsi="Arial"/>
                <w:sz w:val="20"/>
                <w:szCs w:val="20"/>
                <w:color w:val="000019"/>
              </w:rPr>
              <w:t>vote at the Annual Meeting or any</w:t>
            </w:r>
          </w:p>
        </w:tc>
      </w:tr>
      <w:tr>
        <w:trPr>
          <w:trHeight w:val="257"/>
        </w:trPr>
        <w:tc>
          <w:tcPr>
            <w:tcW w:w="3120" w:type="dxa"/>
            <w:vAlign w:val="bottom"/>
            <w:tcBorders>
              <w:right w:val="single" w:sz="8" w:color="000019"/>
            </w:tcBorders>
          </w:tcPr>
          <w:p>
            <w:pPr>
              <w:spacing w:after="0"/>
              <w:rPr>
                <w:sz w:val="22"/>
                <w:szCs w:val="22"/>
                <w:color w:val="auto"/>
              </w:rPr>
            </w:pPr>
          </w:p>
        </w:tc>
        <w:tc>
          <w:tcPr>
            <w:tcW w:w="3100" w:type="dxa"/>
            <w:vAlign w:val="bottom"/>
            <w:tcBorders>
              <w:right w:val="single" w:sz="8" w:color="000019"/>
            </w:tcBorders>
          </w:tcPr>
          <w:p>
            <w:pPr>
              <w:spacing w:after="0"/>
              <w:rPr>
                <w:sz w:val="22"/>
                <w:szCs w:val="22"/>
                <w:color w:val="auto"/>
              </w:rPr>
            </w:pPr>
          </w:p>
        </w:tc>
        <w:tc>
          <w:tcPr>
            <w:tcW w:w="3100" w:type="dxa"/>
            <w:vAlign w:val="bottom"/>
          </w:tcPr>
          <w:p>
            <w:pPr>
              <w:ind w:left="40"/>
              <w:spacing w:after="0"/>
              <w:rPr>
                <w:sz w:val="20"/>
                <w:szCs w:val="20"/>
                <w:color w:val="auto"/>
              </w:rPr>
            </w:pPr>
            <w:r>
              <w:rPr>
                <w:rFonts w:ascii="Arial" w:cs="Arial" w:eastAsia="Arial" w:hAnsi="Arial"/>
                <w:sz w:val="20"/>
                <w:szCs w:val="20"/>
                <w:color w:val="000019"/>
              </w:rPr>
              <w:t>adjournment thereof.</w:t>
            </w:r>
          </w:p>
        </w:tc>
      </w:tr>
      <w:tr>
        <w:trPr>
          <w:trHeight w:val="36"/>
        </w:trPr>
        <w:tc>
          <w:tcPr>
            <w:tcW w:w="3120" w:type="dxa"/>
            <w:vAlign w:val="bottom"/>
            <w:tcBorders>
              <w:right w:val="single" w:sz="8" w:color="000019"/>
            </w:tcBorders>
          </w:tcPr>
          <w:p>
            <w:pPr>
              <w:spacing w:after="0"/>
              <w:rPr>
                <w:sz w:val="3"/>
                <w:szCs w:val="3"/>
                <w:color w:val="auto"/>
              </w:rPr>
            </w:pPr>
          </w:p>
        </w:tc>
        <w:tc>
          <w:tcPr>
            <w:tcW w:w="3100" w:type="dxa"/>
            <w:vAlign w:val="bottom"/>
            <w:tcBorders>
              <w:right w:val="single" w:sz="8" w:color="000019"/>
            </w:tcBorders>
          </w:tcPr>
          <w:p>
            <w:pPr>
              <w:spacing w:after="0"/>
              <w:rPr>
                <w:sz w:val="3"/>
                <w:szCs w:val="3"/>
                <w:color w:val="auto"/>
              </w:rPr>
            </w:pPr>
          </w:p>
        </w:tc>
        <w:tc>
          <w:tcPr>
            <w:tcW w:w="3100" w:type="dxa"/>
            <w:vAlign w:val="bottom"/>
          </w:tcPr>
          <w:p>
            <w:pPr>
              <w:spacing w:after="0"/>
              <w:rPr>
                <w:sz w:val="3"/>
                <w:szCs w:val="3"/>
                <w:color w:val="auto"/>
              </w:rPr>
            </w:pPr>
          </w:p>
        </w:tc>
      </w:tr>
    </w:tbl>
    <w:p>
      <w:pPr>
        <w:spacing w:after="0" w:line="2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vMerge w:val="restart"/>
          </w:tcPr>
          <w:p>
            <w:pPr>
              <w:ind w:left="60"/>
              <w:spacing w:after="0"/>
              <w:rPr>
                <w:sz w:val="20"/>
                <w:szCs w:val="20"/>
                <w:color w:val="auto"/>
              </w:rPr>
            </w:pPr>
            <w:r>
              <w:rPr>
                <w:rFonts w:ascii="Arial" w:cs="Arial" w:eastAsia="Arial" w:hAnsi="Arial"/>
                <w:sz w:val="20"/>
                <w:szCs w:val="20"/>
                <w:b w:val="1"/>
                <w:bCs w:val="1"/>
                <w:color w:val="000019"/>
              </w:rPr>
              <w:t>ITEMS OF BUSINESS</w:t>
            </w:r>
          </w:p>
        </w:tc>
        <w:tc>
          <w:tcPr>
            <w:tcW w:w="2600" w:type="dxa"/>
            <w:vAlign w:val="bottom"/>
          </w:tcPr>
          <w:p>
            <w:pPr>
              <w:ind w:left="140"/>
              <w:spacing w:after="0"/>
              <w:rPr>
                <w:sz w:val="20"/>
                <w:szCs w:val="20"/>
                <w:color w:val="auto"/>
              </w:rPr>
            </w:pPr>
            <w:r>
              <w:rPr>
                <w:rFonts w:ascii="Arial" w:cs="Arial" w:eastAsia="Arial" w:hAnsi="Arial"/>
                <w:sz w:val="20"/>
                <w:szCs w:val="20"/>
                <w:b w:val="1"/>
                <w:bCs w:val="1"/>
                <w:color w:val="000019"/>
              </w:rPr>
              <w:t>BOARD VOTING</w:t>
            </w:r>
          </w:p>
        </w:tc>
        <w:tc>
          <w:tcPr>
            <w:tcW w:w="1260" w:type="dxa"/>
            <w:vAlign w:val="bottom"/>
            <w:gridSpan w:val="5"/>
          </w:tcPr>
          <w:p>
            <w:pPr>
              <w:ind w:left="60"/>
              <w:spacing w:after="0"/>
              <w:rPr>
                <w:sz w:val="20"/>
                <w:szCs w:val="20"/>
                <w:color w:val="auto"/>
              </w:rPr>
            </w:pPr>
            <w:r>
              <w:rPr>
                <w:rFonts w:ascii="Arial" w:cs="Arial" w:eastAsia="Arial" w:hAnsi="Arial"/>
                <w:sz w:val="20"/>
                <w:szCs w:val="20"/>
                <w:b w:val="1"/>
                <w:bCs w:val="1"/>
                <w:color w:val="000019"/>
              </w:rPr>
              <w:t>PAGE</w:t>
            </w:r>
          </w:p>
        </w:tc>
        <w:tc>
          <w:tcPr>
            <w:tcW w:w="0" w:type="dxa"/>
            <w:vAlign w:val="bottom"/>
          </w:tcPr>
          <w:p>
            <w:pPr>
              <w:spacing w:after="0"/>
              <w:rPr>
                <w:sz w:val="1"/>
                <w:szCs w:val="1"/>
                <w:color w:val="auto"/>
              </w:rPr>
            </w:pPr>
          </w:p>
        </w:tc>
      </w:tr>
      <w:tr>
        <w:trPr>
          <w:trHeight w:val="142"/>
        </w:trPr>
        <w:tc>
          <w:tcPr>
            <w:tcW w:w="5500" w:type="dxa"/>
            <w:vAlign w:val="bottom"/>
            <w:vMerge w:val="continue"/>
          </w:tcPr>
          <w:p>
            <w:pPr>
              <w:spacing w:after="0"/>
              <w:rPr>
                <w:sz w:val="12"/>
                <w:szCs w:val="12"/>
                <w:color w:val="auto"/>
              </w:rPr>
            </w:pPr>
          </w:p>
        </w:tc>
        <w:tc>
          <w:tcPr>
            <w:tcW w:w="2600" w:type="dxa"/>
            <w:vAlign w:val="bottom"/>
            <w:vMerge w:val="restart"/>
          </w:tcPr>
          <w:p>
            <w:pPr>
              <w:ind w:left="140"/>
              <w:spacing w:after="0"/>
              <w:rPr>
                <w:sz w:val="20"/>
                <w:szCs w:val="20"/>
                <w:color w:val="auto"/>
              </w:rPr>
            </w:pPr>
            <w:r>
              <w:rPr>
                <w:rFonts w:ascii="Arial" w:cs="Arial" w:eastAsia="Arial" w:hAnsi="Arial"/>
                <w:sz w:val="20"/>
                <w:szCs w:val="20"/>
                <w:b w:val="1"/>
                <w:bCs w:val="1"/>
                <w:color w:val="000019"/>
              </w:rPr>
              <w:t>RECOMMENDATION</w:t>
            </w:r>
          </w:p>
        </w:tc>
        <w:tc>
          <w:tcPr>
            <w:tcW w:w="1260" w:type="dxa"/>
            <w:vAlign w:val="bottom"/>
            <w:gridSpan w:val="5"/>
            <w:vMerge w:val="restart"/>
          </w:tcPr>
          <w:p>
            <w:pPr>
              <w:ind w:left="60"/>
              <w:spacing w:after="0"/>
              <w:rPr>
                <w:sz w:val="20"/>
                <w:szCs w:val="20"/>
                <w:color w:val="auto"/>
              </w:rPr>
            </w:pPr>
            <w:r>
              <w:rPr>
                <w:rFonts w:ascii="Arial" w:cs="Arial" w:eastAsia="Arial" w:hAnsi="Arial"/>
                <w:sz w:val="20"/>
                <w:szCs w:val="20"/>
                <w:b w:val="1"/>
                <w:bCs w:val="1"/>
                <w:color w:val="000019"/>
                <w:w w:val="95"/>
              </w:rPr>
              <w:t>REFERENCE</w:t>
            </w:r>
          </w:p>
        </w:tc>
        <w:tc>
          <w:tcPr>
            <w:tcW w:w="0" w:type="dxa"/>
            <w:vAlign w:val="bottom"/>
          </w:tcPr>
          <w:p>
            <w:pPr>
              <w:spacing w:after="0"/>
              <w:rPr>
                <w:sz w:val="1"/>
                <w:szCs w:val="1"/>
                <w:color w:val="auto"/>
              </w:rPr>
            </w:pPr>
          </w:p>
        </w:tc>
      </w:tr>
      <w:tr>
        <w:trPr>
          <w:trHeight w:val="119"/>
        </w:trPr>
        <w:tc>
          <w:tcPr>
            <w:tcW w:w="5500" w:type="dxa"/>
            <w:vAlign w:val="bottom"/>
            <w:tcBorders>
              <w:bottom w:val="single" w:sz="8" w:color="000019"/>
            </w:tcBorders>
          </w:tcPr>
          <w:p>
            <w:pPr>
              <w:spacing w:after="0"/>
              <w:rPr>
                <w:sz w:val="10"/>
                <w:szCs w:val="10"/>
                <w:color w:val="auto"/>
              </w:rPr>
            </w:pPr>
          </w:p>
        </w:tc>
        <w:tc>
          <w:tcPr>
            <w:tcW w:w="2600" w:type="dxa"/>
            <w:vAlign w:val="bottom"/>
            <w:tcBorders>
              <w:bottom w:val="single" w:sz="8" w:color="000019"/>
            </w:tcBorders>
            <w:vMerge w:val="continue"/>
          </w:tcPr>
          <w:p>
            <w:pPr>
              <w:spacing w:after="0"/>
              <w:rPr>
                <w:sz w:val="10"/>
                <w:szCs w:val="10"/>
                <w:color w:val="auto"/>
              </w:rPr>
            </w:pPr>
          </w:p>
        </w:tc>
        <w:tc>
          <w:tcPr>
            <w:tcW w:w="1260" w:type="dxa"/>
            <w:vAlign w:val="bottom"/>
            <w:tcBorders>
              <w:bottom w:val="single" w:sz="8" w:color="000019"/>
            </w:tcBorders>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5500" w:type="dxa"/>
            <w:vAlign w:val="bottom"/>
          </w:tcPr>
          <w:p>
            <w:pPr>
              <w:ind w:left="60"/>
              <w:spacing w:after="0"/>
              <w:rPr>
                <w:sz w:val="20"/>
                <w:szCs w:val="20"/>
                <w:color w:val="auto"/>
              </w:rPr>
            </w:pPr>
            <w:r>
              <w:rPr>
                <w:rFonts w:ascii="Arial" w:cs="Arial" w:eastAsia="Arial" w:hAnsi="Arial"/>
                <w:sz w:val="18"/>
                <w:szCs w:val="18"/>
                <w:color w:val="000019"/>
              </w:rPr>
              <w:t>Electing the Board of Directors’ nominees, John C. Huffard, Jr., A.</w:t>
            </w:r>
          </w:p>
        </w:tc>
        <w:tc>
          <w:tcPr>
            <w:tcW w:w="2600" w:type="dxa"/>
            <w:vAlign w:val="bottom"/>
          </w:tcPr>
          <w:p>
            <w:pPr>
              <w:ind w:left="440"/>
              <w:spacing w:after="0"/>
              <w:rPr>
                <w:sz w:val="20"/>
                <w:szCs w:val="20"/>
                <w:color w:val="auto"/>
              </w:rPr>
            </w:pPr>
            <w:r>
              <w:rPr>
                <w:rFonts w:ascii="Arial" w:cs="Arial" w:eastAsia="Arial" w:hAnsi="Arial"/>
                <w:sz w:val="18"/>
                <w:szCs w:val="18"/>
                <w:b w:val="1"/>
                <w:bCs w:val="1"/>
                <w:color w:val="000019"/>
                <w:w w:val="96"/>
              </w:rPr>
              <w:t xml:space="preserve">FOR </w:t>
            </w:r>
            <w:r>
              <w:rPr>
                <w:rFonts w:ascii="Arial" w:cs="Arial" w:eastAsia="Arial" w:hAnsi="Arial"/>
                <w:sz w:val="18"/>
                <w:szCs w:val="18"/>
                <w:color w:val="000019"/>
                <w:w w:val="96"/>
              </w:rPr>
              <w:t>each director nominee</w:t>
            </w:r>
          </w:p>
        </w:tc>
        <w:tc>
          <w:tcPr>
            <w:tcW w:w="740" w:type="dxa"/>
            <w:vAlign w:val="bottom"/>
            <w:gridSpan w:val="4"/>
          </w:tcPr>
          <w:p>
            <w:pPr>
              <w:jc w:val="center"/>
              <w:ind w:left="446"/>
              <w:spacing w:after="0"/>
              <w:rPr>
                <w:sz w:val="20"/>
                <w:szCs w:val="20"/>
                <w:color w:val="auto"/>
              </w:rPr>
            </w:pPr>
            <w:r>
              <w:rPr>
                <w:rFonts w:ascii="Arial" w:cs="Arial" w:eastAsia="Arial" w:hAnsi="Arial"/>
                <w:sz w:val="18"/>
                <w:szCs w:val="18"/>
                <w:color w:val="000019"/>
                <w:w w:val="79"/>
              </w:rPr>
              <w:t>17</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5500" w:type="dxa"/>
            <w:vAlign w:val="bottom"/>
          </w:tcPr>
          <w:p>
            <w:pPr>
              <w:ind w:left="60"/>
              <w:spacing w:after="0" w:line="157" w:lineRule="exact"/>
              <w:rPr>
                <w:sz w:val="20"/>
                <w:szCs w:val="20"/>
                <w:color w:val="auto"/>
              </w:rPr>
            </w:pPr>
            <w:r>
              <w:rPr>
                <w:rFonts w:ascii="Arial" w:cs="Arial" w:eastAsia="Arial" w:hAnsi="Arial"/>
                <w:sz w:val="18"/>
                <w:szCs w:val="18"/>
                <w:color w:val="000019"/>
                <w:w w:val="98"/>
              </w:rPr>
              <w:t>Brooke Seawell, and Raymond Vicks, Jr., to the Board of Directors to</w:t>
            </w:r>
          </w:p>
        </w:tc>
        <w:tc>
          <w:tcPr>
            <w:tcW w:w="2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000019"/>
            </w:tcBorders>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500" w:type="dxa"/>
            <w:vAlign w:val="bottom"/>
          </w:tcPr>
          <w:p>
            <w:pPr>
              <w:ind w:left="60"/>
              <w:spacing w:after="0"/>
              <w:rPr>
                <w:sz w:val="20"/>
                <w:szCs w:val="20"/>
                <w:color w:val="auto"/>
              </w:rPr>
            </w:pPr>
            <w:r>
              <w:rPr>
                <w:rFonts w:ascii="Arial" w:cs="Arial" w:eastAsia="Arial" w:hAnsi="Arial"/>
                <w:sz w:val="18"/>
                <w:szCs w:val="18"/>
                <w:color w:val="000019"/>
              </w:rPr>
              <w:t>hold office until the 2026 Annual Meeting of Stockholders.</w:t>
            </w:r>
          </w:p>
        </w:tc>
        <w:tc>
          <w:tcPr>
            <w:tcW w:w="2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6"/>
        </w:trPr>
        <w:tc>
          <w:tcPr>
            <w:tcW w:w="5500" w:type="dxa"/>
            <w:vAlign w:val="bottom"/>
          </w:tcPr>
          <w:p>
            <w:pPr>
              <w:ind w:left="60"/>
              <w:spacing w:after="0"/>
              <w:rPr>
                <w:sz w:val="20"/>
                <w:szCs w:val="20"/>
                <w:color w:val="auto"/>
              </w:rPr>
            </w:pPr>
            <w:r>
              <w:rPr>
                <w:rFonts w:ascii="Arial" w:cs="Arial" w:eastAsia="Arial" w:hAnsi="Arial"/>
                <w:sz w:val="18"/>
                <w:szCs w:val="18"/>
                <w:color w:val="000019"/>
              </w:rPr>
              <w:t>Ratifying the selection by the Audit Committee of the Board of</w:t>
            </w:r>
          </w:p>
        </w:tc>
        <w:tc>
          <w:tcPr>
            <w:tcW w:w="2600" w:type="dxa"/>
            <w:vAlign w:val="bottom"/>
          </w:tcPr>
          <w:p>
            <w:pPr>
              <w:ind w:left="440"/>
              <w:spacing w:after="0"/>
              <w:rPr>
                <w:sz w:val="20"/>
                <w:szCs w:val="20"/>
                <w:color w:val="auto"/>
              </w:rPr>
            </w:pPr>
            <w:r>
              <w:rPr>
                <w:rFonts w:ascii="Arial" w:cs="Arial" w:eastAsia="Arial" w:hAnsi="Arial"/>
                <w:sz w:val="18"/>
                <w:szCs w:val="18"/>
                <w:b w:val="1"/>
                <w:bCs w:val="1"/>
                <w:color w:val="000019"/>
              </w:rPr>
              <w:t>FOR</w:t>
            </w:r>
          </w:p>
        </w:tc>
        <w:tc>
          <w:tcPr>
            <w:tcW w:w="740" w:type="dxa"/>
            <w:vAlign w:val="bottom"/>
            <w:gridSpan w:val="4"/>
          </w:tcPr>
          <w:p>
            <w:pPr>
              <w:jc w:val="center"/>
              <w:ind w:left="446"/>
              <w:spacing w:after="0"/>
              <w:rPr>
                <w:sz w:val="20"/>
                <w:szCs w:val="20"/>
                <w:color w:val="auto"/>
              </w:rPr>
            </w:pPr>
            <w:r>
              <w:rPr>
                <w:rFonts w:ascii="Arial" w:cs="Arial" w:eastAsia="Arial" w:hAnsi="Arial"/>
                <w:sz w:val="18"/>
                <w:szCs w:val="18"/>
                <w:color w:val="000019"/>
                <w:w w:val="99"/>
              </w:rPr>
              <w:t>32</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500" w:type="dxa"/>
            <w:vAlign w:val="bottom"/>
          </w:tcPr>
          <w:p>
            <w:pPr>
              <w:ind w:left="60"/>
              <w:spacing w:after="0" w:line="157" w:lineRule="exact"/>
              <w:rPr>
                <w:sz w:val="20"/>
                <w:szCs w:val="20"/>
                <w:color w:val="auto"/>
              </w:rPr>
            </w:pPr>
            <w:r>
              <w:rPr>
                <w:rFonts w:ascii="Arial" w:cs="Arial" w:eastAsia="Arial" w:hAnsi="Arial"/>
                <w:sz w:val="18"/>
                <w:szCs w:val="18"/>
                <w:color w:val="000019"/>
                <w:w w:val="99"/>
              </w:rPr>
              <w:t>Directors of Ernst &amp; Young LLP as the independent registered public</w:t>
            </w:r>
          </w:p>
        </w:tc>
        <w:tc>
          <w:tcPr>
            <w:tcW w:w="2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Borders>
              <w:top w:val="single" w:sz="8" w:color="000019"/>
            </w:tcBorders>
          </w:tcPr>
          <w:p>
            <w:pPr>
              <w:spacing w:after="0"/>
              <w:rPr>
                <w:sz w:val="13"/>
                <w:szCs w:val="13"/>
                <w:color w:val="auto"/>
              </w:rPr>
            </w:pPr>
          </w:p>
        </w:tc>
        <w:tc>
          <w:tcPr>
            <w:tcW w:w="160" w:type="dxa"/>
            <w:vAlign w:val="bottom"/>
            <w:tcBorders>
              <w:top w:val="single" w:sz="8" w:color="000019"/>
            </w:tcBorders>
          </w:tcPr>
          <w:p>
            <w:pPr>
              <w:spacing w:after="0"/>
              <w:rPr>
                <w:sz w:val="13"/>
                <w:szCs w:val="13"/>
                <w:color w:val="auto"/>
              </w:rPr>
            </w:pPr>
          </w:p>
        </w:tc>
        <w:tc>
          <w:tcPr>
            <w:tcW w:w="20" w:type="dxa"/>
            <w:vAlign w:val="bottom"/>
            <w:tcBorders>
              <w:top w:val="single" w:sz="8" w:color="000019"/>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500" w:type="dxa"/>
            <w:vAlign w:val="bottom"/>
          </w:tcPr>
          <w:p>
            <w:pPr>
              <w:ind w:left="60"/>
              <w:spacing w:after="0" w:line="180" w:lineRule="exact"/>
              <w:rPr>
                <w:sz w:val="20"/>
                <w:szCs w:val="20"/>
                <w:color w:val="auto"/>
              </w:rPr>
            </w:pPr>
            <w:r>
              <w:rPr>
                <w:rFonts w:ascii="Arial" w:cs="Arial" w:eastAsia="Arial" w:hAnsi="Arial"/>
                <w:sz w:val="18"/>
                <w:szCs w:val="18"/>
                <w:color w:val="000019"/>
              </w:rPr>
              <w:t>accounting firm of the Company for the year ending December 31,</w:t>
            </w:r>
          </w:p>
        </w:tc>
        <w:tc>
          <w:tcPr>
            <w:tcW w:w="2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500" w:type="dxa"/>
            <w:vAlign w:val="bottom"/>
          </w:tcPr>
          <w:p>
            <w:pPr>
              <w:ind w:left="60"/>
              <w:spacing w:after="0"/>
              <w:rPr>
                <w:sz w:val="20"/>
                <w:szCs w:val="20"/>
                <w:color w:val="auto"/>
              </w:rPr>
            </w:pPr>
            <w:r>
              <w:rPr>
                <w:rFonts w:ascii="Arial" w:cs="Arial" w:eastAsia="Arial" w:hAnsi="Arial"/>
                <w:sz w:val="18"/>
                <w:szCs w:val="18"/>
                <w:color w:val="000019"/>
              </w:rPr>
              <w:t>2023.</w:t>
            </w:r>
          </w:p>
        </w:tc>
        <w:tc>
          <w:tcPr>
            <w:tcW w:w="2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6"/>
        </w:trPr>
        <w:tc>
          <w:tcPr>
            <w:tcW w:w="5500" w:type="dxa"/>
            <w:vAlign w:val="bottom"/>
          </w:tcPr>
          <w:p>
            <w:pPr>
              <w:ind w:left="60"/>
              <w:spacing w:after="0"/>
              <w:rPr>
                <w:sz w:val="20"/>
                <w:szCs w:val="20"/>
                <w:color w:val="auto"/>
              </w:rPr>
            </w:pPr>
            <w:r>
              <w:rPr>
                <w:rFonts w:ascii="Arial" w:cs="Arial" w:eastAsia="Arial" w:hAnsi="Arial"/>
                <w:sz w:val="18"/>
                <w:szCs w:val="18"/>
                <w:color w:val="000019"/>
                <w:w w:val="99"/>
              </w:rPr>
              <w:t>Approving, on a non-binding advisory basis, the compensation of the</w:t>
            </w:r>
          </w:p>
        </w:tc>
        <w:tc>
          <w:tcPr>
            <w:tcW w:w="2600" w:type="dxa"/>
            <w:vAlign w:val="bottom"/>
          </w:tcPr>
          <w:p>
            <w:pPr>
              <w:ind w:left="440"/>
              <w:spacing w:after="0"/>
              <w:rPr>
                <w:sz w:val="20"/>
                <w:szCs w:val="20"/>
                <w:color w:val="auto"/>
              </w:rPr>
            </w:pPr>
            <w:r>
              <w:rPr>
                <w:rFonts w:ascii="Arial" w:cs="Arial" w:eastAsia="Arial" w:hAnsi="Arial"/>
                <w:sz w:val="18"/>
                <w:szCs w:val="18"/>
                <w:b w:val="1"/>
                <w:bCs w:val="1"/>
                <w:color w:val="000019"/>
              </w:rPr>
              <w:t>FOR</w:t>
            </w:r>
          </w:p>
        </w:tc>
        <w:tc>
          <w:tcPr>
            <w:tcW w:w="1260" w:type="dxa"/>
            <w:vAlign w:val="bottom"/>
            <w:gridSpan w:val="5"/>
          </w:tcPr>
          <w:p>
            <w:pPr>
              <w:jc w:val="center"/>
              <w:spacing w:after="0"/>
              <w:rPr>
                <w:sz w:val="20"/>
                <w:szCs w:val="20"/>
                <w:color w:val="auto"/>
              </w:rPr>
            </w:pPr>
            <w:r>
              <w:rPr>
                <w:rFonts w:ascii="Arial" w:cs="Arial" w:eastAsia="Arial" w:hAnsi="Arial"/>
                <w:sz w:val="18"/>
                <w:szCs w:val="18"/>
                <w:color w:val="000019"/>
                <w:w w:val="99"/>
              </w:rPr>
              <w:t>34</w:t>
            </w:r>
          </w:p>
        </w:tc>
        <w:tc>
          <w:tcPr>
            <w:tcW w:w="0" w:type="dxa"/>
            <w:vAlign w:val="bottom"/>
          </w:tcPr>
          <w:p>
            <w:pPr>
              <w:spacing w:after="0"/>
              <w:rPr>
                <w:sz w:val="1"/>
                <w:szCs w:val="1"/>
                <w:color w:val="auto"/>
              </w:rPr>
            </w:pPr>
          </w:p>
        </w:tc>
      </w:tr>
      <w:tr>
        <w:trPr>
          <w:trHeight w:val="158"/>
        </w:trPr>
        <w:tc>
          <w:tcPr>
            <w:tcW w:w="5500" w:type="dxa"/>
            <w:vAlign w:val="bottom"/>
          </w:tcPr>
          <w:p>
            <w:pPr>
              <w:ind w:left="60"/>
              <w:spacing w:after="0" w:line="157" w:lineRule="exact"/>
              <w:rPr>
                <w:sz w:val="20"/>
                <w:szCs w:val="20"/>
                <w:color w:val="auto"/>
              </w:rPr>
            </w:pPr>
            <w:r>
              <w:rPr>
                <w:rFonts w:ascii="Arial" w:cs="Arial" w:eastAsia="Arial" w:hAnsi="Arial"/>
                <w:sz w:val="18"/>
                <w:szCs w:val="18"/>
                <w:color w:val="000019"/>
              </w:rPr>
              <w:t>Company's Named Executive Officers as disclosed in this proxy</w:t>
            </w:r>
          </w:p>
        </w:tc>
        <w:tc>
          <w:tcPr>
            <w:tcW w:w="2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Borders>
              <w:top w:val="single" w:sz="8" w:color="000019"/>
            </w:tcBorders>
          </w:tcPr>
          <w:p>
            <w:pPr>
              <w:spacing w:after="0"/>
              <w:rPr>
                <w:sz w:val="13"/>
                <w:szCs w:val="13"/>
                <w:color w:val="auto"/>
              </w:rPr>
            </w:pPr>
          </w:p>
        </w:tc>
        <w:tc>
          <w:tcPr>
            <w:tcW w:w="160" w:type="dxa"/>
            <w:vAlign w:val="bottom"/>
            <w:tcBorders>
              <w:top w:val="single" w:sz="8" w:color="000019"/>
            </w:tcBorders>
          </w:tcPr>
          <w:p>
            <w:pPr>
              <w:spacing w:after="0"/>
              <w:rPr>
                <w:sz w:val="13"/>
                <w:szCs w:val="13"/>
                <w:color w:val="auto"/>
              </w:rPr>
            </w:pPr>
          </w:p>
        </w:tc>
        <w:tc>
          <w:tcPr>
            <w:tcW w:w="20" w:type="dxa"/>
            <w:vAlign w:val="bottom"/>
            <w:tcBorders>
              <w:top w:val="single" w:sz="8" w:color="000019"/>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500" w:type="dxa"/>
            <w:vAlign w:val="bottom"/>
          </w:tcPr>
          <w:p>
            <w:pPr>
              <w:ind w:left="60"/>
              <w:spacing w:after="0"/>
              <w:rPr>
                <w:sz w:val="20"/>
                <w:szCs w:val="20"/>
                <w:color w:val="auto"/>
              </w:rPr>
            </w:pPr>
            <w:r>
              <w:rPr>
                <w:rFonts w:ascii="Arial" w:cs="Arial" w:eastAsia="Arial" w:hAnsi="Arial"/>
                <w:sz w:val="18"/>
                <w:szCs w:val="18"/>
                <w:color w:val="000019"/>
              </w:rPr>
              <w:t>statement.</w:t>
            </w:r>
          </w:p>
        </w:tc>
        <w:tc>
          <w:tcPr>
            <w:tcW w:w="2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-1803400</wp:posOffset>
            </wp:positionV>
            <wp:extent cx="123825" cy="123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825" cy="12382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-1089025</wp:posOffset>
            </wp:positionV>
            <wp:extent cx="123825" cy="123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825" cy="12382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-374650</wp:posOffset>
            </wp:positionV>
            <wp:extent cx="123825" cy="123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60" w:right="1080"/>
        <w:spacing w:after="0" w:line="238" w:lineRule="auto"/>
        <w:rPr>
          <w:sz w:val="20"/>
          <w:szCs w:val="20"/>
          <w:color w:val="auto"/>
        </w:rPr>
      </w:pPr>
      <w:r>
        <w:rPr>
          <w:rFonts w:ascii="Arial" w:cs="Arial" w:eastAsia="Arial" w:hAnsi="Arial"/>
          <w:sz w:val="18"/>
          <w:szCs w:val="18"/>
          <w:color w:val="000019"/>
        </w:rPr>
        <w:t>Conducting any other business properly brought before the Annual Meeting, including any adjournments or postponements of the meeting.</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000019"/>
        </w:rPr>
        <w:t>Each of these items of business are more fully described in the Proxy Statement accompanying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161290</wp:posOffset>
            </wp:positionV>
            <wp:extent cx="5946775" cy="679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46775" cy="679450"/>
                    </a:xfrm>
                    <a:prstGeom prst="rect">
                      <a:avLst/>
                    </a:prstGeom>
                    <a:noFill/>
                  </pic:spPr>
                </pic:pic>
              </a:graphicData>
            </a:graphic>
          </wp:anchor>
        </w:drawing>
      </w:r>
    </w:p>
    <w:p>
      <w:pPr>
        <w:spacing w:after="0" w:line="305" w:lineRule="exact"/>
        <w:rPr>
          <w:sz w:val="20"/>
          <w:szCs w:val="20"/>
          <w:color w:val="auto"/>
        </w:rPr>
      </w:pPr>
    </w:p>
    <w:p>
      <w:pPr>
        <w:jc w:val="center"/>
        <w:ind w:left="1280" w:right="240"/>
        <w:spacing w:after="0" w:line="266" w:lineRule="auto"/>
        <w:rPr>
          <w:sz w:val="20"/>
          <w:szCs w:val="20"/>
          <w:color w:val="auto"/>
        </w:rPr>
      </w:pPr>
      <w:r>
        <w:rPr>
          <w:rFonts w:ascii="Arial" w:cs="Arial" w:eastAsia="Arial" w:hAnsi="Arial"/>
          <w:sz w:val="18"/>
          <w:szCs w:val="18"/>
          <w:b w:val="1"/>
          <w:bCs w:val="1"/>
          <w:color w:val="000019"/>
        </w:rPr>
        <w:t>Important Notice Regarding the Availability of Proxy Materials for the Virtual Stockholders' Meeting to Be Held on Wednesday, May 24, 2023 at 1:00 p.m. Eastern Time.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000019"/>
        </w:rPr>
        <w:t>The proxy statement and annual report to shareholders</w:t>
      </w:r>
    </w:p>
    <w:p>
      <w:pPr>
        <w:jc w:val="center"/>
        <w:spacing w:after="0"/>
        <w:rPr>
          <w:sz w:val="20"/>
          <w:szCs w:val="20"/>
          <w:color w:val="auto"/>
        </w:rPr>
      </w:pPr>
      <w:r>
        <w:rPr>
          <w:rFonts w:ascii="Arial" w:cs="Arial" w:eastAsia="Arial" w:hAnsi="Arial"/>
          <w:sz w:val="18"/>
          <w:szCs w:val="18"/>
          <w:color w:val="000019"/>
        </w:rPr>
        <w:t>are available at https://www.proxydocs.com/TENB.</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000019"/>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085850"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5850"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000019"/>
        </w:rPr>
        <w:t>Michelle VonderHaar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000019"/>
        </w:rPr>
        <w:t>Chief Legal Officer and Corporate Secretary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000019"/>
        </w:rPr>
        <w:t>Columbia,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0019"/>
        </w:rPr>
        <w:t>April 12,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161290</wp:posOffset>
            </wp:positionV>
            <wp:extent cx="5956300" cy="660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56300" cy="660400"/>
                    </a:xfrm>
                    <a:prstGeom prst="rect">
                      <a:avLst/>
                    </a:prstGeom>
                    <a:noFill/>
                  </pic:spPr>
                </pic:pic>
              </a:graphicData>
            </a:graphic>
          </wp:anchor>
        </w:drawing>
      </w:r>
    </w:p>
    <w:p>
      <w:pPr>
        <w:spacing w:after="0" w:line="280" w:lineRule="exact"/>
        <w:rPr>
          <w:sz w:val="20"/>
          <w:szCs w:val="20"/>
          <w:color w:val="auto"/>
        </w:rPr>
      </w:pPr>
    </w:p>
    <w:p>
      <w:pPr>
        <w:ind w:left="60" w:right="100"/>
        <w:spacing w:after="0" w:line="251" w:lineRule="auto"/>
        <w:rPr>
          <w:sz w:val="20"/>
          <w:szCs w:val="20"/>
          <w:color w:val="auto"/>
        </w:rPr>
      </w:pPr>
      <w:r>
        <w:rPr>
          <w:rFonts w:ascii="Arial" w:cs="Arial" w:eastAsia="Arial" w:hAnsi="Arial"/>
          <w:sz w:val="16"/>
          <w:szCs w:val="16"/>
          <w:b w:val="1"/>
          <w:bCs w:val="1"/>
          <w:color w:val="000019"/>
        </w:rPr>
        <w:t>You are cordially invited to attend the virtual annual meeting. Whether or not you expect to attend the meeting, please vote over the telephone or the Internet as instructed in these materials as promptly as possible in order to ensure your representation at the meeting. Even if you have voted by proxy, you may still vote online if you attend the virtual annual meeting. Please note, however, that if your shares are held of record by a broker, bank or other nominee and you wish to vote at the meeting, you must obtain a proxy issued in your name from that record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880" w:h="15480" w:orient="portrait"/>
          <w:cols w:equalWidth="0" w:num="1">
            <w:col w:w="9360"/>
          </w:cols>
          <w:pgMar w:left="1260" w:top="1289" w:right="1260" w:bottom="0" w:gutter="0" w:footer="0" w:header="0"/>
        </w:sectPr>
      </w:pPr>
    </w:p>
    <w:bookmarkStart w:id="5" w:name="page6"/>
    <w:bookmarkEnd w:id="5"/>
    <w:tbl>
      <w:tblPr>
        <w:tblLayout w:type="fixed"/>
        <w:tblInd w:w="60" w:type="dxa"/>
        <w:tblCellMar>
          <w:top w:w="0" w:type="dxa"/>
          <w:left w:w="0" w:type="dxa"/>
          <w:bottom w:w="0" w:type="dxa"/>
          <w:right w:w="0" w:type="dxa"/>
        </w:tblCellMar>
      </w:tblPr>
      <w:tr>
        <w:trPr>
          <w:trHeight w:val="276"/>
        </w:trPr>
        <w:tc>
          <w:tcPr>
            <w:tcW w:w="7880" w:type="dxa"/>
            <w:vAlign w:val="bottom"/>
          </w:tcPr>
          <w:p>
            <w:pPr>
              <w:ind w:left="3580"/>
              <w:spacing w:after="0"/>
              <w:rPr>
                <w:sz w:val="20"/>
                <w:szCs w:val="20"/>
                <w:color w:val="auto"/>
              </w:rPr>
            </w:pPr>
            <w:r>
              <w:rPr>
                <w:rFonts w:ascii="Arial" w:cs="Arial" w:eastAsia="Arial" w:hAnsi="Arial"/>
                <w:sz w:val="20"/>
                <w:szCs w:val="20"/>
                <w:b w:val="1"/>
                <w:bCs w:val="1"/>
                <w:color w:val="auto"/>
              </w:rPr>
              <w:t>CONTENTS</w:t>
            </w:r>
          </w:p>
        </w:tc>
        <w:tc>
          <w:tcPr>
            <w:tcW w:w="980" w:type="dxa"/>
            <w:vAlign w:val="bottom"/>
            <w:vMerge w:val="restart"/>
          </w:tcPr>
          <w:p>
            <w:pPr>
              <w:jc w:val="center"/>
              <w:ind w:left="420"/>
              <w:spacing w:after="0"/>
              <w:rPr>
                <w:sz w:val="20"/>
                <w:szCs w:val="20"/>
                <w:color w:val="auto"/>
              </w:rPr>
            </w:pPr>
            <w:r>
              <w:rPr>
                <w:rFonts w:ascii="Arial" w:cs="Arial" w:eastAsia="Arial" w:hAnsi="Arial"/>
                <w:sz w:val="20"/>
                <w:szCs w:val="20"/>
                <w:color w:val="auto"/>
                <w:w w:val="98"/>
              </w:rPr>
              <w:t>Page</w:t>
            </w:r>
          </w:p>
        </w:tc>
        <w:tc>
          <w:tcPr>
            <w:tcW w:w="0" w:type="dxa"/>
            <w:vAlign w:val="bottom"/>
          </w:tcPr>
          <w:p>
            <w:pPr>
              <w:spacing w:after="0"/>
              <w:rPr>
                <w:sz w:val="1"/>
                <w:szCs w:val="1"/>
                <w:color w:val="auto"/>
              </w:rPr>
            </w:pPr>
          </w:p>
        </w:tc>
      </w:tr>
      <w:tr>
        <w:trPr>
          <w:trHeight w:val="235"/>
        </w:trPr>
        <w:tc>
          <w:tcPr>
            <w:tcW w:w="78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7880" w:type="dxa"/>
            <w:vAlign w:val="bottom"/>
          </w:tcPr>
          <w:p>
            <w:pPr>
              <w:spacing w:after="0"/>
              <w:rPr>
                <w:sz w:val="20"/>
                <w:szCs w:val="20"/>
                <w:color w:val="auto"/>
              </w:rPr>
            </w:pPr>
            <w:r>
              <w:rPr>
                <w:rFonts w:ascii="Arial" w:cs="Arial" w:eastAsia="Arial" w:hAnsi="Arial"/>
                <w:sz w:val="20"/>
                <w:szCs w:val="20"/>
                <w:color w:val="auto"/>
              </w:rPr>
              <w:t>QUESTIONS AND ANSWERS ABOUT THESE PROXY MATERIALS AND VOTING</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10</w:t>
            </w:r>
          </w:p>
        </w:tc>
        <w:tc>
          <w:tcPr>
            <w:tcW w:w="0" w:type="dxa"/>
            <w:vAlign w:val="bottom"/>
          </w:tcPr>
          <w:p>
            <w:pPr>
              <w:spacing w:after="0"/>
              <w:rPr>
                <w:sz w:val="1"/>
                <w:szCs w:val="1"/>
                <w:color w:val="auto"/>
              </w:rPr>
            </w:pPr>
          </w:p>
        </w:tc>
      </w:tr>
      <w:tr>
        <w:trPr>
          <w:trHeight w:val="255"/>
        </w:trPr>
        <w:tc>
          <w:tcPr>
            <w:tcW w:w="7880" w:type="dxa"/>
            <w:vAlign w:val="bottom"/>
          </w:tcPr>
          <w:p>
            <w:pPr>
              <w:spacing w:after="0"/>
              <w:rPr>
                <w:sz w:val="20"/>
                <w:szCs w:val="20"/>
                <w:color w:val="auto"/>
              </w:rPr>
            </w:pPr>
            <w:r>
              <w:rPr>
                <w:rFonts w:ascii="Arial" w:cs="Arial" w:eastAsia="Arial" w:hAnsi="Arial"/>
                <w:sz w:val="20"/>
                <w:szCs w:val="20"/>
                <w:color w:val="auto"/>
              </w:rPr>
              <w:t>PROPOSAL 1 ELECTION OF DIRECTORS</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17</w:t>
            </w:r>
          </w:p>
        </w:tc>
        <w:tc>
          <w:tcPr>
            <w:tcW w:w="0" w:type="dxa"/>
            <w:vAlign w:val="bottom"/>
          </w:tcPr>
          <w:p>
            <w:pPr>
              <w:spacing w:after="0"/>
              <w:rPr>
                <w:sz w:val="1"/>
                <w:szCs w:val="1"/>
                <w:color w:val="auto"/>
              </w:rPr>
            </w:pPr>
          </w:p>
        </w:tc>
      </w:tr>
      <w:tr>
        <w:trPr>
          <w:trHeight w:val="255"/>
        </w:trPr>
        <w:tc>
          <w:tcPr>
            <w:tcW w:w="7880" w:type="dxa"/>
            <w:vAlign w:val="bottom"/>
          </w:tcPr>
          <w:p>
            <w:pPr>
              <w:spacing w:after="0"/>
              <w:rPr>
                <w:sz w:val="20"/>
                <w:szCs w:val="20"/>
                <w:color w:val="auto"/>
              </w:rPr>
            </w:pPr>
            <w:r>
              <w:rPr>
                <w:rFonts w:ascii="Arial" w:cs="Arial" w:eastAsia="Arial" w:hAnsi="Arial"/>
                <w:sz w:val="20"/>
                <w:szCs w:val="20"/>
                <w:color w:val="auto"/>
              </w:rPr>
              <w:t>Information Regarding the Board of Directors and Corporate Governance</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22</w:t>
            </w:r>
          </w:p>
        </w:tc>
        <w:tc>
          <w:tcPr>
            <w:tcW w:w="0" w:type="dxa"/>
            <w:vAlign w:val="bottom"/>
          </w:tcPr>
          <w:p>
            <w:pPr>
              <w:spacing w:after="0"/>
              <w:rPr>
                <w:sz w:val="1"/>
                <w:szCs w:val="1"/>
                <w:color w:val="auto"/>
              </w:rPr>
            </w:pPr>
          </w:p>
        </w:tc>
      </w:tr>
      <w:tr>
        <w:trPr>
          <w:trHeight w:val="255"/>
        </w:trPr>
        <w:tc>
          <w:tcPr>
            <w:tcW w:w="7880" w:type="dxa"/>
            <w:vAlign w:val="bottom"/>
          </w:tcPr>
          <w:p>
            <w:pPr>
              <w:ind w:left="400"/>
              <w:spacing w:after="0"/>
              <w:rPr>
                <w:sz w:val="20"/>
                <w:szCs w:val="20"/>
                <w:color w:val="auto"/>
              </w:rPr>
            </w:pPr>
            <w:r>
              <w:rPr>
                <w:rFonts w:ascii="Arial" w:cs="Arial" w:eastAsia="Arial" w:hAnsi="Arial"/>
                <w:sz w:val="20"/>
                <w:szCs w:val="20"/>
                <w:color w:val="auto"/>
              </w:rPr>
              <w:t>Independence of the Board of Directors</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22</w:t>
            </w:r>
          </w:p>
        </w:tc>
        <w:tc>
          <w:tcPr>
            <w:tcW w:w="0" w:type="dxa"/>
            <w:vAlign w:val="bottom"/>
          </w:tcPr>
          <w:p>
            <w:pPr>
              <w:spacing w:after="0"/>
              <w:rPr>
                <w:sz w:val="1"/>
                <w:szCs w:val="1"/>
                <w:color w:val="auto"/>
              </w:rPr>
            </w:pPr>
          </w:p>
        </w:tc>
      </w:tr>
      <w:tr>
        <w:trPr>
          <w:trHeight w:val="255"/>
        </w:trPr>
        <w:tc>
          <w:tcPr>
            <w:tcW w:w="7880" w:type="dxa"/>
            <w:vAlign w:val="bottom"/>
          </w:tcPr>
          <w:p>
            <w:pPr>
              <w:ind w:left="400"/>
              <w:spacing w:after="0"/>
              <w:rPr>
                <w:sz w:val="20"/>
                <w:szCs w:val="20"/>
                <w:color w:val="auto"/>
              </w:rPr>
            </w:pPr>
            <w:r>
              <w:rPr>
                <w:rFonts w:ascii="Arial" w:cs="Arial" w:eastAsia="Arial" w:hAnsi="Arial"/>
                <w:sz w:val="20"/>
                <w:szCs w:val="20"/>
                <w:color w:val="auto"/>
              </w:rPr>
              <w:t>Role of the Board in Risk Oversight</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23</w:t>
            </w:r>
          </w:p>
        </w:tc>
        <w:tc>
          <w:tcPr>
            <w:tcW w:w="0" w:type="dxa"/>
            <w:vAlign w:val="bottom"/>
          </w:tcPr>
          <w:p>
            <w:pPr>
              <w:spacing w:after="0"/>
              <w:rPr>
                <w:sz w:val="1"/>
                <w:szCs w:val="1"/>
                <w:color w:val="auto"/>
              </w:rPr>
            </w:pPr>
          </w:p>
        </w:tc>
      </w:tr>
      <w:tr>
        <w:trPr>
          <w:trHeight w:val="255"/>
        </w:trPr>
        <w:tc>
          <w:tcPr>
            <w:tcW w:w="7880" w:type="dxa"/>
            <w:vAlign w:val="bottom"/>
          </w:tcPr>
          <w:p>
            <w:pPr>
              <w:ind w:left="400"/>
              <w:spacing w:after="0"/>
              <w:rPr>
                <w:sz w:val="20"/>
                <w:szCs w:val="20"/>
                <w:color w:val="auto"/>
              </w:rPr>
            </w:pPr>
            <w:r>
              <w:rPr>
                <w:rFonts w:ascii="Arial" w:cs="Arial" w:eastAsia="Arial" w:hAnsi="Arial"/>
                <w:sz w:val="20"/>
                <w:szCs w:val="20"/>
                <w:color w:val="auto"/>
              </w:rPr>
              <w:t>Meetings of the Board of Directors</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23</w:t>
            </w:r>
          </w:p>
        </w:tc>
        <w:tc>
          <w:tcPr>
            <w:tcW w:w="0" w:type="dxa"/>
            <w:vAlign w:val="bottom"/>
          </w:tcPr>
          <w:p>
            <w:pPr>
              <w:spacing w:after="0"/>
              <w:rPr>
                <w:sz w:val="1"/>
                <w:szCs w:val="1"/>
                <w:color w:val="auto"/>
              </w:rPr>
            </w:pPr>
          </w:p>
        </w:tc>
      </w:tr>
      <w:tr>
        <w:trPr>
          <w:trHeight w:val="255"/>
        </w:trPr>
        <w:tc>
          <w:tcPr>
            <w:tcW w:w="7880" w:type="dxa"/>
            <w:vAlign w:val="bottom"/>
          </w:tcPr>
          <w:p>
            <w:pPr>
              <w:ind w:left="400"/>
              <w:spacing w:after="0"/>
              <w:rPr>
                <w:sz w:val="20"/>
                <w:szCs w:val="20"/>
                <w:color w:val="auto"/>
              </w:rPr>
            </w:pPr>
            <w:r>
              <w:rPr>
                <w:rFonts w:ascii="Arial" w:cs="Arial" w:eastAsia="Arial" w:hAnsi="Arial"/>
                <w:sz w:val="20"/>
                <w:szCs w:val="20"/>
                <w:color w:val="auto"/>
              </w:rPr>
              <w:t>Information Regarding Committees of the Board of Directors</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23</w:t>
            </w:r>
          </w:p>
        </w:tc>
        <w:tc>
          <w:tcPr>
            <w:tcW w:w="0" w:type="dxa"/>
            <w:vAlign w:val="bottom"/>
          </w:tcPr>
          <w:p>
            <w:pPr>
              <w:spacing w:after="0"/>
              <w:rPr>
                <w:sz w:val="1"/>
                <w:szCs w:val="1"/>
                <w:color w:val="auto"/>
              </w:rPr>
            </w:pPr>
          </w:p>
        </w:tc>
      </w:tr>
      <w:tr>
        <w:trPr>
          <w:trHeight w:val="255"/>
        </w:trPr>
        <w:tc>
          <w:tcPr>
            <w:tcW w:w="7880" w:type="dxa"/>
            <w:vAlign w:val="bottom"/>
          </w:tcPr>
          <w:p>
            <w:pPr>
              <w:ind w:left="720"/>
              <w:spacing w:after="0"/>
              <w:rPr>
                <w:sz w:val="20"/>
                <w:szCs w:val="20"/>
                <w:color w:val="auto"/>
              </w:rPr>
            </w:pPr>
            <w:r>
              <w:rPr>
                <w:rFonts w:ascii="Arial" w:cs="Arial" w:eastAsia="Arial" w:hAnsi="Arial"/>
                <w:sz w:val="20"/>
                <w:szCs w:val="20"/>
                <w:color w:val="auto"/>
              </w:rPr>
              <w:t>Audit Committee</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24</w:t>
            </w:r>
          </w:p>
        </w:tc>
        <w:tc>
          <w:tcPr>
            <w:tcW w:w="0" w:type="dxa"/>
            <w:vAlign w:val="bottom"/>
          </w:tcPr>
          <w:p>
            <w:pPr>
              <w:spacing w:after="0"/>
              <w:rPr>
                <w:sz w:val="1"/>
                <w:szCs w:val="1"/>
                <w:color w:val="auto"/>
              </w:rPr>
            </w:pPr>
          </w:p>
        </w:tc>
      </w:tr>
      <w:tr>
        <w:trPr>
          <w:trHeight w:val="255"/>
        </w:trPr>
        <w:tc>
          <w:tcPr>
            <w:tcW w:w="7880" w:type="dxa"/>
            <w:vAlign w:val="bottom"/>
          </w:tcPr>
          <w:p>
            <w:pPr>
              <w:ind w:left="720"/>
              <w:spacing w:after="0"/>
              <w:rPr>
                <w:sz w:val="20"/>
                <w:szCs w:val="20"/>
                <w:color w:val="auto"/>
              </w:rPr>
            </w:pPr>
            <w:r>
              <w:rPr>
                <w:rFonts w:ascii="Arial" w:cs="Arial" w:eastAsia="Arial" w:hAnsi="Arial"/>
                <w:sz w:val="20"/>
                <w:szCs w:val="20"/>
                <w:color w:val="auto"/>
              </w:rPr>
              <w:t>Compensation Committee</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26</w:t>
            </w:r>
          </w:p>
        </w:tc>
        <w:tc>
          <w:tcPr>
            <w:tcW w:w="0" w:type="dxa"/>
            <w:vAlign w:val="bottom"/>
          </w:tcPr>
          <w:p>
            <w:pPr>
              <w:spacing w:after="0"/>
              <w:rPr>
                <w:sz w:val="1"/>
                <w:szCs w:val="1"/>
                <w:color w:val="auto"/>
              </w:rPr>
            </w:pPr>
          </w:p>
        </w:tc>
      </w:tr>
      <w:tr>
        <w:trPr>
          <w:trHeight w:val="255"/>
        </w:trPr>
        <w:tc>
          <w:tcPr>
            <w:tcW w:w="7880" w:type="dxa"/>
            <w:vAlign w:val="bottom"/>
          </w:tcPr>
          <w:p>
            <w:pPr>
              <w:ind w:left="720"/>
              <w:spacing w:after="0"/>
              <w:rPr>
                <w:sz w:val="20"/>
                <w:szCs w:val="20"/>
                <w:color w:val="auto"/>
              </w:rPr>
            </w:pPr>
            <w:r>
              <w:rPr>
                <w:rFonts w:ascii="Arial" w:cs="Arial" w:eastAsia="Arial" w:hAnsi="Arial"/>
                <w:sz w:val="20"/>
                <w:szCs w:val="20"/>
                <w:color w:val="auto"/>
              </w:rPr>
              <w:t>Nominating and Corporate Governance Committee</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28</w:t>
            </w:r>
          </w:p>
        </w:tc>
        <w:tc>
          <w:tcPr>
            <w:tcW w:w="0" w:type="dxa"/>
            <w:vAlign w:val="bottom"/>
          </w:tcPr>
          <w:p>
            <w:pPr>
              <w:spacing w:after="0"/>
              <w:rPr>
                <w:sz w:val="1"/>
                <w:szCs w:val="1"/>
                <w:color w:val="auto"/>
              </w:rPr>
            </w:pPr>
          </w:p>
        </w:tc>
      </w:tr>
      <w:tr>
        <w:trPr>
          <w:trHeight w:val="255"/>
        </w:trPr>
        <w:tc>
          <w:tcPr>
            <w:tcW w:w="7880" w:type="dxa"/>
            <w:vAlign w:val="bottom"/>
          </w:tcPr>
          <w:p>
            <w:pPr>
              <w:ind w:left="720"/>
              <w:spacing w:after="0"/>
              <w:rPr>
                <w:sz w:val="20"/>
                <w:szCs w:val="20"/>
                <w:color w:val="auto"/>
              </w:rPr>
            </w:pPr>
            <w:r>
              <w:rPr>
                <w:rFonts w:ascii="Arial" w:cs="Arial" w:eastAsia="Arial" w:hAnsi="Arial"/>
                <w:sz w:val="20"/>
                <w:szCs w:val="20"/>
                <w:color w:val="auto"/>
              </w:rPr>
              <w:t>Cybersecurity Risk Management Committee</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27</w:t>
            </w:r>
          </w:p>
        </w:tc>
        <w:tc>
          <w:tcPr>
            <w:tcW w:w="0" w:type="dxa"/>
            <w:vAlign w:val="bottom"/>
          </w:tcPr>
          <w:p>
            <w:pPr>
              <w:spacing w:after="0"/>
              <w:rPr>
                <w:sz w:val="1"/>
                <w:szCs w:val="1"/>
                <w:color w:val="auto"/>
              </w:rPr>
            </w:pPr>
          </w:p>
        </w:tc>
      </w:tr>
      <w:tr>
        <w:trPr>
          <w:trHeight w:val="255"/>
        </w:trPr>
        <w:tc>
          <w:tcPr>
            <w:tcW w:w="7880" w:type="dxa"/>
            <w:vAlign w:val="bottom"/>
          </w:tcPr>
          <w:p>
            <w:pPr>
              <w:ind w:left="400"/>
              <w:spacing w:after="0"/>
              <w:rPr>
                <w:sz w:val="20"/>
                <w:szCs w:val="20"/>
                <w:color w:val="auto"/>
              </w:rPr>
            </w:pPr>
            <w:r>
              <w:rPr>
                <w:rFonts w:ascii="Arial" w:cs="Arial" w:eastAsia="Arial" w:hAnsi="Arial"/>
                <w:sz w:val="20"/>
                <w:szCs w:val="20"/>
                <w:color w:val="auto"/>
              </w:rPr>
              <w:t>Stockholder Communications with the Board of Directors</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30</w:t>
            </w:r>
          </w:p>
        </w:tc>
        <w:tc>
          <w:tcPr>
            <w:tcW w:w="0" w:type="dxa"/>
            <w:vAlign w:val="bottom"/>
          </w:tcPr>
          <w:p>
            <w:pPr>
              <w:spacing w:after="0"/>
              <w:rPr>
                <w:sz w:val="1"/>
                <w:szCs w:val="1"/>
                <w:color w:val="auto"/>
              </w:rPr>
            </w:pPr>
          </w:p>
        </w:tc>
      </w:tr>
      <w:tr>
        <w:trPr>
          <w:trHeight w:val="255"/>
        </w:trPr>
        <w:tc>
          <w:tcPr>
            <w:tcW w:w="7880" w:type="dxa"/>
            <w:vAlign w:val="bottom"/>
          </w:tcPr>
          <w:p>
            <w:pPr>
              <w:ind w:left="400"/>
              <w:spacing w:after="0"/>
              <w:rPr>
                <w:sz w:val="20"/>
                <w:szCs w:val="20"/>
                <w:color w:val="auto"/>
              </w:rPr>
            </w:pPr>
            <w:r>
              <w:rPr>
                <w:rFonts w:ascii="Arial" w:cs="Arial" w:eastAsia="Arial" w:hAnsi="Arial"/>
                <w:sz w:val="20"/>
                <w:szCs w:val="20"/>
                <w:color w:val="auto"/>
              </w:rPr>
              <w:t>Code of Ethics</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31</w:t>
            </w:r>
          </w:p>
        </w:tc>
        <w:tc>
          <w:tcPr>
            <w:tcW w:w="0" w:type="dxa"/>
            <w:vAlign w:val="bottom"/>
          </w:tcPr>
          <w:p>
            <w:pPr>
              <w:spacing w:after="0"/>
              <w:rPr>
                <w:sz w:val="1"/>
                <w:szCs w:val="1"/>
                <w:color w:val="auto"/>
              </w:rPr>
            </w:pPr>
          </w:p>
        </w:tc>
      </w:tr>
      <w:tr>
        <w:trPr>
          <w:trHeight w:val="265"/>
        </w:trPr>
        <w:tc>
          <w:tcPr>
            <w:tcW w:w="7880" w:type="dxa"/>
            <w:vAlign w:val="bottom"/>
          </w:tcPr>
          <w:p>
            <w:pPr>
              <w:ind w:left="440"/>
              <w:spacing w:after="0"/>
              <w:rPr>
                <w:sz w:val="20"/>
                <w:szCs w:val="20"/>
                <w:color w:val="auto"/>
              </w:rPr>
            </w:pPr>
            <w:r>
              <w:rPr>
                <w:rFonts w:ascii="Arial" w:cs="Arial" w:eastAsia="Arial" w:hAnsi="Arial"/>
                <w:sz w:val="20"/>
                <w:szCs w:val="20"/>
                <w:color w:val="auto"/>
              </w:rPr>
              <w:t>Hedging Policy</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31</w:t>
            </w:r>
          </w:p>
        </w:tc>
        <w:tc>
          <w:tcPr>
            <w:tcW w:w="0" w:type="dxa"/>
            <w:vAlign w:val="bottom"/>
          </w:tcPr>
          <w:p>
            <w:pPr>
              <w:spacing w:after="0"/>
              <w:rPr>
                <w:sz w:val="1"/>
                <w:szCs w:val="1"/>
                <w:color w:val="auto"/>
              </w:rPr>
            </w:pPr>
          </w:p>
        </w:tc>
      </w:tr>
      <w:tr>
        <w:trPr>
          <w:trHeight w:val="231"/>
        </w:trPr>
        <w:tc>
          <w:tcPr>
            <w:tcW w:w="7880" w:type="dxa"/>
            <w:vAlign w:val="bottom"/>
          </w:tcPr>
          <w:p>
            <w:pPr>
              <w:spacing w:after="0"/>
              <w:rPr>
                <w:sz w:val="20"/>
                <w:szCs w:val="20"/>
                <w:color w:val="auto"/>
              </w:rPr>
            </w:pPr>
            <w:r>
              <w:rPr>
                <w:rFonts w:ascii="Arial" w:cs="Arial" w:eastAsia="Arial" w:hAnsi="Arial"/>
                <w:sz w:val="20"/>
                <w:szCs w:val="20"/>
                <w:color w:val="auto"/>
              </w:rPr>
              <w:t>PROPOSAL 2 RATIFICATION OF SELECTION OF INDEPENDENT REGISTERED</w:t>
            </w:r>
          </w:p>
        </w:tc>
        <w:tc>
          <w:tcPr>
            <w:tcW w:w="980" w:type="dxa"/>
            <w:vAlign w:val="bottom"/>
            <w:vMerge w:val="restart"/>
          </w:tcPr>
          <w:p>
            <w:pPr>
              <w:jc w:val="center"/>
              <w:ind w:left="420"/>
              <w:spacing w:after="0"/>
              <w:rPr>
                <w:sz w:val="20"/>
                <w:szCs w:val="20"/>
                <w:color w:val="auto"/>
              </w:rPr>
            </w:pPr>
            <w:r>
              <w:rPr>
                <w:rFonts w:ascii="Arial" w:cs="Arial" w:eastAsia="Arial" w:hAnsi="Arial"/>
                <w:sz w:val="20"/>
                <w:szCs w:val="20"/>
                <w:color w:val="auto"/>
                <w:w w:val="98"/>
              </w:rPr>
              <w:t>32</w:t>
            </w:r>
          </w:p>
        </w:tc>
        <w:tc>
          <w:tcPr>
            <w:tcW w:w="0" w:type="dxa"/>
            <w:vAlign w:val="bottom"/>
          </w:tcPr>
          <w:p>
            <w:pPr>
              <w:spacing w:after="0"/>
              <w:rPr>
                <w:sz w:val="1"/>
                <w:szCs w:val="1"/>
                <w:color w:val="auto"/>
              </w:rPr>
            </w:pPr>
          </w:p>
        </w:tc>
      </w:tr>
      <w:tr>
        <w:trPr>
          <w:trHeight w:val="254"/>
        </w:trPr>
        <w:tc>
          <w:tcPr>
            <w:tcW w:w="7880" w:type="dxa"/>
            <w:vAlign w:val="bottom"/>
          </w:tcPr>
          <w:p>
            <w:pPr>
              <w:spacing w:after="0"/>
              <w:rPr>
                <w:sz w:val="20"/>
                <w:szCs w:val="20"/>
                <w:color w:val="auto"/>
              </w:rPr>
            </w:pPr>
            <w:r>
              <w:rPr>
                <w:rFonts w:ascii="Arial" w:cs="Arial" w:eastAsia="Arial" w:hAnsi="Arial"/>
                <w:sz w:val="20"/>
                <w:szCs w:val="20"/>
                <w:color w:val="auto"/>
              </w:rPr>
              <w:t>PUBLIC ACCOUNTING FIRM</w:t>
            </w: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880" w:type="dxa"/>
            <w:vAlign w:val="bottom"/>
          </w:tcPr>
          <w:p>
            <w:pPr>
              <w:ind w:left="400"/>
              <w:spacing w:after="0"/>
              <w:rPr>
                <w:sz w:val="20"/>
                <w:szCs w:val="20"/>
                <w:color w:val="auto"/>
              </w:rPr>
            </w:pPr>
            <w:r>
              <w:rPr>
                <w:rFonts w:ascii="Arial" w:cs="Arial" w:eastAsia="Arial" w:hAnsi="Arial"/>
                <w:sz w:val="20"/>
                <w:szCs w:val="20"/>
                <w:color w:val="auto"/>
              </w:rPr>
              <w:t>Fees and Services</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32</w:t>
            </w:r>
          </w:p>
        </w:tc>
        <w:tc>
          <w:tcPr>
            <w:tcW w:w="0" w:type="dxa"/>
            <w:vAlign w:val="bottom"/>
          </w:tcPr>
          <w:p>
            <w:pPr>
              <w:spacing w:after="0"/>
              <w:rPr>
                <w:sz w:val="1"/>
                <w:szCs w:val="1"/>
                <w:color w:val="auto"/>
              </w:rPr>
            </w:pPr>
          </w:p>
        </w:tc>
      </w:tr>
      <w:tr>
        <w:trPr>
          <w:trHeight w:val="265"/>
        </w:trPr>
        <w:tc>
          <w:tcPr>
            <w:tcW w:w="7880" w:type="dxa"/>
            <w:vAlign w:val="bottom"/>
          </w:tcPr>
          <w:p>
            <w:pPr>
              <w:ind w:left="400"/>
              <w:spacing w:after="0"/>
              <w:rPr>
                <w:sz w:val="20"/>
                <w:szCs w:val="20"/>
                <w:color w:val="auto"/>
              </w:rPr>
            </w:pPr>
            <w:r>
              <w:rPr>
                <w:rFonts w:ascii="Arial" w:cs="Arial" w:eastAsia="Arial" w:hAnsi="Arial"/>
                <w:sz w:val="20"/>
                <w:szCs w:val="20"/>
                <w:color w:val="auto"/>
              </w:rPr>
              <w:t>Pre-Approval Policies and Procedures</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33</w:t>
            </w:r>
          </w:p>
        </w:tc>
        <w:tc>
          <w:tcPr>
            <w:tcW w:w="0" w:type="dxa"/>
            <w:vAlign w:val="bottom"/>
          </w:tcPr>
          <w:p>
            <w:pPr>
              <w:spacing w:after="0"/>
              <w:rPr>
                <w:sz w:val="1"/>
                <w:szCs w:val="1"/>
                <w:color w:val="auto"/>
              </w:rPr>
            </w:pPr>
          </w:p>
        </w:tc>
      </w:tr>
      <w:tr>
        <w:trPr>
          <w:trHeight w:val="231"/>
        </w:trPr>
        <w:tc>
          <w:tcPr>
            <w:tcW w:w="7880" w:type="dxa"/>
            <w:vAlign w:val="bottom"/>
          </w:tcPr>
          <w:p>
            <w:pPr>
              <w:spacing w:after="0"/>
              <w:rPr>
                <w:sz w:val="20"/>
                <w:szCs w:val="20"/>
                <w:color w:val="auto"/>
              </w:rPr>
            </w:pPr>
            <w:r>
              <w:rPr>
                <w:rFonts w:ascii="Arial" w:cs="Arial" w:eastAsia="Arial" w:hAnsi="Arial"/>
                <w:sz w:val="20"/>
                <w:szCs w:val="20"/>
                <w:color w:val="auto"/>
              </w:rPr>
              <w:t>PROPOSAL 3 ADVISORY VOTE TO APPROVE THE NAMED EXECUTIVE</w:t>
            </w:r>
          </w:p>
        </w:tc>
        <w:tc>
          <w:tcPr>
            <w:tcW w:w="980" w:type="dxa"/>
            <w:vAlign w:val="bottom"/>
            <w:vMerge w:val="restart"/>
          </w:tcPr>
          <w:p>
            <w:pPr>
              <w:jc w:val="center"/>
              <w:ind w:left="420"/>
              <w:spacing w:after="0"/>
              <w:rPr>
                <w:sz w:val="20"/>
                <w:szCs w:val="20"/>
                <w:color w:val="auto"/>
              </w:rPr>
            </w:pPr>
            <w:r>
              <w:rPr>
                <w:rFonts w:ascii="Arial" w:cs="Arial" w:eastAsia="Arial" w:hAnsi="Arial"/>
                <w:sz w:val="20"/>
                <w:szCs w:val="20"/>
                <w:color w:val="auto"/>
                <w:w w:val="98"/>
              </w:rPr>
              <w:t>34</w:t>
            </w:r>
          </w:p>
        </w:tc>
        <w:tc>
          <w:tcPr>
            <w:tcW w:w="0" w:type="dxa"/>
            <w:vAlign w:val="bottom"/>
          </w:tcPr>
          <w:p>
            <w:pPr>
              <w:spacing w:after="0"/>
              <w:rPr>
                <w:sz w:val="1"/>
                <w:szCs w:val="1"/>
                <w:color w:val="auto"/>
              </w:rPr>
            </w:pPr>
          </w:p>
        </w:tc>
      </w:tr>
      <w:tr>
        <w:trPr>
          <w:trHeight w:val="254"/>
        </w:trPr>
        <w:tc>
          <w:tcPr>
            <w:tcW w:w="7880" w:type="dxa"/>
            <w:vAlign w:val="bottom"/>
          </w:tcPr>
          <w:p>
            <w:pPr>
              <w:spacing w:after="0"/>
              <w:rPr>
                <w:sz w:val="20"/>
                <w:szCs w:val="20"/>
                <w:color w:val="auto"/>
              </w:rPr>
            </w:pPr>
            <w:r>
              <w:rPr>
                <w:rFonts w:ascii="Arial" w:cs="Arial" w:eastAsia="Arial" w:hAnsi="Arial"/>
                <w:sz w:val="20"/>
                <w:szCs w:val="20"/>
                <w:color w:val="auto"/>
              </w:rPr>
              <w:t>OFFICER COMPENSATION</w:t>
            </w: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880" w:type="dxa"/>
            <w:vAlign w:val="bottom"/>
          </w:tcPr>
          <w:p>
            <w:pPr>
              <w:spacing w:after="0"/>
              <w:rPr>
                <w:sz w:val="20"/>
                <w:szCs w:val="20"/>
                <w:color w:val="auto"/>
              </w:rPr>
            </w:pPr>
            <w:r>
              <w:rPr>
                <w:rFonts w:ascii="Arial" w:cs="Arial" w:eastAsia="Arial" w:hAnsi="Arial"/>
                <w:sz w:val="20"/>
                <w:szCs w:val="20"/>
                <w:color w:val="auto"/>
              </w:rPr>
              <w:t>Corporate Social Responsibility</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35</w:t>
            </w:r>
          </w:p>
        </w:tc>
        <w:tc>
          <w:tcPr>
            <w:tcW w:w="0" w:type="dxa"/>
            <w:vAlign w:val="bottom"/>
          </w:tcPr>
          <w:p>
            <w:pPr>
              <w:spacing w:after="0"/>
              <w:rPr>
                <w:sz w:val="1"/>
                <w:szCs w:val="1"/>
                <w:color w:val="auto"/>
              </w:rPr>
            </w:pPr>
          </w:p>
        </w:tc>
      </w:tr>
      <w:tr>
        <w:trPr>
          <w:trHeight w:val="255"/>
        </w:trPr>
        <w:tc>
          <w:tcPr>
            <w:tcW w:w="7880" w:type="dxa"/>
            <w:vAlign w:val="bottom"/>
          </w:tcPr>
          <w:p>
            <w:pPr>
              <w:spacing w:after="0"/>
              <w:rPr>
                <w:sz w:val="20"/>
                <w:szCs w:val="20"/>
                <w:color w:val="auto"/>
              </w:rPr>
            </w:pPr>
            <w:r>
              <w:rPr>
                <w:rFonts w:ascii="Arial" w:cs="Arial" w:eastAsia="Arial" w:hAnsi="Arial"/>
                <w:sz w:val="20"/>
                <w:szCs w:val="20"/>
                <w:color w:val="auto"/>
              </w:rPr>
              <w:t>Executive Officers</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40</w:t>
            </w:r>
          </w:p>
        </w:tc>
        <w:tc>
          <w:tcPr>
            <w:tcW w:w="0" w:type="dxa"/>
            <w:vAlign w:val="bottom"/>
          </w:tcPr>
          <w:p>
            <w:pPr>
              <w:spacing w:after="0"/>
              <w:rPr>
                <w:sz w:val="1"/>
                <w:szCs w:val="1"/>
                <w:color w:val="auto"/>
              </w:rPr>
            </w:pPr>
          </w:p>
        </w:tc>
      </w:tr>
      <w:tr>
        <w:trPr>
          <w:trHeight w:val="255"/>
        </w:trPr>
        <w:tc>
          <w:tcPr>
            <w:tcW w:w="7880" w:type="dxa"/>
            <w:vAlign w:val="bottom"/>
          </w:tcPr>
          <w:p>
            <w:pPr>
              <w:spacing w:after="0"/>
              <w:rPr>
                <w:sz w:val="20"/>
                <w:szCs w:val="20"/>
                <w:color w:val="auto"/>
              </w:rPr>
            </w:pPr>
            <w:r>
              <w:rPr>
                <w:rFonts w:ascii="Arial" w:cs="Arial" w:eastAsia="Arial" w:hAnsi="Arial"/>
                <w:sz w:val="20"/>
                <w:szCs w:val="20"/>
                <w:color w:val="auto"/>
              </w:rPr>
              <w:t>Security Ownership of Certain Beneficial Owners and Management</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42</w:t>
            </w:r>
          </w:p>
        </w:tc>
        <w:tc>
          <w:tcPr>
            <w:tcW w:w="0" w:type="dxa"/>
            <w:vAlign w:val="bottom"/>
          </w:tcPr>
          <w:p>
            <w:pPr>
              <w:spacing w:after="0"/>
              <w:rPr>
                <w:sz w:val="1"/>
                <w:szCs w:val="1"/>
                <w:color w:val="auto"/>
              </w:rPr>
            </w:pPr>
          </w:p>
        </w:tc>
      </w:tr>
      <w:tr>
        <w:trPr>
          <w:trHeight w:val="255"/>
        </w:trPr>
        <w:tc>
          <w:tcPr>
            <w:tcW w:w="7880" w:type="dxa"/>
            <w:vAlign w:val="bottom"/>
          </w:tcPr>
          <w:p>
            <w:pPr>
              <w:spacing w:after="0"/>
              <w:rPr>
                <w:sz w:val="20"/>
                <w:szCs w:val="20"/>
                <w:color w:val="auto"/>
              </w:rPr>
            </w:pPr>
            <w:r>
              <w:rPr>
                <w:rFonts w:ascii="Arial" w:cs="Arial" w:eastAsia="Arial" w:hAnsi="Arial"/>
                <w:sz w:val="20"/>
                <w:szCs w:val="20"/>
                <w:color w:val="auto"/>
              </w:rPr>
              <w:t>Delinquent Section 16(a) Reports</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44</w:t>
            </w:r>
          </w:p>
        </w:tc>
        <w:tc>
          <w:tcPr>
            <w:tcW w:w="0" w:type="dxa"/>
            <w:vAlign w:val="bottom"/>
          </w:tcPr>
          <w:p>
            <w:pPr>
              <w:spacing w:after="0"/>
              <w:rPr>
                <w:sz w:val="1"/>
                <w:szCs w:val="1"/>
                <w:color w:val="auto"/>
              </w:rPr>
            </w:pPr>
          </w:p>
        </w:tc>
      </w:tr>
      <w:tr>
        <w:trPr>
          <w:trHeight w:val="255"/>
        </w:trPr>
        <w:tc>
          <w:tcPr>
            <w:tcW w:w="7880" w:type="dxa"/>
            <w:vAlign w:val="bottom"/>
          </w:tcPr>
          <w:p>
            <w:pPr>
              <w:spacing w:after="0"/>
              <w:rPr>
                <w:sz w:val="20"/>
                <w:szCs w:val="20"/>
                <w:color w:val="auto"/>
              </w:rPr>
            </w:pPr>
            <w:r>
              <w:rPr>
                <w:rFonts w:ascii="Arial" w:cs="Arial" w:eastAsia="Arial" w:hAnsi="Arial"/>
                <w:sz w:val="20"/>
                <w:szCs w:val="20"/>
                <w:color w:val="auto"/>
              </w:rPr>
              <w:t>Executive Compensation</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45</w:t>
            </w:r>
          </w:p>
        </w:tc>
        <w:tc>
          <w:tcPr>
            <w:tcW w:w="0" w:type="dxa"/>
            <w:vAlign w:val="bottom"/>
          </w:tcPr>
          <w:p>
            <w:pPr>
              <w:spacing w:after="0"/>
              <w:rPr>
                <w:sz w:val="1"/>
                <w:szCs w:val="1"/>
                <w:color w:val="auto"/>
              </w:rPr>
            </w:pPr>
          </w:p>
        </w:tc>
      </w:tr>
      <w:tr>
        <w:trPr>
          <w:trHeight w:val="255"/>
        </w:trPr>
        <w:tc>
          <w:tcPr>
            <w:tcW w:w="7880" w:type="dxa"/>
            <w:vAlign w:val="bottom"/>
          </w:tcPr>
          <w:p>
            <w:pPr>
              <w:ind w:left="400"/>
              <w:spacing w:after="0"/>
              <w:rPr>
                <w:sz w:val="20"/>
                <w:szCs w:val="20"/>
                <w:color w:val="auto"/>
              </w:rPr>
            </w:pPr>
            <w:r>
              <w:rPr>
                <w:rFonts w:ascii="Arial" w:cs="Arial" w:eastAsia="Arial" w:hAnsi="Arial"/>
                <w:sz w:val="20"/>
                <w:szCs w:val="20"/>
                <w:color w:val="auto"/>
              </w:rPr>
              <w:t>Executive Summary</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45</w:t>
            </w:r>
          </w:p>
        </w:tc>
        <w:tc>
          <w:tcPr>
            <w:tcW w:w="0" w:type="dxa"/>
            <w:vAlign w:val="bottom"/>
          </w:tcPr>
          <w:p>
            <w:pPr>
              <w:spacing w:after="0"/>
              <w:rPr>
                <w:sz w:val="1"/>
                <w:szCs w:val="1"/>
                <w:color w:val="auto"/>
              </w:rPr>
            </w:pPr>
          </w:p>
        </w:tc>
      </w:tr>
      <w:tr>
        <w:trPr>
          <w:trHeight w:val="255"/>
        </w:trPr>
        <w:tc>
          <w:tcPr>
            <w:tcW w:w="7880" w:type="dxa"/>
            <w:vAlign w:val="bottom"/>
          </w:tcPr>
          <w:p>
            <w:pPr>
              <w:ind w:left="400"/>
              <w:spacing w:after="0"/>
              <w:rPr>
                <w:sz w:val="20"/>
                <w:szCs w:val="20"/>
                <w:color w:val="auto"/>
              </w:rPr>
            </w:pPr>
            <w:r>
              <w:rPr>
                <w:rFonts w:ascii="Arial" w:cs="Arial" w:eastAsia="Arial" w:hAnsi="Arial"/>
                <w:sz w:val="20"/>
                <w:szCs w:val="20"/>
                <w:color w:val="auto"/>
              </w:rPr>
              <w:t>Executive Compensation Philosophy and Objectives</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48</w:t>
            </w:r>
          </w:p>
        </w:tc>
        <w:tc>
          <w:tcPr>
            <w:tcW w:w="0" w:type="dxa"/>
            <w:vAlign w:val="bottom"/>
          </w:tcPr>
          <w:p>
            <w:pPr>
              <w:spacing w:after="0"/>
              <w:rPr>
                <w:sz w:val="1"/>
                <w:szCs w:val="1"/>
                <w:color w:val="auto"/>
              </w:rPr>
            </w:pPr>
          </w:p>
        </w:tc>
      </w:tr>
      <w:tr>
        <w:trPr>
          <w:trHeight w:val="255"/>
        </w:trPr>
        <w:tc>
          <w:tcPr>
            <w:tcW w:w="7880" w:type="dxa"/>
            <w:vAlign w:val="bottom"/>
          </w:tcPr>
          <w:p>
            <w:pPr>
              <w:ind w:left="380"/>
              <w:spacing w:after="0"/>
              <w:rPr>
                <w:sz w:val="20"/>
                <w:szCs w:val="20"/>
                <w:color w:val="auto"/>
              </w:rPr>
            </w:pPr>
            <w:r>
              <w:rPr>
                <w:rFonts w:ascii="Arial" w:cs="Arial" w:eastAsia="Arial" w:hAnsi="Arial"/>
                <w:sz w:val="20"/>
                <w:szCs w:val="20"/>
                <w:color w:val="auto"/>
              </w:rPr>
              <w:t>Compensation Elements</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50</w:t>
            </w:r>
          </w:p>
        </w:tc>
        <w:tc>
          <w:tcPr>
            <w:tcW w:w="0" w:type="dxa"/>
            <w:vAlign w:val="bottom"/>
          </w:tcPr>
          <w:p>
            <w:pPr>
              <w:spacing w:after="0"/>
              <w:rPr>
                <w:sz w:val="1"/>
                <w:szCs w:val="1"/>
                <w:color w:val="auto"/>
              </w:rPr>
            </w:pPr>
          </w:p>
        </w:tc>
      </w:tr>
      <w:tr>
        <w:trPr>
          <w:trHeight w:val="255"/>
        </w:trPr>
        <w:tc>
          <w:tcPr>
            <w:tcW w:w="7880" w:type="dxa"/>
            <w:vAlign w:val="bottom"/>
          </w:tcPr>
          <w:p>
            <w:pPr>
              <w:ind w:left="400"/>
              <w:spacing w:after="0"/>
              <w:rPr>
                <w:sz w:val="20"/>
                <w:szCs w:val="20"/>
                <w:color w:val="auto"/>
              </w:rPr>
            </w:pPr>
            <w:r>
              <w:rPr>
                <w:rFonts w:ascii="Arial" w:cs="Arial" w:eastAsia="Arial" w:hAnsi="Arial"/>
                <w:sz w:val="20"/>
                <w:szCs w:val="20"/>
                <w:color w:val="auto"/>
              </w:rPr>
              <w:t>Compensation-Setting Process</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59</w:t>
            </w:r>
          </w:p>
        </w:tc>
        <w:tc>
          <w:tcPr>
            <w:tcW w:w="0" w:type="dxa"/>
            <w:vAlign w:val="bottom"/>
          </w:tcPr>
          <w:p>
            <w:pPr>
              <w:spacing w:after="0"/>
              <w:rPr>
                <w:sz w:val="1"/>
                <w:szCs w:val="1"/>
                <w:color w:val="auto"/>
              </w:rPr>
            </w:pPr>
          </w:p>
        </w:tc>
      </w:tr>
      <w:tr>
        <w:trPr>
          <w:trHeight w:val="255"/>
        </w:trPr>
        <w:tc>
          <w:tcPr>
            <w:tcW w:w="7880" w:type="dxa"/>
            <w:vAlign w:val="bottom"/>
          </w:tcPr>
          <w:p>
            <w:pPr>
              <w:ind w:left="400"/>
              <w:spacing w:after="0"/>
              <w:rPr>
                <w:sz w:val="20"/>
                <w:szCs w:val="20"/>
                <w:color w:val="auto"/>
              </w:rPr>
            </w:pPr>
            <w:r>
              <w:rPr>
                <w:rFonts w:ascii="Arial" w:cs="Arial" w:eastAsia="Arial" w:hAnsi="Arial"/>
                <w:sz w:val="20"/>
                <w:szCs w:val="20"/>
                <w:color w:val="auto"/>
              </w:rPr>
              <w:t>Employment Arrangements</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61</w:t>
            </w:r>
          </w:p>
        </w:tc>
        <w:tc>
          <w:tcPr>
            <w:tcW w:w="0" w:type="dxa"/>
            <w:vAlign w:val="bottom"/>
          </w:tcPr>
          <w:p>
            <w:pPr>
              <w:spacing w:after="0"/>
              <w:rPr>
                <w:sz w:val="1"/>
                <w:szCs w:val="1"/>
                <w:color w:val="auto"/>
              </w:rPr>
            </w:pPr>
          </w:p>
        </w:tc>
      </w:tr>
      <w:tr>
        <w:trPr>
          <w:trHeight w:val="255"/>
        </w:trPr>
        <w:tc>
          <w:tcPr>
            <w:tcW w:w="7880" w:type="dxa"/>
            <w:vAlign w:val="bottom"/>
          </w:tcPr>
          <w:p>
            <w:pPr>
              <w:ind w:left="400"/>
              <w:spacing w:after="0"/>
              <w:rPr>
                <w:sz w:val="20"/>
                <w:szCs w:val="20"/>
                <w:color w:val="auto"/>
              </w:rPr>
            </w:pPr>
            <w:r>
              <w:rPr>
                <w:rFonts w:ascii="Arial" w:cs="Arial" w:eastAsia="Arial" w:hAnsi="Arial"/>
                <w:sz w:val="20"/>
                <w:szCs w:val="20"/>
                <w:color w:val="auto"/>
              </w:rPr>
              <w:t>Post-Employment Compensation</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62</w:t>
            </w:r>
          </w:p>
        </w:tc>
        <w:tc>
          <w:tcPr>
            <w:tcW w:w="0" w:type="dxa"/>
            <w:vAlign w:val="bottom"/>
          </w:tcPr>
          <w:p>
            <w:pPr>
              <w:spacing w:after="0"/>
              <w:rPr>
                <w:sz w:val="1"/>
                <w:szCs w:val="1"/>
                <w:color w:val="auto"/>
              </w:rPr>
            </w:pPr>
          </w:p>
        </w:tc>
      </w:tr>
      <w:tr>
        <w:trPr>
          <w:trHeight w:val="255"/>
        </w:trPr>
        <w:tc>
          <w:tcPr>
            <w:tcW w:w="7880" w:type="dxa"/>
            <w:vAlign w:val="bottom"/>
          </w:tcPr>
          <w:p>
            <w:pPr>
              <w:ind w:left="400"/>
              <w:spacing w:after="0"/>
              <w:rPr>
                <w:sz w:val="20"/>
                <w:szCs w:val="20"/>
                <w:color w:val="auto"/>
              </w:rPr>
            </w:pPr>
            <w:r>
              <w:rPr>
                <w:rFonts w:ascii="Arial" w:cs="Arial" w:eastAsia="Arial" w:hAnsi="Arial"/>
                <w:sz w:val="20"/>
                <w:szCs w:val="20"/>
                <w:color w:val="auto"/>
              </w:rPr>
              <w:t>Other Compensation Policies</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63</w:t>
            </w:r>
          </w:p>
        </w:tc>
        <w:tc>
          <w:tcPr>
            <w:tcW w:w="0" w:type="dxa"/>
            <w:vAlign w:val="bottom"/>
          </w:tcPr>
          <w:p>
            <w:pPr>
              <w:spacing w:after="0"/>
              <w:rPr>
                <w:sz w:val="1"/>
                <w:szCs w:val="1"/>
                <w:color w:val="auto"/>
              </w:rPr>
            </w:pPr>
          </w:p>
        </w:tc>
      </w:tr>
      <w:tr>
        <w:trPr>
          <w:trHeight w:val="255"/>
        </w:trPr>
        <w:tc>
          <w:tcPr>
            <w:tcW w:w="7880" w:type="dxa"/>
            <w:vAlign w:val="bottom"/>
          </w:tcPr>
          <w:p>
            <w:pPr>
              <w:ind w:left="400"/>
              <w:spacing w:after="0"/>
              <w:rPr>
                <w:sz w:val="20"/>
                <w:szCs w:val="20"/>
                <w:color w:val="auto"/>
              </w:rPr>
            </w:pPr>
            <w:r>
              <w:rPr>
                <w:rFonts w:ascii="Arial" w:cs="Arial" w:eastAsia="Arial" w:hAnsi="Arial"/>
                <w:sz w:val="20"/>
                <w:szCs w:val="20"/>
                <w:color w:val="auto"/>
              </w:rPr>
              <w:t>Tax and Accounting Considerations</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63</w:t>
            </w:r>
          </w:p>
        </w:tc>
        <w:tc>
          <w:tcPr>
            <w:tcW w:w="0" w:type="dxa"/>
            <w:vAlign w:val="bottom"/>
          </w:tcPr>
          <w:p>
            <w:pPr>
              <w:spacing w:after="0"/>
              <w:rPr>
                <w:sz w:val="1"/>
                <w:szCs w:val="1"/>
                <w:color w:val="auto"/>
              </w:rPr>
            </w:pPr>
          </w:p>
        </w:tc>
      </w:tr>
      <w:tr>
        <w:trPr>
          <w:trHeight w:val="255"/>
        </w:trPr>
        <w:tc>
          <w:tcPr>
            <w:tcW w:w="7880" w:type="dxa"/>
            <w:vAlign w:val="bottom"/>
          </w:tcPr>
          <w:p>
            <w:pPr>
              <w:ind w:left="400"/>
              <w:spacing w:after="0"/>
              <w:rPr>
                <w:sz w:val="20"/>
                <w:szCs w:val="20"/>
                <w:color w:val="auto"/>
              </w:rPr>
            </w:pPr>
            <w:r>
              <w:rPr>
                <w:rFonts w:ascii="Arial" w:cs="Arial" w:eastAsia="Arial" w:hAnsi="Arial"/>
                <w:sz w:val="20"/>
                <w:szCs w:val="20"/>
                <w:color w:val="auto"/>
              </w:rPr>
              <w:t>Summary Compensation Table</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65</w:t>
            </w:r>
          </w:p>
        </w:tc>
        <w:tc>
          <w:tcPr>
            <w:tcW w:w="0" w:type="dxa"/>
            <w:vAlign w:val="bottom"/>
          </w:tcPr>
          <w:p>
            <w:pPr>
              <w:spacing w:after="0"/>
              <w:rPr>
                <w:sz w:val="1"/>
                <w:szCs w:val="1"/>
                <w:color w:val="auto"/>
              </w:rPr>
            </w:pPr>
          </w:p>
        </w:tc>
      </w:tr>
      <w:tr>
        <w:trPr>
          <w:trHeight w:val="255"/>
        </w:trPr>
        <w:tc>
          <w:tcPr>
            <w:tcW w:w="7880" w:type="dxa"/>
            <w:vAlign w:val="bottom"/>
          </w:tcPr>
          <w:p>
            <w:pPr>
              <w:ind w:left="400"/>
              <w:spacing w:after="0"/>
              <w:rPr>
                <w:sz w:val="20"/>
                <w:szCs w:val="20"/>
                <w:color w:val="auto"/>
              </w:rPr>
            </w:pPr>
            <w:r>
              <w:rPr>
                <w:rFonts w:ascii="Arial" w:cs="Arial" w:eastAsia="Arial" w:hAnsi="Arial"/>
                <w:sz w:val="20"/>
                <w:szCs w:val="20"/>
                <w:color w:val="auto"/>
              </w:rPr>
              <w:t>Grants of Plan-Based Awards</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66</w:t>
            </w:r>
          </w:p>
        </w:tc>
        <w:tc>
          <w:tcPr>
            <w:tcW w:w="0" w:type="dxa"/>
            <w:vAlign w:val="bottom"/>
          </w:tcPr>
          <w:p>
            <w:pPr>
              <w:spacing w:after="0"/>
              <w:rPr>
                <w:sz w:val="1"/>
                <w:szCs w:val="1"/>
                <w:color w:val="auto"/>
              </w:rPr>
            </w:pPr>
          </w:p>
        </w:tc>
      </w:tr>
      <w:tr>
        <w:trPr>
          <w:trHeight w:val="255"/>
        </w:trPr>
        <w:tc>
          <w:tcPr>
            <w:tcW w:w="7880" w:type="dxa"/>
            <w:vAlign w:val="bottom"/>
          </w:tcPr>
          <w:p>
            <w:pPr>
              <w:ind w:left="400"/>
              <w:spacing w:after="0"/>
              <w:rPr>
                <w:sz w:val="20"/>
                <w:szCs w:val="20"/>
                <w:color w:val="auto"/>
              </w:rPr>
            </w:pPr>
            <w:r>
              <w:rPr>
                <w:rFonts w:ascii="Arial" w:cs="Arial" w:eastAsia="Arial" w:hAnsi="Arial"/>
                <w:sz w:val="20"/>
                <w:szCs w:val="20"/>
                <w:color w:val="auto"/>
              </w:rPr>
              <w:t>Outstanding Equity Awards</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67</w:t>
            </w:r>
          </w:p>
        </w:tc>
        <w:tc>
          <w:tcPr>
            <w:tcW w:w="0" w:type="dxa"/>
            <w:vAlign w:val="bottom"/>
          </w:tcPr>
          <w:p>
            <w:pPr>
              <w:spacing w:after="0"/>
              <w:rPr>
                <w:sz w:val="1"/>
                <w:szCs w:val="1"/>
                <w:color w:val="auto"/>
              </w:rPr>
            </w:pPr>
          </w:p>
        </w:tc>
      </w:tr>
      <w:tr>
        <w:trPr>
          <w:trHeight w:val="255"/>
        </w:trPr>
        <w:tc>
          <w:tcPr>
            <w:tcW w:w="7880" w:type="dxa"/>
            <w:vAlign w:val="bottom"/>
          </w:tcPr>
          <w:p>
            <w:pPr>
              <w:ind w:left="400"/>
              <w:spacing w:after="0"/>
              <w:rPr>
                <w:sz w:val="20"/>
                <w:szCs w:val="20"/>
                <w:color w:val="auto"/>
              </w:rPr>
            </w:pPr>
            <w:r>
              <w:rPr>
                <w:rFonts w:ascii="Arial" w:cs="Arial" w:eastAsia="Arial" w:hAnsi="Arial"/>
                <w:sz w:val="20"/>
                <w:szCs w:val="20"/>
                <w:color w:val="auto"/>
              </w:rPr>
              <w:t>Options Exercised and Stock Vested</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68</w:t>
            </w:r>
          </w:p>
        </w:tc>
        <w:tc>
          <w:tcPr>
            <w:tcW w:w="0" w:type="dxa"/>
            <w:vAlign w:val="bottom"/>
          </w:tcPr>
          <w:p>
            <w:pPr>
              <w:spacing w:after="0"/>
              <w:rPr>
                <w:sz w:val="1"/>
                <w:szCs w:val="1"/>
                <w:color w:val="auto"/>
              </w:rPr>
            </w:pPr>
          </w:p>
        </w:tc>
      </w:tr>
      <w:tr>
        <w:trPr>
          <w:trHeight w:val="255"/>
        </w:trPr>
        <w:tc>
          <w:tcPr>
            <w:tcW w:w="7880" w:type="dxa"/>
            <w:vAlign w:val="bottom"/>
          </w:tcPr>
          <w:p>
            <w:pPr>
              <w:ind w:left="400"/>
              <w:spacing w:after="0"/>
              <w:rPr>
                <w:sz w:val="20"/>
                <w:szCs w:val="20"/>
                <w:color w:val="auto"/>
              </w:rPr>
            </w:pPr>
            <w:r>
              <w:rPr>
                <w:rFonts w:ascii="Arial" w:cs="Arial" w:eastAsia="Arial" w:hAnsi="Arial"/>
                <w:sz w:val="20"/>
                <w:szCs w:val="20"/>
                <w:color w:val="auto"/>
              </w:rPr>
              <w:t>Employment Agreements with Our Named Executive Officers</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69</w:t>
            </w:r>
          </w:p>
        </w:tc>
        <w:tc>
          <w:tcPr>
            <w:tcW w:w="0" w:type="dxa"/>
            <w:vAlign w:val="bottom"/>
          </w:tcPr>
          <w:p>
            <w:pPr>
              <w:spacing w:after="0"/>
              <w:rPr>
                <w:sz w:val="1"/>
                <w:szCs w:val="1"/>
                <w:color w:val="auto"/>
              </w:rPr>
            </w:pPr>
          </w:p>
        </w:tc>
      </w:tr>
      <w:tr>
        <w:trPr>
          <w:trHeight w:val="255"/>
        </w:trPr>
        <w:tc>
          <w:tcPr>
            <w:tcW w:w="7880" w:type="dxa"/>
            <w:vAlign w:val="bottom"/>
          </w:tcPr>
          <w:p>
            <w:pPr>
              <w:ind w:left="400"/>
              <w:spacing w:after="0"/>
              <w:rPr>
                <w:sz w:val="20"/>
                <w:szCs w:val="20"/>
                <w:color w:val="auto"/>
              </w:rPr>
            </w:pPr>
            <w:r>
              <w:rPr>
                <w:rFonts w:ascii="Arial" w:cs="Arial" w:eastAsia="Arial" w:hAnsi="Arial"/>
                <w:sz w:val="20"/>
                <w:szCs w:val="20"/>
                <w:color w:val="auto"/>
              </w:rPr>
              <w:t>Potential Payments Upon Termination or Change in Control</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71</w:t>
            </w:r>
          </w:p>
        </w:tc>
        <w:tc>
          <w:tcPr>
            <w:tcW w:w="0" w:type="dxa"/>
            <w:vAlign w:val="bottom"/>
          </w:tcPr>
          <w:p>
            <w:pPr>
              <w:spacing w:after="0"/>
              <w:rPr>
                <w:sz w:val="1"/>
                <w:szCs w:val="1"/>
                <w:color w:val="auto"/>
              </w:rPr>
            </w:pPr>
          </w:p>
        </w:tc>
      </w:tr>
      <w:tr>
        <w:trPr>
          <w:trHeight w:val="255"/>
        </w:trPr>
        <w:tc>
          <w:tcPr>
            <w:tcW w:w="7880" w:type="dxa"/>
            <w:vAlign w:val="bottom"/>
          </w:tcPr>
          <w:p>
            <w:pPr>
              <w:ind w:left="380"/>
              <w:spacing w:after="0"/>
              <w:rPr>
                <w:sz w:val="20"/>
                <w:szCs w:val="20"/>
                <w:color w:val="auto"/>
              </w:rPr>
            </w:pPr>
            <w:r>
              <w:rPr>
                <w:rFonts w:ascii="Arial" w:cs="Arial" w:eastAsia="Arial" w:hAnsi="Arial"/>
                <w:sz w:val="20"/>
                <w:szCs w:val="20"/>
                <w:color w:val="auto"/>
              </w:rPr>
              <w:t>CEO Pay Ratio</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72</w:t>
            </w:r>
          </w:p>
        </w:tc>
        <w:tc>
          <w:tcPr>
            <w:tcW w:w="0" w:type="dxa"/>
            <w:vAlign w:val="bottom"/>
          </w:tcPr>
          <w:p>
            <w:pPr>
              <w:spacing w:after="0"/>
              <w:rPr>
                <w:sz w:val="1"/>
                <w:szCs w:val="1"/>
                <w:color w:val="auto"/>
              </w:rPr>
            </w:pPr>
          </w:p>
        </w:tc>
      </w:tr>
      <w:tr>
        <w:trPr>
          <w:trHeight w:val="255"/>
        </w:trPr>
        <w:tc>
          <w:tcPr>
            <w:tcW w:w="7880" w:type="dxa"/>
            <w:vAlign w:val="bottom"/>
          </w:tcPr>
          <w:p>
            <w:pPr>
              <w:spacing w:after="0"/>
              <w:rPr>
                <w:sz w:val="20"/>
                <w:szCs w:val="20"/>
                <w:color w:val="auto"/>
              </w:rPr>
            </w:pPr>
            <w:r>
              <w:rPr>
                <w:rFonts w:ascii="Arial" w:cs="Arial" w:eastAsia="Arial" w:hAnsi="Arial"/>
                <w:sz w:val="20"/>
                <w:szCs w:val="20"/>
                <w:color w:val="auto"/>
              </w:rPr>
              <w:t>Pay versus Performance</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73</w:t>
            </w:r>
          </w:p>
        </w:tc>
        <w:tc>
          <w:tcPr>
            <w:tcW w:w="0" w:type="dxa"/>
            <w:vAlign w:val="bottom"/>
          </w:tcPr>
          <w:p>
            <w:pPr>
              <w:spacing w:after="0"/>
              <w:rPr>
                <w:sz w:val="1"/>
                <w:szCs w:val="1"/>
                <w:color w:val="auto"/>
              </w:rPr>
            </w:pPr>
          </w:p>
        </w:tc>
      </w:tr>
      <w:tr>
        <w:trPr>
          <w:trHeight w:val="255"/>
        </w:trPr>
        <w:tc>
          <w:tcPr>
            <w:tcW w:w="7880" w:type="dxa"/>
            <w:vAlign w:val="bottom"/>
          </w:tcPr>
          <w:p>
            <w:pPr>
              <w:spacing w:after="0"/>
              <w:rPr>
                <w:sz w:val="20"/>
                <w:szCs w:val="20"/>
                <w:color w:val="auto"/>
              </w:rPr>
            </w:pPr>
            <w:r>
              <w:rPr>
                <w:rFonts w:ascii="Arial" w:cs="Arial" w:eastAsia="Arial" w:hAnsi="Arial"/>
                <w:sz w:val="20"/>
                <w:szCs w:val="20"/>
                <w:color w:val="auto"/>
              </w:rPr>
              <w:t>Director Compensation</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77</w:t>
            </w:r>
          </w:p>
        </w:tc>
        <w:tc>
          <w:tcPr>
            <w:tcW w:w="0" w:type="dxa"/>
            <w:vAlign w:val="bottom"/>
          </w:tcPr>
          <w:p>
            <w:pPr>
              <w:spacing w:after="0"/>
              <w:rPr>
                <w:sz w:val="1"/>
                <w:szCs w:val="1"/>
                <w:color w:val="auto"/>
              </w:rPr>
            </w:pPr>
          </w:p>
        </w:tc>
      </w:tr>
      <w:tr>
        <w:trPr>
          <w:trHeight w:val="255"/>
        </w:trPr>
        <w:tc>
          <w:tcPr>
            <w:tcW w:w="7880" w:type="dxa"/>
            <w:vAlign w:val="bottom"/>
          </w:tcPr>
          <w:p>
            <w:pPr>
              <w:spacing w:after="0"/>
              <w:rPr>
                <w:sz w:val="20"/>
                <w:szCs w:val="20"/>
                <w:color w:val="auto"/>
              </w:rPr>
            </w:pPr>
            <w:r>
              <w:rPr>
                <w:rFonts w:ascii="Arial" w:cs="Arial" w:eastAsia="Arial" w:hAnsi="Arial"/>
                <w:sz w:val="20"/>
                <w:szCs w:val="20"/>
                <w:color w:val="auto"/>
              </w:rPr>
              <w:t>Securities Authorized for Issuance Under Equity Compensation Plans</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80</w:t>
            </w:r>
          </w:p>
        </w:tc>
        <w:tc>
          <w:tcPr>
            <w:tcW w:w="0" w:type="dxa"/>
            <w:vAlign w:val="bottom"/>
          </w:tcPr>
          <w:p>
            <w:pPr>
              <w:spacing w:after="0"/>
              <w:rPr>
                <w:sz w:val="1"/>
                <w:szCs w:val="1"/>
                <w:color w:val="auto"/>
              </w:rPr>
            </w:pPr>
          </w:p>
        </w:tc>
      </w:tr>
      <w:tr>
        <w:trPr>
          <w:trHeight w:val="255"/>
        </w:trPr>
        <w:tc>
          <w:tcPr>
            <w:tcW w:w="7880" w:type="dxa"/>
            <w:vAlign w:val="bottom"/>
          </w:tcPr>
          <w:p>
            <w:pPr>
              <w:spacing w:after="0"/>
              <w:rPr>
                <w:sz w:val="20"/>
                <w:szCs w:val="20"/>
                <w:color w:val="auto"/>
              </w:rPr>
            </w:pPr>
            <w:r>
              <w:rPr>
                <w:rFonts w:ascii="Arial" w:cs="Arial" w:eastAsia="Arial" w:hAnsi="Arial"/>
                <w:sz w:val="20"/>
                <w:szCs w:val="20"/>
                <w:color w:val="auto"/>
              </w:rPr>
              <w:t>Transactions With Related Persons and Indemnification</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81</w:t>
            </w:r>
          </w:p>
        </w:tc>
        <w:tc>
          <w:tcPr>
            <w:tcW w:w="0" w:type="dxa"/>
            <w:vAlign w:val="bottom"/>
          </w:tcPr>
          <w:p>
            <w:pPr>
              <w:spacing w:after="0"/>
              <w:rPr>
                <w:sz w:val="1"/>
                <w:szCs w:val="1"/>
                <w:color w:val="auto"/>
              </w:rPr>
            </w:pPr>
          </w:p>
        </w:tc>
      </w:tr>
      <w:tr>
        <w:trPr>
          <w:trHeight w:val="255"/>
        </w:trPr>
        <w:tc>
          <w:tcPr>
            <w:tcW w:w="7880" w:type="dxa"/>
            <w:vAlign w:val="bottom"/>
          </w:tcPr>
          <w:p>
            <w:pPr>
              <w:ind w:left="400"/>
              <w:spacing w:after="0"/>
              <w:rPr>
                <w:sz w:val="20"/>
                <w:szCs w:val="20"/>
                <w:color w:val="auto"/>
              </w:rPr>
            </w:pPr>
            <w:r>
              <w:rPr>
                <w:rFonts w:ascii="Arial" w:cs="Arial" w:eastAsia="Arial" w:hAnsi="Arial"/>
                <w:sz w:val="20"/>
                <w:szCs w:val="20"/>
                <w:color w:val="auto"/>
              </w:rPr>
              <w:t>Related-Person Transactions Policy and Procedures</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81</w:t>
            </w:r>
          </w:p>
        </w:tc>
        <w:tc>
          <w:tcPr>
            <w:tcW w:w="0" w:type="dxa"/>
            <w:vAlign w:val="bottom"/>
          </w:tcPr>
          <w:p>
            <w:pPr>
              <w:spacing w:after="0"/>
              <w:rPr>
                <w:sz w:val="1"/>
                <w:szCs w:val="1"/>
                <w:color w:val="auto"/>
              </w:rPr>
            </w:pPr>
          </w:p>
        </w:tc>
      </w:tr>
      <w:tr>
        <w:trPr>
          <w:trHeight w:val="255"/>
        </w:trPr>
        <w:tc>
          <w:tcPr>
            <w:tcW w:w="7880" w:type="dxa"/>
            <w:vAlign w:val="bottom"/>
          </w:tcPr>
          <w:p>
            <w:pPr>
              <w:ind w:left="400"/>
              <w:spacing w:after="0"/>
              <w:rPr>
                <w:sz w:val="20"/>
                <w:szCs w:val="20"/>
                <w:color w:val="auto"/>
              </w:rPr>
            </w:pPr>
            <w:r>
              <w:rPr>
                <w:rFonts w:ascii="Arial" w:cs="Arial" w:eastAsia="Arial" w:hAnsi="Arial"/>
                <w:sz w:val="20"/>
                <w:szCs w:val="20"/>
                <w:color w:val="auto"/>
              </w:rPr>
              <w:t>Certain Related Person Transactions</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81</w:t>
            </w:r>
          </w:p>
        </w:tc>
        <w:tc>
          <w:tcPr>
            <w:tcW w:w="0" w:type="dxa"/>
            <w:vAlign w:val="bottom"/>
          </w:tcPr>
          <w:p>
            <w:pPr>
              <w:spacing w:after="0"/>
              <w:rPr>
                <w:sz w:val="1"/>
                <w:szCs w:val="1"/>
                <w:color w:val="auto"/>
              </w:rPr>
            </w:pPr>
          </w:p>
        </w:tc>
      </w:tr>
      <w:tr>
        <w:trPr>
          <w:trHeight w:val="265"/>
        </w:trPr>
        <w:tc>
          <w:tcPr>
            <w:tcW w:w="7880" w:type="dxa"/>
            <w:vAlign w:val="bottom"/>
          </w:tcPr>
          <w:p>
            <w:pPr>
              <w:ind w:left="400"/>
              <w:spacing w:after="0"/>
              <w:rPr>
                <w:sz w:val="20"/>
                <w:szCs w:val="20"/>
                <w:color w:val="auto"/>
              </w:rPr>
            </w:pPr>
            <w:r>
              <w:rPr>
                <w:rFonts w:ascii="Arial" w:cs="Arial" w:eastAsia="Arial" w:hAnsi="Arial"/>
                <w:sz w:val="20"/>
                <w:szCs w:val="20"/>
                <w:color w:val="auto"/>
              </w:rPr>
              <w:t>Indemnification</w:t>
            </w:r>
          </w:p>
        </w:tc>
        <w:tc>
          <w:tcPr>
            <w:tcW w:w="980" w:type="dxa"/>
            <w:vAlign w:val="bottom"/>
          </w:tcPr>
          <w:p>
            <w:pPr>
              <w:jc w:val="center"/>
              <w:ind w:left="420"/>
              <w:spacing w:after="0"/>
              <w:rPr>
                <w:sz w:val="20"/>
                <w:szCs w:val="20"/>
                <w:color w:val="auto"/>
              </w:rPr>
            </w:pPr>
            <w:r>
              <w:rPr>
                <w:rFonts w:ascii="Arial" w:cs="Arial" w:eastAsia="Arial" w:hAnsi="Arial"/>
                <w:sz w:val="20"/>
                <w:szCs w:val="20"/>
                <w:color w:val="auto"/>
                <w:w w:val="98"/>
              </w:rPr>
              <w:t>82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000"/>
          </w:cols>
          <w:pgMar w:left="1440" w:top="12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880" w:h="15480" w:orient="portrait"/>
          <w:cols w:equalWidth="0" w:num="1">
            <w:col w:w="9000"/>
          </w:cols>
          <w:pgMar w:left="1440" w:top="1241" w:right="1440" w:bottom="0" w:gutter="0" w:footer="0" w:header="0"/>
          <w:type w:val="continuous"/>
        </w:sectPr>
      </w:pPr>
    </w:p>
    <w:bookmarkStart w:id="6" w:name="page7"/>
    <w:bookmarkEnd w:id="6"/>
    <w:tbl>
      <w:tblPr>
        <w:tblLayout w:type="fixed"/>
        <w:tblInd w:w="60" w:type="dxa"/>
        <w:tblCellMar>
          <w:top w:w="0" w:type="dxa"/>
          <w:left w:w="0" w:type="dxa"/>
          <w:bottom w:w="0" w:type="dxa"/>
          <w:right w:w="0" w:type="dxa"/>
        </w:tblCellMar>
      </w:tblPr>
      <w:tr>
        <w:trPr>
          <w:trHeight w:val="255"/>
        </w:trPr>
        <w:tc>
          <w:tcPr>
            <w:tcW w:w="6440" w:type="dxa"/>
            <w:vAlign w:val="bottom"/>
          </w:tcPr>
          <w:p>
            <w:pPr>
              <w:spacing w:after="0"/>
              <w:rPr>
                <w:sz w:val="20"/>
                <w:szCs w:val="20"/>
                <w:color w:val="auto"/>
              </w:rPr>
            </w:pPr>
            <w:r>
              <w:rPr>
                <w:rFonts w:ascii="Arial" w:cs="Arial" w:eastAsia="Arial" w:hAnsi="Arial"/>
                <w:sz w:val="20"/>
                <w:szCs w:val="20"/>
                <w:color w:val="auto"/>
              </w:rPr>
              <w:t>Householding of Proxy Materials</w:t>
            </w:r>
          </w:p>
        </w:tc>
        <w:tc>
          <w:tcPr>
            <w:tcW w:w="230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55"/>
        </w:trPr>
        <w:tc>
          <w:tcPr>
            <w:tcW w:w="6440" w:type="dxa"/>
            <w:vAlign w:val="bottom"/>
          </w:tcPr>
          <w:p>
            <w:pPr>
              <w:spacing w:after="0"/>
              <w:rPr>
                <w:sz w:val="20"/>
                <w:szCs w:val="20"/>
                <w:color w:val="auto"/>
              </w:rPr>
            </w:pPr>
            <w:r>
              <w:rPr>
                <w:rFonts w:ascii="Arial" w:cs="Arial" w:eastAsia="Arial" w:hAnsi="Arial"/>
                <w:sz w:val="20"/>
                <w:szCs w:val="20"/>
                <w:color w:val="auto"/>
              </w:rPr>
              <w:t>Other Matters</w:t>
            </w:r>
          </w:p>
        </w:tc>
        <w:tc>
          <w:tcPr>
            <w:tcW w:w="230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65"/>
        </w:trPr>
        <w:tc>
          <w:tcPr>
            <w:tcW w:w="6440" w:type="dxa"/>
            <w:vAlign w:val="bottom"/>
          </w:tcPr>
          <w:p>
            <w:pPr>
              <w:spacing w:after="0"/>
              <w:rPr>
                <w:sz w:val="20"/>
                <w:szCs w:val="20"/>
                <w:color w:val="auto"/>
              </w:rPr>
            </w:pPr>
            <w:r>
              <w:rPr>
                <w:rFonts w:ascii="Arial" w:cs="Arial" w:eastAsia="Arial" w:hAnsi="Arial"/>
                <w:sz w:val="20"/>
                <w:szCs w:val="20"/>
                <w:color w:val="auto"/>
              </w:rPr>
              <w:t>Appendix: Reconciliation of Non-GAAP Measures</w:t>
            </w:r>
          </w:p>
        </w:tc>
        <w:tc>
          <w:tcPr>
            <w:tcW w:w="2300" w:type="dxa"/>
            <w:vAlign w:val="bottom"/>
          </w:tcPr>
          <w:p>
            <w:pPr>
              <w:jc w:val="right"/>
              <w:spacing w:after="0"/>
              <w:rPr>
                <w:sz w:val="20"/>
                <w:szCs w:val="20"/>
                <w:color w:val="auto"/>
              </w:rPr>
            </w:pPr>
            <w:r>
              <w:rPr>
                <w:rFonts w:ascii="Arial" w:cs="Arial" w:eastAsia="Arial" w:hAnsi="Arial"/>
                <w:sz w:val="20"/>
                <w:szCs w:val="20"/>
                <w:color w:val="auto"/>
              </w:rPr>
              <w:t>85</w:t>
            </w:r>
          </w:p>
        </w:tc>
      </w:tr>
    </w:tbl>
    <w:p>
      <w:pPr>
        <w:spacing w:after="0" w:line="200" w:lineRule="exact"/>
        <w:rPr>
          <w:sz w:val="20"/>
          <w:szCs w:val="20"/>
          <w:color w:val="auto"/>
        </w:rPr>
      </w:pPr>
    </w:p>
    <w:p>
      <w:pPr>
        <w:sectPr>
          <w:pgSz w:w="11880" w:h="15480" w:orient="portrait"/>
          <w:cols w:equalWidth="0" w:num="1">
            <w:col w:w="9000"/>
          </w:cols>
          <w:pgMar w:left="1440" w:top="12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880" w:h="15480" w:orient="portrait"/>
          <w:cols w:equalWidth="0" w:num="1">
            <w:col w:w="9000"/>
          </w:cols>
          <w:pgMar w:left="1440" w:top="1241" w:right="1440" w:bottom="0" w:gutter="0" w:footer="0" w:header="0"/>
          <w:type w:val="continuous"/>
        </w:sectPr>
      </w:pPr>
    </w:p>
    <w:bookmarkStart w:id="7" w:name="page8"/>
    <w:bookmarkEnd w:id="7"/>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Our Stockholders,</w:t>
      </w:r>
    </w:p>
    <w:p>
      <w:pPr>
        <w:spacing w:after="0" w:line="251" w:lineRule="exact"/>
        <w:rPr>
          <w:sz w:val="20"/>
          <w:szCs w:val="20"/>
          <w:color w:val="auto"/>
        </w:rPr>
      </w:pPr>
    </w:p>
    <w:p>
      <w:pPr>
        <w:ind w:firstLine="360"/>
        <w:spacing w:after="0" w:line="259" w:lineRule="auto"/>
        <w:rPr>
          <w:sz w:val="20"/>
          <w:szCs w:val="20"/>
          <w:color w:val="auto"/>
        </w:rPr>
      </w:pPr>
      <w:r>
        <w:rPr>
          <w:rFonts w:ascii="Arial" w:cs="Arial" w:eastAsia="Arial" w:hAnsi="Arial"/>
          <w:sz w:val="20"/>
          <w:szCs w:val="20"/>
          <w:color w:val="auto"/>
        </w:rPr>
        <w:t>The last year — marked by geopolitical tensions, inflation and a volatile stock market -- has underscored a universal truth for the global economy: an unpredictable world is ripe for exploitation by cyber criminals. Put another way, cybersecurity has never proven to be more vital to our collective prosperity than it is today. That’s why Tenable is on a mission to help organizations around the world understand and reduce their cyber risk.</w:t>
      </w:r>
    </w:p>
    <w:p>
      <w:pPr>
        <w:spacing w:after="0" w:line="199" w:lineRule="exact"/>
        <w:rPr>
          <w:sz w:val="20"/>
          <w:szCs w:val="20"/>
          <w:color w:val="auto"/>
        </w:rPr>
      </w:pPr>
    </w:p>
    <w:p>
      <w:pPr>
        <w:ind w:right="20" w:firstLine="360"/>
        <w:spacing w:after="0" w:line="254" w:lineRule="auto"/>
        <w:rPr>
          <w:sz w:val="20"/>
          <w:szCs w:val="20"/>
          <w:color w:val="auto"/>
        </w:rPr>
      </w:pPr>
      <w:r>
        <w:rPr>
          <w:rFonts w:ascii="Arial" w:cs="Arial" w:eastAsia="Arial" w:hAnsi="Arial"/>
          <w:sz w:val="20"/>
          <w:szCs w:val="20"/>
          <w:color w:val="auto"/>
        </w:rPr>
        <w:t>In 2022 we once again delivered on this mandate for all of our key stakeholders: customers, partners, employees and stockholders. We believe that organizations deserve a better and more effective way to stay ahead of cybersecurity risk, rather than fighting it from behind. We launched Tenable One, our Exposure Management Platform, to introduce proactive cyber risk management to the market. This relentless commitment to innovation and our stakeholders-first mindset have allowed us to deliver compelling financial results over the years. And this year was no different. We had one of our best years as a public company and were able to deliver strong growth and profitability despite a challenging macroenvironment. We’re capitalizing on our strong performance by continuously innovating across our product portfolio and, in so doing, we are shaping the cybersecurity market and meeting our commitments to our stakeholders.</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Our commitment to our customers and partners</w:t>
      </w:r>
    </w:p>
    <w:p>
      <w:pPr>
        <w:spacing w:after="0" w:line="249" w:lineRule="exact"/>
        <w:rPr>
          <w:sz w:val="20"/>
          <w:szCs w:val="20"/>
          <w:color w:val="auto"/>
        </w:rPr>
      </w:pPr>
    </w:p>
    <w:p>
      <w:pPr>
        <w:ind w:firstLine="360"/>
        <w:spacing w:after="0" w:line="253" w:lineRule="auto"/>
        <w:rPr>
          <w:sz w:val="20"/>
          <w:szCs w:val="20"/>
          <w:color w:val="auto"/>
        </w:rPr>
      </w:pPr>
      <w:r>
        <w:rPr>
          <w:rFonts w:ascii="Arial" w:cs="Arial" w:eastAsia="Arial" w:hAnsi="Arial"/>
          <w:sz w:val="20"/>
          <w:szCs w:val="20"/>
          <w:color w:val="auto"/>
        </w:rPr>
        <w:t>Approximately 43,000 organizations trust and rely on Tenable to help understand and reduce their cyber risk. We take that responsibility very seriously. Together with our worldwide ecosystem of leading resellers and distributors, we are helping our customers confidently answer one of the most elemental questions in cybersecurity: “How secure are we?” Chief executives, boards of directors, stockholders, customers and even our own employees ask that question whenever a new attack makes the headlines. Security teams have struggled to make sense of reams of data from the disparate solutions they have used to manage interconnected vulnerabilities, web applications, identity systems and cloud assets. Using Excel to pinpoint which exposures represent the greatest risk to the organization is as absurd as it is ineffective. Tenable One is a cloud-based Exposure Management Platform that is helping customers anticipate and address problems before they can cause damage. Tenable One delivers the richness of our product portfolio — from vulnerability management to cloud security, identity exposure to external attack surface management, and more — in context, helping customers make better decisions based on cyber risk.</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Our commitment to our employees</w:t>
      </w:r>
    </w:p>
    <w:p>
      <w:pPr>
        <w:spacing w:after="0" w:line="249" w:lineRule="exact"/>
        <w:rPr>
          <w:sz w:val="20"/>
          <w:szCs w:val="20"/>
          <w:color w:val="auto"/>
        </w:rPr>
      </w:pPr>
    </w:p>
    <w:p>
      <w:pPr>
        <w:ind w:right="40" w:firstLine="360"/>
        <w:spacing w:after="0" w:line="255" w:lineRule="auto"/>
        <w:rPr>
          <w:sz w:val="20"/>
          <w:szCs w:val="20"/>
          <w:color w:val="auto"/>
        </w:rPr>
      </w:pPr>
      <w:r>
        <w:rPr>
          <w:rFonts w:ascii="Arial" w:cs="Arial" w:eastAsia="Arial" w:hAnsi="Arial"/>
          <w:sz w:val="20"/>
          <w:szCs w:val="20"/>
          <w:color w:val="auto"/>
        </w:rPr>
        <w:t>Our people represent our most important resource and we invest in them just as intentionally as we invest in our product initiatives. Customers have told us that our team’s dedication to serving, supporting and championing them sets Tenable apart from other companies in the cybersecurity industry. We can think of no higher accolade. We have worked hard to shape Tenable into a premier employer where professionals can meaningfully contribute to the business while building their careers. Our many career development programs, from tuition reimbursement to professional development funds, mentorship and manager development initiatives, help our employees to grow professionally while also supporting organizational goals. Developing and retaining our people means that we are better positioned to serve our customers and support our communities.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Our commitment to our stockholders</w:t>
      </w:r>
    </w:p>
    <w:p>
      <w:pPr>
        <w:spacing w:after="0" w:line="249" w:lineRule="exact"/>
        <w:rPr>
          <w:sz w:val="20"/>
          <w:szCs w:val="20"/>
          <w:color w:val="auto"/>
        </w:rPr>
      </w:pPr>
    </w:p>
    <w:p>
      <w:pPr>
        <w:ind w:right="60" w:firstLine="360"/>
        <w:spacing w:after="0" w:line="287" w:lineRule="auto"/>
        <w:rPr>
          <w:sz w:val="20"/>
          <w:szCs w:val="20"/>
          <w:color w:val="auto"/>
        </w:rPr>
      </w:pPr>
      <w:r>
        <w:rPr>
          <w:rFonts w:ascii="Arial" w:cs="Arial" w:eastAsia="Arial" w:hAnsi="Arial"/>
          <w:sz w:val="20"/>
          <w:szCs w:val="20"/>
          <w:color w:val="auto"/>
        </w:rPr>
        <w:t>Offering independent insight and an outside-in perspective, stockholders play an important role in our business. Accordingly, we regularly engage with our investor community to discuss emerging</w:t>
      </w:r>
    </w:p>
    <w:p>
      <w:pPr>
        <w:sectPr>
          <w:pgSz w:w="11880" w:h="15480" w:orient="portrait"/>
          <w:cols w:equalWidth="0" w:num="1">
            <w:col w:w="900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880" w:h="15480" w:orient="portrait"/>
          <w:cols w:equalWidth="0" w:num="1">
            <w:col w:w="9000"/>
          </w:cols>
          <w:pgMar w:left="1440" w:top="1440" w:right="1440" w:bottom="0" w:gutter="0" w:footer="0" w:header="0"/>
          <w:type w:val="continuous"/>
        </w:sectPr>
      </w:pPr>
    </w:p>
    <w:bookmarkStart w:id="8" w:name="page9"/>
    <w:bookmarkEnd w:id="8"/>
    <w:p>
      <w:pPr>
        <w:ind w:right="240"/>
        <w:spacing w:after="0" w:line="257" w:lineRule="auto"/>
        <w:rPr>
          <w:sz w:val="20"/>
          <w:szCs w:val="20"/>
          <w:color w:val="auto"/>
        </w:rPr>
      </w:pPr>
      <w:r>
        <w:rPr>
          <w:rFonts w:ascii="Arial" w:cs="Arial" w:eastAsia="Arial" w:hAnsi="Arial"/>
          <w:sz w:val="20"/>
          <w:szCs w:val="20"/>
          <w:color w:val="auto"/>
        </w:rPr>
        <w:t>trends in the market and how our business is evolving as well as solicit valuable feedback on our performance. Over the course of 2022, stockholders have conveyed to us that consistency – in execution, financial performance, product roadmaps and more – is paramount in a difficult macroenvironment. We believe that Tenable is more than up to meeting that challenge. In 2022, we delivered strong financial results, marked by growth and profitability, despite global economic uncertainty:</w:t>
      </w:r>
    </w:p>
    <w:p>
      <w:pPr>
        <w:spacing w:after="0" w:line="202" w:lineRule="exact"/>
        <w:rPr>
          <w:sz w:val="20"/>
          <w:szCs w:val="20"/>
          <w:color w:val="auto"/>
        </w:rPr>
      </w:pPr>
    </w:p>
    <w:p>
      <w:pPr>
        <w:ind w:left="720" w:hanging="360"/>
        <w:spacing w:after="0"/>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Delivered calculated current billings of $776.9 million, a 26% increase year-over-year*</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Delivered unlevered free cash flow of $128.1 million, a 35% increase year-over-year*</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Added a record 2,078 enterprise platform customers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Our commitment to corporate social responsibility</w:t>
      </w:r>
    </w:p>
    <w:p>
      <w:pPr>
        <w:spacing w:after="0" w:line="249" w:lineRule="exact"/>
        <w:rPr>
          <w:sz w:val="20"/>
          <w:szCs w:val="20"/>
          <w:color w:val="auto"/>
        </w:rPr>
      </w:pPr>
    </w:p>
    <w:p>
      <w:pPr>
        <w:ind w:right="160" w:firstLine="360"/>
        <w:spacing w:after="0" w:line="253" w:lineRule="auto"/>
        <w:rPr>
          <w:sz w:val="20"/>
          <w:szCs w:val="20"/>
          <w:color w:val="auto"/>
        </w:rPr>
      </w:pPr>
      <w:r>
        <w:rPr>
          <w:rFonts w:ascii="Arial" w:cs="Arial" w:eastAsia="Arial" w:hAnsi="Arial"/>
          <w:sz w:val="20"/>
          <w:szCs w:val="20"/>
          <w:color w:val="auto"/>
        </w:rPr>
        <w:t>We are not only committed to our work and to our stakeholders, but also to the communities in which we live. Our actions make a difference. We recently published an updated Environmental, Social and Governance (“ESG”) report that includes some of our accomplishments in 2022 and key areas of focus. As part of our commitment to reducing our carbon footprint and to doing our part as good stewards for the planet, we started the process of determining and tracking our scope 1 and 2 greenhouse gas emissions in 2022. We have openly shared our demographic data and even more importantly, we have set diversity achievement goals for the company. We believe that the greater diversity of our employees, partners and customers, breeds a greater diversity of ideas, greater creativity, and better performance. These examples are just a few among the many other initiatives outlined in the report. We continue to regularly survey our employees to better understand from their perspective what we’re doing well and where we can improve. We are excited to be on our ESG journey and look forward to more accomplishments in 2023.</w:t>
      </w:r>
    </w:p>
    <w:p>
      <w:pPr>
        <w:spacing w:after="0" w:line="211" w:lineRule="exact"/>
        <w:rPr>
          <w:sz w:val="20"/>
          <w:szCs w:val="20"/>
          <w:color w:val="auto"/>
        </w:rPr>
      </w:pPr>
    </w:p>
    <w:p>
      <w:pPr>
        <w:ind w:right="100" w:firstLine="360"/>
        <w:spacing w:after="0" w:line="287" w:lineRule="auto"/>
        <w:rPr>
          <w:sz w:val="20"/>
          <w:szCs w:val="20"/>
          <w:color w:val="auto"/>
        </w:rPr>
      </w:pPr>
      <w:r>
        <w:rPr>
          <w:rFonts w:ascii="Arial" w:cs="Arial" w:eastAsia="Arial" w:hAnsi="Arial"/>
          <w:sz w:val="20"/>
          <w:szCs w:val="20"/>
          <w:color w:val="auto"/>
        </w:rPr>
        <w:t>In summary we are really pleased with our resilience and our execution in 2022 and look forward to a successful 2023.</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952500" cy="295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52500" cy="295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Amit Yoran</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Chairman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*Refer to the appendix for reconciliations of these non-GAAP measures to comparable GAAP measures</w:t>
      </w:r>
      <w:r>
        <w:rPr>
          <w:rFonts w:ascii="Arial" w:cs="Arial" w:eastAsia="Arial" w:hAnsi="Arial"/>
          <w:sz w:val="20"/>
          <w:szCs w:val="20"/>
          <w:color w:val="auto"/>
        </w:rPr>
        <w:t>.</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880" w:h="15480" w:orient="portrait"/>
          <w:cols w:equalWidth="0" w:num="1">
            <w:col w:w="9000"/>
          </w:cols>
          <w:pgMar w:left="1440" w:top="1204" w:right="1440" w:bottom="0" w:gutter="0" w:footer="0" w:header="0"/>
          <w:type w:val="continuous"/>
        </w:sectPr>
      </w:pPr>
    </w:p>
    <w:bookmarkStart w:id="9" w:name="page10"/>
    <w:bookmarkEnd w:id="9"/>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 - 2022 Highlights</w:t>
      </w:r>
    </w:p>
    <w:p>
      <w:pPr>
        <w:spacing w:after="0" w:line="251" w:lineRule="exact"/>
        <w:rPr>
          <w:sz w:val="20"/>
          <w:szCs w:val="20"/>
          <w:color w:val="auto"/>
        </w:rPr>
      </w:pPr>
    </w:p>
    <w:p>
      <w:pPr>
        <w:ind w:right="220" w:firstLine="360"/>
        <w:spacing w:after="0" w:line="268" w:lineRule="auto"/>
        <w:rPr>
          <w:sz w:val="20"/>
          <w:szCs w:val="20"/>
          <w:color w:val="auto"/>
        </w:rPr>
      </w:pPr>
      <w:r>
        <w:rPr>
          <w:rFonts w:ascii="Arial" w:cs="Arial" w:eastAsia="Arial" w:hAnsi="Arial"/>
          <w:sz w:val="20"/>
          <w:szCs w:val="20"/>
          <w:color w:val="auto"/>
        </w:rPr>
        <w:t>We are a leading provider of exposure management solutions. Exposure management is an effective discipline for managing, measuring and comparing cybersecurity risk in today's complex IT environments.</w:t>
      </w:r>
    </w:p>
    <w:p>
      <w:pPr>
        <w:spacing w:after="0" w:line="190" w:lineRule="exact"/>
        <w:rPr>
          <w:sz w:val="20"/>
          <w:szCs w:val="20"/>
          <w:color w:val="auto"/>
        </w:rPr>
      </w:pPr>
    </w:p>
    <w:p>
      <w:pPr>
        <w:ind w:right="40" w:firstLine="360"/>
        <w:spacing w:after="0" w:line="273" w:lineRule="auto"/>
        <w:rPr>
          <w:sz w:val="20"/>
          <w:szCs w:val="20"/>
          <w:color w:val="auto"/>
        </w:rPr>
      </w:pPr>
      <w:r>
        <w:rPr>
          <w:rFonts w:ascii="Arial" w:cs="Arial" w:eastAsia="Arial" w:hAnsi="Arial"/>
          <w:sz w:val="19"/>
          <w:szCs w:val="19"/>
          <w:color w:val="auto"/>
        </w:rPr>
        <w:t>In order to be effective, we believe an exposure management platform must extend beyond traditional vulnerability management, which concentrates on the discovery and remediation of publicly disclosed Common Vulnerabilities and Exposures, or CVEs. To be a functional part of an exposure management program, the platform needs to include information about configuration issues, vulnerabilities and attack paths across a spectrum of assets and technologies — including identity solutions, such as Active Directory; cloud configurations and deployments; and web applications.</w:t>
      </w:r>
    </w:p>
    <w:p>
      <w:pPr>
        <w:spacing w:after="0" w:line="189" w:lineRule="exact"/>
        <w:rPr>
          <w:sz w:val="20"/>
          <w:szCs w:val="20"/>
          <w:color w:val="auto"/>
        </w:rPr>
      </w:pPr>
    </w:p>
    <w:p>
      <w:pPr>
        <w:ind w:right="520" w:firstLine="360"/>
        <w:spacing w:after="0" w:line="273" w:lineRule="auto"/>
        <w:rPr>
          <w:sz w:val="20"/>
          <w:szCs w:val="20"/>
          <w:color w:val="auto"/>
        </w:rPr>
      </w:pPr>
      <w:r>
        <w:rPr>
          <w:rFonts w:ascii="Arial" w:cs="Arial" w:eastAsia="Arial" w:hAnsi="Arial"/>
          <w:sz w:val="19"/>
          <w:szCs w:val="19"/>
          <w:color w:val="auto"/>
        </w:rPr>
        <w:t>With these considerations in mind, we launched Tenable One in October 2022. Tenable One unifies a variety of data sources into a single exposure view to help organizations gain visibility, prioritize efforts and communicate cyber risks. Building on our existing products, Tenable One is designed to take advantage of the integrations that already exist with our partners and form the foundation of an exposure management program, alongside the other tools, such as endpoint detection and response, or EDR, and firewalls, and required business processes.</w:t>
      </w:r>
    </w:p>
    <w:p>
      <w:pPr>
        <w:spacing w:after="0" w:line="189" w:lineRule="exact"/>
        <w:rPr>
          <w:sz w:val="20"/>
          <w:szCs w:val="20"/>
          <w:color w:val="auto"/>
        </w:rPr>
      </w:pPr>
    </w:p>
    <w:p>
      <w:pPr>
        <w:ind w:firstLine="360"/>
        <w:spacing w:after="0" w:line="256" w:lineRule="auto"/>
        <w:rPr>
          <w:sz w:val="20"/>
          <w:szCs w:val="20"/>
          <w:color w:val="auto"/>
        </w:rPr>
      </w:pPr>
      <w:r>
        <w:rPr>
          <w:rFonts w:ascii="Arial" w:cs="Arial" w:eastAsia="Arial" w:hAnsi="Arial"/>
          <w:sz w:val="20"/>
          <w:szCs w:val="20"/>
          <w:color w:val="auto"/>
        </w:rPr>
        <w:t>With Tenable One, organizations can translate technical data about assets, vulnerabilities and threats into clear business insights and actionable intelligence for security executives and practitioners. The platform combines broad, industry leading, vulnerability coverage, spanning IT assets, cloud resources, containers, web apps and identity systems. Tenable One builds on the speed and breadth of vulnerability coverage from our research team of cybersecurity and data science experts, or Tenable Research, and adds aggregated exposure view analytics, guidance on mitigating attack pathways and a centralized asset inventory.</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Our 2022 highlights were as follows:</w:t>
      </w:r>
    </w:p>
    <w:p>
      <w:pPr>
        <w:spacing w:after="0" w:line="70" w:lineRule="exact"/>
        <w:rPr>
          <w:sz w:val="20"/>
          <w:szCs w:val="20"/>
          <w:color w:val="auto"/>
        </w:rPr>
      </w:pPr>
    </w:p>
    <w:p>
      <w:pPr>
        <w:ind w:left="720" w:right="20" w:hanging="360"/>
        <w:spacing w:after="0" w:line="281"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Released Tenable One, our Exposure Management Platform that delivers unified visibility into exposures, identifies attack paths and enables more efficient risk management;</w:t>
      </w:r>
    </w:p>
    <w:p>
      <w:pPr>
        <w:spacing w:after="0" w:line="1" w:lineRule="exact"/>
        <w:rPr>
          <w:rFonts w:ascii="Arial" w:cs="Arial" w:eastAsia="Arial" w:hAnsi="Arial"/>
          <w:sz w:val="20"/>
          <w:szCs w:val="20"/>
          <w:color w:val="auto"/>
        </w:rPr>
      </w:pPr>
    </w:p>
    <w:p>
      <w:pPr>
        <w:ind w:left="720" w:right="300" w:hanging="360"/>
        <w:spacing w:after="0" w:line="268"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Ranked number one in Worldwide 2021 market share for device VM by IDC for the fourth consecutive year in their Worldwide Device Vulnerability Market Shares, 2021: The Stakes are High, doc #US48506622 December 2022 report;</w:t>
      </w:r>
    </w:p>
    <w:p>
      <w:pPr>
        <w:spacing w:after="0" w:line="9" w:lineRule="exact"/>
        <w:rPr>
          <w:rFonts w:ascii="Arial" w:cs="Arial" w:eastAsia="Arial" w:hAnsi="Arial"/>
          <w:sz w:val="20"/>
          <w:szCs w:val="20"/>
          <w:color w:val="auto"/>
        </w:rPr>
      </w:pPr>
    </w:p>
    <w:p>
      <w:pPr>
        <w:ind w:left="720" w:right="360" w:hanging="360"/>
        <w:spacing w:after="0" w:line="281"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Achieved the Application Security distinction in the Amazon Web Services (AWS) Security Competency for our cloud-native vulnerability management solution;</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Acquired Cymptom and Bit Discovery for $43.8 million and $23.0 million, respectively;</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Revenue was $683.2 million, a 26% increase year-over-year;</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Calculated current billings was $776.9 million, a 26% increase year-over-year;</w:t>
      </w:r>
    </w:p>
    <w:p>
      <w:pPr>
        <w:spacing w:after="0" w:line="70" w:lineRule="exact"/>
        <w:rPr>
          <w:rFonts w:ascii="Arial" w:cs="Arial" w:eastAsia="Arial" w:hAnsi="Arial"/>
          <w:sz w:val="20"/>
          <w:szCs w:val="20"/>
          <w:color w:val="auto"/>
        </w:rPr>
      </w:pPr>
    </w:p>
    <w:p>
      <w:pPr>
        <w:ind w:left="720" w:right="320" w:hanging="360"/>
        <w:spacing w:after="0" w:line="296" w:lineRule="auto"/>
        <w:tabs>
          <w:tab w:leader="none" w:pos="720" w:val="left"/>
        </w:tabs>
        <w:numPr>
          <w:ilvl w:val="0"/>
          <w:numId w:val="7"/>
        </w:numPr>
        <w:rPr>
          <w:rFonts w:ascii="Arial" w:cs="Arial" w:eastAsia="Arial" w:hAnsi="Arial"/>
          <w:sz w:val="19"/>
          <w:szCs w:val="19"/>
          <w:color w:val="auto"/>
        </w:rPr>
      </w:pPr>
      <w:r>
        <w:rPr>
          <w:rFonts w:ascii="Arial" w:cs="Arial" w:eastAsia="Arial" w:hAnsi="Arial"/>
          <w:sz w:val="19"/>
          <w:szCs w:val="19"/>
          <w:color w:val="auto"/>
        </w:rPr>
        <w:t>GAAP loss from operations was $67.8 million, compared to a loss of $41.8 million in 2021. Non-GAAP income from operations was $67.7 million, compared to $51.0 million in 2021;</w:t>
      </w:r>
    </w:p>
    <w:p>
      <w:pPr>
        <w:spacing w:after="0" w:line="1" w:lineRule="exact"/>
        <w:rPr>
          <w:rFonts w:ascii="Arial" w:cs="Arial" w:eastAsia="Arial" w:hAnsi="Arial"/>
          <w:sz w:val="19"/>
          <w:szCs w:val="19"/>
          <w:color w:val="auto"/>
        </w:rPr>
      </w:pPr>
    </w:p>
    <w:p>
      <w:pPr>
        <w:ind w:left="720" w:right="60" w:hanging="360"/>
        <w:spacing w:after="0" w:line="281"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GAAP net loss was $92.2 million, compared to a loss of $46.7 million in 2021. Non-GAAP net income was $44.3 million, compared to $38.9 million in 2021;</w:t>
      </w:r>
    </w:p>
    <w:p>
      <w:pPr>
        <w:spacing w:after="0" w:line="1" w:lineRule="exact"/>
        <w:rPr>
          <w:rFonts w:ascii="Arial" w:cs="Arial" w:eastAsia="Arial" w:hAnsi="Arial"/>
          <w:sz w:val="20"/>
          <w:szCs w:val="20"/>
          <w:color w:val="auto"/>
        </w:rPr>
      </w:pPr>
    </w:p>
    <w:p>
      <w:pPr>
        <w:ind w:left="720" w:right="380" w:hanging="360"/>
        <w:spacing w:after="0" w:line="281"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GAAP net loss per share was $0.83, compared to a loss per share of $0.44 in 2021. Non-GAAP diluted earnings per share was $0.38, compared to $0.34 in 2021; and</w:t>
      </w:r>
    </w:p>
    <w:p>
      <w:pPr>
        <w:spacing w:after="0" w:line="1" w:lineRule="exact"/>
        <w:rPr>
          <w:rFonts w:ascii="Arial" w:cs="Arial" w:eastAsia="Arial" w:hAnsi="Arial"/>
          <w:sz w:val="20"/>
          <w:szCs w:val="20"/>
          <w:color w:val="auto"/>
        </w:rPr>
      </w:pPr>
    </w:p>
    <w:p>
      <w:pPr>
        <w:ind w:left="720" w:right="380" w:hanging="360"/>
        <w:spacing w:after="0" w:line="281" w:lineRule="auto"/>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Net cash provided by operating activities was $131.2 million, compared to $96.8 million in 2021.</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Unlevered free cash flow was $128.1 million, an increase of 35% from $95.2 million in 2021.</w:t>
      </w:r>
    </w:p>
    <w:p>
      <w:pPr>
        <w:sectPr>
          <w:pgSz w:w="11880" w:h="15480" w:orient="portrait"/>
          <w:cols w:equalWidth="0" w:num="1">
            <w:col w:w="900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880" w:h="15480" w:orient="portrait"/>
          <w:cols w:equalWidth="0" w:num="1">
            <w:col w:w="9000"/>
          </w:cols>
          <w:pgMar w:left="1440" w:top="1440" w:right="1440" w:bottom="0" w:gutter="0" w:footer="0" w:header="0"/>
          <w:type w:val="continuous"/>
        </w:sectPr>
      </w:pPr>
    </w:p>
    <w:bookmarkStart w:id="10" w:name="page11"/>
    <w:bookmarkEnd w:id="10"/>
    <w:p>
      <w:pPr>
        <w:ind w:left="360"/>
        <w:spacing w:after="0"/>
        <w:rPr>
          <w:sz w:val="20"/>
          <w:szCs w:val="20"/>
          <w:color w:val="auto"/>
        </w:rPr>
      </w:pPr>
      <w:r>
        <w:rPr>
          <w:rFonts w:ascii="Arial" w:cs="Arial" w:eastAsia="Arial" w:hAnsi="Arial"/>
          <w:sz w:val="19"/>
          <w:szCs w:val="19"/>
          <w:color w:val="auto"/>
        </w:rPr>
        <w:t>Refer to the appendix for reconciliations of non-GAAP measures to comparable GAAP measures.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880" w:h="15480" w:orient="portrait"/>
          <w:cols w:equalWidth="0" w:num="1">
            <w:col w:w="9000"/>
          </w:cols>
          <w:pgMar w:left="1440" w:top="1204" w:right="1440" w:bottom="0" w:gutter="0" w:footer="0" w:header="0"/>
          <w:type w:val="continuous"/>
        </w:sectPr>
      </w:pPr>
    </w:p>
    <w:bookmarkStart w:id="11" w:name="page12"/>
    <w:bookmarkEnd w:id="11"/>
    <w:p>
      <w:pPr>
        <w:ind w:left="3220"/>
        <w:spacing w:after="0"/>
        <w:rPr>
          <w:sz w:val="20"/>
          <w:szCs w:val="20"/>
          <w:color w:val="auto"/>
        </w:rPr>
      </w:pPr>
      <w:r>
        <w:rPr>
          <w:rFonts w:ascii="Arial" w:cs="Arial" w:eastAsia="Arial" w:hAnsi="Arial"/>
          <w:sz w:val="20"/>
          <w:szCs w:val="20"/>
          <w:b w:val="1"/>
          <w:bCs w:val="1"/>
          <w:color w:val="auto"/>
        </w:rPr>
        <w:t>TENABLE HOLDINGS, INC</w:t>
      </w:r>
      <w:r>
        <w:rPr>
          <w:rFonts w:ascii="Arial" w:cs="Arial" w:eastAsia="Arial" w:hAnsi="Arial"/>
          <w:sz w:val="20"/>
          <w:szCs w:val="20"/>
          <w:b w:val="1"/>
          <w:bCs w:val="1"/>
          <w:color w:val="3E006F"/>
        </w:rPr>
        <w:t>.</w:t>
      </w:r>
    </w:p>
    <w:p>
      <w:pPr>
        <w:spacing w:after="0" w:line="250" w:lineRule="exact"/>
        <w:rPr>
          <w:sz w:val="20"/>
          <w:szCs w:val="20"/>
          <w:color w:val="auto"/>
        </w:rPr>
      </w:pPr>
    </w:p>
    <w:p>
      <w:pPr>
        <w:ind w:left="2820"/>
        <w:spacing w:after="0"/>
        <w:rPr>
          <w:sz w:val="20"/>
          <w:szCs w:val="20"/>
          <w:color w:val="auto"/>
        </w:rPr>
      </w:pPr>
      <w:r>
        <w:rPr>
          <w:rFonts w:ascii="Arial" w:cs="Arial" w:eastAsia="Arial" w:hAnsi="Arial"/>
          <w:sz w:val="20"/>
          <w:szCs w:val="20"/>
          <w:b w:val="1"/>
          <w:bCs w:val="1"/>
          <w:color w:val="auto"/>
        </w:rPr>
        <w:t>6100 Merriweather Drive, 12th Floor</w:t>
      </w:r>
    </w:p>
    <w:p>
      <w:pPr>
        <w:spacing w:after="0" w:line="10"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Columbia, Maryland 21044</w:t>
      </w:r>
    </w:p>
    <w:p>
      <w:pPr>
        <w:spacing w:after="0" w:line="250" w:lineRule="exact"/>
        <w:rPr>
          <w:sz w:val="20"/>
          <w:szCs w:val="20"/>
          <w:color w:val="auto"/>
        </w:rPr>
      </w:pPr>
    </w:p>
    <w:p>
      <w:pPr>
        <w:ind w:left="3520"/>
        <w:spacing w:after="0"/>
        <w:rPr>
          <w:sz w:val="20"/>
          <w:szCs w:val="20"/>
          <w:color w:val="auto"/>
        </w:rPr>
      </w:pPr>
      <w:r>
        <w:rPr>
          <w:rFonts w:ascii="Arial" w:cs="Arial" w:eastAsia="Arial" w:hAnsi="Arial"/>
          <w:sz w:val="20"/>
          <w:szCs w:val="20"/>
          <w:b w:val="1"/>
          <w:bCs w:val="1"/>
          <w:color w:val="auto"/>
        </w:rPr>
        <w:t>PROXY STATEMENT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2023 ANNUAL MEETING OF STOCKHOLDERS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May 24, 2023</w:t>
      </w:r>
    </w:p>
    <w:p>
      <w:pPr>
        <w:spacing w:after="0" w:line="250"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QUESTIONS AND ANSWERS ABOUT THESE PROXY MATERIALS AND VOTING</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did I receive a notice regarding the availability of proxy materials on the Internet?</w:t>
      </w:r>
    </w:p>
    <w:p>
      <w:pPr>
        <w:spacing w:after="0" w:line="251" w:lineRule="exact"/>
        <w:rPr>
          <w:sz w:val="20"/>
          <w:szCs w:val="20"/>
          <w:color w:val="auto"/>
        </w:rPr>
      </w:pPr>
    </w:p>
    <w:p>
      <w:pPr>
        <w:ind w:right="140" w:firstLine="360"/>
        <w:spacing w:after="0" w:line="255" w:lineRule="auto"/>
        <w:rPr>
          <w:sz w:val="20"/>
          <w:szCs w:val="20"/>
          <w:color w:val="auto"/>
        </w:rPr>
      </w:pPr>
      <w:r>
        <w:rPr>
          <w:rFonts w:ascii="Arial" w:cs="Arial" w:eastAsia="Arial" w:hAnsi="Arial"/>
          <w:sz w:val="20"/>
          <w:szCs w:val="20"/>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(the "Board of Directors" or the "Board") of Tenable Holdings, Inc. (sometimes referred to as the “Company” or “Tenable”) is soliciting your proxy to vote at the 2023 Annual Meeting of Stockholders,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201" w:lineRule="exact"/>
        <w:rPr>
          <w:sz w:val="20"/>
          <w:szCs w:val="20"/>
          <w:color w:val="auto"/>
        </w:rPr>
      </w:pPr>
    </w:p>
    <w:p>
      <w:pPr>
        <w:ind w:right="380" w:firstLine="360"/>
        <w:spacing w:after="0" w:line="287" w:lineRule="auto"/>
        <w:rPr>
          <w:sz w:val="20"/>
          <w:szCs w:val="20"/>
          <w:color w:val="auto"/>
        </w:rPr>
      </w:pPr>
      <w:r>
        <w:rPr>
          <w:rFonts w:ascii="Arial" w:cs="Arial" w:eastAsia="Arial" w:hAnsi="Arial"/>
          <w:sz w:val="20"/>
          <w:szCs w:val="20"/>
          <w:color w:val="auto"/>
        </w:rPr>
        <w:t>We intend to mail the Notice on or about April 12, 2023 to all stockholders of record entitled to vote at the Annual Meeting.</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 I receive any other proxy materials by mail?</w:t>
      </w:r>
    </w:p>
    <w:p>
      <w:pPr>
        <w:spacing w:after="0" w:line="251" w:lineRule="exact"/>
        <w:rPr>
          <w:sz w:val="20"/>
          <w:szCs w:val="20"/>
          <w:color w:val="auto"/>
        </w:rPr>
      </w:pPr>
    </w:p>
    <w:p>
      <w:pPr>
        <w:ind w:right="620" w:firstLine="360"/>
        <w:spacing w:after="0" w:line="287" w:lineRule="auto"/>
        <w:rPr>
          <w:sz w:val="20"/>
          <w:szCs w:val="20"/>
          <w:color w:val="auto"/>
        </w:rPr>
      </w:pPr>
      <w:r>
        <w:rPr>
          <w:rFonts w:ascii="Arial" w:cs="Arial" w:eastAsia="Arial" w:hAnsi="Arial"/>
          <w:sz w:val="20"/>
          <w:szCs w:val="20"/>
          <w:color w:val="auto"/>
        </w:rPr>
        <w:t>We may, at our discretion, elect to send you a proxy card. We may also send you a second Notice on or after April 24, 2023.</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attend the Annual Meeting?</w:t>
      </w:r>
    </w:p>
    <w:p>
      <w:pPr>
        <w:spacing w:after="0" w:line="251" w:lineRule="exact"/>
        <w:rPr>
          <w:sz w:val="20"/>
          <w:szCs w:val="20"/>
          <w:color w:val="auto"/>
        </w:rPr>
      </w:pPr>
    </w:p>
    <w:p>
      <w:pPr>
        <w:ind w:right="60" w:firstLine="360"/>
        <w:spacing w:after="0" w:line="255" w:lineRule="auto"/>
        <w:rPr>
          <w:sz w:val="20"/>
          <w:szCs w:val="20"/>
          <w:color w:val="auto"/>
        </w:rPr>
      </w:pPr>
      <w:r>
        <w:rPr>
          <w:rFonts w:ascii="Arial" w:cs="Arial" w:eastAsia="Arial" w:hAnsi="Arial"/>
          <w:sz w:val="20"/>
          <w:szCs w:val="20"/>
          <w:color w:val="auto"/>
        </w:rPr>
        <w:t>The Annual Meeting will be a virtual stockholder meeting through which you can listen to the meeting and vote online. The Annual Meeting can be accessed by visiting https:// www.proxydocs.com/TENB and entering your control number which is included in the proxy materials mailed to you. Upon completing your registration, you will receive further instructions via email, including a unique link that will allow you access to the Annual Meeting. We recommend that you log in a few minutes before the Annual Meeting to ensure that you are logged in when the meeting starts. Online check-in will begin at approximately 12:45 p.m. Eastern time. Information on how to vote online during the Annual Meeting is discussed below.</w:t>
      </w:r>
    </w:p>
    <w:p>
      <w:pPr>
        <w:spacing w:after="0" w:line="205" w:lineRule="exact"/>
        <w:rPr>
          <w:sz w:val="20"/>
          <w:szCs w:val="20"/>
          <w:color w:val="auto"/>
        </w:rPr>
      </w:pPr>
    </w:p>
    <w:p>
      <w:pPr>
        <w:ind w:right="20" w:firstLine="360"/>
        <w:spacing w:after="0" w:line="268" w:lineRule="auto"/>
        <w:rPr>
          <w:sz w:val="20"/>
          <w:szCs w:val="20"/>
          <w:color w:val="auto"/>
        </w:rPr>
      </w:pPr>
      <w:r>
        <w:rPr>
          <w:rFonts w:ascii="Arial" w:cs="Arial" w:eastAsia="Arial" w:hAnsi="Arial"/>
          <w:sz w:val="20"/>
          <w:szCs w:val="20"/>
          <w:color w:val="auto"/>
        </w:rPr>
        <w:t>Stockholders attending the virtual meeting will be afforded the same rights and opportunities to participate as they would at an in-person meeting, however any questions will need to be submitted in advance of the meeting.</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can vote at the Annual Meeting?</w:t>
      </w:r>
    </w:p>
    <w:p>
      <w:pPr>
        <w:spacing w:after="0" w:line="251"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20"/>
          <w:szCs w:val="20"/>
          <w:color w:val="auto"/>
        </w:rPr>
        <w:t>Only stockholders of record at the close of business on March 30, 2023 (the "Record Date") will be entitled to vote at the Annual Meeting. On the Record Date, there were 114,743,345 shares of the Company's common stock outstanding and entitled to vote.</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880" w:h="15480" w:orient="portrait"/>
          <w:cols w:equalWidth="0" w:num="1">
            <w:col w:w="9000"/>
          </w:cols>
          <w:pgMar w:left="1440" w:top="1203" w:right="1440" w:bottom="0" w:gutter="0" w:footer="0" w:header="0"/>
          <w:type w:val="continuous"/>
        </w:sectPr>
      </w:pPr>
    </w:p>
    <w:bookmarkStart w:id="12" w:name="page13"/>
    <w:bookmarkEnd w:id="12"/>
    <w:p>
      <w:pPr>
        <w:ind w:left="360"/>
        <w:spacing w:after="0"/>
        <w:rPr>
          <w:sz w:val="20"/>
          <w:szCs w:val="20"/>
          <w:color w:val="auto"/>
        </w:rPr>
      </w:pPr>
      <w:r>
        <w:rPr>
          <w:rFonts w:ascii="Arial" w:cs="Arial" w:eastAsia="Arial" w:hAnsi="Arial"/>
          <w:sz w:val="20"/>
          <w:szCs w:val="20"/>
          <w:b w:val="1"/>
          <w:bCs w:val="1"/>
          <w:i w:val="1"/>
          <w:iCs w:val="1"/>
          <w:color w:val="auto"/>
        </w:rPr>
        <w:t>Stockholder of Record: Shares Registered in Your Name</w:t>
      </w:r>
    </w:p>
    <w:p>
      <w:pPr>
        <w:spacing w:after="0" w:line="249" w:lineRule="exact"/>
        <w:rPr>
          <w:sz w:val="20"/>
          <w:szCs w:val="20"/>
          <w:color w:val="auto"/>
        </w:rPr>
      </w:pPr>
    </w:p>
    <w:p>
      <w:pPr>
        <w:ind w:right="80" w:firstLine="360"/>
        <w:spacing w:after="0" w:line="256" w:lineRule="auto"/>
        <w:rPr>
          <w:sz w:val="20"/>
          <w:szCs w:val="20"/>
          <w:color w:val="auto"/>
        </w:rPr>
      </w:pPr>
      <w:r>
        <w:rPr>
          <w:rFonts w:ascii="Arial" w:cs="Arial" w:eastAsia="Arial" w:hAnsi="Arial"/>
          <w:sz w:val="20"/>
          <w:szCs w:val="20"/>
          <w:color w:val="auto"/>
        </w:rPr>
        <w:t>If on March 30, 2023 your shares were registered directly in your name with Tenable’s transfer agent, American Stock Transfer &amp; Trust Company, LLC, then you are a stockholder of record with respect to those shares and the Notice was sent directly to you by the Company. As a stockholder of record, you may vote online during the meeting or vote by proxy. Whether or not you plan to attend the Annual Meeting, we urge you to vote by proxy using a proxy card that you may request or that we may elect to deliver at a later time or vote by proxy over the telephone or Internet as instructed below to ensure your vote is counted.</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Beneficial Owner: Shares Registered in the Name of a Broker or Bank</w:t>
      </w:r>
    </w:p>
    <w:p>
      <w:pPr>
        <w:spacing w:after="0" w:line="249" w:lineRule="exact"/>
        <w:rPr>
          <w:sz w:val="20"/>
          <w:szCs w:val="20"/>
          <w:color w:val="auto"/>
        </w:rPr>
      </w:pPr>
    </w:p>
    <w:p>
      <w:pPr>
        <w:ind w:right="60" w:firstLine="360"/>
        <w:spacing w:after="0" w:line="254" w:lineRule="auto"/>
        <w:rPr>
          <w:sz w:val="20"/>
          <w:szCs w:val="20"/>
          <w:color w:val="auto"/>
        </w:rPr>
      </w:pPr>
      <w:r>
        <w:rPr>
          <w:rFonts w:ascii="Arial" w:cs="Arial" w:eastAsia="Arial" w:hAnsi="Arial"/>
          <w:sz w:val="20"/>
          <w:szCs w:val="20"/>
          <w:color w:val="auto"/>
        </w:rPr>
        <w:t>If on March 30, 2023 your shares were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that organization on how to vote the shares in your account. You will receive instructions from the organization that you must follow in order to submit your voting instructions and have your shares voted at the Annual Meeting. You are also invited to attend the Annual Meeting. However, since you are not the stockholder of record, you may not vote your shares online during the Annual Meeting unless you request and obtain a valid proxy from the organization.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am I voting on?</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There are three matters scheduled for a vote:</w:t>
      </w:r>
    </w:p>
    <w:p>
      <w:pPr>
        <w:spacing w:after="0" w:line="70" w:lineRule="exact"/>
        <w:rPr>
          <w:sz w:val="20"/>
          <w:szCs w:val="20"/>
          <w:color w:val="auto"/>
        </w:rPr>
      </w:pPr>
    </w:p>
    <w:p>
      <w:pPr>
        <w:ind w:left="720" w:hanging="360"/>
        <w:spacing w:after="0"/>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Election of three directors (Proposal 1);</w:t>
      </w:r>
    </w:p>
    <w:p>
      <w:pPr>
        <w:spacing w:after="0" w:line="70" w:lineRule="exact"/>
        <w:rPr>
          <w:rFonts w:ascii="Arial" w:cs="Arial" w:eastAsia="Arial" w:hAnsi="Arial"/>
          <w:sz w:val="20"/>
          <w:szCs w:val="20"/>
          <w:color w:val="auto"/>
        </w:rPr>
      </w:pPr>
    </w:p>
    <w:p>
      <w:pPr>
        <w:jc w:val="both"/>
        <w:ind w:left="720" w:right="340" w:hanging="360"/>
        <w:spacing w:after="0" w:line="250"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Ratification of selection by the Audit Committee of the Board of Directors of Ernst &amp; Young LLP as independent registered public accounting firm of the Company for the year ending December 31, 2023 (Proposal 2); and</w:t>
      </w:r>
    </w:p>
    <w:p>
      <w:pPr>
        <w:spacing w:after="0" w:line="1" w:lineRule="exact"/>
        <w:rPr>
          <w:rFonts w:ascii="Arial" w:cs="Arial" w:eastAsia="Arial" w:hAnsi="Arial"/>
          <w:sz w:val="20"/>
          <w:szCs w:val="20"/>
          <w:color w:val="auto"/>
        </w:rPr>
      </w:pPr>
    </w:p>
    <w:p>
      <w:pPr>
        <w:ind w:left="720" w:right="460" w:hanging="360"/>
        <w:spacing w:after="0" w:line="287"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Advisory approval, on a non-binding basis, of the compensation of our Named Executive Officers as disclosed in this proxy statement (Proposal 3).</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if another matter is properly brought before the meeting?</w:t>
      </w:r>
    </w:p>
    <w:p>
      <w:pPr>
        <w:spacing w:after="0" w:line="251" w:lineRule="exact"/>
        <w:rPr>
          <w:sz w:val="20"/>
          <w:szCs w:val="20"/>
          <w:color w:val="auto"/>
        </w:rPr>
      </w:pPr>
    </w:p>
    <w:p>
      <w:pPr>
        <w:ind w:right="100" w:firstLine="360"/>
        <w:spacing w:after="0" w:line="262" w:lineRule="auto"/>
        <w:rPr>
          <w:sz w:val="20"/>
          <w:szCs w:val="20"/>
          <w:color w:val="auto"/>
        </w:rPr>
      </w:pPr>
      <w:r>
        <w:rPr>
          <w:rFonts w:ascii="Arial" w:cs="Arial" w:eastAsia="Arial" w:hAnsi="Arial"/>
          <w:sz w:val="20"/>
          <w:szCs w:val="20"/>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vote?</w:t>
      </w:r>
    </w:p>
    <w:p>
      <w:pPr>
        <w:spacing w:after="0" w:line="251" w:lineRule="exact"/>
        <w:rPr>
          <w:sz w:val="20"/>
          <w:szCs w:val="20"/>
          <w:color w:val="auto"/>
        </w:rPr>
      </w:pPr>
    </w:p>
    <w:p>
      <w:pPr>
        <w:ind w:right="40" w:firstLine="360"/>
        <w:spacing w:after="0" w:line="268" w:lineRule="auto"/>
        <w:rPr>
          <w:sz w:val="20"/>
          <w:szCs w:val="20"/>
          <w:color w:val="auto"/>
        </w:rPr>
      </w:pPr>
      <w:r>
        <w:rPr>
          <w:rFonts w:ascii="Arial" w:cs="Arial" w:eastAsia="Arial" w:hAnsi="Arial"/>
          <w:sz w:val="20"/>
          <w:szCs w:val="20"/>
          <w:color w:val="auto"/>
        </w:rPr>
        <w:t>You may either vote “For” all the nominees to the Board of Directors or you may “Withhold” your vote for any nominee you specify. For Proposals 2 and 3, you may vote “For” or “Against” or "Abstain" from voting.</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Stockholder of Record: Shares Registered in Your Name</w:t>
      </w:r>
    </w:p>
    <w:p>
      <w:pPr>
        <w:spacing w:after="0" w:line="249" w:lineRule="exact"/>
        <w:rPr>
          <w:sz w:val="20"/>
          <w:szCs w:val="20"/>
          <w:color w:val="auto"/>
        </w:rPr>
      </w:pPr>
    </w:p>
    <w:p>
      <w:pPr>
        <w:jc w:val="both"/>
        <w:ind w:right="160" w:firstLine="360"/>
        <w:spacing w:after="0" w:line="289" w:lineRule="auto"/>
        <w:rPr>
          <w:sz w:val="20"/>
          <w:szCs w:val="20"/>
          <w:color w:val="auto"/>
        </w:rPr>
      </w:pPr>
      <w:r>
        <w:rPr>
          <w:rFonts w:ascii="Arial" w:cs="Arial" w:eastAsia="Arial" w:hAnsi="Arial"/>
          <w:sz w:val="19"/>
          <w:szCs w:val="19"/>
          <w:color w:val="auto"/>
        </w:rPr>
        <w:t>If you are a stockholder of record, you may vote online during the Annual Meeting, vote by proxy using a proxy card that you may request or that we may elect to deliver at a later time, vote by proxy over the telephone or vote by proxy through the Internet. Whether or not you plan to attend the</w:t>
      </w:r>
    </w:p>
    <w:p>
      <w:pPr>
        <w:sectPr>
          <w:pgSz w:w="11880" w:h="15480" w:orient="portrait"/>
          <w:cols w:equalWidth="0" w:num="1">
            <w:col w:w="9000"/>
          </w:cols>
          <w:pgMar w:left="1440" w:top="12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9000"/>
          </w:cols>
          <w:pgMar w:left="1440" w:top="1205" w:right="1440" w:bottom="0" w:gutter="0" w:footer="0" w:header="0"/>
          <w:type w:val="continuous"/>
        </w:sectPr>
      </w:pPr>
    </w:p>
    <w:bookmarkStart w:id="13" w:name="page14"/>
    <w:bookmarkEnd w:id="13"/>
    <w:p>
      <w:pPr>
        <w:ind w:right="740"/>
        <w:spacing w:after="0" w:line="287" w:lineRule="auto"/>
        <w:rPr>
          <w:sz w:val="20"/>
          <w:szCs w:val="20"/>
          <w:color w:val="auto"/>
        </w:rPr>
      </w:pPr>
      <w:r>
        <w:rPr>
          <w:rFonts w:ascii="Arial" w:cs="Arial" w:eastAsia="Arial" w:hAnsi="Arial"/>
          <w:sz w:val="20"/>
          <w:szCs w:val="20"/>
          <w:color w:val="auto"/>
        </w:rPr>
        <w:t>meeting, we urge you to vote by proxy to ensure your vote is counted. You may still attend the meeting and vote online during the meeting even if you have already voted by proxy.</w:t>
      </w:r>
    </w:p>
    <w:p>
      <w:pPr>
        <w:spacing w:after="0" w:line="170" w:lineRule="exact"/>
        <w:rPr>
          <w:sz w:val="20"/>
          <w:szCs w:val="20"/>
          <w:color w:val="auto"/>
        </w:rPr>
      </w:pPr>
    </w:p>
    <w:p>
      <w:pPr>
        <w:ind w:left="720" w:right="220" w:hanging="360"/>
        <w:spacing w:after="0" w:line="262"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To vote online during the meeting, access the Annual Meeting by visiting www.proxypush.com/TENB and entering your control number which is included in the proxy materials mailed to you. Please have your Notice in hand when you access the website and follow the instructions.</w:t>
      </w:r>
    </w:p>
    <w:p>
      <w:pPr>
        <w:spacing w:after="0" w:line="15" w:lineRule="exact"/>
        <w:rPr>
          <w:rFonts w:ascii="Arial" w:cs="Arial" w:eastAsia="Arial" w:hAnsi="Arial"/>
          <w:sz w:val="20"/>
          <w:szCs w:val="20"/>
          <w:color w:val="auto"/>
        </w:rPr>
      </w:pPr>
    </w:p>
    <w:p>
      <w:pPr>
        <w:ind w:left="720" w:right="60" w:hanging="360"/>
        <w:spacing w:after="0" w:line="268"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To vote using the proxy card, simply complete, sign and date the proxy card that may be delivered and return it promptly in the envelope provided. If you return your signed proxy card to us before the Annual Meeting, we will vote your shares as you direct.</w:t>
      </w:r>
    </w:p>
    <w:p>
      <w:pPr>
        <w:spacing w:after="0" w:line="9" w:lineRule="exact"/>
        <w:rPr>
          <w:rFonts w:ascii="Arial" w:cs="Arial" w:eastAsia="Arial" w:hAnsi="Arial"/>
          <w:sz w:val="20"/>
          <w:szCs w:val="20"/>
          <w:color w:val="auto"/>
        </w:rPr>
      </w:pPr>
    </w:p>
    <w:p>
      <w:pPr>
        <w:ind w:left="720" w:right="80" w:hanging="360"/>
        <w:spacing w:after="0" w:line="262" w:lineRule="auto"/>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color w:val="auto"/>
        </w:rPr>
        <w:t>To vote over the telephone, dial toll-free 866-230-6244 using a touch-tone phone and follow the recorded instructions. You will be asked to provide the control number from the Notice. To ensure your vote is counted, your telephone vote must be received either prior to the start of the meeting or, if you are attending the meeting, before the polls close during the meeting.</w:t>
      </w:r>
    </w:p>
    <w:p>
      <w:pPr>
        <w:spacing w:after="0" w:line="15" w:lineRule="exact"/>
        <w:rPr>
          <w:rFonts w:ascii="Arial" w:cs="Arial" w:eastAsia="Arial" w:hAnsi="Arial"/>
          <w:sz w:val="20"/>
          <w:szCs w:val="20"/>
          <w:color w:val="auto"/>
        </w:rPr>
      </w:pPr>
    </w:p>
    <w:p>
      <w:pPr>
        <w:ind w:left="720" w:right="100" w:hanging="360"/>
        <w:spacing w:after="0" w:line="262" w:lineRule="auto"/>
        <w:tabs>
          <w:tab w:leader="none" w:pos="720" w:val="left"/>
        </w:tabs>
        <w:numPr>
          <w:ilvl w:val="0"/>
          <w:numId w:val="9"/>
        </w:numPr>
        <w:rPr>
          <w:rFonts w:ascii="Arial" w:cs="Arial" w:eastAsia="Arial" w:hAnsi="Arial"/>
          <w:sz w:val="20"/>
          <w:szCs w:val="20"/>
          <w:i w:val="1"/>
          <w:iCs w:val="1"/>
          <w:color w:val="auto"/>
        </w:rPr>
      </w:pPr>
      <w:r>
        <w:rPr>
          <w:rFonts w:ascii="Arial" w:cs="Arial" w:eastAsia="Arial" w:hAnsi="Arial"/>
          <w:sz w:val="20"/>
          <w:szCs w:val="20"/>
          <w:color w:val="auto"/>
        </w:rPr>
        <w:t>To vote through the Internet, go to www.proxypush.com/TENB to complete an electronic proxy card. You will be asked to provide the control number from the Notice. To ensure your vote is counted, your Internet vote must be received either prior to the start of the meeting or, if you are attending the meeting, before the polls close during the meeting.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Beneficial Owner: Shares Registered in the Name of Broker or Bank</w:t>
      </w:r>
    </w:p>
    <w:p>
      <w:pPr>
        <w:spacing w:after="0" w:line="249" w:lineRule="exact"/>
        <w:rPr>
          <w:sz w:val="20"/>
          <w:szCs w:val="20"/>
          <w:color w:val="auto"/>
        </w:rPr>
      </w:pPr>
    </w:p>
    <w:p>
      <w:pPr>
        <w:ind w:right="60" w:firstLine="360"/>
        <w:spacing w:after="0" w:line="257" w:lineRule="auto"/>
        <w:rPr>
          <w:sz w:val="20"/>
          <w:szCs w:val="20"/>
          <w:color w:val="auto"/>
        </w:rPr>
      </w:pPr>
      <w:r>
        <w:rPr>
          <w:rFonts w:ascii="Arial" w:cs="Arial" w:eastAsia="Arial" w:hAnsi="Arial"/>
          <w:sz w:val="20"/>
          <w:szCs w:val="20"/>
          <w:color w:val="auto"/>
        </w:rPr>
        <w:t>If you are a beneficial owner of shares registered in the name of your broker, bank or other agent, you should have received a Notice containing voting instructions from that organization rather than from Tenable. Simply follow the voting instructions in the Notice to ensure that your vote is counted. To vote online during the Annual Meeting, you must obtain a valid proxy from your broker, bank or other agent. Follow the instructions from your broker, bank or other agent included with these proxy materials, or contact that organization to request a proxy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81280</wp:posOffset>
            </wp:positionV>
            <wp:extent cx="5956300" cy="612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56300" cy="612775"/>
                    </a:xfrm>
                    <a:prstGeom prst="rect">
                      <a:avLst/>
                    </a:prstGeom>
                    <a:noFill/>
                  </pic:spPr>
                </pic:pic>
              </a:graphicData>
            </a:graphic>
          </wp:anchor>
        </w:drawing>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many votes do I have?</w:t>
      </w:r>
    </w:p>
    <w:p>
      <w:pPr>
        <w:spacing w:after="0" w:line="251" w:lineRule="exact"/>
        <w:rPr>
          <w:sz w:val="20"/>
          <w:szCs w:val="20"/>
          <w:color w:val="auto"/>
        </w:rPr>
      </w:pPr>
    </w:p>
    <w:p>
      <w:pPr>
        <w:ind w:right="20" w:firstLine="360"/>
        <w:spacing w:after="0" w:line="287" w:lineRule="auto"/>
        <w:rPr>
          <w:sz w:val="20"/>
          <w:szCs w:val="20"/>
          <w:color w:val="auto"/>
        </w:rPr>
      </w:pPr>
      <w:r>
        <w:rPr>
          <w:rFonts w:ascii="Arial" w:cs="Arial" w:eastAsia="Arial" w:hAnsi="Arial"/>
          <w:sz w:val="20"/>
          <w:szCs w:val="20"/>
          <w:color w:val="auto"/>
        </w:rPr>
        <w:t>On each matter to be voted upon, you have one vote for each share of common stock you own as of March 30, 2023.</w:t>
      </w:r>
    </w:p>
    <w:p>
      <w:pPr>
        <w:spacing w:after="0" w:line="169" w:lineRule="exact"/>
        <w:rPr>
          <w:sz w:val="20"/>
          <w:szCs w:val="20"/>
          <w:color w:val="auto"/>
        </w:rPr>
      </w:pPr>
    </w:p>
    <w:p>
      <w:pPr>
        <w:ind w:right="320"/>
        <w:spacing w:after="0" w:line="298" w:lineRule="auto"/>
        <w:rPr>
          <w:sz w:val="20"/>
          <w:szCs w:val="20"/>
          <w:color w:val="auto"/>
        </w:rPr>
      </w:pPr>
      <w:r>
        <w:rPr>
          <w:rFonts w:ascii="Arial" w:cs="Arial" w:eastAsia="Arial" w:hAnsi="Arial"/>
          <w:sz w:val="20"/>
          <w:szCs w:val="20"/>
          <w:b w:val="1"/>
          <w:bCs w:val="1"/>
          <w:color w:val="auto"/>
        </w:rPr>
        <w:t>If I am a stockholder of record and I do not vote, or if I return a proxy card or otherwise vote without giving specific voting instructions, what happens?</w:t>
      </w:r>
    </w:p>
    <w:p>
      <w:pPr>
        <w:spacing w:after="0" w:line="150" w:lineRule="exact"/>
        <w:rPr>
          <w:sz w:val="20"/>
          <w:szCs w:val="20"/>
          <w:color w:val="auto"/>
        </w:rPr>
      </w:pPr>
    </w:p>
    <w:p>
      <w:pPr>
        <w:ind w:right="280" w:firstLine="360"/>
        <w:spacing w:after="0" w:line="287" w:lineRule="auto"/>
        <w:rPr>
          <w:sz w:val="20"/>
          <w:szCs w:val="20"/>
          <w:color w:val="auto"/>
        </w:rPr>
      </w:pPr>
      <w:r>
        <w:rPr>
          <w:rFonts w:ascii="Arial" w:cs="Arial" w:eastAsia="Arial" w:hAnsi="Arial"/>
          <w:sz w:val="20"/>
          <w:szCs w:val="20"/>
          <w:color w:val="auto"/>
        </w:rPr>
        <w:t>If you are a stockholder of record and do not vote by completing your proxy card, by telephone, through the Internet or online during the Annual Meeting, your shares will not be voted.</w:t>
      </w:r>
    </w:p>
    <w:p>
      <w:pPr>
        <w:spacing w:after="0" w:line="170" w:lineRule="exact"/>
        <w:rPr>
          <w:sz w:val="20"/>
          <w:szCs w:val="20"/>
          <w:color w:val="auto"/>
        </w:rPr>
      </w:pPr>
    </w:p>
    <w:p>
      <w:pPr>
        <w:ind w:right="100" w:firstLine="360"/>
        <w:spacing w:after="0" w:line="257" w:lineRule="auto"/>
        <w:rPr>
          <w:sz w:val="20"/>
          <w:szCs w:val="20"/>
          <w:color w:val="auto"/>
        </w:rPr>
      </w:pPr>
      <w:r>
        <w:rPr>
          <w:rFonts w:ascii="Arial" w:cs="Arial" w:eastAsia="Arial" w:hAnsi="Arial"/>
          <w:sz w:val="20"/>
          <w:szCs w:val="20"/>
          <w:color w:val="auto"/>
        </w:rPr>
        <w:t>If you return a signed and dated proxy card or otherwise vote without marking voting selections, your shares will be voted, as applicable, “For” the election of all nominees for director, “For” the ratification of Ernst &amp; Young LLP as independent auditors for the year ending December 31, 2023, and "For" the approval of, on a non-binding advisory basis, the compensation of our Named Executive Officers. If any other matter is properly presented at the meeting, your proxy holder (one of the individuals named on your proxy card) will vote your shares using his or her best judgment.</w:t>
      </w:r>
    </w:p>
    <w:p>
      <w:pPr>
        <w:sectPr>
          <w:pgSz w:w="11880" w:h="15480" w:orient="portrait"/>
          <w:cols w:equalWidth="0" w:num="1">
            <w:col w:w="9020"/>
          </w:cols>
          <w:pgMar w:left="1440" w:top="1204"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w:t>
      </w:r>
    </w:p>
    <w:p>
      <w:pPr>
        <w:sectPr>
          <w:pgSz w:w="11880" w:h="15480" w:orient="portrait"/>
          <w:cols w:equalWidth="0" w:num="1">
            <w:col w:w="9020"/>
          </w:cols>
          <w:pgMar w:left="1440" w:top="1204" w:right="1420" w:bottom="0" w:gutter="0" w:footer="0" w:header="0"/>
          <w:type w:val="continuous"/>
        </w:sectPr>
      </w:pPr>
    </w:p>
    <w:bookmarkStart w:id="14" w:name="page15"/>
    <w:bookmarkEnd w:id="14"/>
    <w:p>
      <w:pPr>
        <w:ind w:right="60"/>
        <w:spacing w:after="0" w:line="298" w:lineRule="auto"/>
        <w:rPr>
          <w:sz w:val="20"/>
          <w:szCs w:val="20"/>
          <w:color w:val="auto"/>
        </w:rPr>
      </w:pPr>
      <w:r>
        <w:rPr>
          <w:rFonts w:ascii="Arial" w:cs="Arial" w:eastAsia="Arial" w:hAnsi="Arial"/>
          <w:sz w:val="20"/>
          <w:szCs w:val="20"/>
          <w:b w:val="1"/>
          <w:bCs w:val="1"/>
          <w:color w:val="auto"/>
        </w:rPr>
        <w:t>If I am a beneficial owner of shares held in street name and I do not provide my broker or bank with voting instructions, what happens?</w:t>
      </w:r>
    </w:p>
    <w:p>
      <w:pPr>
        <w:spacing w:after="0" w:line="150" w:lineRule="exact"/>
        <w:rPr>
          <w:sz w:val="20"/>
          <w:szCs w:val="20"/>
          <w:color w:val="auto"/>
        </w:rPr>
      </w:pPr>
    </w:p>
    <w:p>
      <w:pPr>
        <w:ind w:right="60" w:firstLine="360"/>
        <w:spacing w:after="0" w:line="254" w:lineRule="auto"/>
        <w:rPr>
          <w:sz w:val="20"/>
          <w:szCs w:val="20"/>
          <w:color w:val="auto"/>
        </w:rPr>
      </w:pPr>
      <w:r>
        <w:rPr>
          <w:rFonts w:ascii="Arial" w:cs="Arial" w:eastAsia="Arial" w:hAnsi="Arial"/>
          <w:sz w:val="20"/>
          <w:szCs w:val="20"/>
          <w:color w:val="auto"/>
        </w:rPr>
        <w:t>If you are a beneficial owner of shares held in street name and you do not instruct your broker, bank or other agent how to vote your shares, your broker, bank or other agent may still be able to vote your shares in its discretion. In this regard, brokers, banks and other securities intermediaries may use their discretion to vote your “uninstructed” shares with respect to matters considered to be “routine” under applicable rules, but not with respect to “non-routine” matters. Proposals 1 and 3 are considered to be “non-routine” under applicable rules, meaning that your broker may not vote your shares on those proposals in the absence of your voting instructions. However, Proposal 2 is considered to be “routine” under applicable rules, meaning that if you do not return voting instructions to your broker by its deadline, your shares may be voted by your broker in its discretion on Proposal 2.</w:t>
      </w:r>
    </w:p>
    <w:p>
      <w:pPr>
        <w:spacing w:after="0" w:line="207" w:lineRule="exact"/>
        <w:rPr>
          <w:sz w:val="20"/>
          <w:szCs w:val="20"/>
          <w:color w:val="auto"/>
        </w:rPr>
      </w:pPr>
    </w:p>
    <w:p>
      <w:pPr>
        <w:ind w:right="140" w:firstLine="360"/>
        <w:spacing w:after="0" w:line="265" w:lineRule="auto"/>
        <w:rPr>
          <w:sz w:val="20"/>
          <w:szCs w:val="20"/>
          <w:color w:val="auto"/>
        </w:rPr>
      </w:pPr>
      <w:r>
        <w:rPr>
          <w:rFonts w:ascii="Arial" w:cs="Arial" w:eastAsia="Arial" w:hAnsi="Arial"/>
          <w:sz w:val="20"/>
          <w:szCs w:val="20"/>
          <w:b w:val="1"/>
          <w:bCs w:val="1"/>
          <w:i w:val="1"/>
          <w:iCs w:val="1"/>
          <w:color w:val="auto"/>
        </w:rPr>
        <w:t>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is paying for this proxy solicitation?</w:t>
      </w:r>
    </w:p>
    <w:p>
      <w:pPr>
        <w:spacing w:after="0" w:line="251" w:lineRule="exact"/>
        <w:rPr>
          <w:sz w:val="20"/>
          <w:szCs w:val="20"/>
          <w:color w:val="auto"/>
        </w:rPr>
      </w:pPr>
    </w:p>
    <w:p>
      <w:pPr>
        <w:ind w:right="240" w:firstLine="360"/>
        <w:spacing w:after="0" w:line="259" w:lineRule="auto"/>
        <w:rPr>
          <w:sz w:val="20"/>
          <w:szCs w:val="20"/>
          <w:color w:val="auto"/>
        </w:rPr>
      </w:pPr>
      <w:r>
        <w:rPr>
          <w:rFonts w:ascii="Arial" w:cs="Arial" w:eastAsia="Arial" w:hAnsi="Arial"/>
          <w:sz w:val="20"/>
          <w:szCs w:val="20"/>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does it mean if I receive more than one Notice?</w:t>
      </w:r>
    </w:p>
    <w:p>
      <w:pPr>
        <w:spacing w:after="0" w:line="251" w:lineRule="exact"/>
        <w:rPr>
          <w:sz w:val="20"/>
          <w:szCs w:val="20"/>
          <w:color w:val="auto"/>
        </w:rPr>
      </w:pPr>
    </w:p>
    <w:p>
      <w:pPr>
        <w:jc w:val="both"/>
        <w:ind w:right="60" w:firstLine="360"/>
        <w:spacing w:after="0" w:line="268" w:lineRule="auto"/>
        <w:rPr>
          <w:sz w:val="20"/>
          <w:szCs w:val="20"/>
          <w:color w:val="auto"/>
        </w:rPr>
      </w:pPr>
      <w:r>
        <w:rPr>
          <w:rFonts w:ascii="Arial" w:cs="Arial" w:eastAsia="Arial" w:hAnsi="Arial"/>
          <w:sz w:val="20"/>
          <w:szCs w:val="20"/>
          <w:color w:val="auto"/>
        </w:rPr>
        <w:t>If you receive more than one Notice, your shares may be registered in more than one name or in different accounts. Please follow the voting instructions on the Notice to ensure that all of your shares are voted.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 I change my vote after submitting my proxy?</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Stockholder of Record: Shares Registered in Your Name</w:t>
      </w:r>
    </w:p>
    <w:p>
      <w:pPr>
        <w:spacing w:after="0" w:line="249" w:lineRule="exact"/>
        <w:rPr>
          <w:sz w:val="20"/>
          <w:szCs w:val="20"/>
          <w:color w:val="auto"/>
        </w:rPr>
      </w:pPr>
    </w:p>
    <w:p>
      <w:pPr>
        <w:jc w:val="both"/>
        <w:ind w:right="80" w:firstLine="360"/>
        <w:spacing w:after="0" w:line="281" w:lineRule="auto"/>
        <w:rPr>
          <w:sz w:val="20"/>
          <w:szCs w:val="20"/>
          <w:color w:val="auto"/>
        </w:rPr>
      </w:pPr>
      <w:r>
        <w:rPr>
          <w:rFonts w:ascii="Arial" w:cs="Arial" w:eastAsia="Arial" w:hAnsi="Arial"/>
          <w:sz w:val="20"/>
          <w:szCs w:val="20"/>
          <w:color w:val="auto"/>
        </w:rPr>
        <w:t>Yes. You can revoke your proxy at any time before the final vote at the Annual Meeting. If you are the record holder of your shares, you may revoke your proxy in any one of the following ways:</w:t>
      </w:r>
    </w:p>
    <w:p>
      <w:pPr>
        <w:spacing w:after="0" w:line="1" w:lineRule="exact"/>
        <w:rPr>
          <w:sz w:val="20"/>
          <w:szCs w:val="20"/>
          <w:color w:val="auto"/>
        </w:rPr>
      </w:pPr>
    </w:p>
    <w:p>
      <w:pPr>
        <w:ind w:left="720" w:hanging="360"/>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You may submit another properly completed proxy card with a later date.</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You may grant a subsequent proxy by telephone or through the Internet.</w:t>
      </w:r>
    </w:p>
    <w:p>
      <w:pPr>
        <w:spacing w:after="0" w:line="70" w:lineRule="exact"/>
        <w:rPr>
          <w:rFonts w:ascii="Arial" w:cs="Arial" w:eastAsia="Arial" w:hAnsi="Arial"/>
          <w:sz w:val="20"/>
          <w:szCs w:val="20"/>
          <w:color w:val="auto"/>
        </w:rPr>
      </w:pPr>
    </w:p>
    <w:p>
      <w:pPr>
        <w:ind w:left="720" w:right="260" w:hanging="360"/>
        <w:spacing w:after="0" w:line="268"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You may send a timely written notice that you are revoking your proxy to Tenable Holdings, Inc., Attention: Corporate Secretary at 6100 Merriweather Drive, 12th Floor, Columbia, Maryland 21044.</w:t>
      </w:r>
    </w:p>
    <w:p>
      <w:pPr>
        <w:spacing w:after="0" w:line="9" w:lineRule="exact"/>
        <w:rPr>
          <w:rFonts w:ascii="Arial" w:cs="Arial" w:eastAsia="Arial" w:hAnsi="Arial"/>
          <w:sz w:val="20"/>
          <w:szCs w:val="20"/>
          <w:color w:val="auto"/>
        </w:rPr>
      </w:pPr>
    </w:p>
    <w:p>
      <w:pPr>
        <w:ind w:left="720" w:right="40" w:hanging="360"/>
        <w:spacing w:after="0" w:line="287" w:lineRule="auto"/>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You may attend the Annual Meeting and vote online. Simply attending the Annual Meeting will not, by itself, revoke your proxy.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Your most current proxy card or telephone or Internet proxy is the one that is counted.</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880" w:h="15480" w:orient="portrait"/>
          <w:cols w:equalWidth="0" w:num="1">
            <w:col w:w="9000"/>
          </w:cols>
          <w:pgMar w:left="1440" w:top="1203" w:right="1440" w:bottom="0" w:gutter="0" w:footer="0" w:header="0"/>
          <w:type w:val="continuous"/>
        </w:sectPr>
      </w:pPr>
    </w:p>
    <w:bookmarkStart w:id="15" w:name="page16"/>
    <w:bookmarkEnd w:id="15"/>
    <w:p>
      <w:pPr>
        <w:ind w:left="360"/>
        <w:spacing w:after="0"/>
        <w:rPr>
          <w:sz w:val="20"/>
          <w:szCs w:val="20"/>
          <w:color w:val="auto"/>
        </w:rPr>
      </w:pPr>
      <w:r>
        <w:rPr>
          <w:rFonts w:ascii="Arial" w:cs="Arial" w:eastAsia="Arial" w:hAnsi="Arial"/>
          <w:sz w:val="20"/>
          <w:szCs w:val="20"/>
          <w:b w:val="1"/>
          <w:bCs w:val="1"/>
          <w:i w:val="1"/>
          <w:iCs w:val="1"/>
          <w:color w:val="auto"/>
        </w:rPr>
        <w:t>Beneficial Owner: Shares Registered in the Name of Broker or Bank</w:t>
      </w:r>
    </w:p>
    <w:p>
      <w:pPr>
        <w:spacing w:after="0" w:line="249" w:lineRule="exact"/>
        <w:rPr>
          <w:sz w:val="20"/>
          <w:szCs w:val="20"/>
          <w:color w:val="auto"/>
        </w:rPr>
      </w:pPr>
    </w:p>
    <w:p>
      <w:pPr>
        <w:ind w:right="440" w:firstLine="360"/>
        <w:spacing w:after="0" w:line="287" w:lineRule="auto"/>
        <w:rPr>
          <w:sz w:val="20"/>
          <w:szCs w:val="20"/>
          <w:color w:val="auto"/>
        </w:rPr>
      </w:pPr>
      <w:r>
        <w:rPr>
          <w:rFonts w:ascii="Arial" w:cs="Arial" w:eastAsia="Arial" w:hAnsi="Arial"/>
          <w:sz w:val="20"/>
          <w:szCs w:val="20"/>
          <w:color w:val="auto"/>
        </w:rPr>
        <w:t>If your shares are held by your broker, bank or other agent, you should follow the instructions provided by your broker, bank or other agent.</w:t>
      </w:r>
    </w:p>
    <w:p>
      <w:pPr>
        <w:spacing w:after="0" w:line="169" w:lineRule="exact"/>
        <w:rPr>
          <w:sz w:val="20"/>
          <w:szCs w:val="20"/>
          <w:color w:val="auto"/>
        </w:rPr>
      </w:pPr>
    </w:p>
    <w:p>
      <w:pPr>
        <w:ind w:right="880"/>
        <w:spacing w:after="0" w:line="298" w:lineRule="auto"/>
        <w:rPr>
          <w:sz w:val="20"/>
          <w:szCs w:val="20"/>
          <w:color w:val="auto"/>
        </w:rPr>
      </w:pPr>
      <w:r>
        <w:rPr>
          <w:rFonts w:ascii="Arial" w:cs="Arial" w:eastAsia="Arial" w:hAnsi="Arial"/>
          <w:sz w:val="20"/>
          <w:szCs w:val="20"/>
          <w:b w:val="1"/>
          <w:bCs w:val="1"/>
          <w:color w:val="auto"/>
        </w:rPr>
        <w:t>When are stockholder proposals and director nominations due for next year’s Annual Meeting?</w:t>
      </w:r>
    </w:p>
    <w:p>
      <w:pPr>
        <w:spacing w:after="0" w:line="150" w:lineRule="exact"/>
        <w:rPr>
          <w:sz w:val="20"/>
          <w:szCs w:val="20"/>
          <w:color w:val="auto"/>
        </w:rPr>
      </w:pPr>
    </w:p>
    <w:p>
      <w:pPr>
        <w:ind w:right="60" w:firstLine="360"/>
        <w:spacing w:after="0" w:line="254" w:lineRule="auto"/>
        <w:rPr>
          <w:sz w:val="20"/>
          <w:szCs w:val="20"/>
          <w:color w:val="auto"/>
        </w:rPr>
      </w:pPr>
      <w:r>
        <w:rPr>
          <w:rFonts w:ascii="Arial" w:cs="Arial" w:eastAsia="Arial" w:hAnsi="Arial"/>
          <w:sz w:val="20"/>
          <w:szCs w:val="20"/>
          <w:color w:val="auto"/>
        </w:rPr>
        <w:t>To be considered for inclusion in next year’s proxy materials, your proposal must be submitted in writing by December 14, 2023, to 6100 Merriweather Drive, 12th Floor, Columbia, Maryland 21044. If you wish to nominate an individual for election at, or bring business other than through a stockholder proposal before, the 2024 Annual Meeting of Stockholders, you must deliver your notice to our Corporate Secretary at the address above between January 25, 2024 and February 24, 2024. Your notice to the Corporate Secretary must set forth information specified in our bylaws, including your name and address and the class and number of shares of our stock that you beneficially own. In addition to satisfying the foregoing requirements under Tenable's bylaws, to comply with the universal proxy rules, stockholders who intend to solicit proxies in support of director nominees other than Tenable's nominees must provide notice that sets forth the information required by Rule 14a-19(b) under the Securities Exchange Act of 1934, as amended (the "Exchange Act").</w:t>
      </w:r>
    </w:p>
    <w:p>
      <w:pPr>
        <w:spacing w:after="0" w:line="203" w:lineRule="exact"/>
        <w:rPr>
          <w:sz w:val="20"/>
          <w:szCs w:val="20"/>
          <w:color w:val="auto"/>
        </w:rPr>
      </w:pPr>
    </w:p>
    <w:p>
      <w:pPr>
        <w:ind w:firstLine="360"/>
        <w:spacing w:after="0" w:line="252" w:lineRule="auto"/>
        <w:rPr>
          <w:sz w:val="20"/>
          <w:szCs w:val="20"/>
          <w:color w:val="auto"/>
        </w:rPr>
      </w:pPr>
      <w:r>
        <w:rPr>
          <w:rFonts w:ascii="Arial" w:cs="Arial" w:eastAsia="Arial" w:hAnsi="Arial"/>
          <w:sz w:val="20"/>
          <w:szCs w:val="20"/>
          <w:color w:val="auto"/>
        </w:rPr>
        <w:t>If you propose to bring business before an annual meeting of stockholders other than a director nomination, your notice must also include, as to each matter proposed, the following: (1) a brief description of the business desired to be brought before such annual meeting and the reasons for conducting that business at the annual meeting and (2) any material interest you have in that business. If you propose to nominate an individual for election as a director, your notice must also include, as to each person you propose to nominate for election as a director, the following: (1) the name, age, business address and residence address of the person, (2) the principal occupation or employment of the person, (3) the class and number of shares of our stock that are owned of record and beneficially owned by the person, (4) the date or dates on which the shares were acquired and the investment intent of the acquisition; (5) a statement whether such person, if elected, intends to tender, promptly following such person’s failure to receive the required vote for election or re-election at the next meeting at which such person would face election or re-election, an irrevocable resignation effective upon acceptance of such resignation by the Board of Directors and (6) any other information concerning the person as would be required to be disclosed in a proxy statement soliciting proxies for the election of that person as a director in an election contest (even if an election contest is not involved), or that is otherwise required to be disclosed pursuant to Section 14 of the Exchange Act, and the rules and regulations promulgated under the Exchange Act, including the person's written consent to being named as a nominee and to serving as a director if elected.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208" w:lineRule="exact"/>
        <w:rPr>
          <w:sz w:val="20"/>
          <w:szCs w:val="20"/>
          <w:color w:val="auto"/>
        </w:rPr>
      </w:pPr>
    </w:p>
    <w:p>
      <w:pPr>
        <w:ind w:right="820" w:firstLine="360"/>
        <w:spacing w:after="0" w:line="268" w:lineRule="auto"/>
        <w:rPr>
          <w:sz w:val="20"/>
          <w:szCs w:val="20"/>
          <w:color w:val="auto"/>
        </w:rPr>
      </w:pPr>
      <w:r>
        <w:rPr>
          <w:rFonts w:ascii="Arial" w:cs="Arial" w:eastAsia="Arial" w:hAnsi="Arial"/>
          <w:sz w:val="20"/>
          <w:szCs w:val="20"/>
          <w:color w:val="auto"/>
        </w:rPr>
        <w:t>For more information, and more detailed requirements, please refer to our Amended and Restated Bylaws, filed as Exhibit 3.4 to our Registration Statement on Form S-1 (File No. 333-226002), filed with the SEC on June 29, 2018.</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are votes counted?</w:t>
      </w:r>
    </w:p>
    <w:p>
      <w:pPr>
        <w:spacing w:after="0" w:line="251" w:lineRule="exact"/>
        <w:rPr>
          <w:sz w:val="20"/>
          <w:szCs w:val="20"/>
          <w:color w:val="auto"/>
        </w:rPr>
      </w:pPr>
    </w:p>
    <w:p>
      <w:pPr>
        <w:ind w:right="220" w:firstLine="360"/>
        <w:spacing w:after="0" w:line="289" w:lineRule="auto"/>
        <w:rPr>
          <w:sz w:val="20"/>
          <w:szCs w:val="20"/>
          <w:color w:val="auto"/>
        </w:rPr>
      </w:pPr>
      <w:r>
        <w:rPr>
          <w:rFonts w:ascii="Arial" w:cs="Arial" w:eastAsia="Arial" w:hAnsi="Arial"/>
          <w:sz w:val="19"/>
          <w:szCs w:val="19"/>
          <w:color w:val="auto"/>
        </w:rPr>
        <w:t>Votes will be counted by the inspector of election appointed for the meeting, who will separately count, for Proposal 1, the proposal to elect directors, votes “For,” “Withhold” and broker non-votes (described below); for Proposal 2, the proposal to ratify our independent auditors, votes “For,”</w:t>
      </w:r>
    </w:p>
    <w:p>
      <w:pPr>
        <w:sectPr>
          <w:pgSz w:w="11880" w:h="15480" w:orient="portrait"/>
          <w:cols w:equalWidth="0" w:num="1">
            <w:col w:w="9000"/>
          </w:cols>
          <w:pgMar w:left="1440" w:top="12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880" w:h="15480" w:orient="portrait"/>
          <w:cols w:equalWidth="0" w:num="1">
            <w:col w:w="9000"/>
          </w:cols>
          <w:pgMar w:left="1440" w:top="1205" w:right="1440" w:bottom="0" w:gutter="0" w:footer="0" w:header="0"/>
          <w:type w:val="continuous"/>
        </w:sectPr>
      </w:pPr>
    </w:p>
    <w:bookmarkStart w:id="16" w:name="page17"/>
    <w:bookmarkEnd w:id="16"/>
    <w:p>
      <w:pPr>
        <w:ind w:right="140"/>
        <w:spacing w:after="0" w:line="257" w:lineRule="auto"/>
        <w:rPr>
          <w:sz w:val="20"/>
          <w:szCs w:val="20"/>
          <w:color w:val="auto"/>
        </w:rPr>
      </w:pPr>
      <w:r>
        <w:rPr>
          <w:rFonts w:ascii="Arial" w:cs="Arial" w:eastAsia="Arial" w:hAnsi="Arial"/>
          <w:sz w:val="20"/>
          <w:szCs w:val="20"/>
          <w:color w:val="auto"/>
        </w:rPr>
        <w:t>“Against” and “Abstain”; and, for Proposal 3, the proposal to approve, on a non-binding advisory basis, the compensation of our Named Executive Officers, ”For," "Against" and “Abstain” and broker non-votes. If you “Abstain” it will be counted towards the vote total for Proposals 2 and 3. For Proposal 2 and 3, it will have the same effect as “Against” votes. Broker non-votes on Proposals 1 and 3 will have no effect and will not be counted toward the vote total for those proposals. We do not expect broker non-votes on Proposal 2.</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are “broker non-votes”?</w:t>
      </w:r>
    </w:p>
    <w:p>
      <w:pPr>
        <w:spacing w:after="0" w:line="251" w:lineRule="exact"/>
        <w:rPr>
          <w:sz w:val="20"/>
          <w:szCs w:val="20"/>
          <w:color w:val="auto"/>
        </w:rPr>
      </w:pPr>
    </w:p>
    <w:p>
      <w:pPr>
        <w:ind w:right="180" w:firstLine="360"/>
        <w:spacing w:after="0" w:line="256" w:lineRule="auto"/>
        <w:rPr>
          <w:sz w:val="20"/>
          <w:szCs w:val="20"/>
          <w:color w:val="auto"/>
        </w:rPr>
      </w:pPr>
      <w:r>
        <w:rPr>
          <w:rFonts w:ascii="Arial" w:cs="Arial" w:eastAsia="Arial" w:hAnsi="Arial"/>
          <w:sz w:val="20"/>
          <w:szCs w:val="20"/>
          <w:color w:val="auto"/>
        </w:rPr>
        <w:t>A "broker non-vote" occurs when your broker submits a proxy for the meeting with respect to "routine" matters but does not vote on "non-routine" matters because you did not provide voting instructions on such "non-routine" matters. These un-voted shares with respect to the "non-routine matters" are counted as “broker non-votes.” Proposals 1 and 3 are considered to be “non-routine” under applicable rules and we therefore expect broker non-votes on these proposals. However, as Proposal 2 is considered “routine” under applicable rules, we do not expect broker non-votes on this proposal.</w:t>
      </w:r>
    </w:p>
    <w:p>
      <w:pPr>
        <w:spacing w:after="0" w:line="204" w:lineRule="exact"/>
        <w:rPr>
          <w:sz w:val="20"/>
          <w:szCs w:val="20"/>
          <w:color w:val="auto"/>
        </w:rPr>
      </w:pPr>
    </w:p>
    <w:p>
      <w:pPr>
        <w:ind w:right="140" w:firstLine="360"/>
        <w:spacing w:after="0" w:line="265" w:lineRule="auto"/>
        <w:rPr>
          <w:sz w:val="20"/>
          <w:szCs w:val="20"/>
          <w:color w:val="auto"/>
        </w:rPr>
      </w:pPr>
      <w:r>
        <w:rPr>
          <w:rFonts w:ascii="Arial" w:cs="Arial" w:eastAsia="Arial" w:hAnsi="Arial"/>
          <w:sz w:val="20"/>
          <w:szCs w:val="20"/>
          <w:b w:val="1"/>
          <w:bCs w:val="1"/>
          <w:i w:val="1"/>
          <w:iCs w:val="1"/>
          <w:color w:val="auto"/>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many votes are needed to approve each proposal?</w:t>
      </w:r>
    </w:p>
    <w:p>
      <w:pPr>
        <w:spacing w:after="0" w:line="251" w:lineRule="exact"/>
        <w:rPr>
          <w:sz w:val="20"/>
          <w:szCs w:val="20"/>
          <w:color w:val="auto"/>
        </w:rPr>
      </w:pPr>
    </w:p>
    <w:p>
      <w:pPr>
        <w:ind w:right="80" w:firstLine="360"/>
        <w:spacing w:after="0" w:line="262" w:lineRule="auto"/>
        <w:rPr>
          <w:sz w:val="20"/>
          <w:szCs w:val="20"/>
          <w:color w:val="auto"/>
        </w:rPr>
      </w:pPr>
      <w:r>
        <w:rPr>
          <w:rFonts w:ascii="Arial" w:cs="Arial" w:eastAsia="Arial" w:hAnsi="Arial"/>
          <w:sz w:val="20"/>
          <w:szCs w:val="20"/>
          <w:color w:val="auto"/>
        </w:rPr>
        <w:t>For Proposal 1, the election of directors, the three nominees receiving the most “For” votes from the holders of shares present online at the meeting or represented by proxy and entitled to vote on the election of directors will be elected. Only votes “For” will affect the outcome. Broker non-votes will have no effect.</w:t>
      </w:r>
    </w:p>
    <w:p>
      <w:pPr>
        <w:spacing w:after="0" w:line="196" w:lineRule="exact"/>
        <w:rPr>
          <w:sz w:val="20"/>
          <w:szCs w:val="20"/>
          <w:color w:val="auto"/>
        </w:rPr>
      </w:pPr>
    </w:p>
    <w:p>
      <w:pPr>
        <w:ind w:right="20" w:firstLine="360"/>
        <w:spacing w:after="0" w:line="257" w:lineRule="auto"/>
        <w:rPr>
          <w:sz w:val="20"/>
          <w:szCs w:val="20"/>
          <w:color w:val="auto"/>
        </w:rPr>
      </w:pPr>
      <w:r>
        <w:rPr>
          <w:rFonts w:ascii="Arial" w:cs="Arial" w:eastAsia="Arial" w:hAnsi="Arial"/>
          <w:sz w:val="20"/>
          <w:szCs w:val="20"/>
          <w:color w:val="auto"/>
        </w:rPr>
        <w:t>To be approved, Proposal 2, ratification of the selection of Ernst &amp; Young LLP as the Company’s independent registered public accounting firm for 2023, must receive “For” votes from the holders of a majority of shares present online at the meeting or represented by proxy and entitled to vote on the matter. If you “Abstain” from voting, it will have the same effect as an “Against” vote. Since brokers have the authority to vote on your behalf with respect to Proposal 2, we do not expect broker non-votes on this proposal.</w:t>
      </w:r>
    </w:p>
    <w:p>
      <w:pPr>
        <w:spacing w:after="0" w:line="202" w:lineRule="exact"/>
        <w:rPr>
          <w:sz w:val="20"/>
          <w:szCs w:val="20"/>
          <w:color w:val="auto"/>
        </w:rPr>
      </w:pPr>
    </w:p>
    <w:p>
      <w:pPr>
        <w:ind w:right="160" w:firstLine="360"/>
        <w:spacing w:after="0" w:line="259" w:lineRule="auto"/>
        <w:rPr>
          <w:sz w:val="20"/>
          <w:szCs w:val="20"/>
          <w:color w:val="auto"/>
        </w:rPr>
      </w:pPr>
      <w:r>
        <w:rPr>
          <w:rFonts w:ascii="Arial" w:cs="Arial" w:eastAsia="Arial" w:hAnsi="Arial"/>
          <w:sz w:val="20"/>
          <w:szCs w:val="20"/>
          <w:color w:val="auto"/>
        </w:rPr>
        <w:t>For Proposal 3, advisory approval of the compensation of our Named Executive Officers will be considered to be approved if it receives "For" votes from the holders of a majority of the shares present online at the meeting or represented by proxy and entitled to vote thereon to be approved. If you “Abstain” from voting, it will have the same effect as an “Against” vote on this proposal. Broker non-votes will have no effect.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the quorum requirement?</w:t>
      </w:r>
    </w:p>
    <w:p>
      <w:pPr>
        <w:spacing w:after="0" w:line="251" w:lineRule="exact"/>
        <w:rPr>
          <w:sz w:val="20"/>
          <w:szCs w:val="20"/>
          <w:color w:val="auto"/>
        </w:rPr>
      </w:pPr>
    </w:p>
    <w:p>
      <w:pPr>
        <w:ind w:right="80" w:firstLine="360"/>
        <w:spacing w:after="0" w:line="259" w:lineRule="auto"/>
        <w:rPr>
          <w:sz w:val="20"/>
          <w:szCs w:val="20"/>
          <w:color w:val="auto"/>
        </w:rPr>
      </w:pPr>
      <w:r>
        <w:rPr>
          <w:rFonts w:ascii="Arial" w:cs="Arial" w:eastAsia="Arial" w:hAnsi="Arial"/>
          <w:sz w:val="20"/>
          <w:szCs w:val="20"/>
          <w:color w:val="auto"/>
        </w:rPr>
        <w:t>A quorum of stockholders is necessary to hold a valid meeting. A quorum will be present if stockholders holding at least a majority of the voting power of the outstanding shares entitled to vote are present online at the meeting or represented by proxy. On the Record Date, there were 114,743,345 shares outstanding and entitled to vote. Thus, the holders of 57,371,673 shares must be present online at the meeting or represented by proxy at the meeting to have a quorum.</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880" w:h="15480" w:orient="portrait"/>
          <w:cols w:equalWidth="0" w:num="1">
            <w:col w:w="9000"/>
          </w:cols>
          <w:pgMar w:left="1440" w:top="1204" w:right="1440" w:bottom="0" w:gutter="0" w:footer="0" w:header="0"/>
          <w:type w:val="continuous"/>
        </w:sectPr>
      </w:pPr>
    </w:p>
    <w:bookmarkStart w:id="17" w:name="page18"/>
    <w:bookmarkEnd w:id="17"/>
    <w:p>
      <w:pPr>
        <w:ind w:right="120" w:firstLine="360"/>
        <w:spacing w:after="0" w:line="268" w:lineRule="auto"/>
        <w:rPr>
          <w:sz w:val="20"/>
          <w:szCs w:val="20"/>
          <w:color w:val="auto"/>
        </w:rPr>
      </w:pPr>
      <w:r>
        <w:rPr>
          <w:rFonts w:ascii="Arial" w:cs="Arial" w:eastAsia="Arial" w:hAnsi="Arial"/>
          <w:sz w:val="20"/>
          <w:szCs w:val="20"/>
          <w:color w:val="auto"/>
        </w:rPr>
        <w:t>Abstentions and broker non-votes will be counted towards the quorum requirement. If there is no quorum, the chairperson of the meeting or the holders of a majority of shares present online at the meeting or represented by proxy may adjourn the meeting to another date.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 a list of record stockholders as of the Record Date be available?</w:t>
      </w:r>
    </w:p>
    <w:p>
      <w:pPr>
        <w:spacing w:after="0" w:line="251" w:lineRule="exact"/>
        <w:rPr>
          <w:sz w:val="20"/>
          <w:szCs w:val="20"/>
          <w:color w:val="auto"/>
        </w:rPr>
      </w:pPr>
    </w:p>
    <w:p>
      <w:pPr>
        <w:ind w:right="20" w:firstLine="360"/>
        <w:spacing w:after="0" w:line="257" w:lineRule="auto"/>
        <w:rPr>
          <w:sz w:val="20"/>
          <w:szCs w:val="20"/>
          <w:color w:val="auto"/>
        </w:rPr>
      </w:pPr>
      <w:r>
        <w:rPr>
          <w:rFonts w:ascii="Arial" w:cs="Arial" w:eastAsia="Arial" w:hAnsi="Arial"/>
          <w:sz w:val="20"/>
          <w:szCs w:val="20"/>
          <w:color w:val="auto"/>
        </w:rPr>
        <w:t>Upon request, a list of our record stockholders as of the close of business on the Record Date will be made available to stockholders. In addition, for the ten days ending the day prior to the Annual Meeting, the list will be available upon request for examination by any stockholder of record for a legally valid purpose. To access the list of record stockholders beginning May 14, 2023 and until the Annual Meeting, stockholders should email David Bartholomew, VP, Deputy General Counsel, at dbartholomew@tenable.com.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ask a question at the Annual Meeting?</w:t>
      </w:r>
    </w:p>
    <w:p>
      <w:pPr>
        <w:spacing w:after="0" w:line="251" w:lineRule="exact"/>
        <w:rPr>
          <w:sz w:val="20"/>
          <w:szCs w:val="20"/>
          <w:color w:val="auto"/>
        </w:rPr>
      </w:pPr>
    </w:p>
    <w:p>
      <w:pPr>
        <w:ind w:right="60" w:firstLine="360"/>
        <w:spacing w:after="0" w:line="262" w:lineRule="auto"/>
        <w:rPr>
          <w:sz w:val="20"/>
          <w:szCs w:val="20"/>
          <w:color w:val="auto"/>
        </w:rPr>
      </w:pPr>
      <w:r>
        <w:rPr>
          <w:rFonts w:ascii="Arial" w:cs="Arial" w:eastAsia="Arial" w:hAnsi="Arial"/>
          <w:sz w:val="20"/>
          <w:szCs w:val="20"/>
          <w:color w:val="auto"/>
        </w:rPr>
        <w:t>Only stockholders of record as of March 30, 2023 may submit questions or comments in advance of the virtual stockholders meeting. If you would like to submit a question or comment, you may do so prior to 5:00 p.m. Eastern Time on May 21, 2023 by following the instructions in your registration documents on https://www.proxydocs.com/TENB.</w:t>
      </w:r>
    </w:p>
    <w:p>
      <w:pPr>
        <w:spacing w:after="0" w:line="196" w:lineRule="exact"/>
        <w:rPr>
          <w:sz w:val="20"/>
          <w:szCs w:val="20"/>
          <w:color w:val="auto"/>
        </w:rPr>
      </w:pPr>
    </w:p>
    <w:p>
      <w:pPr>
        <w:ind w:right="40" w:firstLine="360"/>
        <w:spacing w:after="0" w:line="269" w:lineRule="auto"/>
        <w:rPr>
          <w:sz w:val="20"/>
          <w:szCs w:val="20"/>
          <w:color w:val="auto"/>
        </w:rPr>
      </w:pPr>
      <w:r>
        <w:rPr>
          <w:rFonts w:ascii="Arial" w:cs="Arial" w:eastAsia="Arial" w:hAnsi="Arial"/>
          <w:sz w:val="19"/>
          <w:szCs w:val="19"/>
          <w:color w:val="auto"/>
        </w:rPr>
        <w:t>To help ensure that we have a productive and efficient meeting, and in fairness to all stockholders in attendance, you will also find posted our rules of conduct for the Annual Meeting when you log in prior to the start of the Annual Meeting. In accordance with the rules of conduct, we ask that you limit your submission to one brief question or comment that is relevant to the Annual Meeting or our business and that such remarks are respectful of your fellow stockholders and meeting participants. Our management may group submitted questions by topic with a representative question read aloud and answered. In addition, questions may be ruled out of order if they are, among other things, irrelevant to our business, related to pending or threatened litigation, disorderly, repetitious of statements already made, or in furtherance of the speaker's own personal, political or business interests. Questions will be addressed in the "Question and Answer" portion of the Annual Meeting.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do I do if I have technical difficulties in connection with the Annual Meeting?</w:t>
      </w:r>
    </w:p>
    <w:p>
      <w:pPr>
        <w:spacing w:after="0" w:line="251" w:lineRule="exact"/>
        <w:rPr>
          <w:sz w:val="20"/>
          <w:szCs w:val="20"/>
          <w:color w:val="auto"/>
        </w:rPr>
      </w:pPr>
    </w:p>
    <w:p>
      <w:pPr>
        <w:ind w:right="40" w:firstLine="360"/>
        <w:spacing w:after="0" w:line="262" w:lineRule="auto"/>
        <w:rPr>
          <w:sz w:val="20"/>
          <w:szCs w:val="20"/>
          <w:color w:val="auto"/>
        </w:rPr>
      </w:pPr>
      <w:r>
        <w:rPr>
          <w:rFonts w:ascii="Arial" w:cs="Arial" w:eastAsia="Arial" w:hAnsi="Arial"/>
          <w:sz w:val="20"/>
          <w:szCs w:val="20"/>
          <w:color w:val="auto"/>
        </w:rPr>
        <w:t>If you encounter any difficulties accessing the virtual meeting during the check-in or meeting time, please call the technical support number that will be posted on the Annual Meeting login page. Technical support will be available beginning at approximately 12:00 p.m. Eastern time on May 24, 2023.</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can I find out the results of the voting at the Annual Meeting?</w:t>
      </w:r>
    </w:p>
    <w:p>
      <w:pPr>
        <w:spacing w:after="0" w:line="251" w:lineRule="exact"/>
        <w:rPr>
          <w:sz w:val="20"/>
          <w:szCs w:val="20"/>
          <w:color w:val="auto"/>
        </w:rPr>
      </w:pPr>
    </w:p>
    <w:p>
      <w:pPr>
        <w:ind w:right="20" w:firstLine="360"/>
        <w:spacing w:after="0" w:line="257" w:lineRule="auto"/>
        <w:rPr>
          <w:sz w:val="20"/>
          <w:szCs w:val="20"/>
          <w:color w:val="auto"/>
        </w:rPr>
      </w:pPr>
      <w:r>
        <w:rPr>
          <w:rFonts w:ascii="Arial" w:cs="Arial" w:eastAsia="Arial" w:hAnsi="Arial"/>
          <w:sz w:val="20"/>
          <w:szCs w:val="20"/>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880" w:h="15480" w:orient="portrait"/>
          <w:cols w:equalWidth="0" w:num="1">
            <w:col w:w="9000"/>
          </w:cols>
          <w:pgMar w:left="1440" w:top="1204" w:right="1440" w:bottom="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20"/>
          <w:szCs w:val="20"/>
          <w:b w:val="1"/>
          <w:bCs w:val="1"/>
          <w:color w:val="auto"/>
        </w:rPr>
        <w:t>PROPOSAL 1</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ELECTION OF DIRECTORS</w:t>
      </w:r>
    </w:p>
    <w:p>
      <w:pPr>
        <w:spacing w:after="0" w:line="251" w:lineRule="exact"/>
        <w:rPr>
          <w:sz w:val="20"/>
          <w:szCs w:val="20"/>
          <w:color w:val="auto"/>
        </w:rPr>
      </w:pPr>
    </w:p>
    <w:p>
      <w:pPr>
        <w:ind w:firstLine="360"/>
        <w:spacing w:after="0" w:line="259" w:lineRule="auto"/>
        <w:rPr>
          <w:sz w:val="20"/>
          <w:szCs w:val="20"/>
          <w:color w:val="auto"/>
        </w:rPr>
      </w:pPr>
      <w:r>
        <w:rPr>
          <w:rFonts w:ascii="Arial" w:cs="Arial" w:eastAsia="Arial" w:hAnsi="Arial"/>
          <w:sz w:val="20"/>
          <w:szCs w:val="20"/>
          <w:color w:val="auto"/>
        </w:rPr>
        <w:t>Tenable’s Board of Directors is divided into three classes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199" w:lineRule="exact"/>
        <w:rPr>
          <w:sz w:val="20"/>
          <w:szCs w:val="20"/>
          <w:color w:val="auto"/>
        </w:rPr>
      </w:pPr>
    </w:p>
    <w:p>
      <w:pPr>
        <w:ind w:right="40" w:firstLine="360"/>
        <w:spacing w:after="0" w:line="255" w:lineRule="auto"/>
        <w:rPr>
          <w:sz w:val="20"/>
          <w:szCs w:val="20"/>
          <w:color w:val="auto"/>
        </w:rPr>
      </w:pPr>
      <w:r>
        <w:rPr>
          <w:rFonts w:ascii="Arial" w:cs="Arial" w:eastAsia="Arial" w:hAnsi="Arial"/>
          <w:sz w:val="20"/>
          <w:szCs w:val="20"/>
          <w:color w:val="auto"/>
        </w:rPr>
        <w:t>The Board of Directors currently consists of eight members. There are three directors in the class whose term of office expires in 2023. Messrs. Huffard and Seawell were previously elected by Tenable's stockholders. Mr. Vicks was recommended to the Board by a member of senior management, nominated by the Nominating and Corporate Governance Committee, and elected by the Board to fill a vacancy. If elected at the Annual Meeting, each of these nominees would serve until the 2026 Annual Meeting of Stockholders and until their successor has been duly elected and qualified, or, if sooner, until the director’s death, resignation or removal. It is the Company’s policy to invite and encourage directors and nominees for director to attend each annual meeting of stockholders. In 2022, all of our then-serving directors attended the Annual Meeting.</w:t>
      </w:r>
    </w:p>
    <w:p>
      <w:pPr>
        <w:spacing w:after="0" w:line="201" w:lineRule="exact"/>
        <w:rPr>
          <w:sz w:val="20"/>
          <w:szCs w:val="20"/>
          <w:color w:val="auto"/>
        </w:rPr>
      </w:pPr>
    </w:p>
    <w:p>
      <w:pPr>
        <w:ind w:right="60" w:firstLine="360"/>
        <w:spacing w:after="0" w:line="255" w:lineRule="auto"/>
        <w:rPr>
          <w:sz w:val="20"/>
          <w:szCs w:val="20"/>
          <w:color w:val="auto"/>
        </w:rPr>
      </w:pPr>
      <w:r>
        <w:rPr>
          <w:rFonts w:ascii="Arial" w:cs="Arial" w:eastAsia="Arial" w:hAnsi="Arial"/>
          <w:sz w:val="20"/>
          <w:szCs w:val="20"/>
          <w:color w:val="auto"/>
        </w:rPr>
        <w:t>Directors are elected by a plurality of the votes of the holders of shares present online at the meeting or represented by proxy and entitled to vote on the election of directors. Accordingly, the three nominees receiving the highest number of affirmative votes will be elected. Shares represented by executed proxies will be voted, if authority to do so is not withheld, for the election of the three nominees named below. If any nominee becomes unavailable for election as a result of an unexpected occurrence, shares that would have been voted for that nominee will instead be voted for the election of a substitute nominee proposed by the Board. Each person nominated for election has agreed to serve if elected. The Company’s management has no reason to believe that any nominee will be unable to serve.</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includes diversity information regarding our directors as of March 30,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0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Female</w:t>
            </w:r>
          </w:p>
        </w:tc>
        <w:tc>
          <w:tcPr>
            <w:tcW w:w="3620" w:type="dxa"/>
            <w:vAlign w:val="bottom"/>
            <w:tcBorders>
              <w:bottom w:val="single" w:sz="8" w:color="auto"/>
            </w:tcBorders>
          </w:tcPr>
          <w:p>
            <w:pPr>
              <w:jc w:val="center"/>
              <w:ind w:left="480"/>
              <w:spacing w:after="0"/>
              <w:rPr>
                <w:sz w:val="20"/>
                <w:szCs w:val="20"/>
                <w:color w:val="auto"/>
              </w:rPr>
            </w:pPr>
            <w:r>
              <w:rPr>
                <w:rFonts w:ascii="Arial" w:cs="Arial" w:eastAsia="Arial" w:hAnsi="Arial"/>
                <w:sz w:val="20"/>
                <w:szCs w:val="20"/>
                <w:b w:val="1"/>
                <w:bCs w:val="1"/>
                <w:color w:val="auto"/>
                <w:w w:val="98"/>
              </w:rPr>
              <w:t>Male</w:t>
            </w:r>
          </w:p>
        </w:tc>
      </w:tr>
      <w:tr>
        <w:trPr>
          <w:trHeight w:val="297"/>
        </w:trPr>
        <w:tc>
          <w:tcPr>
            <w:tcW w:w="3700" w:type="dxa"/>
            <w:vAlign w:val="bottom"/>
            <w:gridSpan w:val="2"/>
          </w:tcPr>
          <w:p>
            <w:pPr>
              <w:ind w:left="60"/>
              <w:spacing w:after="0"/>
              <w:rPr>
                <w:sz w:val="20"/>
                <w:szCs w:val="20"/>
                <w:color w:val="auto"/>
              </w:rPr>
            </w:pPr>
            <w:r>
              <w:rPr>
                <w:rFonts w:ascii="Arial" w:cs="Arial" w:eastAsia="Arial" w:hAnsi="Arial"/>
                <w:sz w:val="20"/>
                <w:szCs w:val="20"/>
                <w:color w:val="auto"/>
              </w:rPr>
              <w:t>Total Number of Directors</w:t>
            </w:r>
          </w:p>
        </w:tc>
        <w:tc>
          <w:tcPr>
            <w:tcW w:w="1700" w:type="dxa"/>
            <w:vAlign w:val="bottom"/>
          </w:tcPr>
          <w:p>
            <w:pPr>
              <w:spacing w:after="0"/>
              <w:rPr>
                <w:sz w:val="24"/>
                <w:szCs w:val="24"/>
                <w:color w:val="auto"/>
              </w:rPr>
            </w:pPr>
          </w:p>
        </w:tc>
        <w:tc>
          <w:tcPr>
            <w:tcW w:w="3620" w:type="dxa"/>
            <w:vAlign w:val="bottom"/>
          </w:tcPr>
          <w:p>
            <w:pPr>
              <w:jc w:val="right"/>
              <w:ind w:right="2860"/>
              <w:spacing w:after="0"/>
              <w:rPr>
                <w:sz w:val="20"/>
                <w:szCs w:val="20"/>
                <w:color w:val="auto"/>
              </w:rPr>
            </w:pPr>
            <w:r>
              <w:rPr>
                <w:rFonts w:ascii="Arial" w:cs="Arial" w:eastAsia="Arial" w:hAnsi="Arial"/>
                <w:sz w:val="20"/>
                <w:szCs w:val="20"/>
                <w:color w:val="auto"/>
              </w:rPr>
              <w:t>8</w:t>
            </w:r>
          </w:p>
        </w:tc>
      </w:tr>
      <w:tr>
        <w:trPr>
          <w:trHeight w:val="313"/>
        </w:trPr>
        <w:tc>
          <w:tcPr>
            <w:tcW w:w="370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b w:val="1"/>
                <w:bCs w:val="1"/>
                <w:color w:val="auto"/>
              </w:rPr>
              <w:t>Part I: Gender Identity</w:t>
            </w:r>
          </w:p>
        </w:tc>
        <w:tc>
          <w:tcPr>
            <w:tcW w:w="1700" w:type="dxa"/>
            <w:vAlign w:val="bottom"/>
            <w:tcBorders>
              <w:bottom w:val="single" w:sz="8" w:color="auto"/>
            </w:tcBorders>
          </w:tcPr>
          <w:p>
            <w:pPr>
              <w:spacing w:after="0"/>
              <w:rPr>
                <w:sz w:val="24"/>
                <w:szCs w:val="24"/>
                <w:color w:val="auto"/>
              </w:rPr>
            </w:pPr>
          </w:p>
        </w:tc>
        <w:tc>
          <w:tcPr>
            <w:tcW w:w="3620" w:type="dxa"/>
            <w:vAlign w:val="bottom"/>
            <w:tcBorders>
              <w:bottom w:val="single" w:sz="8" w:color="auto"/>
              <w:right w:val="single" w:sz="8" w:color="D2EDF0"/>
            </w:tcBorders>
          </w:tcPr>
          <w:p>
            <w:pPr>
              <w:spacing w:after="0"/>
              <w:rPr>
                <w:sz w:val="24"/>
                <w:szCs w:val="24"/>
                <w:color w:val="auto"/>
              </w:rPr>
            </w:pPr>
          </w:p>
        </w:tc>
      </w:tr>
      <w:tr>
        <w:trPr>
          <w:trHeight w:val="297"/>
        </w:trPr>
        <w:tc>
          <w:tcPr>
            <w:tcW w:w="3700" w:type="dxa"/>
            <w:vAlign w:val="bottom"/>
            <w:gridSpan w:val="2"/>
          </w:tcPr>
          <w:p>
            <w:pPr>
              <w:ind w:left="60"/>
              <w:spacing w:after="0"/>
              <w:rPr>
                <w:sz w:val="20"/>
                <w:szCs w:val="20"/>
                <w:color w:val="auto"/>
              </w:rPr>
            </w:pPr>
            <w:r>
              <w:rPr>
                <w:rFonts w:ascii="Arial" w:cs="Arial" w:eastAsia="Arial" w:hAnsi="Arial"/>
                <w:sz w:val="20"/>
                <w:szCs w:val="20"/>
                <w:color w:val="auto"/>
              </w:rPr>
              <w:t>Directors</w:t>
            </w:r>
          </w:p>
        </w:tc>
        <w:tc>
          <w:tcPr>
            <w:tcW w:w="1700" w:type="dxa"/>
            <w:vAlign w:val="bottom"/>
          </w:tcPr>
          <w:p>
            <w:pPr>
              <w:jc w:val="center"/>
              <w:spacing w:after="0"/>
              <w:rPr>
                <w:sz w:val="20"/>
                <w:szCs w:val="20"/>
                <w:color w:val="auto"/>
              </w:rPr>
            </w:pPr>
            <w:r>
              <w:rPr>
                <w:rFonts w:ascii="Arial" w:cs="Arial" w:eastAsia="Arial" w:hAnsi="Arial"/>
                <w:sz w:val="20"/>
                <w:szCs w:val="20"/>
                <w:color w:val="auto"/>
              </w:rPr>
              <w:t>2</w:t>
            </w:r>
          </w:p>
        </w:tc>
        <w:tc>
          <w:tcPr>
            <w:tcW w:w="3620" w:type="dxa"/>
            <w:vAlign w:val="bottom"/>
          </w:tcPr>
          <w:p>
            <w:pPr>
              <w:jc w:val="center"/>
              <w:ind w:left="480"/>
              <w:spacing w:after="0"/>
              <w:rPr>
                <w:sz w:val="20"/>
                <w:szCs w:val="20"/>
                <w:color w:val="auto"/>
              </w:rPr>
            </w:pPr>
            <w:r>
              <w:rPr>
                <w:rFonts w:ascii="Arial" w:cs="Arial" w:eastAsia="Arial" w:hAnsi="Arial"/>
                <w:sz w:val="20"/>
                <w:szCs w:val="20"/>
                <w:color w:val="auto"/>
              </w:rPr>
              <w:t>6</w:t>
            </w:r>
          </w:p>
        </w:tc>
      </w:tr>
      <w:tr>
        <w:trPr>
          <w:trHeight w:val="313"/>
        </w:trPr>
        <w:tc>
          <w:tcPr>
            <w:tcW w:w="370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b w:val="1"/>
                <w:bCs w:val="1"/>
                <w:color w:val="auto"/>
              </w:rPr>
              <w:t>Part II: Demographic Background</w:t>
            </w:r>
          </w:p>
        </w:tc>
        <w:tc>
          <w:tcPr>
            <w:tcW w:w="1700" w:type="dxa"/>
            <w:vAlign w:val="bottom"/>
            <w:tcBorders>
              <w:bottom w:val="single" w:sz="8" w:color="auto"/>
            </w:tcBorders>
          </w:tcPr>
          <w:p>
            <w:pPr>
              <w:spacing w:after="0"/>
              <w:rPr>
                <w:sz w:val="24"/>
                <w:szCs w:val="24"/>
                <w:color w:val="auto"/>
              </w:rPr>
            </w:pPr>
          </w:p>
        </w:tc>
        <w:tc>
          <w:tcPr>
            <w:tcW w:w="3620" w:type="dxa"/>
            <w:vAlign w:val="bottom"/>
            <w:tcBorders>
              <w:bottom w:val="single" w:sz="8" w:color="auto"/>
              <w:right w:val="single" w:sz="8" w:color="D2EDF0"/>
            </w:tcBorders>
          </w:tcPr>
          <w:p>
            <w:pPr>
              <w:spacing w:after="0"/>
              <w:rPr>
                <w:sz w:val="24"/>
                <w:szCs w:val="24"/>
                <w:color w:val="auto"/>
              </w:rPr>
            </w:pPr>
          </w:p>
        </w:tc>
      </w:tr>
      <w:tr>
        <w:trPr>
          <w:trHeight w:val="297"/>
        </w:trPr>
        <w:tc>
          <w:tcPr>
            <w:tcW w:w="3700" w:type="dxa"/>
            <w:vAlign w:val="bottom"/>
            <w:gridSpan w:val="2"/>
          </w:tcPr>
          <w:p>
            <w:pPr>
              <w:ind w:left="60"/>
              <w:spacing w:after="0"/>
              <w:rPr>
                <w:sz w:val="20"/>
                <w:szCs w:val="20"/>
                <w:color w:val="auto"/>
              </w:rPr>
            </w:pPr>
            <w:r>
              <w:rPr>
                <w:rFonts w:ascii="Arial" w:cs="Arial" w:eastAsia="Arial" w:hAnsi="Arial"/>
                <w:sz w:val="20"/>
                <w:szCs w:val="20"/>
                <w:color w:val="auto"/>
              </w:rPr>
              <w:t>African American or Black</w:t>
            </w:r>
          </w:p>
        </w:tc>
        <w:tc>
          <w:tcPr>
            <w:tcW w:w="1700" w:type="dxa"/>
            <w:vAlign w:val="bottom"/>
          </w:tcPr>
          <w:p>
            <w:pPr>
              <w:jc w:val="center"/>
              <w:spacing w:after="0"/>
              <w:rPr>
                <w:sz w:val="20"/>
                <w:szCs w:val="20"/>
                <w:color w:val="auto"/>
              </w:rPr>
            </w:pPr>
            <w:r>
              <w:rPr>
                <w:rFonts w:ascii="Arial" w:cs="Arial" w:eastAsia="Arial" w:hAnsi="Arial"/>
                <w:sz w:val="20"/>
                <w:szCs w:val="20"/>
                <w:color w:val="auto"/>
              </w:rPr>
              <w:t>0</w:t>
            </w:r>
          </w:p>
        </w:tc>
        <w:tc>
          <w:tcPr>
            <w:tcW w:w="3620" w:type="dxa"/>
            <w:vAlign w:val="bottom"/>
          </w:tcPr>
          <w:p>
            <w:pPr>
              <w:jc w:val="center"/>
              <w:ind w:left="480"/>
              <w:spacing w:after="0"/>
              <w:rPr>
                <w:sz w:val="20"/>
                <w:szCs w:val="20"/>
                <w:color w:val="auto"/>
              </w:rPr>
            </w:pPr>
            <w:r>
              <w:rPr>
                <w:rFonts w:ascii="Arial" w:cs="Arial" w:eastAsia="Arial" w:hAnsi="Arial"/>
                <w:sz w:val="20"/>
                <w:szCs w:val="20"/>
                <w:color w:val="auto"/>
              </w:rPr>
              <w:t>1</w:t>
            </w:r>
          </w:p>
        </w:tc>
      </w:tr>
      <w:tr>
        <w:trPr>
          <w:trHeight w:val="315"/>
        </w:trPr>
        <w:tc>
          <w:tcPr>
            <w:tcW w:w="3700" w:type="dxa"/>
            <w:vAlign w:val="bottom"/>
            <w:gridSpan w:val="2"/>
          </w:tcPr>
          <w:p>
            <w:pPr>
              <w:ind w:left="60"/>
              <w:spacing w:after="0"/>
              <w:rPr>
                <w:sz w:val="20"/>
                <w:szCs w:val="20"/>
                <w:color w:val="auto"/>
              </w:rPr>
            </w:pPr>
            <w:r>
              <w:rPr>
                <w:rFonts w:ascii="Arial" w:cs="Arial" w:eastAsia="Arial" w:hAnsi="Arial"/>
                <w:sz w:val="20"/>
                <w:szCs w:val="20"/>
                <w:color w:val="auto"/>
              </w:rPr>
              <w:t>White</w:t>
            </w:r>
          </w:p>
        </w:tc>
        <w:tc>
          <w:tcPr>
            <w:tcW w:w="1700" w:type="dxa"/>
            <w:vAlign w:val="bottom"/>
          </w:tcPr>
          <w:p>
            <w:pPr>
              <w:jc w:val="center"/>
              <w:spacing w:after="0"/>
              <w:rPr>
                <w:sz w:val="20"/>
                <w:szCs w:val="20"/>
                <w:color w:val="auto"/>
              </w:rPr>
            </w:pPr>
            <w:r>
              <w:rPr>
                <w:rFonts w:ascii="Arial" w:cs="Arial" w:eastAsia="Arial" w:hAnsi="Arial"/>
                <w:sz w:val="20"/>
                <w:szCs w:val="20"/>
                <w:color w:val="auto"/>
              </w:rPr>
              <w:t>2</w:t>
            </w:r>
          </w:p>
        </w:tc>
        <w:tc>
          <w:tcPr>
            <w:tcW w:w="3620" w:type="dxa"/>
            <w:vAlign w:val="bottom"/>
          </w:tcPr>
          <w:p>
            <w:pPr>
              <w:jc w:val="center"/>
              <w:ind w:left="480"/>
              <w:spacing w:after="0"/>
              <w:rPr>
                <w:sz w:val="20"/>
                <w:szCs w:val="20"/>
                <w:color w:val="auto"/>
              </w:rPr>
            </w:pPr>
            <w:r>
              <w:rPr>
                <w:rFonts w:ascii="Arial" w:cs="Arial" w:eastAsia="Arial" w:hAnsi="Arial"/>
                <w:sz w:val="20"/>
                <w:szCs w:val="20"/>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-1007110</wp:posOffset>
            </wp:positionV>
            <wp:extent cx="5740400" cy="625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0400" cy="625475"/>
                    </a:xfrm>
                    <a:prstGeom prst="rect">
                      <a:avLst/>
                    </a:prstGeom>
                    <a:noFill/>
                  </pic:spPr>
                </pic:pic>
              </a:graphicData>
            </a:graphic>
          </wp:anchor>
        </w:drawing>
      </w:r>
    </w:p>
    <w:p>
      <w:pPr>
        <w:spacing w:after="0" w:line="272" w:lineRule="exact"/>
        <w:rPr>
          <w:sz w:val="20"/>
          <w:szCs w:val="20"/>
          <w:color w:val="auto"/>
        </w:rPr>
      </w:pPr>
    </w:p>
    <w:p>
      <w:pPr>
        <w:ind w:right="360"/>
        <w:spacing w:after="0" w:line="287" w:lineRule="auto"/>
        <w:rPr>
          <w:sz w:val="20"/>
          <w:szCs w:val="20"/>
          <w:color w:val="auto"/>
        </w:rPr>
      </w:pPr>
      <w:r>
        <w:rPr>
          <w:rFonts w:ascii="Arial" w:cs="Arial" w:eastAsia="Arial" w:hAnsi="Arial"/>
          <w:sz w:val="20"/>
          <w:szCs w:val="20"/>
          <w:color w:val="auto"/>
        </w:rPr>
        <w:t>Our Board Diversity Matrix as of March 31, 2022 can be found in our proxy statement for the 2022 Annual Meeting filed with the SEC on April 13, 2022.</w:t>
      </w:r>
    </w:p>
    <w:p>
      <w:pPr>
        <w:spacing w:after="0" w:line="169" w:lineRule="exact"/>
        <w:rPr>
          <w:sz w:val="20"/>
          <w:szCs w:val="20"/>
          <w:color w:val="auto"/>
        </w:rPr>
      </w:pPr>
    </w:p>
    <w:p>
      <w:pPr>
        <w:ind w:right="560"/>
        <w:spacing w:after="0" w:line="298" w:lineRule="auto"/>
        <w:rPr>
          <w:sz w:val="20"/>
          <w:szCs w:val="20"/>
          <w:color w:val="auto"/>
        </w:rPr>
      </w:pPr>
      <w:r>
        <w:rPr>
          <w:rFonts w:ascii="Arial" w:cs="Arial" w:eastAsia="Arial" w:hAnsi="Arial"/>
          <w:sz w:val="20"/>
          <w:szCs w:val="20"/>
          <w:b w:val="1"/>
          <w:bCs w:val="1"/>
          <w:color w:val="auto"/>
        </w:rPr>
        <w:t>CLASS II NOMINEES FOR ELECTION FOR A THREE-YEAR TERM EXPIRING AT THE 2026 ANNUAL MEETING</w:t>
      </w:r>
    </w:p>
    <w:p>
      <w:pPr>
        <w:spacing w:after="0" w:line="150" w:lineRule="exact"/>
        <w:rPr>
          <w:sz w:val="20"/>
          <w:szCs w:val="20"/>
          <w:color w:val="auto"/>
        </w:rPr>
      </w:pPr>
    </w:p>
    <w:p>
      <w:pPr>
        <w:ind w:right="120" w:firstLine="360"/>
        <w:spacing w:after="0" w:line="262" w:lineRule="auto"/>
        <w:rPr>
          <w:sz w:val="20"/>
          <w:szCs w:val="20"/>
          <w:color w:val="auto"/>
        </w:rPr>
      </w:pPr>
      <w:r>
        <w:rPr>
          <w:rFonts w:ascii="Arial" w:cs="Arial" w:eastAsia="Arial" w:hAnsi="Arial"/>
          <w:sz w:val="20"/>
          <w:szCs w:val="20"/>
          <w:color w:val="auto"/>
        </w:rPr>
        <w:t>The following is a brief biography of each nominee for director and a discussion of the specific experience, qualifications, attributes or skills of each nominee that led the Nominating and Corporate Governance Committee of the Board of Directors to recommend that person as a nominee for director, as of the date of this proxy statement.</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880" w:h="15480" w:orient="portrait"/>
          <w:cols w:equalWidth="0" w:num="1">
            <w:col w:w="9000"/>
          </w:cols>
          <w:pgMar w:left="1440" w:top="1203" w:right="1440" w:bottom="0" w:gutter="0" w:footer="0" w:header="0"/>
          <w:type w:val="continuous"/>
        </w:sectPr>
      </w:pPr>
    </w:p>
    <w:bookmarkStart w:id="19" w:name="page20"/>
    <w:bookmarkEnd w:id="19"/>
    <w:p>
      <w:pPr>
        <w:ind w:right="20" w:firstLine="360"/>
        <w:spacing w:after="0" w:line="253" w:lineRule="auto"/>
        <w:rPr>
          <w:sz w:val="20"/>
          <w:szCs w:val="20"/>
          <w:color w:val="auto"/>
        </w:rPr>
      </w:pPr>
      <w:r>
        <w:rPr>
          <w:rFonts w:ascii="Arial" w:cs="Arial" w:eastAsia="Arial" w:hAnsi="Arial"/>
          <w:sz w:val="20"/>
          <w:szCs w:val="20"/>
          <w:color w:val="auto"/>
        </w:rPr>
        <w:t>The Nominating and Corporate Governance Committee seeks to assemble a board of directors that, as a whole, possesses the appropriate balance of professional and industry knowledge, financial expertise and high-level management experience necessary to oversee and direct the Company’s business. To that end, the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Committee views as critical to the effective functioning of the Board. To provide a mix of experience and perspective on the Board, the Committee also takes into account gender, age, and ethnic diversity. The brief biographies below include information, as of the date of this proxy statement, regarding the specific and particular experience, qualifications, attributes or skills of each director or nominee that led the Committee to believe that that nominee should continue to serve on the Board.</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880" w:h="15480" w:orient="portrait"/>
          <w:cols w:equalWidth="0" w:num="1">
            <w:col w:w="9000"/>
          </w:cols>
          <w:pgMar w:left="1440" w:top="1204" w:right="1440" w:bottom="0" w:gutter="0" w:footer="0" w:header="0"/>
          <w:type w:val="continuous"/>
        </w:sectPr>
      </w:pPr>
    </w:p>
    <w:bookmarkStart w:id="20" w:name="page21"/>
    <w:bookmarkEnd w:id="20"/>
    <w:p>
      <w:pPr>
        <w:ind w:left="1860"/>
        <w:spacing w:after="0"/>
        <w:rPr>
          <w:sz w:val="20"/>
          <w:szCs w:val="20"/>
          <w:color w:val="auto"/>
        </w:rPr>
      </w:pPr>
      <w:r>
        <w:rPr>
          <w:rFonts w:ascii="Arial" w:cs="Arial" w:eastAsia="Arial" w:hAnsi="Arial"/>
          <w:sz w:val="20"/>
          <w:szCs w:val="20"/>
          <w:b w:val="1"/>
          <w:bCs w:val="1"/>
          <w:i w:val="1"/>
          <w:iCs w:val="1"/>
          <w:color w:val="auto"/>
        </w:rPr>
        <w:t>John C. Huffard, Jr.</w:t>
      </w:r>
      <w:r>
        <w:rPr>
          <w:rFonts w:ascii="Arial" w:cs="Arial" w:eastAsia="Arial" w:hAnsi="Arial"/>
          <w:sz w:val="20"/>
          <w:szCs w:val="20"/>
          <w:i w:val="1"/>
          <w:iCs w:val="1"/>
          <w:color w:val="auto"/>
        </w:rPr>
        <w:t>, 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-111125</wp:posOffset>
            </wp:positionV>
            <wp:extent cx="952500" cy="952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2500" cy="952500"/>
                    </a:xfrm>
                    <a:prstGeom prst="rect">
                      <a:avLst/>
                    </a:prstGeom>
                    <a:noFill/>
                  </pic:spPr>
                </pic:pic>
              </a:graphicData>
            </a:graphic>
          </wp:anchor>
        </w:drawing>
      </w:r>
    </w:p>
    <w:p>
      <w:pPr>
        <w:spacing w:after="0" w:line="229" w:lineRule="exact"/>
        <w:rPr>
          <w:sz w:val="20"/>
          <w:szCs w:val="20"/>
          <w:color w:val="auto"/>
        </w:rPr>
      </w:pPr>
    </w:p>
    <w:p>
      <w:pPr>
        <w:ind w:left="1860" w:right="100"/>
        <w:spacing w:after="0" w:line="254" w:lineRule="auto"/>
        <w:rPr>
          <w:sz w:val="20"/>
          <w:szCs w:val="20"/>
          <w:color w:val="auto"/>
        </w:rPr>
      </w:pPr>
      <w:r>
        <w:rPr>
          <w:rFonts w:ascii="Arial" w:cs="Arial" w:eastAsia="Arial" w:hAnsi="Arial"/>
          <w:sz w:val="20"/>
          <w:szCs w:val="20"/>
          <w:color w:val="auto"/>
        </w:rPr>
        <w:t>John C. Huffard, Jr. has served as a member of our Board of Directors since 2002. Mr. Huffard served as our Chief Operating Officer from May 2018 through December 2019. Prior to that, he served as our President and Chief Operating Officer from November 2008 to May 2018, and he co-founded our company in 2002. Mr. Huffard has also served as a member of the board of directors of Norfolk Southern Corporation since February 2020. Mr. Huffard received a B.S.B.A. from Washington and Lee University and an M.B.A. from Babson College. Our Board of Directors believes that Mr. Huffard is qualified to serve as a director based on his in-depth knowledge of our company and our products due to his role as our co-founder and subsequent role as our Chief Operating Officer.</w:t>
      </w:r>
    </w:p>
    <w:p>
      <w:pPr>
        <w:spacing w:after="0" w:line="294"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A. Brooke Seawell</w:t>
      </w:r>
      <w:r>
        <w:rPr>
          <w:rFonts w:ascii="Arial" w:cs="Arial" w:eastAsia="Arial" w:hAnsi="Arial"/>
          <w:sz w:val="20"/>
          <w:szCs w:val="20"/>
          <w:i w:val="1"/>
          <w:iCs w:val="1"/>
          <w:color w:val="auto"/>
        </w:rPr>
        <w:t>, 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-111125</wp:posOffset>
            </wp:positionV>
            <wp:extent cx="952500" cy="952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2500" cy="952500"/>
                    </a:xfrm>
                    <a:prstGeom prst="rect">
                      <a:avLst/>
                    </a:prstGeom>
                    <a:noFill/>
                  </pic:spPr>
                </pic:pic>
              </a:graphicData>
            </a:graphic>
          </wp:anchor>
        </w:drawing>
      </w:r>
    </w:p>
    <w:p>
      <w:pPr>
        <w:spacing w:after="0" w:line="229" w:lineRule="exact"/>
        <w:rPr>
          <w:sz w:val="20"/>
          <w:szCs w:val="20"/>
          <w:color w:val="auto"/>
        </w:rPr>
      </w:pPr>
    </w:p>
    <w:p>
      <w:pPr>
        <w:ind w:left="1860" w:right="60"/>
        <w:spacing w:after="0" w:line="253" w:lineRule="auto"/>
        <w:rPr>
          <w:sz w:val="20"/>
          <w:szCs w:val="20"/>
          <w:color w:val="auto"/>
        </w:rPr>
      </w:pPr>
      <w:r>
        <w:rPr>
          <w:rFonts w:ascii="Arial" w:cs="Arial" w:eastAsia="Arial" w:hAnsi="Arial"/>
          <w:sz w:val="20"/>
          <w:szCs w:val="20"/>
          <w:color w:val="auto"/>
        </w:rPr>
        <w:t>A. Brooke Seawell has served as a member of our Board of Directors since October 2017. Mr. Seawell is a Venture Partner at New Enterprise Associates Inc., a position he has held since January 2005. Mr. Seawell has served on the board of directors of NVIDIA Corporation, a visual computing company, since December 1997. He previously served on the board of directors of Eargo, Inc., a medical device company, from September 2020 to December 2022, and Tableau Software, Inc., a business intelligence software company, from November 2011 to August 2019. Mr. Seawell received both a B.A. in Economics and an M.B.A. in Finance from Stanford University. Our Board of Directors believes that Mr. Seawell is qualified to serve as a director based on his extensive experience in technology finance and operations, including having served as the chief financial officer of two public companies and his experience as a director of public technology companies.</w:t>
      </w:r>
    </w:p>
    <w:p>
      <w:pPr>
        <w:spacing w:after="0" w:line="255"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 xml:space="preserve">Raymond Vicks, Jr., </w:t>
      </w:r>
      <w:r>
        <w:rPr>
          <w:rFonts w:ascii="Arial" w:cs="Arial" w:eastAsia="Arial" w:hAnsi="Arial"/>
          <w:sz w:val="20"/>
          <w:szCs w:val="20"/>
          <w:i w:val="1"/>
          <w:iCs w:val="1"/>
          <w:color w:val="auto"/>
        </w:rPr>
        <w:t>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-111125</wp:posOffset>
            </wp:positionV>
            <wp:extent cx="952500" cy="952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52500" cy="952500"/>
                    </a:xfrm>
                    <a:prstGeom prst="rect">
                      <a:avLst/>
                    </a:prstGeom>
                    <a:noFill/>
                  </pic:spPr>
                </pic:pic>
              </a:graphicData>
            </a:graphic>
          </wp:anchor>
        </w:drawing>
      </w:r>
    </w:p>
    <w:p>
      <w:pPr>
        <w:spacing w:after="0" w:line="229" w:lineRule="exact"/>
        <w:rPr>
          <w:sz w:val="20"/>
          <w:szCs w:val="20"/>
          <w:color w:val="auto"/>
        </w:rPr>
      </w:pPr>
    </w:p>
    <w:p>
      <w:pPr>
        <w:ind w:left="1860" w:right="80"/>
        <w:spacing w:after="0" w:line="253" w:lineRule="auto"/>
        <w:rPr>
          <w:sz w:val="20"/>
          <w:szCs w:val="20"/>
          <w:color w:val="auto"/>
        </w:rPr>
      </w:pPr>
      <w:r>
        <w:rPr>
          <w:rFonts w:ascii="Arial" w:cs="Arial" w:eastAsia="Arial" w:hAnsi="Arial"/>
          <w:sz w:val="20"/>
          <w:szCs w:val="20"/>
          <w:color w:val="auto"/>
        </w:rPr>
        <w:t>Raymond Vicks, Jr. has served as a member of our Board of Directors since January 2022. Mr. Vicks has served on the Board of Directors of Bowman Consulting Group Ltd since May 2022. Mr. Vicks previously served as Managing Partner at the BMV Group, a position he held from August 2015 until his retirement in 2019. Concurrent with that role, Mr. Vicks also served as the Chief Financial Officer of the HSC Health Care System from 2015 to 2018. Prior to that, Mr. Vicks served in roles of increasing responsibility at PricewaterhouseCoopers LLP from 1995 to 2014, where at the time of his departure, he was a Partner. Mr. Vicks is a Certified Public Accountant and received a B.S. in accounting from Virginia Tech. Our Board of Directors believes that Mr. Vicks is qualified to serve as a director based on his based on his extensive public accounting and management experience.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BOARD OF DIRECTORS RECOMMENDS A VOTE IN FAVOR OF EACH NAMED NOMINEE.</w:t>
      </w:r>
    </w:p>
    <w:p>
      <w:pPr>
        <w:sectPr>
          <w:pgSz w:w="11880" w:h="15480" w:orient="portrait"/>
          <w:cols w:equalWidth="0" w:num="1">
            <w:col w:w="9000"/>
          </w:cols>
          <w:pgMar w:left="1440" w:top="125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880" w:h="15480" w:orient="portrait"/>
          <w:cols w:equalWidth="0" w:num="1">
            <w:col w:w="9000"/>
          </w:cols>
          <w:pgMar w:left="1440" w:top="1258" w:right="1440" w:bottom="0" w:gutter="0" w:footer="0" w:header="0"/>
          <w:type w:val="continuous"/>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DIRECTORS CONTINUING IN OFFICE UNTIL THE 2024 ANNUAL MEETING</w:t>
      </w:r>
    </w:p>
    <w:p>
      <w:pPr>
        <w:spacing w:after="0" w:line="305"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Arthur W. Coviello, Jr.</w:t>
      </w:r>
      <w:r>
        <w:rPr>
          <w:rFonts w:ascii="Arial" w:cs="Arial" w:eastAsia="Arial" w:hAnsi="Arial"/>
          <w:sz w:val="20"/>
          <w:szCs w:val="20"/>
          <w:i w:val="1"/>
          <w:iCs w:val="1"/>
          <w:color w:val="auto"/>
        </w:rPr>
        <w:t>, 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-111125</wp:posOffset>
            </wp:positionV>
            <wp:extent cx="952500" cy="952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52500" cy="952500"/>
                    </a:xfrm>
                    <a:prstGeom prst="rect">
                      <a:avLst/>
                    </a:prstGeom>
                    <a:noFill/>
                  </pic:spPr>
                </pic:pic>
              </a:graphicData>
            </a:graphic>
          </wp:anchor>
        </w:drawing>
      </w:r>
    </w:p>
    <w:p>
      <w:pPr>
        <w:spacing w:after="0" w:line="229" w:lineRule="exact"/>
        <w:rPr>
          <w:sz w:val="20"/>
          <w:szCs w:val="20"/>
          <w:color w:val="auto"/>
        </w:rPr>
      </w:pPr>
    </w:p>
    <w:p>
      <w:pPr>
        <w:ind w:left="1860" w:right="80"/>
        <w:spacing w:after="0" w:line="253" w:lineRule="auto"/>
        <w:rPr>
          <w:sz w:val="20"/>
          <w:szCs w:val="20"/>
          <w:color w:val="auto"/>
        </w:rPr>
      </w:pPr>
      <w:r>
        <w:rPr>
          <w:rFonts w:ascii="Arial" w:cs="Arial" w:eastAsia="Arial" w:hAnsi="Arial"/>
          <w:sz w:val="20"/>
          <w:szCs w:val="20"/>
          <w:color w:val="auto"/>
        </w:rPr>
        <w:t>Arthur W. Coviello, Jr. has served as a member of our Board of Directors since February 2018 and as our Lead Independent Director since February 2022. Mr. Coviello has served as Managing Partner of Syn Ventures, a venture capital fund, since June 2021. Mr. Coviello has served on the Board of Directors of Synchrony Financial since November 2015. Mr. Coviello was previously a venture partner at Rally Ventures, LLC, a position he held from May 2015 to July 2022, and previously was on the boards of directors of FireEye/Mandiant, Inc. from December 2020 to October 2022, and Epiphany Technology Acquisition Corp. from November 2020 to January 2023. Mr. Coviello received a B.B.A. with a concentration in Accounting from the University of Massachusetts. Our Board of Directors believes that Mr. Coviello is qualified to serve as a director based on his extensive security industry and management experience and his experience as a director of public technology companies.</w:t>
      </w:r>
    </w:p>
    <w:p>
      <w:pPr>
        <w:spacing w:after="0" w:line="255"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George Alexander Tosheff</w:t>
      </w:r>
      <w:r>
        <w:rPr>
          <w:rFonts w:ascii="Arial" w:cs="Arial" w:eastAsia="Arial" w:hAnsi="Arial"/>
          <w:sz w:val="20"/>
          <w:szCs w:val="20"/>
          <w:i w:val="1"/>
          <w:iCs w:val="1"/>
          <w:color w:val="auto"/>
        </w:rPr>
        <w:t>, 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-111125</wp:posOffset>
            </wp:positionV>
            <wp:extent cx="952500" cy="952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52500" cy="952500"/>
                    </a:xfrm>
                    <a:prstGeom prst="rect">
                      <a:avLst/>
                    </a:prstGeom>
                    <a:noFill/>
                  </pic:spPr>
                </pic:pic>
              </a:graphicData>
            </a:graphic>
          </wp:anchor>
        </w:drawing>
      </w:r>
    </w:p>
    <w:p>
      <w:pPr>
        <w:spacing w:after="0" w:line="229" w:lineRule="exact"/>
        <w:rPr>
          <w:sz w:val="20"/>
          <w:szCs w:val="20"/>
          <w:color w:val="auto"/>
        </w:rPr>
      </w:pPr>
    </w:p>
    <w:p>
      <w:pPr>
        <w:ind w:left="1860" w:right="200"/>
        <w:spacing w:after="0" w:line="255" w:lineRule="auto"/>
        <w:rPr>
          <w:sz w:val="20"/>
          <w:szCs w:val="20"/>
          <w:color w:val="auto"/>
        </w:rPr>
      </w:pPr>
      <w:r>
        <w:rPr>
          <w:rFonts w:ascii="Arial" w:cs="Arial" w:eastAsia="Arial" w:hAnsi="Arial"/>
          <w:sz w:val="20"/>
          <w:szCs w:val="20"/>
          <w:color w:val="auto"/>
        </w:rPr>
        <w:t>George Alexander Tosheff has served as a member of our Board of Directors since September 2022. Mr. Tosheff has served as Senior Vice President, Chief Security Officer of VMware, Inc. since February 2022 following his promotion from Vice President, Chief Security Officer, a position he held since 2014. Mr. Tosheff served as a member of our Customer Advisory Board from 2017 until September 2022. Mr. Tosheff received a B.S. in Physics from California State University. Our Board of Directors believes that Mr. Tosheff is qualified to serve as a director based on his extensive cybersecurity expertise and management experience.</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880" w:h="15480" w:orient="portrait"/>
          <w:cols w:equalWidth="0" w:num="1">
            <w:col w:w="9000"/>
          </w:cols>
          <w:pgMar w:left="1440" w:top="1203" w:right="1440" w:bottom="0" w:gutter="0" w:footer="0" w:header="0"/>
          <w:type w:val="continuous"/>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DIRECTORS CONTINUING IN OFFICE UNTIL THE 2025 ANNUAL MEETING</w:t>
      </w:r>
    </w:p>
    <w:p>
      <w:pPr>
        <w:spacing w:after="0" w:line="305"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Amit Yoran</w:t>
      </w:r>
      <w:r>
        <w:rPr>
          <w:rFonts w:ascii="Arial" w:cs="Arial" w:eastAsia="Arial" w:hAnsi="Arial"/>
          <w:sz w:val="20"/>
          <w:szCs w:val="20"/>
          <w:i w:val="1"/>
          <w:iCs w:val="1"/>
          <w:color w:val="auto"/>
        </w:rPr>
        <w:t>, 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-111125</wp:posOffset>
            </wp:positionV>
            <wp:extent cx="952500" cy="952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52500" cy="952500"/>
                    </a:xfrm>
                    <a:prstGeom prst="rect">
                      <a:avLst/>
                    </a:prstGeom>
                    <a:noFill/>
                  </pic:spPr>
                </pic:pic>
              </a:graphicData>
            </a:graphic>
          </wp:anchor>
        </w:drawing>
      </w:r>
    </w:p>
    <w:p>
      <w:pPr>
        <w:spacing w:after="0" w:line="229" w:lineRule="exact"/>
        <w:rPr>
          <w:sz w:val="20"/>
          <w:szCs w:val="20"/>
          <w:color w:val="auto"/>
        </w:rPr>
      </w:pPr>
    </w:p>
    <w:p>
      <w:pPr>
        <w:ind w:left="1860" w:right="80"/>
        <w:spacing w:after="0" w:line="254" w:lineRule="auto"/>
        <w:rPr>
          <w:sz w:val="20"/>
          <w:szCs w:val="20"/>
          <w:color w:val="auto"/>
        </w:rPr>
      </w:pPr>
      <w:r>
        <w:rPr>
          <w:rFonts w:ascii="Arial" w:cs="Arial" w:eastAsia="Arial" w:hAnsi="Arial"/>
          <w:sz w:val="20"/>
          <w:szCs w:val="20"/>
          <w:color w:val="auto"/>
        </w:rPr>
        <w:t>Amit Yoran has served as our Chief Executive Officer and Chairman since December 2016 and was appointed as our President, in addition to Chief Executive Officer and Chairman, in May 2018. Mr. Yoran has served on the Board of Directors of BlackLine Systems, Inc., an enterprise software company, since January 2023. Prior to joining Tenable, Mr. Yoran served as President of RSA Solutions, Inc. from October 2014 to December 2016. Mr. Yoran received a B.S. in Computer Science from the United States Military Academy at West Point and an M.S. in Computer Science from George Washington University. Our Board of Directors believes that Mr. Yoran is qualified to serve as a director based on his role as our Chief Executive Officer and his extensive management experience in the technology and security industries.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Niloofar Razi Howe</w:t>
      </w:r>
      <w:r>
        <w:rPr>
          <w:rFonts w:ascii="Arial" w:cs="Arial" w:eastAsia="Arial" w:hAnsi="Arial"/>
          <w:sz w:val="20"/>
          <w:szCs w:val="20"/>
          <w:i w:val="1"/>
          <w:iCs w:val="1"/>
          <w:color w:val="auto"/>
        </w:rPr>
        <w:t>, 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-111125</wp:posOffset>
            </wp:positionV>
            <wp:extent cx="952500" cy="952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52500" cy="952500"/>
                    </a:xfrm>
                    <a:prstGeom prst="rect">
                      <a:avLst/>
                    </a:prstGeom>
                    <a:noFill/>
                  </pic:spPr>
                </pic:pic>
              </a:graphicData>
            </a:graphic>
          </wp:anchor>
        </w:drawing>
      </w:r>
    </w:p>
    <w:p>
      <w:pPr>
        <w:spacing w:after="0" w:line="229" w:lineRule="exact"/>
        <w:rPr>
          <w:sz w:val="20"/>
          <w:szCs w:val="20"/>
          <w:color w:val="auto"/>
        </w:rPr>
      </w:pPr>
    </w:p>
    <w:p>
      <w:pPr>
        <w:ind w:left="1860" w:right="80"/>
        <w:spacing w:after="0" w:line="253" w:lineRule="auto"/>
        <w:rPr>
          <w:sz w:val="20"/>
          <w:szCs w:val="20"/>
          <w:color w:val="auto"/>
        </w:rPr>
      </w:pPr>
      <w:r>
        <w:rPr>
          <w:rFonts w:ascii="Arial" w:cs="Arial" w:eastAsia="Arial" w:hAnsi="Arial"/>
          <w:sz w:val="20"/>
          <w:szCs w:val="20"/>
          <w:color w:val="auto"/>
        </w:rPr>
        <w:t>Niloofar Razi Howe has served as a member of our Board of Directors since May 2021. Ms. Howe has served as a Senior Operating Partner at Energy Impact Partners, a venture capital fund since 2019. Ms. Howe previously served as Chief Strategy Officer and Senior Vice President of Strategy and Operations at RSA, a global cybersecurity company, from 2015 to 2018. Ms. Howe has served on the Board of Directors of Composecure, Inc. since December 2021. Ms. Howe also currently serves on the board of directors of a number of private technology companies. Ms. Howe received a B.A. in English Literature from Columbia College and holds a Juris Doctor degree from Harvard Law School. Our Board of Directors believes that Ms. Howe is qualified as a director based on her extensive cybersecurity and management experience and her experience as a director of technology companies.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Linda Zecher Higgins</w:t>
      </w:r>
      <w:r>
        <w:rPr>
          <w:rFonts w:ascii="Arial" w:cs="Arial" w:eastAsia="Arial" w:hAnsi="Arial"/>
          <w:sz w:val="20"/>
          <w:szCs w:val="20"/>
          <w:i w:val="1"/>
          <w:iCs w:val="1"/>
          <w:color w:val="auto"/>
        </w:rPr>
        <w:t>, 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-111125</wp:posOffset>
            </wp:positionV>
            <wp:extent cx="952500" cy="952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52500" cy="952500"/>
                    </a:xfrm>
                    <a:prstGeom prst="rect">
                      <a:avLst/>
                    </a:prstGeom>
                    <a:noFill/>
                  </pic:spPr>
                </pic:pic>
              </a:graphicData>
            </a:graphic>
          </wp:anchor>
        </w:drawing>
      </w:r>
    </w:p>
    <w:p>
      <w:pPr>
        <w:spacing w:after="0" w:line="229" w:lineRule="exact"/>
        <w:rPr>
          <w:sz w:val="20"/>
          <w:szCs w:val="20"/>
          <w:color w:val="auto"/>
        </w:rPr>
      </w:pPr>
    </w:p>
    <w:p>
      <w:pPr>
        <w:ind w:left="1860" w:right="120"/>
        <w:spacing w:after="0" w:line="268" w:lineRule="auto"/>
        <w:rPr>
          <w:sz w:val="20"/>
          <w:szCs w:val="20"/>
          <w:color w:val="auto"/>
        </w:rPr>
      </w:pPr>
      <w:r>
        <w:rPr>
          <w:rFonts w:ascii="Arial" w:cs="Arial" w:eastAsia="Arial" w:hAnsi="Arial"/>
          <w:sz w:val="19"/>
          <w:szCs w:val="19"/>
          <w:color w:val="auto"/>
        </w:rPr>
        <w:t>Linda Zecher Higgins has served as a member of our Board of Directors since August 2019. Ms. Higgins is the Chief Executive Officer and Managing Partner of the Barkley Group, a consulting firm focused on effective digital transformation, and has held such positions since January 2017. Ms. Higgins has served as a member of the board of directors of Hasbro, Inc. since October 2014 and C5 Acquisition Corp since January 2022. Ms. Higgins also served as the Corporate Vice President, Worldwide Public Sector of Microsoft Corporation from 2003 to 2011. Ms. Higgins received a B.S. in Earth Science from The Ohio State University. Our Board of Directors believes that Ms. Higgins is qualified to serve as a director based on her extensive management experience with technology companies and her experience as a director of public companies.</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880" w:h="15480" w:orient="portrait"/>
          <w:cols w:equalWidth="0" w:num="1">
            <w:col w:w="9000"/>
          </w:cols>
          <w:pgMar w:left="1440" w:top="1203" w:right="1440" w:bottom="0" w:gutter="0" w:footer="0" w:header="0"/>
          <w:type w:val="continuous"/>
        </w:sectPr>
      </w:pPr>
    </w:p>
    <w:bookmarkStart w:id="23" w:name="page24"/>
    <w:bookmarkEnd w:id="23"/>
    <w:p>
      <w:pPr>
        <w:ind w:right="100" w:firstLine="98"/>
        <w:spacing w:after="0" w:line="501" w:lineRule="auto"/>
        <w:rPr>
          <w:sz w:val="20"/>
          <w:szCs w:val="20"/>
          <w:color w:val="auto"/>
        </w:rPr>
      </w:pPr>
      <w:r>
        <w:rPr>
          <w:rFonts w:ascii="Arial" w:cs="Arial" w:eastAsia="Arial" w:hAnsi="Arial"/>
          <w:sz w:val="20"/>
          <w:szCs w:val="20"/>
          <w:b w:val="1"/>
          <w:bCs w:val="1"/>
          <w:color w:val="auto"/>
        </w:rPr>
        <w:t>INFORMATION REGARDING THE BOARD OF DIRECTORS AND CORPORATE GOVERNANCE Independence of the Board of Directors</w:t>
      </w:r>
    </w:p>
    <w:p>
      <w:pPr>
        <w:spacing w:after="0" w:line="1" w:lineRule="exact"/>
        <w:rPr>
          <w:sz w:val="20"/>
          <w:szCs w:val="20"/>
          <w:color w:val="auto"/>
        </w:rPr>
      </w:pPr>
    </w:p>
    <w:p>
      <w:pPr>
        <w:ind w:right="80" w:firstLine="360"/>
        <w:spacing w:after="0" w:line="257" w:lineRule="auto"/>
        <w:rPr>
          <w:sz w:val="20"/>
          <w:szCs w:val="20"/>
          <w:color w:val="auto"/>
        </w:rPr>
      </w:pPr>
      <w:r>
        <w:rPr>
          <w:rFonts w:ascii="Arial" w:cs="Arial" w:eastAsia="Arial" w:hAnsi="Arial"/>
          <w:sz w:val="20"/>
          <w:szCs w:val="20"/>
          <w:color w:val="auto"/>
        </w:rPr>
        <w:t>As required under the Nasdaq Stock Market (“Nasdaq”) 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202" w:lineRule="exact"/>
        <w:rPr>
          <w:sz w:val="20"/>
          <w:szCs w:val="20"/>
          <w:color w:val="auto"/>
        </w:rPr>
      </w:pPr>
    </w:p>
    <w:p>
      <w:pPr>
        <w:ind w:right="40" w:firstLine="360"/>
        <w:spacing w:after="0" w:line="254" w:lineRule="auto"/>
        <w:rPr>
          <w:sz w:val="20"/>
          <w:szCs w:val="20"/>
          <w:color w:val="auto"/>
        </w:rPr>
      </w:pPr>
      <w:r>
        <w:rPr>
          <w:rFonts w:ascii="Arial" w:cs="Arial" w:eastAsia="Arial" w:hAnsi="Arial"/>
          <w:sz w:val="20"/>
          <w:szCs w:val="20"/>
          <w:color w:val="auto"/>
        </w:rPr>
        <w:t>Consistent with these considerations, after review of all relevant identified transactions or relationships between each director, or any of his or her family members, and the Company, its senior management and its independent registered public accounting firm, the Board has affirmatively determined that the following seven of our current directors are independent directors within the meaning of the applicable Nasdaq listing standards: Arthur W. Coviello, Jr., John C. Huffard, Jr., George Alexander Tosheff, Niloofar Razi Howe, A. Brooke Seawell, Raymond Vicks, Jr., and Linda Zecher Higgins. The Board determined that Mr. Richard Wells, who resigned from the Board of Directors in January 2022, Ms. Kimberly Hammonds, who passed away on June 28, 2022, and Jerry M. Kennelly, who retired in September 2022, were each independent while they served on the Board. In making this determination, the Board found that none of these directors or nominees for director had a material or other disqualifying relationship with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Leadership Structure</w:t>
      </w:r>
    </w:p>
    <w:p>
      <w:pPr>
        <w:spacing w:after="0" w:line="251" w:lineRule="exact"/>
        <w:rPr>
          <w:sz w:val="20"/>
          <w:szCs w:val="20"/>
          <w:color w:val="auto"/>
        </w:rPr>
      </w:pPr>
    </w:p>
    <w:p>
      <w:pPr>
        <w:ind w:right="100" w:firstLine="360"/>
        <w:spacing w:after="0" w:line="255" w:lineRule="auto"/>
        <w:rPr>
          <w:sz w:val="20"/>
          <w:szCs w:val="20"/>
          <w:color w:val="auto"/>
        </w:rPr>
      </w:pPr>
      <w:r>
        <w:rPr>
          <w:rFonts w:ascii="Arial" w:cs="Arial" w:eastAsia="Arial" w:hAnsi="Arial"/>
          <w:sz w:val="20"/>
          <w:szCs w:val="20"/>
          <w:color w:val="auto"/>
        </w:rPr>
        <w:t>Our Board of Directors is currently chaired by Mr. Yoran, our Chief Executive Officer. The Board believes that combining the positions of Chief Executive Officer and Board Chair helps to ensure that the Board and management act with a common purpose and provides a single, clear chain of command to execute Tenable’s strategic initiatives and business plans. In addition, the Board believes that a combined Chief Executive Officer/Board Chair is better positioned to act as a bridge between management and the Board, facilitating the regular flow of information. The Board also believes that it is advantageous to have a Board Chair with significant history with and extensive knowledge of Tenable (as is the case with Mr. Yoran).</w:t>
      </w:r>
    </w:p>
    <w:p>
      <w:pPr>
        <w:spacing w:after="0" w:line="205" w:lineRule="exact"/>
        <w:rPr>
          <w:sz w:val="20"/>
          <w:szCs w:val="20"/>
          <w:color w:val="auto"/>
        </w:rPr>
      </w:pPr>
    </w:p>
    <w:p>
      <w:pPr>
        <w:ind w:right="20" w:firstLine="360"/>
        <w:spacing w:after="0" w:line="253" w:lineRule="auto"/>
        <w:rPr>
          <w:sz w:val="20"/>
          <w:szCs w:val="20"/>
          <w:color w:val="auto"/>
        </w:rPr>
      </w:pPr>
      <w:r>
        <w:rPr>
          <w:rFonts w:ascii="Arial" w:cs="Arial" w:eastAsia="Arial" w:hAnsi="Arial"/>
          <w:sz w:val="20"/>
          <w:szCs w:val="20"/>
          <w:color w:val="auto"/>
        </w:rPr>
        <w:t>The Board has also appointed Mr. Coviello as lead independent director in order to help reinforce the independence of the Board as a whole. The position of lead independent director has been structured to serve as an effective balance to Mr. Yoran’s leadership as our combined Chief Executive Officer and Board Chair. The lead independent director is empowered to, among other duties and responsibilities, work with the Chief Executive Officer and Board Chair to develop and approve an appropriate Board meeting schedule and Board meeting agendas; provide the Chief Executive Officer and Board Chair feedback on the quality, quantity, and timeliness of the information provided to the Board; develop the agenda and moderate executive sessions of the independent members of the Board; preside over Board meetings when the Chief Executive Officer and Board Chair is not present or when Board or Chief Executive Officer performance or compensation is discussed; act as principal liaison between the independent members of the Board and Chief Executive Officer and Board Chair; convene meetings of the independent directors as appropriate; and perform such other duties as may be established or delegated by the Board. As a result, the Company believes that the lead independent director can help ensure the effective independent functioning of the Board in its oversight responsibilities.</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880" w:h="15480" w:orient="portrait"/>
          <w:cols w:equalWidth="0" w:num="1">
            <w:col w:w="9000"/>
          </w:cols>
          <w:pgMar w:left="1440" w:top="1203" w:right="1440" w:bottom="0" w:gutter="0" w:footer="0" w:header="0"/>
          <w:type w:val="continuous"/>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Role of the Board in Risk Oversight</w:t>
      </w:r>
    </w:p>
    <w:p>
      <w:pPr>
        <w:spacing w:after="0" w:line="251" w:lineRule="exact"/>
        <w:rPr>
          <w:sz w:val="20"/>
          <w:szCs w:val="20"/>
          <w:color w:val="auto"/>
        </w:rPr>
      </w:pPr>
    </w:p>
    <w:p>
      <w:pPr>
        <w:ind w:right="180" w:firstLine="360"/>
        <w:spacing w:after="0" w:line="257" w:lineRule="auto"/>
        <w:rPr>
          <w:sz w:val="20"/>
          <w:szCs w:val="20"/>
          <w:color w:val="auto"/>
        </w:rPr>
      </w:pPr>
      <w:r>
        <w:rPr>
          <w:rFonts w:ascii="Arial" w:cs="Arial" w:eastAsia="Arial" w:hAnsi="Arial"/>
          <w:sz w:val="20"/>
          <w:szCs w:val="20"/>
          <w:color w:val="auto"/>
        </w:rPr>
        <w:t>One of the Board’s key functions is informed oversight of Tenable’s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w:t>
      </w:r>
    </w:p>
    <w:p>
      <w:pPr>
        <w:spacing w:after="0" w:line="202" w:lineRule="exact"/>
        <w:rPr>
          <w:sz w:val="20"/>
          <w:szCs w:val="20"/>
          <w:color w:val="auto"/>
        </w:rPr>
      </w:pPr>
    </w:p>
    <w:p>
      <w:pPr>
        <w:ind w:firstLine="360"/>
        <w:spacing w:after="0" w:line="259" w:lineRule="auto"/>
        <w:rPr>
          <w:sz w:val="20"/>
          <w:szCs w:val="20"/>
          <w:color w:val="auto"/>
        </w:rPr>
      </w:pPr>
      <w:r>
        <w:rPr>
          <w:rFonts w:ascii="Arial" w:cs="Arial" w:eastAsia="Arial" w:hAnsi="Arial"/>
          <w:sz w:val="20"/>
          <w:szCs w:val="20"/>
          <w:color w:val="auto"/>
        </w:rPr>
        <w:t>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internal audit function.</w:t>
      </w:r>
    </w:p>
    <w:p>
      <w:pPr>
        <w:spacing w:after="0" w:line="199" w:lineRule="exact"/>
        <w:rPr>
          <w:sz w:val="20"/>
          <w:szCs w:val="20"/>
          <w:color w:val="auto"/>
        </w:rPr>
      </w:pPr>
    </w:p>
    <w:p>
      <w:pPr>
        <w:ind w:right="660" w:firstLine="360"/>
        <w:spacing w:after="0" w:line="268" w:lineRule="auto"/>
        <w:rPr>
          <w:sz w:val="20"/>
          <w:szCs w:val="20"/>
          <w:color w:val="auto"/>
        </w:rPr>
      </w:pPr>
      <w:r>
        <w:rPr>
          <w:rFonts w:ascii="Arial" w:cs="Arial" w:eastAsia="Arial" w:hAnsi="Arial"/>
          <w:sz w:val="20"/>
          <w:szCs w:val="20"/>
          <w:color w:val="auto"/>
        </w:rPr>
        <w:t>Our Nominating and Corporate Governance Committee monitors the effectiveness of our corporate governance guidelines, including whether they are successful in preventing illegal or improper liability-creating conduct.</w:t>
      </w:r>
    </w:p>
    <w:p>
      <w:pPr>
        <w:spacing w:after="0" w:line="190" w:lineRule="exact"/>
        <w:rPr>
          <w:sz w:val="20"/>
          <w:szCs w:val="20"/>
          <w:color w:val="auto"/>
        </w:rPr>
      </w:pPr>
    </w:p>
    <w:p>
      <w:pPr>
        <w:ind w:right="100" w:firstLine="360"/>
        <w:spacing w:after="0" w:line="287" w:lineRule="auto"/>
        <w:rPr>
          <w:sz w:val="20"/>
          <w:szCs w:val="20"/>
          <w:color w:val="auto"/>
        </w:rPr>
      </w:pPr>
      <w:r>
        <w:rPr>
          <w:rFonts w:ascii="Arial" w:cs="Arial" w:eastAsia="Arial" w:hAnsi="Arial"/>
          <w:sz w:val="20"/>
          <w:szCs w:val="20"/>
          <w:color w:val="auto"/>
        </w:rPr>
        <w:t>Our Compensation Committee assesses and monitors whether any of our compensation policies and programs has the potential to encourage excessive risk-taking.</w:t>
      </w:r>
    </w:p>
    <w:p>
      <w:pPr>
        <w:spacing w:after="0" w:line="170" w:lineRule="exact"/>
        <w:rPr>
          <w:sz w:val="20"/>
          <w:szCs w:val="20"/>
          <w:color w:val="auto"/>
        </w:rPr>
      </w:pPr>
    </w:p>
    <w:p>
      <w:pPr>
        <w:ind w:right="200" w:firstLine="360"/>
        <w:spacing w:after="0" w:line="268" w:lineRule="auto"/>
        <w:rPr>
          <w:sz w:val="20"/>
          <w:szCs w:val="20"/>
          <w:color w:val="auto"/>
        </w:rPr>
      </w:pPr>
      <w:r>
        <w:rPr>
          <w:rFonts w:ascii="Arial" w:cs="Arial" w:eastAsia="Arial" w:hAnsi="Arial"/>
          <w:sz w:val="20"/>
          <w:szCs w:val="20"/>
          <w:color w:val="auto"/>
        </w:rPr>
        <w:t>Our Cybersecurity Risk Management Committee assists the Board in fulfilling its oversight responsibility with respect to the management of risks related to our information technology use and protection, cybersecurity, and product security.</w:t>
      </w:r>
    </w:p>
    <w:p>
      <w:pPr>
        <w:spacing w:after="0" w:line="190" w:lineRule="exact"/>
        <w:rPr>
          <w:sz w:val="20"/>
          <w:szCs w:val="20"/>
          <w:color w:val="auto"/>
        </w:rPr>
      </w:pPr>
    </w:p>
    <w:p>
      <w:pPr>
        <w:ind w:right="20" w:firstLine="360"/>
        <w:spacing w:after="0" w:line="256" w:lineRule="auto"/>
        <w:rPr>
          <w:sz w:val="20"/>
          <w:szCs w:val="20"/>
          <w:color w:val="auto"/>
        </w:rPr>
      </w:pPr>
      <w:r>
        <w:rPr>
          <w:rFonts w:ascii="Arial" w:cs="Arial" w:eastAsia="Arial" w:hAnsi="Arial"/>
          <w:sz w:val="20"/>
          <w:szCs w:val="20"/>
          <w:color w:val="auto"/>
        </w:rPr>
        <w:t>Typically, the entire Board meets with members of management responsible for risk management at least annually, and the applicable Board committees meet at least annually with the employees responsible for risk management in the committees’ respective areas of oversight. Both the Board as a whole and the various standing committees receive periodic reports from members of management responsible for risk management, as well as incidental reports as matters may arise. It is the responsibility of the committee chairs to report findings regarding material risk exposures to the Board as quickly as possible.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Meetings of the Board of Directors</w:t>
      </w:r>
    </w:p>
    <w:p>
      <w:pPr>
        <w:spacing w:after="0" w:line="251" w:lineRule="exact"/>
        <w:rPr>
          <w:sz w:val="20"/>
          <w:szCs w:val="20"/>
          <w:color w:val="auto"/>
        </w:rPr>
      </w:pPr>
    </w:p>
    <w:p>
      <w:pPr>
        <w:ind w:right="60" w:firstLine="360"/>
        <w:spacing w:after="0" w:line="257" w:lineRule="auto"/>
        <w:rPr>
          <w:sz w:val="20"/>
          <w:szCs w:val="20"/>
          <w:color w:val="auto"/>
        </w:rPr>
      </w:pPr>
      <w:r>
        <w:rPr>
          <w:rFonts w:ascii="Arial" w:cs="Arial" w:eastAsia="Arial" w:hAnsi="Arial"/>
          <w:sz w:val="20"/>
          <w:szCs w:val="20"/>
          <w:color w:val="auto"/>
        </w:rPr>
        <w:t>The Board of Directors met four times during 2022. All directors except Mr. Tosheff, who joined our Board of Directors in September 2022, attended at least 75% of the aggregate number of meetings of the Board and of each of the committees on which they served, held during the portion of the last year for which they were directors or committee members, respectively. Mr. Tosheff was unable to attend one of the two Audit Committee meetings held during his tenure on the Board in 2022 due to a pre-existing conflict.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Regarding Committees of the Board of Directors</w:t>
      </w:r>
    </w:p>
    <w:p>
      <w:pPr>
        <w:spacing w:after="0" w:line="251" w:lineRule="exact"/>
        <w:rPr>
          <w:sz w:val="20"/>
          <w:szCs w:val="20"/>
          <w:color w:val="auto"/>
        </w:rPr>
      </w:pPr>
    </w:p>
    <w:p>
      <w:pPr>
        <w:ind w:right="300" w:firstLine="360"/>
        <w:spacing w:after="0" w:line="289" w:lineRule="auto"/>
        <w:rPr>
          <w:sz w:val="20"/>
          <w:szCs w:val="20"/>
          <w:color w:val="auto"/>
        </w:rPr>
      </w:pPr>
      <w:r>
        <w:rPr>
          <w:rFonts w:ascii="Arial" w:cs="Arial" w:eastAsia="Arial" w:hAnsi="Arial"/>
          <w:sz w:val="19"/>
          <w:szCs w:val="19"/>
          <w:color w:val="auto"/>
        </w:rPr>
        <w:t>The Board has four committees: an Audit Committee, a Compensation Committee, a Cybersecurity Risk Management Committee, and a Nominating and Corporate Governance Committee. The following table provides the current membership of each of the Board committees,</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880" w:h="15480" w:orient="portrait"/>
          <w:cols w:equalWidth="0" w:num="1">
            <w:col w:w="9000"/>
          </w:cols>
          <w:pgMar w:left="1440" w:top="1203" w:right="1440" w:bottom="0" w:gutter="0" w:footer="0" w:header="0"/>
          <w:type w:val="continuous"/>
        </w:sectPr>
      </w:pPr>
    </w:p>
    <w:bookmarkStart w:id="25" w:name="page26"/>
    <w:bookmarkEnd w:id="25"/>
    <w:p>
      <w:pPr>
        <w:ind w:right="540"/>
        <w:spacing w:after="0" w:line="287" w:lineRule="auto"/>
        <w:rPr>
          <w:sz w:val="20"/>
          <w:szCs w:val="20"/>
          <w:color w:val="auto"/>
        </w:rPr>
      </w:pPr>
      <w:r>
        <w:rPr>
          <w:rFonts w:ascii="Arial" w:cs="Arial" w:eastAsia="Arial" w:hAnsi="Arial"/>
          <w:sz w:val="20"/>
          <w:szCs w:val="20"/>
          <w:color w:val="auto"/>
        </w:rPr>
        <w:t>and identifies the chairperson of each committee and the number of committee meetings held in 2022:</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Cybersecurity</w:t>
            </w:r>
          </w:p>
        </w:tc>
        <w:tc>
          <w:tcPr>
            <w:tcW w:w="6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Nominating and</w:t>
            </w:r>
          </w:p>
        </w:tc>
        <w:tc>
          <w:tcPr>
            <w:tcW w:w="0" w:type="dxa"/>
            <w:vAlign w:val="bottom"/>
          </w:tcPr>
          <w:p>
            <w:pPr>
              <w:spacing w:after="0"/>
              <w:rPr>
                <w:sz w:val="1"/>
                <w:szCs w:val="1"/>
                <w:color w:val="auto"/>
              </w:rPr>
            </w:pPr>
          </w:p>
        </w:tc>
      </w:tr>
      <w:tr>
        <w:trPr>
          <w:trHeight w:val="180"/>
        </w:trPr>
        <w:tc>
          <w:tcPr>
            <w:tcW w:w="27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Audit</w:t>
            </w:r>
          </w:p>
        </w:tc>
        <w:tc>
          <w:tcPr>
            <w:tcW w:w="8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Compensation</w:t>
            </w:r>
          </w:p>
        </w:tc>
        <w:tc>
          <w:tcPr>
            <w:tcW w:w="80" w:type="dxa"/>
            <w:vAlign w:val="bottom"/>
          </w:tcPr>
          <w:p>
            <w:pPr>
              <w:spacing w:after="0"/>
              <w:rPr>
                <w:sz w:val="15"/>
                <w:szCs w:val="15"/>
                <w:color w:val="auto"/>
              </w:rPr>
            </w:pPr>
          </w:p>
        </w:tc>
        <w:tc>
          <w:tcPr>
            <w:tcW w:w="148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Risk</w:t>
            </w:r>
          </w:p>
        </w:tc>
        <w:tc>
          <w:tcPr>
            <w:tcW w:w="60" w:type="dxa"/>
            <w:vAlign w:val="bottom"/>
          </w:tcPr>
          <w:p>
            <w:pPr>
              <w:spacing w:after="0"/>
              <w:rPr>
                <w:sz w:val="15"/>
                <w:szCs w:val="15"/>
                <w:color w:val="auto"/>
              </w:rPr>
            </w:pPr>
          </w:p>
        </w:tc>
        <w:tc>
          <w:tcPr>
            <w:tcW w:w="148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Corporate</w:t>
            </w:r>
          </w:p>
        </w:tc>
        <w:tc>
          <w:tcPr>
            <w:tcW w:w="0" w:type="dxa"/>
            <w:vAlign w:val="bottom"/>
          </w:tcPr>
          <w:p>
            <w:pPr>
              <w:spacing w:after="0"/>
              <w:rPr>
                <w:sz w:val="1"/>
                <w:szCs w:val="1"/>
                <w:color w:val="auto"/>
              </w:rPr>
            </w:pPr>
          </w:p>
        </w:tc>
      </w:tr>
      <w:tr>
        <w:trPr>
          <w:trHeight w:val="238"/>
        </w:trPr>
        <w:tc>
          <w:tcPr>
            <w:tcW w:w="27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D2EDF0"/>
            </w:tcBorders>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D2EDF0"/>
            </w:tcBorders>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D2EDF0"/>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Management</w:t>
            </w:r>
          </w:p>
        </w:tc>
        <w:tc>
          <w:tcPr>
            <w:tcW w:w="60" w:type="dxa"/>
            <w:vAlign w:val="bottom"/>
            <w:tcBorders>
              <w:bottom w:val="single" w:sz="8" w:color="D2EDF0"/>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Governance</w:t>
            </w:r>
          </w:p>
        </w:tc>
        <w:tc>
          <w:tcPr>
            <w:tcW w:w="0" w:type="dxa"/>
            <w:vAlign w:val="bottom"/>
          </w:tcPr>
          <w:p>
            <w:pPr>
              <w:spacing w:after="0"/>
              <w:rPr>
                <w:sz w:val="1"/>
                <w:szCs w:val="1"/>
                <w:color w:val="auto"/>
              </w:rPr>
            </w:pPr>
          </w:p>
        </w:tc>
      </w:tr>
      <w:tr>
        <w:trPr>
          <w:trHeight w:val="275"/>
        </w:trPr>
        <w:tc>
          <w:tcPr>
            <w:tcW w:w="2780" w:type="dxa"/>
            <w:vAlign w:val="bottom"/>
            <w:shd w:val="clear" w:color="auto" w:fill="D2EDF0"/>
          </w:tcPr>
          <w:p>
            <w:pPr>
              <w:ind w:left="100"/>
              <w:spacing w:after="0"/>
              <w:rPr>
                <w:sz w:val="20"/>
                <w:szCs w:val="20"/>
                <w:color w:val="auto"/>
              </w:rPr>
            </w:pPr>
            <w:r>
              <w:rPr>
                <w:rFonts w:ascii="Arial" w:cs="Arial" w:eastAsia="Arial" w:hAnsi="Arial"/>
                <w:sz w:val="20"/>
                <w:szCs w:val="20"/>
                <w:color w:val="auto"/>
              </w:rPr>
              <w:t>Arthur W. Coviello, Jr.</w:t>
            </w:r>
          </w:p>
        </w:tc>
        <w:tc>
          <w:tcPr>
            <w:tcW w:w="80" w:type="dxa"/>
            <w:vAlign w:val="bottom"/>
            <w:shd w:val="clear" w:color="auto" w:fill="D2EDF0"/>
          </w:tcPr>
          <w:p>
            <w:pPr>
              <w:spacing w:after="0"/>
              <w:rPr>
                <w:sz w:val="23"/>
                <w:szCs w:val="23"/>
                <w:color w:val="auto"/>
              </w:rPr>
            </w:pPr>
          </w:p>
        </w:tc>
        <w:tc>
          <w:tcPr>
            <w:tcW w:w="1460" w:type="dxa"/>
            <w:vAlign w:val="bottom"/>
            <w:shd w:val="clear" w:color="auto" w:fill="D2EDF0"/>
          </w:tcPr>
          <w:p>
            <w:pPr>
              <w:spacing w:after="0"/>
              <w:rPr>
                <w:sz w:val="23"/>
                <w:szCs w:val="23"/>
                <w:color w:val="auto"/>
              </w:rPr>
            </w:pPr>
          </w:p>
        </w:tc>
        <w:tc>
          <w:tcPr>
            <w:tcW w:w="80" w:type="dxa"/>
            <w:vAlign w:val="bottom"/>
            <w:shd w:val="clear" w:color="auto" w:fill="D2EDF0"/>
          </w:tcPr>
          <w:p>
            <w:pPr>
              <w:spacing w:after="0"/>
              <w:rPr>
                <w:sz w:val="23"/>
                <w:szCs w:val="23"/>
                <w:color w:val="auto"/>
              </w:rPr>
            </w:pPr>
          </w:p>
        </w:tc>
        <w:tc>
          <w:tcPr>
            <w:tcW w:w="1460" w:type="dxa"/>
            <w:vAlign w:val="bottom"/>
            <w:shd w:val="clear" w:color="auto" w:fill="D2EDF0"/>
          </w:tcPr>
          <w:p>
            <w:pPr>
              <w:spacing w:after="0"/>
              <w:rPr>
                <w:sz w:val="23"/>
                <w:szCs w:val="23"/>
                <w:color w:val="auto"/>
              </w:rPr>
            </w:pPr>
          </w:p>
        </w:tc>
        <w:tc>
          <w:tcPr>
            <w:tcW w:w="80" w:type="dxa"/>
            <w:vAlign w:val="bottom"/>
            <w:shd w:val="clear" w:color="auto" w:fill="D2EDF0"/>
          </w:tcPr>
          <w:p>
            <w:pPr>
              <w:spacing w:after="0"/>
              <w:rPr>
                <w:sz w:val="23"/>
                <w:szCs w:val="23"/>
                <w:color w:val="auto"/>
              </w:rPr>
            </w:pPr>
          </w:p>
        </w:tc>
        <w:tc>
          <w:tcPr>
            <w:tcW w:w="1480" w:type="dxa"/>
            <w:vAlign w:val="bottom"/>
            <w:shd w:val="clear" w:color="auto" w:fill="D2EDF0"/>
          </w:tcPr>
          <w:p>
            <w:pPr>
              <w:spacing w:after="0"/>
              <w:rPr>
                <w:sz w:val="23"/>
                <w:szCs w:val="23"/>
                <w:color w:val="auto"/>
              </w:rPr>
            </w:pPr>
          </w:p>
        </w:tc>
        <w:tc>
          <w:tcPr>
            <w:tcW w:w="60" w:type="dxa"/>
            <w:vAlign w:val="bottom"/>
            <w:shd w:val="clear" w:color="auto" w:fill="D2EDF0"/>
          </w:tcPr>
          <w:p>
            <w:pPr>
              <w:spacing w:after="0"/>
              <w:rPr>
                <w:sz w:val="23"/>
                <w:szCs w:val="23"/>
                <w:color w:val="auto"/>
              </w:rPr>
            </w:pPr>
          </w:p>
        </w:tc>
        <w:tc>
          <w:tcPr>
            <w:tcW w:w="1480" w:type="dxa"/>
            <w:vAlign w:val="bottom"/>
            <w:shd w:val="clear" w:color="auto" w:fill="D2EDF0"/>
          </w:tcPr>
          <w:p>
            <w:pPr>
              <w:jc w:val="center"/>
              <w:spacing w:after="0"/>
              <w:rPr>
                <w:sz w:val="20"/>
                <w:szCs w:val="20"/>
                <w:color w:val="auto"/>
              </w:rPr>
            </w:pPr>
            <w:r>
              <w:rPr>
                <w:rFonts w:ascii="Arial" w:cs="Arial" w:eastAsia="Arial" w:hAnsi="Arial"/>
                <w:sz w:val="20"/>
                <w:szCs w:val="20"/>
                <w:color w:val="auto"/>
              </w:rPr>
              <w:t>X*</w:t>
            </w:r>
          </w:p>
        </w:tc>
        <w:tc>
          <w:tcPr>
            <w:tcW w:w="0" w:type="dxa"/>
            <w:vAlign w:val="bottom"/>
          </w:tcPr>
          <w:p>
            <w:pPr>
              <w:spacing w:after="0"/>
              <w:rPr>
                <w:sz w:val="1"/>
                <w:szCs w:val="1"/>
                <w:color w:val="auto"/>
              </w:rPr>
            </w:pPr>
          </w:p>
        </w:tc>
      </w:tr>
      <w:tr>
        <w:trPr>
          <w:trHeight w:val="275"/>
        </w:trPr>
        <w:tc>
          <w:tcPr>
            <w:tcW w:w="2780" w:type="dxa"/>
            <w:vAlign w:val="bottom"/>
          </w:tcPr>
          <w:p>
            <w:pPr>
              <w:ind w:left="100"/>
              <w:spacing w:after="0"/>
              <w:rPr>
                <w:sz w:val="20"/>
                <w:szCs w:val="20"/>
                <w:color w:val="auto"/>
              </w:rPr>
            </w:pPr>
            <w:r>
              <w:rPr>
                <w:rFonts w:ascii="Arial" w:cs="Arial" w:eastAsia="Arial" w:hAnsi="Arial"/>
                <w:sz w:val="20"/>
                <w:szCs w:val="20"/>
                <w:color w:val="auto"/>
              </w:rPr>
              <w:t>John C. Huffard, Jr.</w:t>
            </w: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20"/>
                <w:szCs w:val="20"/>
                <w:color w:val="auto"/>
              </w:rPr>
              <w:t>X*</w:t>
            </w: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2780" w:type="dxa"/>
            <w:vAlign w:val="bottom"/>
            <w:shd w:val="clear" w:color="auto" w:fill="D2EDF0"/>
          </w:tcPr>
          <w:p>
            <w:pPr>
              <w:ind w:left="100"/>
              <w:spacing w:after="0"/>
              <w:rPr>
                <w:sz w:val="20"/>
                <w:szCs w:val="20"/>
                <w:color w:val="auto"/>
              </w:rPr>
            </w:pPr>
            <w:r>
              <w:rPr>
                <w:rFonts w:ascii="Arial" w:cs="Arial" w:eastAsia="Arial" w:hAnsi="Arial"/>
                <w:sz w:val="20"/>
                <w:szCs w:val="20"/>
                <w:color w:val="auto"/>
              </w:rPr>
              <w:t>Linda Zecher Higgins</w:t>
            </w:r>
          </w:p>
        </w:tc>
        <w:tc>
          <w:tcPr>
            <w:tcW w:w="80" w:type="dxa"/>
            <w:vAlign w:val="bottom"/>
            <w:shd w:val="clear" w:color="auto" w:fill="D2EDF0"/>
          </w:tcPr>
          <w:p>
            <w:pPr>
              <w:spacing w:after="0"/>
              <w:rPr>
                <w:sz w:val="24"/>
                <w:szCs w:val="24"/>
                <w:color w:val="auto"/>
              </w:rPr>
            </w:pPr>
          </w:p>
        </w:tc>
        <w:tc>
          <w:tcPr>
            <w:tcW w:w="146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1460" w:type="dxa"/>
            <w:vAlign w:val="bottom"/>
            <w:shd w:val="clear" w:color="auto" w:fill="D2EDF0"/>
          </w:tcPr>
          <w:p>
            <w:pPr>
              <w:jc w:val="center"/>
              <w:spacing w:after="0"/>
              <w:rPr>
                <w:sz w:val="20"/>
                <w:szCs w:val="20"/>
                <w:color w:val="auto"/>
              </w:rPr>
            </w:pPr>
            <w:r>
              <w:rPr>
                <w:rFonts w:ascii="Arial" w:cs="Arial" w:eastAsia="Arial" w:hAnsi="Arial"/>
                <w:sz w:val="20"/>
                <w:szCs w:val="20"/>
                <w:color w:val="auto"/>
              </w:rPr>
              <w:t>X*</w:t>
            </w:r>
          </w:p>
        </w:tc>
        <w:tc>
          <w:tcPr>
            <w:tcW w:w="80" w:type="dxa"/>
            <w:vAlign w:val="bottom"/>
            <w:shd w:val="clear" w:color="auto" w:fill="D2EDF0"/>
          </w:tcPr>
          <w:p>
            <w:pPr>
              <w:spacing w:after="0"/>
              <w:rPr>
                <w:sz w:val="24"/>
                <w:szCs w:val="24"/>
                <w:color w:val="auto"/>
              </w:rPr>
            </w:pPr>
          </w:p>
        </w:tc>
        <w:tc>
          <w:tcPr>
            <w:tcW w:w="1480" w:type="dxa"/>
            <w:vAlign w:val="bottom"/>
            <w:shd w:val="clear" w:color="auto" w:fill="D2EDF0"/>
          </w:tcPr>
          <w:p>
            <w:pPr>
              <w:spacing w:after="0"/>
              <w:rPr>
                <w:sz w:val="24"/>
                <w:szCs w:val="24"/>
                <w:color w:val="auto"/>
              </w:rPr>
            </w:pPr>
          </w:p>
        </w:tc>
        <w:tc>
          <w:tcPr>
            <w:tcW w:w="60" w:type="dxa"/>
            <w:vAlign w:val="bottom"/>
            <w:shd w:val="clear" w:color="auto" w:fill="D2EDF0"/>
          </w:tcPr>
          <w:p>
            <w:pPr>
              <w:spacing w:after="0"/>
              <w:rPr>
                <w:sz w:val="24"/>
                <w:szCs w:val="24"/>
                <w:color w:val="auto"/>
              </w:rPr>
            </w:pPr>
          </w:p>
        </w:tc>
        <w:tc>
          <w:tcPr>
            <w:tcW w:w="1480" w:type="dxa"/>
            <w:vAlign w:val="bottom"/>
            <w:shd w:val="clear" w:color="auto" w:fill="D2EDF0"/>
          </w:tcPr>
          <w:p>
            <w:pPr>
              <w:jc w:val="center"/>
              <w:spacing w:after="0"/>
              <w:rPr>
                <w:sz w:val="20"/>
                <w:szCs w:val="20"/>
                <w:color w:val="auto"/>
              </w:rPr>
            </w:pPr>
            <w:r>
              <w:rPr>
                <w:rFonts w:ascii="Arial" w:cs="Arial" w:eastAsia="Arial" w:hAnsi="Arial"/>
                <w:sz w:val="20"/>
                <w:szCs w:val="20"/>
                <w:color w:val="auto"/>
                <w:w w:val="89"/>
              </w:rPr>
              <w:t>X</w:t>
            </w:r>
          </w:p>
        </w:tc>
        <w:tc>
          <w:tcPr>
            <w:tcW w:w="0" w:type="dxa"/>
            <w:vAlign w:val="bottom"/>
          </w:tcPr>
          <w:p>
            <w:pPr>
              <w:spacing w:after="0"/>
              <w:rPr>
                <w:sz w:val="1"/>
                <w:szCs w:val="1"/>
                <w:color w:val="auto"/>
              </w:rPr>
            </w:pPr>
          </w:p>
        </w:tc>
      </w:tr>
      <w:tr>
        <w:trPr>
          <w:trHeight w:val="275"/>
        </w:trPr>
        <w:tc>
          <w:tcPr>
            <w:tcW w:w="2780" w:type="dxa"/>
            <w:vAlign w:val="bottom"/>
          </w:tcPr>
          <w:p>
            <w:pPr>
              <w:ind w:left="100"/>
              <w:spacing w:after="0"/>
              <w:rPr>
                <w:sz w:val="20"/>
                <w:szCs w:val="20"/>
                <w:color w:val="auto"/>
              </w:rPr>
            </w:pPr>
            <w:r>
              <w:rPr>
                <w:rFonts w:ascii="Arial" w:cs="Arial" w:eastAsia="Arial" w:hAnsi="Arial"/>
                <w:sz w:val="20"/>
                <w:szCs w:val="20"/>
                <w:color w:val="auto"/>
              </w:rPr>
              <w:t>Niloofar Razi Howe</w:t>
            </w: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20"/>
                <w:szCs w:val="20"/>
                <w:color w:val="auto"/>
              </w:rPr>
              <w:t>X</w:t>
            </w: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2780" w:type="dxa"/>
            <w:vAlign w:val="bottom"/>
            <w:shd w:val="clear" w:color="auto" w:fill="D2EDF0"/>
          </w:tcPr>
          <w:p>
            <w:pPr>
              <w:ind w:left="100"/>
              <w:spacing w:after="0"/>
              <w:rPr>
                <w:sz w:val="20"/>
                <w:szCs w:val="20"/>
                <w:color w:val="auto"/>
              </w:rPr>
            </w:pPr>
            <w:r>
              <w:rPr>
                <w:rFonts w:ascii="Arial" w:cs="Arial" w:eastAsia="Arial" w:hAnsi="Arial"/>
                <w:sz w:val="20"/>
                <w:szCs w:val="20"/>
                <w:color w:val="auto"/>
              </w:rPr>
              <w:t>A. Brooke Seawell</w:t>
            </w:r>
          </w:p>
        </w:tc>
        <w:tc>
          <w:tcPr>
            <w:tcW w:w="80" w:type="dxa"/>
            <w:vAlign w:val="bottom"/>
            <w:shd w:val="clear" w:color="auto" w:fill="D2EDF0"/>
          </w:tcPr>
          <w:p>
            <w:pPr>
              <w:spacing w:after="0"/>
              <w:rPr>
                <w:sz w:val="24"/>
                <w:szCs w:val="24"/>
                <w:color w:val="auto"/>
              </w:rPr>
            </w:pPr>
          </w:p>
        </w:tc>
        <w:tc>
          <w:tcPr>
            <w:tcW w:w="1460" w:type="dxa"/>
            <w:vAlign w:val="bottom"/>
            <w:shd w:val="clear" w:color="auto" w:fill="D2EDF0"/>
          </w:tcPr>
          <w:p>
            <w:pPr>
              <w:jc w:val="center"/>
              <w:spacing w:after="0"/>
              <w:rPr>
                <w:sz w:val="20"/>
                <w:szCs w:val="20"/>
                <w:color w:val="auto"/>
              </w:rPr>
            </w:pPr>
            <w:r>
              <w:rPr>
                <w:rFonts w:ascii="Arial" w:cs="Arial" w:eastAsia="Arial" w:hAnsi="Arial"/>
                <w:sz w:val="20"/>
                <w:szCs w:val="20"/>
                <w:color w:val="auto"/>
              </w:rPr>
              <w:t>X*</w:t>
            </w:r>
          </w:p>
        </w:tc>
        <w:tc>
          <w:tcPr>
            <w:tcW w:w="80" w:type="dxa"/>
            <w:vAlign w:val="bottom"/>
            <w:shd w:val="clear" w:color="auto" w:fill="D2EDF0"/>
          </w:tcPr>
          <w:p>
            <w:pPr>
              <w:spacing w:after="0"/>
              <w:rPr>
                <w:sz w:val="24"/>
                <w:szCs w:val="24"/>
                <w:color w:val="auto"/>
              </w:rPr>
            </w:pPr>
          </w:p>
        </w:tc>
        <w:tc>
          <w:tcPr>
            <w:tcW w:w="146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1480" w:type="dxa"/>
            <w:vAlign w:val="bottom"/>
            <w:shd w:val="clear" w:color="auto" w:fill="D2EDF0"/>
          </w:tcPr>
          <w:p>
            <w:pPr>
              <w:spacing w:after="0"/>
              <w:rPr>
                <w:sz w:val="24"/>
                <w:szCs w:val="24"/>
                <w:color w:val="auto"/>
              </w:rPr>
            </w:pPr>
          </w:p>
        </w:tc>
        <w:tc>
          <w:tcPr>
            <w:tcW w:w="60" w:type="dxa"/>
            <w:vAlign w:val="bottom"/>
            <w:shd w:val="clear" w:color="auto" w:fill="D2EDF0"/>
          </w:tcPr>
          <w:p>
            <w:pPr>
              <w:spacing w:after="0"/>
              <w:rPr>
                <w:sz w:val="24"/>
                <w:szCs w:val="24"/>
                <w:color w:val="auto"/>
              </w:rPr>
            </w:pPr>
          </w:p>
        </w:tc>
        <w:tc>
          <w:tcPr>
            <w:tcW w:w="1480" w:type="dxa"/>
            <w:vAlign w:val="bottom"/>
            <w:shd w:val="clear" w:color="auto" w:fill="D2EDF0"/>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780" w:type="dxa"/>
            <w:vAlign w:val="bottom"/>
          </w:tcPr>
          <w:p>
            <w:pPr>
              <w:ind w:left="60"/>
              <w:spacing w:after="0" w:line="285" w:lineRule="exact"/>
              <w:rPr>
                <w:sz w:val="20"/>
                <w:szCs w:val="20"/>
                <w:color w:val="auto"/>
              </w:rPr>
            </w:pPr>
            <w:r>
              <w:rPr>
                <w:rFonts w:ascii="Arial" w:cs="Arial" w:eastAsia="Arial" w:hAnsi="Arial"/>
                <w:sz w:val="20"/>
                <w:szCs w:val="20"/>
                <w:color w:val="auto"/>
              </w:rPr>
              <w:t xml:space="preserve">George Alexander Tosheff </w:t>
            </w:r>
            <w:r>
              <w:rPr>
                <w:rFonts w:ascii="Arial" w:cs="Arial" w:eastAsia="Arial" w:hAnsi="Arial"/>
                <w:sz w:val="26"/>
                <w:szCs w:val="26"/>
                <w:color w:val="auto"/>
                <w:vertAlign w:val="superscript"/>
              </w:rPr>
              <w:t>(1)</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20"/>
                <w:szCs w:val="20"/>
                <w:color w:val="auto"/>
              </w:rPr>
              <w:t>X</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0"/>
                <w:szCs w:val="20"/>
                <w:color w:val="auto"/>
              </w:rPr>
              <w:t>X</w:t>
            </w: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780" w:type="dxa"/>
            <w:vAlign w:val="bottom"/>
            <w:shd w:val="clear" w:color="auto" w:fill="D2EDF0"/>
          </w:tcPr>
          <w:p>
            <w:pPr>
              <w:ind w:left="100"/>
              <w:spacing w:after="0" w:line="285" w:lineRule="exact"/>
              <w:rPr>
                <w:sz w:val="20"/>
                <w:szCs w:val="20"/>
                <w:color w:val="auto"/>
              </w:rPr>
            </w:pPr>
            <w:r>
              <w:rPr>
                <w:rFonts w:ascii="Arial" w:cs="Arial" w:eastAsia="Arial" w:hAnsi="Arial"/>
                <w:sz w:val="20"/>
                <w:szCs w:val="20"/>
                <w:color w:val="auto"/>
              </w:rPr>
              <w:t>Raymond Vicks, Jr.</w:t>
            </w:r>
            <w:r>
              <w:rPr>
                <w:rFonts w:ascii="Arial" w:cs="Arial" w:eastAsia="Arial" w:hAnsi="Arial"/>
                <w:sz w:val="26"/>
                <w:szCs w:val="26"/>
                <w:color w:val="auto"/>
                <w:vertAlign w:val="superscript"/>
              </w:rPr>
              <w:t>(2)</w:t>
            </w:r>
          </w:p>
        </w:tc>
        <w:tc>
          <w:tcPr>
            <w:tcW w:w="80" w:type="dxa"/>
            <w:vAlign w:val="bottom"/>
            <w:shd w:val="clear" w:color="auto" w:fill="D2EDF0"/>
          </w:tcPr>
          <w:p>
            <w:pPr>
              <w:spacing w:after="0"/>
              <w:rPr>
                <w:sz w:val="24"/>
                <w:szCs w:val="24"/>
                <w:color w:val="auto"/>
              </w:rPr>
            </w:pPr>
          </w:p>
        </w:tc>
        <w:tc>
          <w:tcPr>
            <w:tcW w:w="1460" w:type="dxa"/>
            <w:vAlign w:val="bottom"/>
            <w:shd w:val="clear" w:color="auto" w:fill="D2EDF0"/>
          </w:tcPr>
          <w:p>
            <w:pPr>
              <w:jc w:val="center"/>
              <w:spacing w:after="0"/>
              <w:rPr>
                <w:sz w:val="20"/>
                <w:szCs w:val="20"/>
                <w:color w:val="auto"/>
              </w:rPr>
            </w:pPr>
            <w:r>
              <w:rPr>
                <w:rFonts w:ascii="Arial" w:cs="Arial" w:eastAsia="Arial" w:hAnsi="Arial"/>
                <w:sz w:val="20"/>
                <w:szCs w:val="20"/>
                <w:color w:val="auto"/>
              </w:rPr>
              <w:t>X</w:t>
            </w:r>
          </w:p>
        </w:tc>
        <w:tc>
          <w:tcPr>
            <w:tcW w:w="80" w:type="dxa"/>
            <w:vAlign w:val="bottom"/>
            <w:shd w:val="clear" w:color="auto" w:fill="D2EDF0"/>
          </w:tcPr>
          <w:p>
            <w:pPr>
              <w:spacing w:after="0"/>
              <w:rPr>
                <w:sz w:val="24"/>
                <w:szCs w:val="24"/>
                <w:color w:val="auto"/>
              </w:rPr>
            </w:pPr>
          </w:p>
        </w:tc>
        <w:tc>
          <w:tcPr>
            <w:tcW w:w="146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1480" w:type="dxa"/>
            <w:vAlign w:val="bottom"/>
            <w:shd w:val="clear" w:color="auto" w:fill="D2EDF0"/>
          </w:tcPr>
          <w:p>
            <w:pPr>
              <w:spacing w:after="0"/>
              <w:rPr>
                <w:sz w:val="24"/>
                <w:szCs w:val="24"/>
                <w:color w:val="auto"/>
              </w:rPr>
            </w:pPr>
          </w:p>
        </w:tc>
        <w:tc>
          <w:tcPr>
            <w:tcW w:w="60" w:type="dxa"/>
            <w:vAlign w:val="bottom"/>
            <w:shd w:val="clear" w:color="auto" w:fill="D2EDF0"/>
          </w:tcPr>
          <w:p>
            <w:pPr>
              <w:spacing w:after="0"/>
              <w:rPr>
                <w:sz w:val="24"/>
                <w:szCs w:val="24"/>
                <w:color w:val="auto"/>
              </w:rPr>
            </w:pPr>
          </w:p>
        </w:tc>
        <w:tc>
          <w:tcPr>
            <w:tcW w:w="1480" w:type="dxa"/>
            <w:vAlign w:val="bottom"/>
            <w:shd w:val="clear" w:color="auto" w:fill="D2EDF0"/>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780" w:type="dxa"/>
            <w:vAlign w:val="bottom"/>
          </w:tcPr>
          <w:p>
            <w:pPr>
              <w:ind w:left="60"/>
              <w:spacing w:after="0"/>
              <w:rPr>
                <w:sz w:val="20"/>
                <w:szCs w:val="20"/>
                <w:color w:val="auto"/>
              </w:rPr>
            </w:pPr>
            <w:r>
              <w:rPr>
                <w:rFonts w:ascii="Arial" w:cs="Arial" w:eastAsia="Arial" w:hAnsi="Arial"/>
                <w:sz w:val="20"/>
                <w:szCs w:val="20"/>
                <w:color w:val="auto"/>
              </w:rPr>
              <w:t>Total meetings in 2022</w:t>
            </w:r>
          </w:p>
        </w:tc>
        <w:tc>
          <w:tcPr>
            <w:tcW w:w="1540" w:type="dxa"/>
            <w:vAlign w:val="bottom"/>
            <w:gridSpan w:val="2"/>
          </w:tcPr>
          <w:p>
            <w:pPr>
              <w:jc w:val="center"/>
              <w:spacing w:after="0"/>
              <w:rPr>
                <w:sz w:val="20"/>
                <w:szCs w:val="20"/>
                <w:color w:val="auto"/>
              </w:rPr>
            </w:pPr>
            <w:r>
              <w:rPr>
                <w:rFonts w:ascii="Arial" w:cs="Arial" w:eastAsia="Arial" w:hAnsi="Arial"/>
                <w:sz w:val="20"/>
                <w:szCs w:val="20"/>
                <w:color w:val="auto"/>
              </w:rPr>
              <w:t>8</w:t>
            </w:r>
          </w:p>
        </w:tc>
        <w:tc>
          <w:tcPr>
            <w:tcW w:w="1540" w:type="dxa"/>
            <w:vAlign w:val="bottom"/>
            <w:gridSpan w:val="2"/>
          </w:tcPr>
          <w:p>
            <w:pPr>
              <w:jc w:val="center"/>
              <w:spacing w:after="0"/>
              <w:rPr>
                <w:sz w:val="20"/>
                <w:szCs w:val="20"/>
                <w:color w:val="auto"/>
              </w:rPr>
            </w:pPr>
            <w:r>
              <w:rPr>
                <w:rFonts w:ascii="Arial" w:cs="Arial" w:eastAsia="Arial" w:hAnsi="Arial"/>
                <w:sz w:val="20"/>
                <w:szCs w:val="20"/>
                <w:color w:val="auto"/>
                <w:w w:val="89"/>
              </w:rPr>
              <w:t>4</w:t>
            </w:r>
          </w:p>
        </w:tc>
        <w:tc>
          <w:tcPr>
            <w:tcW w:w="1560" w:type="dxa"/>
            <w:vAlign w:val="bottom"/>
            <w:gridSpan w:val="2"/>
          </w:tcPr>
          <w:p>
            <w:pPr>
              <w:jc w:val="center"/>
              <w:ind w:left="15"/>
              <w:spacing w:after="0" w:line="351" w:lineRule="exact"/>
              <w:rPr>
                <w:sz w:val="20"/>
                <w:szCs w:val="20"/>
                <w:color w:val="auto"/>
              </w:rPr>
            </w:pPr>
            <w:r>
              <w:rPr>
                <w:rFonts w:ascii="Arial" w:cs="Arial" w:eastAsia="Arial" w:hAnsi="Arial"/>
                <w:sz w:val="40"/>
                <w:szCs w:val="40"/>
                <w:color w:val="auto"/>
                <w:w w:val="91"/>
                <w:vertAlign w:val="subscript"/>
              </w:rPr>
              <w:t>0</w:t>
            </w:r>
            <w:r>
              <w:rPr>
                <w:rFonts w:ascii="Arial" w:cs="Arial" w:eastAsia="Arial" w:hAnsi="Arial"/>
                <w:sz w:val="13"/>
                <w:szCs w:val="13"/>
                <w:color w:val="auto"/>
                <w:w w:val="91"/>
              </w:rPr>
              <w:t>(3)</w:t>
            </w:r>
          </w:p>
        </w:tc>
        <w:tc>
          <w:tcPr>
            <w:tcW w:w="1540" w:type="dxa"/>
            <w:vAlign w:val="bottom"/>
            <w:gridSpan w:val="2"/>
          </w:tcPr>
          <w:p>
            <w:pPr>
              <w:jc w:val="center"/>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122"/>
        </w:trPr>
        <w:tc>
          <w:tcPr>
            <w:tcW w:w="2780" w:type="dxa"/>
            <w:vAlign w:val="bottom"/>
          </w:tcPr>
          <w:p>
            <w:pPr>
              <w:spacing w:after="0" w:line="122" w:lineRule="exact"/>
              <w:rPr>
                <w:sz w:val="20"/>
                <w:szCs w:val="20"/>
                <w:color w:val="auto"/>
              </w:rPr>
            </w:pPr>
            <w:r>
              <w:rPr>
                <w:rFonts w:ascii="Arial" w:cs="Arial" w:eastAsia="Arial" w:hAnsi="Arial"/>
                <w:sz w:val="12"/>
                <w:szCs w:val="12"/>
                <w:color w:val="auto"/>
              </w:rPr>
              <w:t>_____________</w:t>
            </w: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720" w:hanging="720"/>
        <w:spacing w:after="0"/>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Committee Chairperson</w:t>
      </w:r>
    </w:p>
    <w:p>
      <w:pPr>
        <w:spacing w:after="0" w:line="10" w:lineRule="exact"/>
        <w:rPr>
          <w:sz w:val="20"/>
          <w:szCs w:val="20"/>
          <w:color w:val="auto"/>
        </w:rPr>
      </w:pPr>
    </w:p>
    <w:p>
      <w:pPr>
        <w:ind w:left="720" w:hanging="720"/>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Mr. Tosheff joined the Board in September 2022.</w:t>
      </w:r>
    </w:p>
    <w:p>
      <w:pPr>
        <w:spacing w:after="0" w:line="10" w:lineRule="exact"/>
        <w:rPr>
          <w:rFonts w:ascii="Arial" w:cs="Arial" w:eastAsia="Arial" w:hAnsi="Arial"/>
          <w:sz w:val="20"/>
          <w:szCs w:val="20"/>
          <w:color w:val="auto"/>
        </w:rPr>
      </w:pPr>
    </w:p>
    <w:p>
      <w:pPr>
        <w:ind w:left="720" w:hanging="720"/>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Mr. Vicks joined the Board in January 2022.</w:t>
      </w:r>
    </w:p>
    <w:p>
      <w:pPr>
        <w:spacing w:after="0" w:line="10" w:lineRule="exact"/>
        <w:rPr>
          <w:rFonts w:ascii="Arial" w:cs="Arial" w:eastAsia="Arial" w:hAnsi="Arial"/>
          <w:sz w:val="20"/>
          <w:szCs w:val="20"/>
          <w:color w:val="auto"/>
        </w:rPr>
      </w:pPr>
    </w:p>
    <w:p>
      <w:pPr>
        <w:ind w:right="100"/>
        <w:spacing w:after="0" w:line="268" w:lineRule="auto"/>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first meeting of the Cybersecurity Risk Management Committee was held on February 22, 2023. The Cybersecurity Risk Management Committee was formerly a subcommittee of the Audit Committee beginning in 2017.</w:t>
      </w:r>
    </w:p>
    <w:p>
      <w:pPr>
        <w:spacing w:after="0" w:line="190" w:lineRule="exact"/>
        <w:rPr>
          <w:sz w:val="20"/>
          <w:szCs w:val="20"/>
          <w:color w:val="auto"/>
        </w:rPr>
      </w:pPr>
    </w:p>
    <w:p>
      <w:pPr>
        <w:ind w:right="60" w:firstLine="360"/>
        <w:spacing w:after="0" w:line="257" w:lineRule="auto"/>
        <w:rPr>
          <w:sz w:val="20"/>
          <w:szCs w:val="20"/>
          <w:color w:val="auto"/>
        </w:rPr>
      </w:pPr>
      <w:r>
        <w:rPr>
          <w:rFonts w:ascii="Arial" w:cs="Arial" w:eastAsia="Arial" w:hAnsi="Arial"/>
          <w:sz w:val="20"/>
          <w:szCs w:val="20"/>
          <w:color w:val="auto"/>
        </w:rPr>
        <w:t>Below is a description of each committee of the Board of Directors. Each of the committees has the authority to engage legal counsel or other experts or consultants, as it deems appropriate to carry out its responsibilities. The Board of Directors has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w:t>
      </w:r>
    </w:p>
    <w:p>
      <w:pPr>
        <w:spacing w:after="0" w:line="251" w:lineRule="exact"/>
        <w:rPr>
          <w:sz w:val="20"/>
          <w:szCs w:val="20"/>
          <w:color w:val="auto"/>
        </w:rPr>
      </w:pPr>
    </w:p>
    <w:p>
      <w:pPr>
        <w:ind w:firstLine="360"/>
        <w:spacing w:after="0" w:line="259" w:lineRule="auto"/>
        <w:rPr>
          <w:sz w:val="20"/>
          <w:szCs w:val="20"/>
          <w:color w:val="auto"/>
        </w:rPr>
      </w:pPr>
      <w:r>
        <w:rPr>
          <w:rFonts w:ascii="Arial" w:cs="Arial" w:eastAsia="Arial" w:hAnsi="Arial"/>
          <w:sz w:val="20"/>
          <w:szCs w:val="20"/>
          <w:color w:val="auto"/>
        </w:rPr>
        <w:t>The Audit Committee of the Board of Directors was established by the Board in accordance with Section 3(a)(58)(A) of the Exchange Act to oversee the Company’s corporate accounting and financial reporting processes and audits of its financial statements. For this purpose, the Audit Committee performs several functions. The principal duties and responsibilities of our audit committee include, among other things:</w:t>
      </w:r>
    </w:p>
    <w:p>
      <w:pPr>
        <w:spacing w:after="0" w:line="19" w:lineRule="exact"/>
        <w:rPr>
          <w:sz w:val="20"/>
          <w:szCs w:val="20"/>
          <w:color w:val="auto"/>
        </w:rPr>
      </w:pPr>
    </w:p>
    <w:p>
      <w:pPr>
        <w:ind w:left="720" w:right="460" w:hanging="360"/>
        <w:spacing w:after="0" w:line="281" w:lineRule="auto"/>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selecting a qualified firm to serve as the independent registered public accounting firm to audit our financial statements;</w:t>
      </w:r>
    </w:p>
    <w:p>
      <w:pPr>
        <w:spacing w:after="0" w:line="1" w:lineRule="exact"/>
        <w:rPr>
          <w:rFonts w:ascii="Arial" w:cs="Arial" w:eastAsia="Arial" w:hAnsi="Arial"/>
          <w:sz w:val="20"/>
          <w:szCs w:val="20"/>
          <w:color w:val="auto"/>
        </w:rPr>
      </w:pPr>
    </w:p>
    <w:p>
      <w:pPr>
        <w:ind w:left="720" w:right="140" w:hanging="360"/>
        <w:spacing w:after="0" w:line="281" w:lineRule="auto"/>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approving (or, as permitted, pre-approving) all audit and all permissible non-audit services to be performed by the independent registered public accounting firm;</w:t>
      </w:r>
    </w:p>
    <w:p>
      <w:pPr>
        <w:spacing w:after="0" w:line="1" w:lineRule="exact"/>
        <w:rPr>
          <w:rFonts w:ascii="Arial" w:cs="Arial" w:eastAsia="Arial" w:hAnsi="Arial"/>
          <w:sz w:val="20"/>
          <w:szCs w:val="20"/>
          <w:color w:val="auto"/>
        </w:rPr>
      </w:pPr>
    </w:p>
    <w:p>
      <w:pPr>
        <w:ind w:left="720" w:right="300" w:hanging="360"/>
        <w:spacing w:after="0" w:line="281" w:lineRule="auto"/>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helping to ensure the independence and performance of the independent registered public accounting firm;</w:t>
      </w:r>
    </w:p>
    <w:p>
      <w:pPr>
        <w:spacing w:after="0" w:line="1" w:lineRule="exact"/>
        <w:rPr>
          <w:rFonts w:ascii="Arial" w:cs="Arial" w:eastAsia="Arial" w:hAnsi="Arial"/>
          <w:sz w:val="20"/>
          <w:szCs w:val="20"/>
          <w:color w:val="auto"/>
        </w:rPr>
      </w:pPr>
    </w:p>
    <w:p>
      <w:pPr>
        <w:ind w:left="720" w:right="40" w:hanging="360"/>
        <w:spacing w:after="0" w:line="268" w:lineRule="auto"/>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w:t>
      </w:r>
    </w:p>
    <w:p>
      <w:pPr>
        <w:spacing w:after="0" w:line="9" w:lineRule="exact"/>
        <w:rPr>
          <w:rFonts w:ascii="Arial" w:cs="Arial" w:eastAsia="Arial" w:hAnsi="Arial"/>
          <w:sz w:val="20"/>
          <w:szCs w:val="20"/>
          <w:color w:val="auto"/>
        </w:rPr>
      </w:pPr>
    </w:p>
    <w:p>
      <w:pPr>
        <w:ind w:left="720" w:right="500" w:hanging="360"/>
        <w:spacing w:after="0" w:line="259" w:lineRule="auto"/>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discussing the scope and results of the audit with the independent registered public accounting firm, and reviewing, with management and the independent registered public accounting firm, our interim and year-end operating results, including a review of our disclosures under "Management's Discussion and Analysis of Financial Condition and Results of Operations";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880" w:h="15480" w:orient="portrait"/>
          <w:cols w:equalWidth="0" w:num="1">
            <w:col w:w="9000"/>
          </w:cols>
          <w:pgMar w:left="1440" w:top="1204" w:right="1440" w:bottom="0" w:gutter="0" w:footer="0" w:header="0"/>
          <w:type w:val="continuous"/>
        </w:sectPr>
      </w:pPr>
    </w:p>
    <w:bookmarkStart w:id="26" w:name="page27"/>
    <w:bookmarkEnd w:id="26"/>
    <w:p>
      <w:pPr>
        <w:ind w:left="720" w:hanging="36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reviewing our policies on risk assessment and risk management;</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overseeing the organization and performance of the Company's internal audit function;</w:t>
      </w:r>
    </w:p>
    <w:p>
      <w:pPr>
        <w:spacing w:after="0" w:line="70" w:lineRule="exact"/>
        <w:rPr>
          <w:rFonts w:ascii="Arial" w:cs="Arial" w:eastAsia="Arial" w:hAnsi="Arial"/>
          <w:sz w:val="20"/>
          <w:szCs w:val="20"/>
          <w:color w:val="auto"/>
        </w:rPr>
      </w:pPr>
    </w:p>
    <w:p>
      <w:pPr>
        <w:ind w:left="720" w:right="240" w:hanging="360"/>
        <w:spacing w:after="0" w:line="281"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developing procedures for employees to submit concerns anonymously about questionable accounting or audit matters;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reviewing related party transactions; and</w:t>
      </w:r>
    </w:p>
    <w:p>
      <w:pPr>
        <w:spacing w:after="0" w:line="70" w:lineRule="exact"/>
        <w:rPr>
          <w:rFonts w:ascii="Arial" w:cs="Arial" w:eastAsia="Arial" w:hAnsi="Arial"/>
          <w:sz w:val="20"/>
          <w:szCs w:val="20"/>
          <w:color w:val="auto"/>
        </w:rPr>
      </w:pPr>
    </w:p>
    <w:p>
      <w:pPr>
        <w:ind w:left="720" w:right="220" w:hanging="360"/>
        <w:spacing w:after="0" w:line="287" w:lineRule="auto"/>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meeting in executive session with management and the Company's independent registered public accountants.</w:t>
      </w:r>
    </w:p>
    <w:p>
      <w:pPr>
        <w:spacing w:after="0" w:line="290" w:lineRule="exact"/>
        <w:rPr>
          <w:sz w:val="20"/>
          <w:szCs w:val="20"/>
          <w:color w:val="auto"/>
        </w:rPr>
      </w:pPr>
    </w:p>
    <w:p>
      <w:pPr>
        <w:ind w:firstLine="360"/>
        <w:spacing w:after="0" w:line="259" w:lineRule="auto"/>
        <w:rPr>
          <w:sz w:val="20"/>
          <w:szCs w:val="20"/>
          <w:color w:val="auto"/>
        </w:rPr>
      </w:pPr>
      <w:r>
        <w:rPr>
          <w:rFonts w:ascii="Arial" w:cs="Arial" w:eastAsia="Arial" w:hAnsi="Arial"/>
          <w:sz w:val="20"/>
          <w:szCs w:val="20"/>
          <w:color w:val="auto"/>
        </w:rPr>
        <w:t xml:space="preserve">The Audit Committee is currently composed of three directors: A. Brooke Seawell, George Alexander Tosheff, and Raymond Vicks, Jr. Arthur Coviello served as a member of the Audit Committee until January 2022. Kimberly Hammonds served as a member of the Audit Committee until June 2022. The Audit Committee met eight times during 2022. The Board has adopted a written Audit Committee charter that is available to stockholders on our website at </w:t>
      </w:r>
      <w:r>
        <w:rPr>
          <w:rFonts w:ascii="Arial" w:cs="Arial" w:eastAsia="Arial" w:hAnsi="Arial"/>
          <w:sz w:val="20"/>
          <w:szCs w:val="20"/>
          <w:i w:val="1"/>
          <w:iCs w:val="1"/>
          <w:color w:val="auto"/>
        </w:rPr>
        <w:t>www.tenable.com</w:t>
      </w:r>
      <w:r>
        <w:rPr>
          <w:rFonts w:ascii="Arial" w:cs="Arial" w:eastAsia="Arial" w:hAnsi="Arial"/>
          <w:sz w:val="20"/>
          <w:szCs w:val="20"/>
          <w:color w:val="auto"/>
        </w:rPr>
        <w:t>.</w:t>
      </w:r>
    </w:p>
    <w:p>
      <w:pPr>
        <w:spacing w:after="0" w:line="199" w:lineRule="exact"/>
        <w:rPr>
          <w:sz w:val="20"/>
          <w:szCs w:val="20"/>
          <w:color w:val="auto"/>
        </w:rPr>
      </w:pPr>
    </w:p>
    <w:p>
      <w:pPr>
        <w:ind w:right="140" w:firstLine="360"/>
        <w:spacing w:after="0" w:line="262" w:lineRule="auto"/>
        <w:rPr>
          <w:sz w:val="20"/>
          <w:szCs w:val="20"/>
          <w:color w:val="auto"/>
        </w:rPr>
      </w:pPr>
      <w:r>
        <w:rPr>
          <w:rFonts w:ascii="Arial" w:cs="Arial" w:eastAsia="Arial" w:hAnsi="Arial"/>
          <w:sz w:val="20"/>
          <w:szCs w:val="20"/>
          <w:color w:val="auto"/>
        </w:rPr>
        <w:t>The Board of Directors reviews the Nasdaq listing standards definition of independence for Audit Committee members on an annual basis and has determined that all members of the Company’s Audit Committee are independent (as independence is currently defined in Rule 5605(c)(2)(A)(i) and (ii) of the Nasdaq listing rules).</w:t>
      </w:r>
    </w:p>
    <w:p>
      <w:pPr>
        <w:spacing w:after="0" w:line="196" w:lineRule="exact"/>
        <w:rPr>
          <w:sz w:val="20"/>
          <w:szCs w:val="20"/>
          <w:color w:val="auto"/>
        </w:rPr>
      </w:pPr>
    </w:p>
    <w:p>
      <w:pPr>
        <w:ind w:right="20" w:firstLine="360"/>
        <w:spacing w:after="0" w:line="259" w:lineRule="auto"/>
        <w:rPr>
          <w:sz w:val="20"/>
          <w:szCs w:val="20"/>
          <w:color w:val="auto"/>
        </w:rPr>
      </w:pPr>
      <w:r>
        <w:rPr>
          <w:rFonts w:ascii="Arial" w:cs="Arial" w:eastAsia="Arial" w:hAnsi="Arial"/>
          <w:sz w:val="20"/>
          <w:szCs w:val="20"/>
          <w:color w:val="auto"/>
        </w:rPr>
        <w:t>The Board of Directors has also determined that Messrs. Vicks and Seawell each qualifies as an “audit committee financial expert,” as defined in applicable SEC rules. The Board made a qualitative assessment of Messrs. Vicks and Seawell's level of knowledge and experience based on a number of factors, including their formal education, Mr. Seawell's experience as a chief financial officer of public reporting companies and Mr. Vicks' public accounting experience.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Report of the Audit Committee of the Board of Directors*</w:t>
      </w:r>
    </w:p>
    <w:p>
      <w:pPr>
        <w:spacing w:after="0" w:line="251" w:lineRule="exact"/>
        <w:rPr>
          <w:sz w:val="20"/>
          <w:szCs w:val="20"/>
          <w:color w:val="auto"/>
        </w:rPr>
      </w:pPr>
    </w:p>
    <w:p>
      <w:pPr>
        <w:ind w:right="80" w:firstLine="360"/>
        <w:spacing w:after="0" w:line="254" w:lineRule="auto"/>
        <w:rPr>
          <w:sz w:val="20"/>
          <w:szCs w:val="20"/>
          <w:color w:val="auto"/>
        </w:rPr>
      </w:pPr>
      <w:r>
        <w:rPr>
          <w:rFonts w:ascii="Arial" w:cs="Arial" w:eastAsia="Arial" w:hAnsi="Arial"/>
          <w:sz w:val="20"/>
          <w:szCs w:val="20"/>
          <w:color w:val="auto"/>
        </w:rPr>
        <w:t>The Audit Committee has reviewed and discussed the audited financial statements for the year ended December 31, 2022 with management of the Company. The Audit Committee has discussed with the independent registered public accounting firm the matters required to be discussed by the applicable requirements of the Public Company Accounting Oversight Board (“PCAOB”) and SEC. The Audit Committee has also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the Company’s Annual Report on Form 10-K for the year ended December 31, 2022.</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A. Brooke Seawell, Chair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George Alexander Tosheff</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Raymond Vicks, Jr.</w:t>
      </w:r>
    </w:p>
    <w:p>
      <w:pPr>
        <w:spacing w:after="0" w:line="250" w:lineRule="exact"/>
        <w:rPr>
          <w:sz w:val="20"/>
          <w:szCs w:val="20"/>
          <w:color w:val="auto"/>
        </w:rPr>
      </w:pPr>
    </w:p>
    <w:p>
      <w:pPr>
        <w:ind w:right="40" w:firstLine="360"/>
        <w:spacing w:after="0" w:line="262"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The material in this report is not "soliciting material," is not deemed "filed" with the Commission</w:t>
      </w:r>
      <w:r>
        <w:rPr>
          <w:rFonts w:ascii="Arial" w:cs="Arial" w:eastAsia="Arial" w:hAnsi="Arial"/>
          <w:sz w:val="20"/>
          <w:szCs w:val="20"/>
          <w:color w:val="auto"/>
        </w:rPr>
        <w:t xml:space="preserve"> </w:t>
      </w:r>
      <w:r>
        <w:rPr>
          <w:rFonts w:ascii="Arial" w:cs="Arial" w:eastAsia="Arial" w:hAnsi="Arial"/>
          <w:sz w:val="20"/>
          <w:szCs w:val="20"/>
          <w:i w:val="1"/>
          <w:iCs w:val="1"/>
          <w:color w:val="auto"/>
        </w:rPr>
        <w:t>and is not to be incorporated by reference in any filing of the Company under the Securities Act or the Exchange Act, whether made before or after the date hereof and irrespective of any general incorporation language in any such filing.</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880" w:h="15480" w:orient="portrait"/>
          <w:cols w:equalWidth="0" w:num="1">
            <w:col w:w="9000"/>
          </w:cols>
          <w:pgMar w:left="1440" w:top="1204" w:right="1440" w:bottom="0"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Compensation Committee</w:t>
      </w:r>
    </w:p>
    <w:p>
      <w:pPr>
        <w:spacing w:after="0" w:line="251" w:lineRule="exact"/>
        <w:rPr>
          <w:sz w:val="20"/>
          <w:szCs w:val="20"/>
          <w:color w:val="auto"/>
        </w:rPr>
      </w:pPr>
    </w:p>
    <w:p>
      <w:pPr>
        <w:ind w:right="200" w:firstLine="360"/>
        <w:spacing w:after="0" w:line="296" w:lineRule="auto"/>
        <w:rPr>
          <w:sz w:val="20"/>
          <w:szCs w:val="20"/>
          <w:color w:val="auto"/>
        </w:rPr>
      </w:pPr>
      <w:r>
        <w:rPr>
          <w:rFonts w:ascii="Arial" w:cs="Arial" w:eastAsia="Arial" w:hAnsi="Arial"/>
          <w:sz w:val="19"/>
          <w:szCs w:val="19"/>
          <w:color w:val="auto"/>
        </w:rPr>
        <w:t>The Compensation Committee of the Board of Directors acts on behalf of the Board to review, modify and oversee the Company’s compensation strategy, policies, plans and programs, including:</w:t>
      </w:r>
    </w:p>
    <w:p>
      <w:pPr>
        <w:spacing w:after="0" w:line="1" w:lineRule="exact"/>
        <w:rPr>
          <w:sz w:val="20"/>
          <w:szCs w:val="20"/>
          <w:color w:val="auto"/>
        </w:rPr>
      </w:pPr>
    </w:p>
    <w:p>
      <w:pPr>
        <w:ind w:left="720" w:right="880" w:hanging="360"/>
        <w:spacing w:after="0" w:line="268"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establishment of corporate and individual performance objectives relevant to the compensation of our executive officers, directors and other senior management and evaluation of performance in light of these stated objectives;</w:t>
      </w:r>
    </w:p>
    <w:p>
      <w:pPr>
        <w:spacing w:after="0" w:line="9" w:lineRule="exact"/>
        <w:rPr>
          <w:rFonts w:ascii="Arial" w:cs="Arial" w:eastAsia="Arial" w:hAnsi="Arial"/>
          <w:sz w:val="20"/>
          <w:szCs w:val="20"/>
          <w:color w:val="auto"/>
        </w:rPr>
      </w:pPr>
    </w:p>
    <w:p>
      <w:pPr>
        <w:ind w:left="720" w:right="260" w:hanging="360"/>
        <w:spacing w:after="0" w:line="268"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 and approve the compensation and other terms of employment or service, including severance and change-in-control arrangements, of our Chief Executive Officer, the other executive officers and other senior management;</w:t>
      </w:r>
    </w:p>
    <w:p>
      <w:pPr>
        <w:spacing w:after="0" w:line="9" w:lineRule="exact"/>
        <w:rPr>
          <w:rFonts w:ascii="Arial" w:cs="Arial" w:eastAsia="Arial" w:hAnsi="Arial"/>
          <w:sz w:val="20"/>
          <w:szCs w:val="20"/>
          <w:color w:val="auto"/>
        </w:rPr>
      </w:pPr>
    </w:p>
    <w:p>
      <w:pPr>
        <w:ind w:left="720" w:right="40" w:hanging="360"/>
        <w:spacing w:after="0" w:line="281"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 and recommend to the Board for approval the type and amount of compensation to be paid or awarded to our directors; and</w:t>
      </w:r>
    </w:p>
    <w:p>
      <w:pPr>
        <w:spacing w:after="0" w:line="1" w:lineRule="exact"/>
        <w:rPr>
          <w:rFonts w:ascii="Arial" w:cs="Arial" w:eastAsia="Arial" w:hAnsi="Arial"/>
          <w:sz w:val="20"/>
          <w:szCs w:val="20"/>
          <w:color w:val="auto"/>
        </w:rPr>
      </w:pPr>
    </w:p>
    <w:p>
      <w:pPr>
        <w:ind w:left="720" w:right="80" w:hanging="360"/>
        <w:spacing w:after="0" w:line="287" w:lineRule="auto"/>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administration of our equity compensation plans, bonus plans, benefit plans and other similar plans and programs.</w:t>
      </w:r>
    </w:p>
    <w:p>
      <w:pPr>
        <w:spacing w:after="0" w:line="170" w:lineRule="exact"/>
        <w:rPr>
          <w:sz w:val="20"/>
          <w:szCs w:val="20"/>
          <w:color w:val="auto"/>
        </w:rPr>
      </w:pPr>
    </w:p>
    <w:p>
      <w:pPr>
        <w:ind w:right="140" w:firstLine="360"/>
        <w:spacing w:after="0" w:line="256" w:lineRule="auto"/>
        <w:rPr>
          <w:sz w:val="20"/>
          <w:szCs w:val="20"/>
          <w:color w:val="auto"/>
        </w:rPr>
      </w:pPr>
      <w:r>
        <w:rPr>
          <w:rFonts w:ascii="Arial" w:cs="Arial" w:eastAsia="Arial" w:hAnsi="Arial"/>
          <w:sz w:val="20"/>
          <w:szCs w:val="20"/>
          <w:color w:val="auto"/>
        </w:rPr>
        <w:t xml:space="preserve">The Compensation Committee is currently composed of two directors: Linda Zecher Higgins and Niloofar Razi Howe. Jerry M. Kennelly ceased being a member of the Compensation Committee in September 2022 in connection with his retirement. All members of the Company’s Compensation Committee are independent (as independence is currently defined in Rule 5605(d)(2) of the Nasdaq listing rules). The Compensation Committee met four times during 2022. The Board has adopted a written Compensation Committee charter that is available to stockholders on our website at </w:t>
      </w:r>
      <w:r>
        <w:rPr>
          <w:rFonts w:ascii="Arial" w:cs="Arial" w:eastAsia="Arial" w:hAnsi="Arial"/>
          <w:sz w:val="20"/>
          <w:szCs w:val="20"/>
          <w:i w:val="1"/>
          <w:iCs w:val="1"/>
          <w:color w:val="auto"/>
        </w:rPr>
        <w:t>www.tenable.com</w:t>
      </w:r>
      <w:r>
        <w:rPr>
          <w:rFonts w:ascii="Arial" w:cs="Arial" w:eastAsia="Arial" w:hAnsi="Arial"/>
          <w:sz w:val="20"/>
          <w:szCs w:val="20"/>
          <w:color w:val="auto"/>
        </w:rPr>
        <w:t>.</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Compensation Committee Processes and Procedures</w:t>
      </w:r>
    </w:p>
    <w:p>
      <w:pPr>
        <w:spacing w:after="0" w:line="249" w:lineRule="exact"/>
        <w:rPr>
          <w:sz w:val="20"/>
          <w:szCs w:val="20"/>
          <w:color w:val="auto"/>
        </w:rPr>
      </w:pPr>
    </w:p>
    <w:p>
      <w:pPr>
        <w:ind w:right="40" w:firstLine="360"/>
        <w:spacing w:after="0" w:line="251" w:lineRule="auto"/>
        <w:rPr>
          <w:sz w:val="20"/>
          <w:szCs w:val="20"/>
          <w:color w:val="auto"/>
        </w:rPr>
      </w:pPr>
      <w:r>
        <w:rPr>
          <w:rFonts w:ascii="Arial" w:cs="Arial" w:eastAsia="Arial" w:hAnsi="Arial"/>
          <w:sz w:val="20"/>
          <w:szCs w:val="20"/>
          <w:color w:val="auto"/>
        </w:rPr>
        <w:t>Typically, the Compensation Committee meets quarterly and with greater frequency when necessary. The agenda for each meeting is usually developed by the Chair of the Compensation Committee, in consultation with the Chief Executive Officer, Chief People Officer and Compensia, Inc. ("Compensia"), the compensation consultant engaged by the Compensation Committee. The Compensation Committee meets regularly in executive session. In addition to our Chief Executive Officer, our Chief People Officer and our General Counsel also regularly attend meetings at the invitation of the Compensation Committee and take part in discussions about executive compensation.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In addition, under its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880" w:h="15480" w:orient="portrait"/>
          <w:cols w:equalWidth="0" w:num="1">
            <w:col w:w="9000"/>
          </w:cols>
          <w:pgMar w:left="1440" w:top="1203" w:right="1440" w:bottom="0" w:gutter="0" w:footer="0" w:header="0"/>
          <w:type w:val="continuous"/>
        </w:sectPr>
      </w:pPr>
    </w:p>
    <w:bookmarkStart w:id="28" w:name="page29"/>
    <w:bookmarkEnd w:id="28"/>
    <w:p>
      <w:pPr>
        <w:ind w:right="460"/>
        <w:spacing w:after="0" w:line="287" w:lineRule="auto"/>
        <w:rPr>
          <w:sz w:val="20"/>
          <w:szCs w:val="20"/>
          <w:color w:val="auto"/>
        </w:rPr>
      </w:pPr>
      <w:r>
        <w:rPr>
          <w:rFonts w:ascii="Arial" w:cs="Arial" w:eastAsia="Arial" w:hAnsi="Arial"/>
          <w:sz w:val="20"/>
          <w:szCs w:val="20"/>
          <w:color w:val="auto"/>
        </w:rPr>
        <w:t>after taking into consideration six factors, prescribed by the SEC and Nasdaq, that bear upon the adviser’s independence; however, there is no requirement that any adviser be independent.</w:t>
      </w:r>
    </w:p>
    <w:p>
      <w:pPr>
        <w:spacing w:after="0" w:line="170" w:lineRule="exact"/>
        <w:rPr>
          <w:sz w:val="20"/>
          <w:szCs w:val="20"/>
          <w:color w:val="auto"/>
        </w:rPr>
      </w:pPr>
    </w:p>
    <w:p>
      <w:pPr>
        <w:ind w:right="440" w:firstLine="360"/>
        <w:spacing w:after="0" w:line="259" w:lineRule="auto"/>
        <w:rPr>
          <w:sz w:val="20"/>
          <w:szCs w:val="20"/>
          <w:color w:val="auto"/>
        </w:rPr>
      </w:pPr>
      <w:r>
        <w:rPr>
          <w:rFonts w:ascii="Arial" w:cs="Arial" w:eastAsia="Arial" w:hAnsi="Arial"/>
          <w:sz w:val="20"/>
          <w:szCs w:val="20"/>
          <w:color w:val="auto"/>
        </w:rPr>
        <w:t>During the past calendar year, after taking into consideration the six factors prescribed by the SEC and Nasdaq described above, the Compensation Committee retained Compensia as its compensation consultant. Our Compensation Committee identified Compensia based on Compensia's general reputation in the industry. The Compensation Committee requested that Compensia:</w:t>
      </w:r>
    </w:p>
    <w:p>
      <w:pPr>
        <w:spacing w:after="0" w:line="19" w:lineRule="exact"/>
        <w:rPr>
          <w:sz w:val="20"/>
          <w:szCs w:val="20"/>
          <w:color w:val="auto"/>
        </w:rPr>
      </w:pPr>
    </w:p>
    <w:p>
      <w:pPr>
        <w:ind w:left="720" w:right="600" w:hanging="360"/>
        <w:spacing w:after="0" w:line="281"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evaluate the efficacy of the Company’s existing compensation strategy and practices in supporting and reinforcing the Company’s long-term strategic goals; and</w:t>
      </w:r>
    </w:p>
    <w:p>
      <w:pPr>
        <w:spacing w:after="0" w:line="1" w:lineRule="exact"/>
        <w:rPr>
          <w:rFonts w:ascii="Arial" w:cs="Arial" w:eastAsia="Arial" w:hAnsi="Arial"/>
          <w:sz w:val="20"/>
          <w:szCs w:val="20"/>
          <w:color w:val="auto"/>
        </w:rPr>
      </w:pPr>
    </w:p>
    <w:p>
      <w:pPr>
        <w:ind w:left="720" w:right="140" w:hanging="360"/>
        <w:spacing w:after="0" w:line="287" w:lineRule="auto"/>
        <w:tabs>
          <w:tab w:leader="none" w:pos="7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assist in refining the Company’s compensation strategy and in developing and implementing an executive compensation program to execute that strategy.</w:t>
      </w:r>
    </w:p>
    <w:p>
      <w:pPr>
        <w:spacing w:after="0" w:line="170" w:lineRule="exact"/>
        <w:rPr>
          <w:sz w:val="20"/>
          <w:szCs w:val="20"/>
          <w:color w:val="auto"/>
        </w:rPr>
      </w:pPr>
    </w:p>
    <w:p>
      <w:pPr>
        <w:ind w:right="60" w:firstLine="360"/>
        <w:spacing w:after="0" w:line="256" w:lineRule="auto"/>
        <w:rPr>
          <w:sz w:val="20"/>
          <w:szCs w:val="20"/>
          <w:color w:val="auto"/>
        </w:rPr>
      </w:pPr>
      <w:r>
        <w:rPr>
          <w:rFonts w:ascii="Arial" w:cs="Arial" w:eastAsia="Arial" w:hAnsi="Arial"/>
          <w:sz w:val="20"/>
          <w:szCs w:val="20"/>
          <w:color w:val="auto"/>
        </w:rPr>
        <w:t>As part of its engagement, Compensia was requested by the Compensation Committee to review and update the group of companies that we use for comparative purposes and to perform an analysis of competitive performance and compensation levels for that group. The specific determinations of the Compensation Committee with respect to executive compensation for the year ended December 31, 2022, as well as the role of the compensation consultant in assisting with those determinations, are described in greater detail in the “Compensation Discussion and Analysis” section of this proxy statement.</w:t>
      </w:r>
    </w:p>
    <w:p>
      <w:pPr>
        <w:spacing w:after="0" w:line="203" w:lineRule="exact"/>
        <w:rPr>
          <w:sz w:val="20"/>
          <w:szCs w:val="20"/>
          <w:color w:val="auto"/>
        </w:rPr>
      </w:pPr>
    </w:p>
    <w:p>
      <w:pPr>
        <w:ind w:firstLine="360"/>
        <w:spacing w:after="0" w:line="252" w:lineRule="auto"/>
        <w:rPr>
          <w:sz w:val="20"/>
          <w:szCs w:val="20"/>
          <w:color w:val="auto"/>
        </w:rPr>
      </w:pPr>
      <w:r>
        <w:rPr>
          <w:rFonts w:ascii="Arial" w:cs="Arial" w:eastAsia="Arial" w:hAnsi="Arial"/>
          <w:sz w:val="20"/>
          <w:szCs w:val="20"/>
          <w:color w:val="auto"/>
        </w:rPr>
        <w:t>Under its charter, the Compensation Committee may form, and delegate authority to, subcommittees as appropriate. In 2021, the Compensation Committee delegated authority to Mr. Yoran, in his capacity as our Chief Executive Officer and Chairman, to grant, without any further action required by the Compensation Committee, stock awards to certain employees who are not officers of the Company, up to and including employees at the senior vice president level. The purpose of this delegation of authority is to enhance the flexibility of equity award administration within the Company and to facilitate the timely grant of stock awards to non-management employees, particularly new employees and promoted employees, within specified limits approved by the Compensation Committee. The number of shares underlying awards approved by Mr. Yoran for (i) new hire, annual and promotion awards, are subject to maximum limits based on a targeted market range of share value and other parameters for each recipient’s classification as set forth in guidelines approved by the Compensation Committee from time to time and (ii) for certain merit awards, subject to a pre-approved maximum aggregate number of shares. Typically, as part of its oversight function, the Compensation Committee reviews on a quarterly basis the list of grants made by Mr. Yoran. During 2022, Mr. Yoran exercised his authority to grant a total of 1,078,940 restricted stock units ("RSUs") to qualifying employees. No other equity awards were granted pursuant to Mr. Yoran’s authority during 2022.</w:t>
      </w:r>
    </w:p>
    <w:p>
      <w:pPr>
        <w:spacing w:after="0" w:line="215" w:lineRule="exact"/>
        <w:rPr>
          <w:sz w:val="20"/>
          <w:szCs w:val="20"/>
          <w:color w:val="auto"/>
        </w:rPr>
      </w:pPr>
    </w:p>
    <w:p>
      <w:pPr>
        <w:ind w:firstLine="360"/>
        <w:spacing w:after="0" w:line="253" w:lineRule="auto"/>
        <w:rPr>
          <w:sz w:val="20"/>
          <w:szCs w:val="20"/>
          <w:color w:val="auto"/>
        </w:rPr>
      </w:pPr>
      <w:r>
        <w:rPr>
          <w:rFonts w:ascii="Arial" w:cs="Arial" w:eastAsia="Arial" w:hAnsi="Arial"/>
          <w:sz w:val="20"/>
          <w:szCs w:val="20"/>
          <w:color w:val="auto"/>
        </w:rPr>
        <w:t>The Compensation Committee typically makes adjustments to annual compensation, approves changes to the key financial metric targets and formulas used to determine annual bonus payments, approves additional equity awards and establishes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determines any adjustments to</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880" w:h="15480" w:orient="portrait"/>
          <w:cols w:equalWidth="0" w:num="1">
            <w:col w:w="9000"/>
          </w:cols>
          <w:pgMar w:left="1440" w:top="1204" w:right="1440" w:bottom="0" w:gutter="0" w:footer="0" w:header="0"/>
          <w:type w:val="continuous"/>
        </w:sectPr>
      </w:pPr>
    </w:p>
    <w:bookmarkStart w:id="29" w:name="page30"/>
    <w:bookmarkEnd w:id="29"/>
    <w:p>
      <w:pPr>
        <w:ind w:right="20"/>
        <w:spacing w:after="0" w:line="270" w:lineRule="auto"/>
        <w:rPr>
          <w:sz w:val="20"/>
          <w:szCs w:val="20"/>
          <w:color w:val="auto"/>
        </w:rPr>
      </w:pPr>
      <w:r>
        <w:rPr>
          <w:rFonts w:ascii="Arial" w:cs="Arial" w:eastAsia="Arial" w:hAnsi="Arial"/>
          <w:sz w:val="19"/>
          <w:szCs w:val="19"/>
          <w:color w:val="auto"/>
        </w:rPr>
        <w:t>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Compensation Committee Interlocks and Insider Participation</w:t>
      </w:r>
    </w:p>
    <w:p>
      <w:pPr>
        <w:spacing w:after="0" w:line="249" w:lineRule="exact"/>
        <w:rPr>
          <w:sz w:val="20"/>
          <w:szCs w:val="20"/>
          <w:color w:val="auto"/>
        </w:rPr>
      </w:pPr>
    </w:p>
    <w:p>
      <w:pPr>
        <w:ind w:right="20" w:firstLine="360"/>
        <w:spacing w:after="0" w:line="259" w:lineRule="auto"/>
        <w:rPr>
          <w:sz w:val="20"/>
          <w:szCs w:val="20"/>
          <w:color w:val="auto"/>
        </w:rPr>
      </w:pPr>
      <w:r>
        <w:rPr>
          <w:rFonts w:ascii="Arial" w:cs="Arial" w:eastAsia="Arial" w:hAnsi="Arial"/>
          <w:sz w:val="20"/>
          <w:szCs w:val="20"/>
          <w:color w:val="auto"/>
        </w:rPr>
        <w:t>None of the current members of our Compensation Committee has ever been an executive officer or employee of ours. None of our executive officers currently serve, or has served during the last completed year, on the compensation committee or board of directors of any other entity that has one or more executive officers serving as a member of our Board of Directors or Compensation Committee.</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Report of the Compensation Committee of the Board of Directors*</w:t>
      </w:r>
    </w:p>
    <w:p>
      <w:pPr>
        <w:spacing w:after="0" w:line="249" w:lineRule="exact"/>
        <w:rPr>
          <w:sz w:val="20"/>
          <w:szCs w:val="20"/>
          <w:color w:val="auto"/>
        </w:rPr>
      </w:pPr>
    </w:p>
    <w:p>
      <w:pPr>
        <w:ind w:firstLine="360"/>
        <w:spacing w:after="0" w:line="259" w:lineRule="auto"/>
        <w:rPr>
          <w:sz w:val="20"/>
          <w:szCs w:val="20"/>
          <w:color w:val="auto"/>
        </w:rPr>
      </w:pPr>
      <w:r>
        <w:rPr>
          <w:rFonts w:ascii="Arial" w:cs="Arial" w:eastAsia="Arial" w:hAnsi="Arial"/>
          <w:sz w:val="20"/>
          <w:szCs w:val="20"/>
          <w:color w:val="auto"/>
        </w:rPr>
        <w:t>The Compensation Committee has reviewed and discussed with management the Compensation Discussion and Analysis (“CD&amp;A”) contained in this proxy statement. Based on this review and discussion, the Compensation Committee has recommended to the Board of Directors that the CD&amp;A be included in this proxy statement and incorporated into the Company’s Annual Report on Form 10-K for the year ended December 31, 2022.</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Linda Zecher Higgins, Chair</w:t>
      </w:r>
    </w:p>
    <w:p>
      <w:pPr>
        <w:spacing w:after="0" w:line="1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Niloofar Razi Howe</w:t>
      </w:r>
    </w:p>
    <w:p>
      <w:pPr>
        <w:spacing w:after="0" w:line="250" w:lineRule="exact"/>
        <w:rPr>
          <w:sz w:val="20"/>
          <w:szCs w:val="20"/>
          <w:color w:val="auto"/>
        </w:rPr>
      </w:pPr>
    </w:p>
    <w:p>
      <w:pPr>
        <w:ind w:right="160" w:firstLine="360"/>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The material in this report is not “soliciting material,” is furnished to, but not deemed “filed” with,</w:t>
      </w:r>
      <w:r>
        <w:rPr>
          <w:rFonts w:ascii="Arial" w:cs="Arial" w:eastAsia="Arial" w:hAnsi="Arial"/>
          <w:sz w:val="19"/>
          <w:szCs w:val="19"/>
          <w:color w:val="auto"/>
        </w:rPr>
        <w:t xml:space="preserve"> </w:t>
      </w:r>
      <w:r>
        <w:rPr>
          <w:rFonts w:ascii="Arial" w:cs="Arial" w:eastAsia="Arial" w:hAnsi="Arial"/>
          <w:sz w:val="19"/>
          <w:szCs w:val="19"/>
          <w:i w:val="1"/>
          <w:iCs w:val="1"/>
          <w:color w:val="auto"/>
        </w:rPr>
        <w:t>the Commission and is not deemed to be incorporated by reference in any filing of the Company under the Securities Act or the Exchange Act, other than the Company’s Annual Report on Form</w:t>
      </w:r>
    </w:p>
    <w:p>
      <w:pPr>
        <w:spacing w:after="0" w:line="1" w:lineRule="exact"/>
        <w:rPr>
          <w:sz w:val="20"/>
          <w:szCs w:val="20"/>
          <w:color w:val="auto"/>
        </w:rPr>
      </w:pPr>
    </w:p>
    <w:p>
      <w:pPr>
        <w:ind w:right="260"/>
        <w:spacing w:after="0" w:line="302" w:lineRule="auto"/>
        <w:rPr>
          <w:sz w:val="20"/>
          <w:szCs w:val="20"/>
          <w:color w:val="auto"/>
        </w:rPr>
      </w:pPr>
      <w:r>
        <w:rPr>
          <w:rFonts w:ascii="Arial" w:cs="Arial" w:eastAsia="Arial" w:hAnsi="Arial"/>
          <w:sz w:val="20"/>
          <w:szCs w:val="20"/>
          <w:i w:val="1"/>
          <w:iCs w:val="1"/>
          <w:color w:val="auto"/>
        </w:rPr>
        <w:t>10</w:t>
      </w:r>
      <w:r>
        <w:rPr>
          <w:rFonts w:ascii="Arial" w:cs="Arial" w:eastAsia="Arial" w:hAnsi="Arial"/>
          <w:sz w:val="20"/>
          <w:szCs w:val="20"/>
          <w:color w:val="auto"/>
        </w:rPr>
        <w:t>-</w:t>
      </w:r>
      <w:r>
        <w:rPr>
          <w:rFonts w:ascii="Arial" w:cs="Arial" w:eastAsia="Arial" w:hAnsi="Arial"/>
          <w:sz w:val="20"/>
          <w:szCs w:val="20"/>
          <w:i w:val="1"/>
          <w:iCs w:val="1"/>
          <w:color w:val="auto"/>
        </w:rPr>
        <w:t>K, where it shall be deemed to be “furnished,” whether made before or after the date hereof and irrespective of any general incorporation language in any such filing.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Nominating and Corporate Governance Committee</w:t>
      </w:r>
    </w:p>
    <w:p>
      <w:pPr>
        <w:spacing w:after="0" w:line="251" w:lineRule="exact"/>
        <w:rPr>
          <w:sz w:val="20"/>
          <w:szCs w:val="20"/>
          <w:color w:val="auto"/>
        </w:rPr>
      </w:pPr>
    </w:p>
    <w:p>
      <w:pPr>
        <w:ind w:right="80" w:firstLine="360"/>
        <w:spacing w:after="0" w:line="256" w:lineRule="auto"/>
        <w:rPr>
          <w:sz w:val="20"/>
          <w:szCs w:val="20"/>
          <w:color w:val="auto"/>
        </w:rPr>
      </w:pPr>
      <w:r>
        <w:rPr>
          <w:rFonts w:ascii="Arial" w:cs="Arial" w:eastAsia="Arial" w:hAnsi="Arial"/>
          <w:sz w:val="20"/>
          <w:szCs w:val="20"/>
          <w:color w:val="auto"/>
        </w:rPr>
        <w:t>The Nominating and Corporate Governance Committee of the Board of Directors is responsible for identifying, reviewing and evaluating candidates to serve as directors of the Company (consistent with criteria approved by the Board), reviewing and evaluating incumbent directors, recommending to the Board for selection candidates for election to the Board of Directors, making recommendations to the Board regarding the membership of the committees of the Board, assessing the performance of management and the Board, and developing a set of corporate governance principles for the Company.</w:t>
      </w:r>
    </w:p>
    <w:p>
      <w:pPr>
        <w:spacing w:after="0" w:line="203" w:lineRule="exact"/>
        <w:rPr>
          <w:sz w:val="20"/>
          <w:szCs w:val="20"/>
          <w:color w:val="auto"/>
        </w:rPr>
      </w:pPr>
    </w:p>
    <w:p>
      <w:pPr>
        <w:ind w:right="80" w:firstLine="360"/>
        <w:spacing w:after="0" w:line="256" w:lineRule="auto"/>
        <w:rPr>
          <w:sz w:val="20"/>
          <w:szCs w:val="20"/>
          <w:color w:val="auto"/>
        </w:rPr>
      </w:pPr>
      <w:r>
        <w:rPr>
          <w:rFonts w:ascii="Arial" w:cs="Arial" w:eastAsia="Arial" w:hAnsi="Arial"/>
          <w:sz w:val="20"/>
          <w:szCs w:val="20"/>
          <w:color w:val="auto"/>
        </w:rPr>
        <w:t xml:space="preserve">The Nominating and Corporate Governance Committee is currently composed of two directors: Arthur W. Coviello, Jr., and Linda Zecher Higgins. Kimberly Hammonds served as a member of the Nominating and Corporate Governance Committee until June 2022. All members of the Nominating and Corporate Governance Committee are independent (as independence is currently defined in Rule 5605(a)(2) of the Nasdaq listing rules). The Nominating and Corporate Governance Committee met four times during 2022. The Board has adopted a written Nominating and Corporate Governance Committee charter that is available to stockholders on our website at </w:t>
      </w:r>
      <w:r>
        <w:rPr>
          <w:rFonts w:ascii="Arial" w:cs="Arial" w:eastAsia="Arial" w:hAnsi="Arial"/>
          <w:sz w:val="20"/>
          <w:szCs w:val="20"/>
          <w:i w:val="1"/>
          <w:iCs w:val="1"/>
          <w:color w:val="auto"/>
        </w:rPr>
        <w:t>www.tenable.com</w:t>
      </w:r>
      <w:r>
        <w:rPr>
          <w:rFonts w:ascii="Arial" w:cs="Arial" w:eastAsia="Arial" w:hAnsi="Arial"/>
          <w:sz w:val="20"/>
          <w:szCs w:val="20"/>
          <w:color w:val="auto"/>
        </w:rPr>
        <w:t>.</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880" w:h="15480" w:orient="portrait"/>
          <w:cols w:equalWidth="0" w:num="1">
            <w:col w:w="9000"/>
          </w:cols>
          <w:pgMar w:left="1440" w:top="1204" w:right="1440" w:bottom="0" w:gutter="0" w:footer="0" w:header="0"/>
          <w:type w:val="continuous"/>
        </w:sectPr>
      </w:pPr>
    </w:p>
    <w:bookmarkStart w:id="30" w:name="page31"/>
    <w:bookmarkEnd w:id="30"/>
    <w:p>
      <w:pPr>
        <w:ind w:firstLine="360"/>
        <w:spacing w:after="0" w:line="253" w:lineRule="auto"/>
        <w:rPr>
          <w:sz w:val="20"/>
          <w:szCs w:val="20"/>
          <w:color w:val="auto"/>
        </w:rPr>
      </w:pPr>
      <w:r>
        <w:rPr>
          <w:rFonts w:ascii="Arial" w:cs="Arial" w:eastAsia="Arial" w:hAnsi="Arial"/>
          <w:sz w:val="20"/>
          <w:szCs w:val="20"/>
          <w:color w:val="auto"/>
        </w:rPr>
        <w:t>The Nominating and Corporate Governance Committee believes that candidates for director should have certain minimum qualifications, including the ability to read and understand basic financial statements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Board diversity and inclusion is critical to Tenable’s success.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w:t>
      </w:r>
    </w:p>
    <w:p>
      <w:pPr>
        <w:spacing w:after="0" w:line="203" w:lineRule="exact"/>
        <w:rPr>
          <w:sz w:val="20"/>
          <w:szCs w:val="20"/>
          <w:color w:val="auto"/>
        </w:rPr>
      </w:pPr>
    </w:p>
    <w:p>
      <w:pPr>
        <w:ind w:firstLine="360"/>
        <w:spacing w:after="0" w:line="252" w:lineRule="auto"/>
        <w:rPr>
          <w:sz w:val="20"/>
          <w:szCs w:val="20"/>
          <w:color w:val="auto"/>
        </w:rPr>
      </w:pPr>
      <w:r>
        <w:rPr>
          <w:rFonts w:ascii="Arial" w:cs="Arial" w:eastAsia="Arial" w:hAnsi="Arial"/>
          <w:sz w:val="20"/>
          <w:szCs w:val="20"/>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will review these directors’ overall service to the Company during their terms, including the number of meetings attended, level of participation, quality of performance and any other relationships and transactions that might impair the directors’ independence. The Committee also takes into account the results of the Board’s self-evaluation, conducted by outside counsel annually on a group and individual basis.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also engages professional search firms from time to time to assist in identifying potential candidates.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213" w:lineRule="exact"/>
        <w:rPr>
          <w:sz w:val="20"/>
          <w:szCs w:val="20"/>
          <w:color w:val="auto"/>
        </w:rPr>
      </w:pPr>
    </w:p>
    <w:p>
      <w:pPr>
        <w:ind w:right="20" w:firstLine="360"/>
        <w:spacing w:after="0" w:line="252" w:lineRule="auto"/>
        <w:rPr>
          <w:sz w:val="20"/>
          <w:szCs w:val="20"/>
          <w:color w:val="auto"/>
        </w:rPr>
      </w:pPr>
      <w:r>
        <w:rPr>
          <w:rFonts w:ascii="Arial" w:cs="Arial" w:eastAsia="Arial" w:hAnsi="Arial"/>
          <w:sz w:val="20"/>
          <w:szCs w:val="20"/>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Tenable Holdings, Inc., Attention: Corporate Secretary, 6100 Merriweather Drive, 12th Floor, Columbia, Maryland 21044, at least 90 days, but not more than 120 days prior to the anniversary date of the preceding year's annual meeting of stockholders. Submissions must include the name and address of the stockholder on whose behalf the submission is made, the number of shares of Tenable stock owned beneficially by such stockholder on the date of the submission, the full name of the proposed nominee, a description of the proposed nominee’s business experience for at least the previous five years, complete biographical information and a description of the proposed nominee's qualifications as a director. Any submission must be accompanied by the written consent of the proposed nominee to be named as a nominee and to serve as a director if elected.</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880" w:h="15480" w:orient="portrait"/>
          <w:cols w:equalWidth="0" w:num="1">
            <w:col w:w="9000"/>
          </w:cols>
          <w:pgMar w:left="1440" w:top="1204" w:right="1440" w:bottom="0" w:gutter="0" w:footer="0" w:header="0"/>
          <w:type w:val="continuous"/>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Cybersecurity Risk Management Committee</w:t>
      </w:r>
    </w:p>
    <w:p>
      <w:pPr>
        <w:spacing w:after="0" w:line="251" w:lineRule="exact"/>
        <w:rPr>
          <w:sz w:val="20"/>
          <w:szCs w:val="20"/>
          <w:color w:val="auto"/>
        </w:rPr>
      </w:pPr>
    </w:p>
    <w:p>
      <w:pPr>
        <w:ind w:right="40" w:firstLine="360"/>
        <w:spacing w:after="0" w:line="259" w:lineRule="auto"/>
        <w:rPr>
          <w:sz w:val="20"/>
          <w:szCs w:val="20"/>
          <w:color w:val="auto"/>
        </w:rPr>
      </w:pPr>
      <w:r>
        <w:rPr>
          <w:rFonts w:ascii="Arial" w:cs="Arial" w:eastAsia="Arial" w:hAnsi="Arial"/>
          <w:sz w:val="20"/>
          <w:szCs w:val="20"/>
          <w:color w:val="auto"/>
        </w:rPr>
        <w:t>The Cybersecurity Risk Management Committee of the Board of Directors was established by the Board in November 2022 and assists the Board in fulfilling its oversight responsibility with respect to the management of risks related to the Company's information technology use and protection, cybersecurity, and product security. The Cybersecurity Risk Management Committee is responsible for oversight of the Company's:</w:t>
      </w:r>
    </w:p>
    <w:p>
      <w:pPr>
        <w:spacing w:after="0" w:line="199" w:lineRule="exact"/>
        <w:rPr>
          <w:sz w:val="20"/>
          <w:szCs w:val="20"/>
          <w:color w:val="auto"/>
        </w:rPr>
      </w:pPr>
    </w:p>
    <w:p>
      <w:pPr>
        <w:ind w:left="720" w:right="300" w:hanging="360"/>
        <w:spacing w:after="0" w:line="268" w:lineRule="auto"/>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quality and effectiveness of the policies and procedures governing information technology and network systems, including relating to data governance, incident response procedures and disaster recovery capabilities, and product security;</w:t>
      </w:r>
    </w:p>
    <w:p>
      <w:pPr>
        <w:spacing w:after="0" w:line="9" w:lineRule="exact"/>
        <w:rPr>
          <w:rFonts w:ascii="Arial" w:cs="Arial" w:eastAsia="Arial" w:hAnsi="Arial"/>
          <w:sz w:val="20"/>
          <w:szCs w:val="20"/>
          <w:color w:val="auto"/>
        </w:rPr>
      </w:pPr>
    </w:p>
    <w:p>
      <w:pPr>
        <w:ind w:left="720" w:right="1040" w:hanging="360"/>
        <w:spacing w:after="0" w:line="281" w:lineRule="auto"/>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technology senior management teams' priorities for its information technology and engineering security functions;</w:t>
      </w:r>
    </w:p>
    <w:p>
      <w:pPr>
        <w:spacing w:after="0" w:line="1" w:lineRule="exact"/>
        <w:rPr>
          <w:rFonts w:ascii="Arial" w:cs="Arial" w:eastAsia="Arial" w:hAnsi="Arial"/>
          <w:sz w:val="20"/>
          <w:szCs w:val="20"/>
          <w:color w:val="auto"/>
        </w:rPr>
      </w:pPr>
    </w:p>
    <w:p>
      <w:pPr>
        <w:ind w:left="720" w:right="20" w:hanging="360"/>
        <w:spacing w:after="0" w:line="281" w:lineRule="auto"/>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management of compliance risks and audits related to its information technology and network systems;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internal access controls and audits relating to cyber and information security;</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disclosures in SEC filings related to its information technology and network systems; and</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cyber insurance policies and coverage.</w:t>
      </w:r>
    </w:p>
    <w:p>
      <w:pPr>
        <w:spacing w:after="0" w:line="70" w:lineRule="exact"/>
        <w:rPr>
          <w:sz w:val="20"/>
          <w:szCs w:val="20"/>
          <w:color w:val="auto"/>
        </w:rPr>
      </w:pPr>
    </w:p>
    <w:p>
      <w:pPr>
        <w:ind w:right="20" w:firstLine="360"/>
        <w:spacing w:after="0" w:line="255" w:lineRule="auto"/>
        <w:rPr>
          <w:sz w:val="20"/>
          <w:szCs w:val="20"/>
          <w:color w:val="auto"/>
        </w:rPr>
      </w:pPr>
      <w:r>
        <w:rPr>
          <w:rFonts w:ascii="Arial" w:cs="Arial" w:eastAsia="Arial" w:hAnsi="Arial"/>
          <w:sz w:val="20"/>
          <w:szCs w:val="20"/>
          <w:color w:val="auto"/>
        </w:rPr>
        <w:t xml:space="preserve">The Cybersecurity Risk Management Committee is currently composed of two directors: John C. Huffard, Jr. and George Alexander Tosheff. All members of the Cybersecurity Risk Management Committee are independent (as independence is currently defined in Rule 5605(a)(2) of the Nasdaq listing rules). The Cybersecurity Risk Management Committee was formerly a subcommittee of the Audit Committee. The Cybersecurity Risk Management Committee was established in November 2022 and did not formally have a meeting for the remainder of the year ended December 31, 2022. The Board has adopted a written Cybersecurity Risk Management Committee charter that is available to stockholders on our website at </w:t>
      </w:r>
      <w:r>
        <w:rPr>
          <w:rFonts w:ascii="Arial" w:cs="Arial" w:eastAsia="Arial" w:hAnsi="Arial"/>
          <w:sz w:val="20"/>
          <w:szCs w:val="20"/>
          <w:i w:val="1"/>
          <w:iCs w:val="1"/>
          <w:color w:val="auto"/>
        </w:rPr>
        <w:t>www.tenable.com</w:t>
      </w:r>
      <w:r>
        <w:rPr>
          <w:rFonts w:ascii="Arial" w:cs="Arial" w:eastAsia="Arial" w:hAnsi="Arial"/>
          <w:sz w:val="20"/>
          <w:szCs w:val="20"/>
          <w:color w:val="auto"/>
        </w:rPr>
        <w:t>.</w:t>
      </w:r>
    </w:p>
    <w:p>
      <w:pPr>
        <w:spacing w:after="0" w:line="205" w:lineRule="exact"/>
        <w:rPr>
          <w:sz w:val="20"/>
          <w:szCs w:val="20"/>
          <w:color w:val="auto"/>
        </w:rPr>
      </w:pPr>
    </w:p>
    <w:p>
      <w:pPr>
        <w:ind w:right="60" w:firstLine="360"/>
        <w:spacing w:after="0" w:line="254" w:lineRule="auto"/>
        <w:rPr>
          <w:sz w:val="20"/>
          <w:szCs w:val="20"/>
          <w:color w:val="auto"/>
        </w:rPr>
      </w:pPr>
      <w:r>
        <w:rPr>
          <w:rFonts w:ascii="Arial" w:cs="Arial" w:eastAsia="Arial" w:hAnsi="Arial"/>
          <w:sz w:val="20"/>
          <w:szCs w:val="20"/>
          <w:color w:val="auto"/>
        </w:rPr>
        <w:t>The Cybersecurity Risk Management Committee will meet quarterly and with greater frequency if necessary. The Cybersecurity Risk Management Committee will meet regularly in executive session. In addition to our Chief Executive Officer, our Chief Security Officer and our General Counsel will regularly attend meetings at the invitation of the Cybersecurity Risk Management Committee. The Cybersecurity Risk Management Committee also has direct access to our Chief Security Officer and evaluates his performance. From time to time, various members of management and other employees as well as outside advisors may be invited by the Cybersecurity Risk Management Committee to brief the committee members on the current threat landscape and cybersecurity efforts. Under its charter, the Cybersecurity Risk Management Committee is granted authority to retain independent advisors and investigate matters brought to its attention.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 Communications with the Board of Directors</w:t>
      </w:r>
    </w:p>
    <w:p>
      <w:pPr>
        <w:spacing w:after="0" w:line="251" w:lineRule="exact"/>
        <w:rPr>
          <w:sz w:val="20"/>
          <w:szCs w:val="20"/>
          <w:color w:val="auto"/>
        </w:rPr>
      </w:pPr>
    </w:p>
    <w:p>
      <w:pPr>
        <w:ind w:right="40" w:firstLine="360"/>
        <w:spacing w:after="0" w:line="262" w:lineRule="auto"/>
        <w:rPr>
          <w:sz w:val="20"/>
          <w:szCs w:val="20"/>
          <w:color w:val="auto"/>
        </w:rPr>
      </w:pPr>
      <w:r>
        <w:rPr>
          <w:rFonts w:ascii="Arial" w:cs="Arial" w:eastAsia="Arial" w:hAnsi="Arial"/>
          <w:sz w:val="20"/>
          <w:szCs w:val="20"/>
          <w:color w:val="auto"/>
        </w:rPr>
        <w:t>All stockholders and other interested parties are welcome to communicate with our non-management directors through an established process for stockholder communication. For communication directed to our non-management directors, please contact our Corporate Secretary or Legal Department in writing at the address listed below.</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Tenable Holdings,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6100 Merriweather Drive, 12th Floor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Columbia, MD 21044</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Attn: Corporate Secretary or Legal Department</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880" w:h="15480" w:orient="portrait"/>
          <w:cols w:equalWidth="0" w:num="1">
            <w:col w:w="9000"/>
          </w:cols>
          <w:pgMar w:left="1440" w:top="1203" w:right="1440" w:bottom="0" w:gutter="0" w:footer="0" w:header="0"/>
          <w:type w:val="continuous"/>
        </w:sectPr>
      </w:pPr>
    </w:p>
    <w:bookmarkStart w:id="32" w:name="page33"/>
    <w:bookmarkEnd w:id="32"/>
    <w:p>
      <w:pPr>
        <w:ind w:right="40" w:firstLine="360"/>
        <w:spacing w:after="0" w:line="255" w:lineRule="auto"/>
        <w:rPr>
          <w:sz w:val="20"/>
          <w:szCs w:val="20"/>
          <w:color w:val="auto"/>
        </w:rPr>
      </w:pPr>
      <w:r>
        <w:rPr>
          <w:rFonts w:ascii="Arial" w:cs="Arial" w:eastAsia="Arial" w:hAnsi="Arial"/>
          <w:sz w:val="20"/>
          <w:szCs w:val="20"/>
          <w:color w:val="auto"/>
        </w:rPr>
        <w:t>Our Corporate Secretary or Legal Department will review all incoming stockholder communications and determine whether the communication should be presented to the Board or the appropriate director or committee. The purpose of this screening is to allow the Board to avoid having to consider irrelevant or inappropriate communications, such as mass mailings, product complaints or inquiries, job inquiries, business solicitations and patently offensive or otherwise inappropriate material. The screening procedures have been approved by a majority of our independent directors. All communications directed to the Audit Committee in accordance with the Company’s whistleblower policy that relate to questionable accounting or auditing matters involving the Company will be promptly and directly forwarded to the Audit Committee.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Ethics</w:t>
      </w:r>
    </w:p>
    <w:p>
      <w:pPr>
        <w:spacing w:after="0" w:line="251" w:lineRule="exact"/>
        <w:rPr>
          <w:sz w:val="20"/>
          <w:szCs w:val="20"/>
          <w:color w:val="auto"/>
        </w:rPr>
      </w:pPr>
    </w:p>
    <w:p>
      <w:pPr>
        <w:ind w:right="280" w:firstLine="360"/>
        <w:spacing w:after="0" w:line="259" w:lineRule="auto"/>
        <w:rPr>
          <w:sz w:val="20"/>
          <w:szCs w:val="20"/>
          <w:color w:val="auto"/>
        </w:rPr>
      </w:pPr>
      <w:r>
        <w:rPr>
          <w:rFonts w:ascii="Arial" w:cs="Arial" w:eastAsia="Arial" w:hAnsi="Arial"/>
          <w:sz w:val="20"/>
          <w:szCs w:val="20"/>
          <w:color w:val="auto"/>
        </w:rPr>
        <w:t xml:space="preserve">We have adopted the Tenable Code of Business Conduct and Ethics that applies to all officers, directors and employees. The Code of Business Conduct and Ethics is available on our website at </w:t>
      </w:r>
      <w:r>
        <w:rPr>
          <w:rFonts w:ascii="Arial" w:cs="Arial" w:eastAsia="Arial" w:hAnsi="Arial"/>
          <w:sz w:val="20"/>
          <w:szCs w:val="20"/>
          <w:i w:val="1"/>
          <w:iCs w:val="1"/>
          <w:color w:val="auto"/>
        </w:rPr>
        <w:t>www.tenable.com</w:t>
      </w:r>
      <w:r>
        <w:rPr>
          <w:rFonts w:ascii="Arial" w:cs="Arial" w:eastAsia="Arial" w:hAnsi="Arial"/>
          <w:sz w:val="20"/>
          <w:szCs w:val="20"/>
          <w:color w:val="auto"/>
        </w:rPr>
        <w:t>. If we make any substantive amendments to the Code of Business Conduct and</w:t>
      </w:r>
      <w:r>
        <w:rPr>
          <w:rFonts w:ascii="Arial" w:cs="Arial" w:eastAsia="Arial" w:hAnsi="Arial"/>
          <w:sz w:val="20"/>
          <w:szCs w:val="20"/>
          <w:i w:val="1"/>
          <w:iCs w:val="1"/>
          <w:color w:val="auto"/>
        </w:rPr>
        <w:t xml:space="preserve"> </w:t>
      </w:r>
      <w:r>
        <w:rPr>
          <w:rFonts w:ascii="Arial" w:cs="Arial" w:eastAsia="Arial" w:hAnsi="Arial"/>
          <w:sz w:val="20"/>
          <w:szCs w:val="20"/>
          <w:color w:val="auto"/>
        </w:rPr>
        <w:t>Ethics or grant any waiver from a provision of the Code to any executive officer or director, we will promptly disclose the nature of the amendment or waiver on our website.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Hedging Policy</w:t>
      </w:r>
    </w:p>
    <w:p>
      <w:pPr>
        <w:spacing w:after="0" w:line="251" w:lineRule="exact"/>
        <w:rPr>
          <w:sz w:val="20"/>
          <w:szCs w:val="20"/>
          <w:color w:val="auto"/>
        </w:rPr>
      </w:pPr>
    </w:p>
    <w:p>
      <w:pPr>
        <w:ind w:right="80" w:firstLine="360"/>
        <w:spacing w:after="0" w:line="262" w:lineRule="auto"/>
        <w:rPr>
          <w:sz w:val="20"/>
          <w:szCs w:val="20"/>
          <w:color w:val="auto"/>
        </w:rPr>
      </w:pPr>
      <w:r>
        <w:rPr>
          <w:rFonts w:ascii="Arial" w:cs="Arial" w:eastAsia="Arial" w:hAnsi="Arial"/>
          <w:sz w:val="20"/>
          <w:szCs w:val="20"/>
          <w:color w:val="auto"/>
        </w:rPr>
        <w:t>Our Insider Trading Policy prohibits our employees, including our executive officers, and the non-employee members of our Board of Directors from engaging in short sales, transactions in put or call options, hedging transactions, using margin accounts, pledges, or other inherently speculative transactions involving our equity securities.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880" w:h="15480" w:orient="portrait"/>
          <w:cols w:equalWidth="0" w:num="1">
            <w:col w:w="9000"/>
          </w:cols>
          <w:pgMar w:left="1440" w:top="1204" w:right="1440" w:bottom="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20"/>
          <w:szCs w:val="20"/>
          <w:b w:val="1"/>
          <w:bCs w:val="1"/>
          <w:color w:val="auto"/>
        </w:rPr>
        <w:t>PROPOSAL 2</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RATIFICATION OF SELECTION OF INDEPENDENT REGISTERED PUBLIC ACCOUNTING FIRM</w:t>
      </w:r>
    </w:p>
    <w:p>
      <w:pPr>
        <w:spacing w:after="0" w:line="251" w:lineRule="exact"/>
        <w:rPr>
          <w:sz w:val="20"/>
          <w:szCs w:val="20"/>
          <w:color w:val="auto"/>
        </w:rPr>
      </w:pPr>
    </w:p>
    <w:p>
      <w:pPr>
        <w:ind w:right="260" w:firstLine="360"/>
        <w:spacing w:after="0" w:line="256" w:lineRule="auto"/>
        <w:rPr>
          <w:sz w:val="20"/>
          <w:szCs w:val="20"/>
          <w:color w:val="auto"/>
        </w:rPr>
      </w:pPr>
      <w:r>
        <w:rPr>
          <w:rFonts w:ascii="Arial" w:cs="Arial" w:eastAsia="Arial" w:hAnsi="Arial"/>
          <w:sz w:val="20"/>
          <w:szCs w:val="20"/>
          <w:color w:val="auto"/>
        </w:rPr>
        <w:t>The Audit Committee of the Board of Directors has selected Ernst &amp; Young LLP as the Company’s independent registered public accounting firm for the year ending December 31, 2023 and has further directed that management submit the selection of its independent registered public accounting firm for ratification by the stockholders at the Annual Meeting. Ernst &amp; Young LLP has audited the Company’s financial statements since 2014. Representatives of Ernst &amp; Young LLP are expected to be present online at the Annual Meeting. They will have an opportunity to make a statement if they so desire and will be available to respond to appropriate questions.</w:t>
      </w:r>
    </w:p>
    <w:p>
      <w:pPr>
        <w:spacing w:after="0" w:line="203" w:lineRule="exact"/>
        <w:rPr>
          <w:sz w:val="20"/>
          <w:szCs w:val="20"/>
          <w:color w:val="auto"/>
        </w:rPr>
      </w:pPr>
    </w:p>
    <w:p>
      <w:pPr>
        <w:ind w:right="200" w:firstLine="360"/>
        <w:spacing w:after="0" w:line="255" w:lineRule="auto"/>
        <w:rPr>
          <w:sz w:val="20"/>
          <w:szCs w:val="20"/>
          <w:color w:val="auto"/>
        </w:rPr>
      </w:pPr>
      <w:r>
        <w:rPr>
          <w:rFonts w:ascii="Arial" w:cs="Arial" w:eastAsia="Arial" w:hAnsi="Arial"/>
          <w:sz w:val="20"/>
          <w:szCs w:val="20"/>
          <w:color w:val="auto"/>
        </w:rPr>
        <w:t>Neither the Company’s Bylaws nor other governing documents or laws require stockholder ratification of the selection of Ernst &amp; Young LLP as the Company’s independent registered public accounting firm. However, the Audit Committee of the Board is submitting the selection of Ernst &amp; Young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a different independent registered public accounting firm at any time during the year if they determine that such a change would be in the best interests of the Company and its stockholders.</w:t>
      </w:r>
    </w:p>
    <w:p>
      <w:pPr>
        <w:spacing w:after="0" w:line="201" w:lineRule="exact"/>
        <w:rPr>
          <w:sz w:val="20"/>
          <w:szCs w:val="20"/>
          <w:color w:val="auto"/>
        </w:rPr>
      </w:pPr>
    </w:p>
    <w:p>
      <w:pPr>
        <w:ind w:right="40" w:firstLine="360"/>
        <w:spacing w:after="0" w:line="268" w:lineRule="auto"/>
        <w:rPr>
          <w:sz w:val="20"/>
          <w:szCs w:val="20"/>
          <w:color w:val="auto"/>
        </w:rPr>
      </w:pPr>
      <w:r>
        <w:rPr>
          <w:rFonts w:ascii="Arial" w:cs="Arial" w:eastAsia="Arial" w:hAnsi="Arial"/>
          <w:sz w:val="20"/>
          <w:szCs w:val="20"/>
          <w:color w:val="auto"/>
        </w:rPr>
        <w:t>The affirmative vote of the holders of a majority of the shares present online at the meeting or represented by proxy and entitled to vote on the matter at the Annual Meeting will be required to ratify the selection of Ernst &amp; Young LLP.</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Fees and Services</w:t>
      </w:r>
    </w:p>
    <w:p>
      <w:pPr>
        <w:spacing w:after="0" w:line="251" w:lineRule="exact"/>
        <w:rPr>
          <w:sz w:val="20"/>
          <w:szCs w:val="20"/>
          <w:color w:val="auto"/>
        </w:rPr>
      </w:pPr>
    </w:p>
    <w:p>
      <w:pPr>
        <w:ind w:right="240" w:firstLine="360"/>
        <w:spacing w:after="0" w:line="287" w:lineRule="auto"/>
        <w:rPr>
          <w:sz w:val="20"/>
          <w:szCs w:val="20"/>
          <w:color w:val="auto"/>
        </w:rPr>
      </w:pPr>
      <w:r>
        <w:rPr>
          <w:rFonts w:ascii="Arial" w:cs="Arial" w:eastAsia="Arial" w:hAnsi="Arial"/>
          <w:sz w:val="20"/>
          <w:szCs w:val="20"/>
          <w:color w:val="auto"/>
        </w:rPr>
        <w:t>The following table represents aggregate fees billed to the Company by Ernst &amp; Young LLP, the Company’s principal accountant.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162"/>
              <w:spacing w:after="0"/>
              <w:rPr>
                <w:sz w:val="20"/>
                <w:szCs w:val="20"/>
                <w:color w:val="auto"/>
              </w:rPr>
            </w:pPr>
            <w:r>
              <w:rPr>
                <w:rFonts w:ascii="Arial" w:cs="Arial" w:eastAsia="Arial" w:hAnsi="Arial"/>
                <w:sz w:val="18"/>
                <w:szCs w:val="18"/>
                <w:b w:val="1"/>
                <w:bCs w:val="1"/>
                <w:color w:val="auto"/>
              </w:rPr>
              <w:t>Year Ended December 31,</w:t>
            </w:r>
          </w:p>
        </w:tc>
      </w:tr>
      <w:tr>
        <w:trPr>
          <w:trHeight w:val="235"/>
        </w:trPr>
        <w:tc>
          <w:tcPr>
            <w:tcW w:w="628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03"/>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D2EDF0"/>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18"/>
                <w:szCs w:val="18"/>
                <w:b w:val="1"/>
                <w:bCs w:val="1"/>
                <w:color w:val="auto"/>
              </w:rPr>
              <w:t>2021</w:t>
            </w:r>
          </w:p>
        </w:tc>
      </w:tr>
      <w:tr>
        <w:trPr>
          <w:trHeight w:val="275"/>
        </w:trPr>
        <w:tc>
          <w:tcPr>
            <w:tcW w:w="6280" w:type="dxa"/>
            <w:vAlign w:val="bottom"/>
            <w:shd w:val="clear" w:color="auto" w:fill="D2EDF0"/>
          </w:tcPr>
          <w:p>
            <w:pPr>
              <w:ind w:left="60"/>
              <w:spacing w:after="0" w:line="275" w:lineRule="exact"/>
              <w:rPr>
                <w:sz w:val="20"/>
                <w:szCs w:val="20"/>
                <w:color w:val="auto"/>
              </w:rPr>
            </w:pPr>
            <w:r>
              <w:rPr>
                <w:rFonts w:ascii="Arial" w:cs="Arial" w:eastAsia="Arial" w:hAnsi="Arial"/>
                <w:sz w:val="20"/>
                <w:szCs w:val="20"/>
                <w:color w:val="auto"/>
              </w:rPr>
              <w:t>Audit Fees</w:t>
            </w:r>
            <w:r>
              <w:rPr>
                <w:rFonts w:ascii="Arial" w:cs="Arial" w:eastAsia="Arial" w:hAnsi="Arial"/>
                <w:sz w:val="26"/>
                <w:szCs w:val="26"/>
                <w:color w:val="auto"/>
                <w:vertAlign w:val="superscript"/>
              </w:rPr>
              <w:t>(1)</w:t>
            </w:r>
          </w:p>
        </w:tc>
        <w:tc>
          <w:tcPr>
            <w:tcW w:w="2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D2EDF0"/>
          </w:tcPr>
          <w:p>
            <w:pPr>
              <w:jc w:val="right"/>
              <w:ind w:right="3"/>
              <w:spacing w:after="0"/>
              <w:rPr>
                <w:sz w:val="20"/>
                <w:szCs w:val="20"/>
                <w:color w:val="auto"/>
              </w:rPr>
            </w:pPr>
            <w:r>
              <w:rPr>
                <w:rFonts w:ascii="Arial" w:cs="Arial" w:eastAsia="Arial" w:hAnsi="Arial"/>
                <w:sz w:val="20"/>
                <w:szCs w:val="20"/>
                <w:color w:val="auto"/>
              </w:rPr>
              <w:t>1,707</w:t>
            </w:r>
          </w:p>
        </w:tc>
        <w:tc>
          <w:tcPr>
            <w:tcW w:w="36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1,927</w:t>
            </w:r>
          </w:p>
        </w:tc>
      </w:tr>
      <w:tr>
        <w:trPr>
          <w:trHeight w:val="285"/>
        </w:trPr>
        <w:tc>
          <w:tcPr>
            <w:tcW w:w="6280" w:type="dxa"/>
            <w:vAlign w:val="bottom"/>
          </w:tcPr>
          <w:p>
            <w:pPr>
              <w:ind w:left="60"/>
              <w:spacing w:after="0" w:line="285" w:lineRule="exact"/>
              <w:rPr>
                <w:sz w:val="20"/>
                <w:szCs w:val="20"/>
                <w:color w:val="auto"/>
              </w:rPr>
            </w:pPr>
            <w:r>
              <w:rPr>
                <w:rFonts w:ascii="Arial" w:cs="Arial" w:eastAsia="Arial" w:hAnsi="Arial"/>
                <w:sz w:val="20"/>
                <w:szCs w:val="20"/>
                <w:color w:val="auto"/>
              </w:rPr>
              <w:t>Audit-Related Fees</w:t>
            </w:r>
            <w:r>
              <w:rPr>
                <w:rFonts w:ascii="Arial" w:cs="Arial" w:eastAsia="Arial" w:hAnsi="Arial"/>
                <w:sz w:val="26"/>
                <w:szCs w:val="26"/>
                <w:color w:val="auto"/>
                <w:vertAlign w:val="superscript"/>
              </w:rPr>
              <w:t>(2)</w:t>
            </w:r>
          </w:p>
        </w:tc>
        <w:tc>
          <w:tcPr>
            <w:tcW w:w="220" w:type="dxa"/>
            <w:vAlign w:val="bottom"/>
          </w:tcPr>
          <w:p>
            <w:pPr>
              <w:spacing w:after="0"/>
              <w:rPr>
                <w:sz w:val="24"/>
                <w:szCs w:val="24"/>
                <w:color w:val="auto"/>
              </w:rPr>
            </w:pPr>
          </w:p>
        </w:tc>
        <w:tc>
          <w:tcPr>
            <w:tcW w:w="1160" w:type="dxa"/>
            <w:vAlign w:val="bottom"/>
          </w:tcPr>
          <w:p>
            <w:pPr>
              <w:jc w:val="right"/>
              <w:ind w:right="3"/>
              <w:spacing w:after="0"/>
              <w:rPr>
                <w:sz w:val="20"/>
                <w:szCs w:val="20"/>
                <w:color w:val="auto"/>
              </w:rPr>
            </w:pPr>
            <w:r>
              <w:rPr>
                <w:rFonts w:ascii="Arial" w:cs="Arial" w:eastAsia="Arial" w:hAnsi="Arial"/>
                <w:sz w:val="20"/>
                <w:szCs w:val="20"/>
                <w:color w:val="auto"/>
              </w:rPr>
              <w:t>271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5"/>
        </w:trPr>
        <w:tc>
          <w:tcPr>
            <w:tcW w:w="6280" w:type="dxa"/>
            <w:vAlign w:val="bottom"/>
            <w:shd w:val="clear" w:color="auto" w:fill="D2EDF0"/>
          </w:tcPr>
          <w:p>
            <w:pPr>
              <w:ind w:left="60"/>
              <w:spacing w:after="0" w:line="285" w:lineRule="exact"/>
              <w:rPr>
                <w:sz w:val="20"/>
                <w:szCs w:val="20"/>
                <w:color w:val="auto"/>
              </w:rPr>
            </w:pPr>
            <w:r>
              <w:rPr>
                <w:rFonts w:ascii="Arial" w:cs="Arial" w:eastAsia="Arial" w:hAnsi="Arial"/>
                <w:sz w:val="20"/>
                <w:szCs w:val="20"/>
                <w:color w:val="auto"/>
              </w:rPr>
              <w:t>Tax fees</w:t>
            </w:r>
            <w:r>
              <w:rPr>
                <w:rFonts w:ascii="Arial" w:cs="Arial" w:eastAsia="Arial" w:hAnsi="Arial"/>
                <w:sz w:val="26"/>
                <w:szCs w:val="26"/>
                <w:color w:val="auto"/>
                <w:vertAlign w:val="superscript"/>
              </w:rPr>
              <w:t>(3)</w:t>
            </w:r>
          </w:p>
        </w:tc>
        <w:tc>
          <w:tcPr>
            <w:tcW w:w="220" w:type="dxa"/>
            <w:vAlign w:val="bottom"/>
            <w:shd w:val="clear" w:color="auto" w:fill="D2EDF0"/>
          </w:tcPr>
          <w:p>
            <w:pPr>
              <w:spacing w:after="0"/>
              <w:rPr>
                <w:sz w:val="24"/>
                <w:szCs w:val="24"/>
                <w:color w:val="auto"/>
              </w:rPr>
            </w:pPr>
          </w:p>
        </w:tc>
        <w:tc>
          <w:tcPr>
            <w:tcW w:w="1160" w:type="dxa"/>
            <w:vAlign w:val="bottom"/>
            <w:shd w:val="clear" w:color="auto" w:fill="D2EDF0"/>
          </w:tcPr>
          <w:p>
            <w:pPr>
              <w:jc w:val="right"/>
              <w:ind w:right="3"/>
              <w:spacing w:after="0"/>
              <w:rPr>
                <w:sz w:val="20"/>
                <w:szCs w:val="20"/>
                <w:color w:val="auto"/>
              </w:rPr>
            </w:pPr>
            <w:r>
              <w:rPr>
                <w:rFonts w:ascii="Arial" w:cs="Arial" w:eastAsia="Arial" w:hAnsi="Arial"/>
                <w:sz w:val="20"/>
                <w:szCs w:val="20"/>
                <w:color w:val="auto"/>
              </w:rPr>
              <w:t>—</w:t>
            </w:r>
          </w:p>
        </w:tc>
        <w:tc>
          <w:tcPr>
            <w:tcW w:w="6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9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8</w:t>
            </w:r>
          </w:p>
        </w:tc>
      </w:tr>
      <w:tr>
        <w:trPr>
          <w:trHeight w:val="275"/>
        </w:trPr>
        <w:tc>
          <w:tcPr>
            <w:tcW w:w="6280" w:type="dxa"/>
            <w:vAlign w:val="bottom"/>
            <w:tcBorders>
              <w:bottom w:val="single" w:sz="8" w:color="D2EDF0"/>
            </w:tcBorders>
          </w:tcPr>
          <w:p>
            <w:pPr>
              <w:ind w:left="60"/>
              <w:spacing w:after="0" w:line="275" w:lineRule="exact"/>
              <w:rPr>
                <w:sz w:val="20"/>
                <w:szCs w:val="20"/>
                <w:color w:val="auto"/>
              </w:rPr>
            </w:pPr>
            <w:r>
              <w:rPr>
                <w:rFonts w:ascii="Arial" w:cs="Arial" w:eastAsia="Arial" w:hAnsi="Arial"/>
                <w:sz w:val="20"/>
                <w:szCs w:val="20"/>
                <w:color w:val="auto"/>
              </w:rPr>
              <w:t>All Other Fees</w:t>
            </w:r>
            <w:r>
              <w:rPr>
                <w:rFonts w:ascii="Arial" w:cs="Arial" w:eastAsia="Arial" w:hAnsi="Arial"/>
                <w:sz w:val="26"/>
                <w:szCs w:val="26"/>
                <w:color w:val="auto"/>
                <w:vertAlign w:val="superscript"/>
              </w:rPr>
              <w:t>(4)</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D2EDF0"/>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r>
      <w:tr>
        <w:trPr>
          <w:trHeight w:val="265"/>
        </w:trPr>
        <w:tc>
          <w:tcPr>
            <w:tcW w:w="6280" w:type="dxa"/>
            <w:vAlign w:val="bottom"/>
            <w:shd w:val="clear" w:color="auto" w:fill="D2EDF0"/>
          </w:tcPr>
          <w:p>
            <w:pPr>
              <w:ind w:left="180"/>
              <w:spacing w:after="0"/>
              <w:rPr>
                <w:sz w:val="20"/>
                <w:szCs w:val="20"/>
                <w:color w:val="auto"/>
              </w:rPr>
            </w:pPr>
            <w:r>
              <w:rPr>
                <w:rFonts w:ascii="Arial" w:cs="Arial" w:eastAsia="Arial" w:hAnsi="Arial"/>
                <w:sz w:val="20"/>
                <w:szCs w:val="20"/>
                <w:color w:val="auto"/>
              </w:rPr>
              <w:t>Total Fees</w:t>
            </w:r>
          </w:p>
        </w:tc>
        <w:tc>
          <w:tcPr>
            <w:tcW w:w="2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D2EDF0"/>
          </w:tcPr>
          <w:p>
            <w:pPr>
              <w:jc w:val="right"/>
              <w:ind w:right="3"/>
              <w:spacing w:after="0"/>
              <w:rPr>
                <w:sz w:val="20"/>
                <w:szCs w:val="20"/>
                <w:color w:val="auto"/>
              </w:rPr>
            </w:pPr>
            <w:r>
              <w:rPr>
                <w:rFonts w:ascii="Arial" w:cs="Arial" w:eastAsia="Arial" w:hAnsi="Arial"/>
                <w:sz w:val="20"/>
                <w:szCs w:val="20"/>
                <w:color w:val="auto"/>
              </w:rPr>
              <w:t>1,978</w:t>
            </w:r>
          </w:p>
        </w:tc>
        <w:tc>
          <w:tcPr>
            <w:tcW w:w="36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1,937</w:t>
            </w:r>
          </w:p>
        </w:tc>
      </w:tr>
      <w:tr>
        <w:trPr>
          <w:trHeight w:val="20"/>
        </w:trPr>
        <w:tc>
          <w:tcPr>
            <w:tcW w:w="6280" w:type="dxa"/>
            <w:vAlign w:val="bottom"/>
            <w:tcBorders>
              <w:top w:val="single" w:sz="8" w:color="D2EDF0"/>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-37465</wp:posOffset>
            </wp:positionV>
            <wp:extent cx="172402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24025" cy="3810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_____________</w:t>
      </w:r>
    </w:p>
    <w:p>
      <w:pPr>
        <w:ind w:right="20"/>
        <w:spacing w:after="0" w:line="257"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Audit fees consisted of fees billed for professional services provided in connection with the audits of our annual consolidated financial statements and our internal control over financial reporting, the review of our quarterly condensed consolidated financial statements, and related procedures and audit services that are normally provided by the independent registered public accounting firm in connection with regulatory filings. Audit fees included fees related to business combinations in 2022 and 2021.</w:t>
      </w:r>
    </w:p>
    <w:p>
      <w:pPr>
        <w:spacing w:after="0" w:line="202" w:lineRule="exact"/>
        <w:rPr>
          <w:rFonts w:ascii="Arial" w:cs="Arial" w:eastAsia="Arial" w:hAnsi="Arial"/>
          <w:sz w:val="20"/>
          <w:szCs w:val="20"/>
          <w:color w:val="auto"/>
        </w:rPr>
      </w:pPr>
    </w:p>
    <w:p>
      <w:pPr>
        <w:ind w:right="500"/>
        <w:spacing w:after="0" w:line="287" w:lineRule="auto"/>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Audit-related fees in 2022 consisted of professional services provided in connection with attestation reports for service organizations.</w:t>
      </w:r>
    </w:p>
    <w:p>
      <w:pPr>
        <w:spacing w:after="0" w:line="169" w:lineRule="exact"/>
        <w:rPr>
          <w:rFonts w:ascii="Arial" w:cs="Arial" w:eastAsia="Arial" w:hAnsi="Arial"/>
          <w:sz w:val="20"/>
          <w:szCs w:val="20"/>
          <w:color w:val="auto"/>
        </w:rPr>
      </w:pPr>
    </w:p>
    <w:p>
      <w:pPr>
        <w:ind w:left="720" w:hanging="720"/>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Tax fees included fees for permissible tax advisory services.</w:t>
      </w:r>
    </w:p>
    <w:p>
      <w:pPr>
        <w:spacing w:after="0" w:line="250" w:lineRule="exact"/>
        <w:rPr>
          <w:rFonts w:ascii="Arial" w:cs="Arial" w:eastAsia="Arial" w:hAnsi="Arial"/>
          <w:sz w:val="20"/>
          <w:szCs w:val="20"/>
          <w:color w:val="auto"/>
        </w:rPr>
      </w:pPr>
    </w:p>
    <w:p>
      <w:pPr>
        <w:ind w:left="720" w:hanging="720"/>
        <w:spacing w:after="0"/>
        <w:tabs>
          <w:tab w:leader="none" w:pos="7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All other fees included fees for access to online accounting and tax research software.</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880" w:h="15480" w:orient="portrait"/>
          <w:cols w:equalWidth="0" w:num="1">
            <w:col w:w="9000"/>
          </w:cols>
          <w:pgMar w:left="1440" w:top="1203" w:right="1440" w:bottom="0" w:gutter="0" w:footer="0" w:header="0"/>
          <w:type w:val="continuous"/>
        </w:sectPr>
      </w:pPr>
    </w:p>
    <w:bookmarkStart w:id="34" w:name="page35"/>
    <w:bookmarkEnd w:id="34"/>
    <w:p>
      <w:pPr>
        <w:ind w:right="1380" w:firstLine="360"/>
        <w:spacing w:after="0" w:line="500" w:lineRule="auto"/>
        <w:rPr>
          <w:sz w:val="20"/>
          <w:szCs w:val="20"/>
          <w:color w:val="auto"/>
        </w:rPr>
      </w:pPr>
      <w:r>
        <w:rPr>
          <w:rFonts w:ascii="Arial" w:cs="Arial" w:eastAsia="Arial" w:hAnsi="Arial"/>
          <w:sz w:val="20"/>
          <w:szCs w:val="20"/>
          <w:color w:val="auto"/>
        </w:rPr>
        <w:t xml:space="preserve">All fees and services described above were pre-approved by the Audit Committee. </w:t>
      </w:r>
      <w:r>
        <w:rPr>
          <w:rFonts w:ascii="Arial" w:cs="Arial" w:eastAsia="Arial" w:hAnsi="Arial"/>
          <w:sz w:val="20"/>
          <w:szCs w:val="20"/>
          <w:b w:val="1"/>
          <w:bCs w:val="1"/>
          <w:color w:val="auto"/>
        </w:rPr>
        <w:t>Pre-Approval Policies and Procedures</w:t>
      </w:r>
    </w:p>
    <w:p>
      <w:pPr>
        <w:spacing w:after="0" w:line="2" w:lineRule="exact"/>
        <w:rPr>
          <w:sz w:val="20"/>
          <w:szCs w:val="20"/>
          <w:color w:val="auto"/>
        </w:rPr>
      </w:pPr>
    </w:p>
    <w:p>
      <w:pPr>
        <w:ind w:right="80" w:firstLine="360"/>
        <w:spacing w:after="0" w:line="255" w:lineRule="auto"/>
        <w:rPr>
          <w:sz w:val="20"/>
          <w:szCs w:val="20"/>
          <w:color w:val="auto"/>
        </w:rPr>
      </w:pPr>
      <w:r>
        <w:rPr>
          <w:rFonts w:ascii="Arial" w:cs="Arial" w:eastAsia="Arial" w:hAnsi="Arial"/>
          <w:sz w:val="20"/>
          <w:szCs w:val="20"/>
          <w:color w:val="auto"/>
        </w:rPr>
        <w:t>The Audit Committee has adopted a policy and procedures for the pre-approval of audit and non-audit services rendered by the Company’s independent registered public accounting firm, Ernst &amp; Young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Chair of the Audit Committee has been delegated authority to pre-approve certain audit and non-audit services, but the decision must be reported to the full Audit Committee at its next scheduled meeting.</w:t>
      </w:r>
    </w:p>
    <w:p>
      <w:pPr>
        <w:spacing w:after="0" w:line="201" w:lineRule="exact"/>
        <w:rPr>
          <w:sz w:val="20"/>
          <w:szCs w:val="20"/>
          <w:color w:val="auto"/>
        </w:rPr>
      </w:pPr>
    </w:p>
    <w:p>
      <w:pPr>
        <w:ind w:right="80" w:firstLine="360"/>
        <w:spacing w:after="0" w:line="287" w:lineRule="auto"/>
        <w:rPr>
          <w:sz w:val="20"/>
          <w:szCs w:val="20"/>
          <w:color w:val="auto"/>
        </w:rPr>
      </w:pPr>
      <w:r>
        <w:rPr>
          <w:rFonts w:ascii="Arial" w:cs="Arial" w:eastAsia="Arial" w:hAnsi="Arial"/>
          <w:sz w:val="20"/>
          <w:szCs w:val="20"/>
          <w:color w:val="auto"/>
        </w:rPr>
        <w:t>The Audit Committee has determined that the non-audit services rendered by Ernst &amp; Young LLP are compatible with maintaining the principal accountant’s independence.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BOARD OF DIRECTORS RECOMMENDS A VOTE IN FAVOR OF PROPOSAL 2</w:t>
      </w:r>
      <w:r>
        <w:rPr>
          <w:rFonts w:ascii="Arial" w:cs="Arial" w:eastAsia="Arial" w:hAnsi="Arial"/>
          <w:sz w:val="20"/>
          <w:szCs w:val="20"/>
          <w:color w:val="auto"/>
        </w:rPr>
        <w:t>.</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880" w:h="15480" w:orient="portrait"/>
          <w:cols w:equalWidth="0" w:num="1">
            <w:col w:w="9000"/>
          </w:cols>
          <w:pgMar w:left="1440" w:top="1204" w:right="1440" w:bottom="0" w:gutter="0" w:footer="0" w:header="0"/>
          <w:type w:val="continuous"/>
        </w:sectPr>
      </w:pPr>
    </w:p>
    <w:bookmarkStart w:id="35" w:name="page36"/>
    <w:bookmarkEnd w:id="35"/>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PROPOSAL 3</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ADVISORY VOTE TO APPROVE THE NAMED EXECUTIVE OFFICER COMPENSATION</w:t>
      </w:r>
    </w:p>
    <w:p>
      <w:pPr>
        <w:spacing w:after="0" w:line="251" w:lineRule="exact"/>
        <w:rPr>
          <w:sz w:val="20"/>
          <w:szCs w:val="20"/>
          <w:color w:val="auto"/>
        </w:rPr>
      </w:pPr>
    </w:p>
    <w:p>
      <w:pPr>
        <w:ind w:right="60" w:firstLine="360"/>
        <w:spacing w:after="0" w:line="243" w:lineRule="auto"/>
        <w:rPr>
          <w:sz w:val="20"/>
          <w:szCs w:val="20"/>
          <w:color w:val="auto"/>
        </w:rPr>
      </w:pPr>
      <w:r>
        <w:rPr>
          <w:rFonts w:ascii="Arial" w:cs="Arial" w:eastAsia="Arial" w:hAnsi="Arial"/>
          <w:sz w:val="20"/>
          <w:szCs w:val="20"/>
          <w:color w:val="auto"/>
        </w:rPr>
        <w:t>The Dodd-Frank Wall Street Reform and Consumer Protection Act and Section 14A of the Exchange Act enable our stockholders to approve, on an advisory non-binding basis, the compensation of our Named Executive Officers as disclosed in this proxy statement. This proposal, commonly known as a "Say-on-Pay" proposal, gives our stockholders the opportunity to express their views on our Named Executive Officers' compensation as a whole. The vote is not intended to address any specific item of compensation or any specific Named Executive Officer, but rather the overall compensation of all our Named Executive Officers and the philosophy, policies and practices described in this proxy statement. At the 2020 Annual Meeting of Stockholders, the stockholders indicated their preference that the Company solicit a Say-on-Pay vote every year. The Board has adopted a policy that is consistent with that preference. In accordance with that policy, this year, we are asking stockholders to approve, on an advisory basis, the compensation of our Named Executive Officers as disclosed in this proxy statement in accordance with SEC rules.</w:t>
      </w:r>
    </w:p>
    <w:p>
      <w:pPr>
        <w:spacing w:after="0" w:line="206" w:lineRule="exact"/>
        <w:rPr>
          <w:sz w:val="20"/>
          <w:szCs w:val="20"/>
          <w:color w:val="auto"/>
        </w:rPr>
      </w:pPr>
    </w:p>
    <w:p>
      <w:pPr>
        <w:ind w:right="160" w:firstLine="360"/>
        <w:spacing w:after="0" w:line="244" w:lineRule="auto"/>
        <w:rPr>
          <w:sz w:val="20"/>
          <w:szCs w:val="20"/>
          <w:color w:val="auto"/>
        </w:rPr>
      </w:pPr>
      <w:r>
        <w:rPr>
          <w:rFonts w:ascii="Arial" w:cs="Arial" w:eastAsia="Arial" w:hAnsi="Arial"/>
          <w:sz w:val="20"/>
          <w:szCs w:val="20"/>
          <w:color w:val="auto"/>
        </w:rPr>
        <w:t>The Say-on-Pay vote is advisory, and therefore is not binding on us, the Compensation Committee or the Board. The Say-on-Pay vote will, however, provide information to us regarding investor sentiment about our executive compensation philosophy, policies and practices, which the Compensation Committee will be able to consider when determining executive compensation for the remainder of the current year and beyond. The Board and our Compensation Committee value the opinions of our stockholders and to the extent there is any significant vote against the Named Executive Officer compensation as disclosed in this proxy statement, we will endeavor to communicate with stockholders to better understand the concerns that influenced the vote, consider our stockholders’ concerns and the Compensation Committee will evaluate whether any actions are necessary to address those concerns.</w:t>
      </w:r>
    </w:p>
    <w:p>
      <w:pPr>
        <w:spacing w:after="0" w:line="202" w:lineRule="exact"/>
        <w:rPr>
          <w:sz w:val="20"/>
          <w:szCs w:val="20"/>
          <w:color w:val="auto"/>
        </w:rPr>
      </w:pPr>
    </w:p>
    <w:p>
      <w:pPr>
        <w:ind w:right="320" w:firstLine="360"/>
        <w:spacing w:after="0" w:line="279" w:lineRule="auto"/>
        <w:rPr>
          <w:sz w:val="20"/>
          <w:szCs w:val="20"/>
          <w:color w:val="auto"/>
        </w:rPr>
      </w:pPr>
      <w:r>
        <w:rPr>
          <w:rFonts w:ascii="Arial" w:cs="Arial" w:eastAsia="Arial" w:hAnsi="Arial"/>
          <w:sz w:val="19"/>
          <w:szCs w:val="19"/>
          <w:color w:val="auto"/>
        </w:rPr>
        <w:t>The compensation of our Named Executive Officers subject to the vote is disclosed in the Compensation Discussion and Analysis section, the compensation tables and the related narrative</w:t>
      </w:r>
    </w:p>
    <w:p>
      <w:pPr>
        <w:spacing w:after="0" w:line="1" w:lineRule="exact"/>
        <w:rPr>
          <w:sz w:val="20"/>
          <w:szCs w:val="20"/>
          <w:color w:val="auto"/>
        </w:rPr>
      </w:pPr>
    </w:p>
    <w:p>
      <w:pPr>
        <w:ind w:right="80"/>
        <w:spacing w:after="0" w:line="278" w:lineRule="auto"/>
        <w:rPr>
          <w:sz w:val="20"/>
          <w:szCs w:val="20"/>
          <w:color w:val="auto"/>
        </w:rPr>
      </w:pPr>
      <w:r>
        <w:rPr>
          <w:rFonts w:ascii="Arial" w:cs="Arial" w:eastAsia="Arial" w:hAnsi="Arial"/>
          <w:sz w:val="20"/>
          <w:szCs w:val="20"/>
          <w:color w:val="auto"/>
        </w:rPr>
        <w:t>disclosure contained in this proxy statement. As discussed in those disclosures, we believe that our compensation policies and decisions are aligned with our stockholders’ interests to support long-term value creation and enable us to attract and retain talented executives.</w:t>
      </w:r>
    </w:p>
    <w:p>
      <w:pPr>
        <w:spacing w:after="0" w:line="180" w:lineRule="exact"/>
        <w:rPr>
          <w:sz w:val="20"/>
          <w:szCs w:val="20"/>
          <w:color w:val="auto"/>
        </w:rPr>
      </w:pPr>
    </w:p>
    <w:p>
      <w:pPr>
        <w:jc w:val="both"/>
        <w:ind w:right="20" w:firstLine="360"/>
        <w:spacing w:after="0" w:line="268" w:lineRule="auto"/>
        <w:rPr>
          <w:sz w:val="20"/>
          <w:szCs w:val="20"/>
          <w:color w:val="auto"/>
        </w:rPr>
      </w:pPr>
      <w:r>
        <w:rPr>
          <w:rFonts w:ascii="Arial" w:cs="Arial" w:eastAsia="Arial" w:hAnsi="Arial"/>
          <w:sz w:val="20"/>
          <w:szCs w:val="20"/>
          <w:color w:val="auto"/>
        </w:rPr>
        <w:t>Accordingly, the Board is asking the stockholders to indicate their support for the compensation of our Named Executive Officers as described in this proxy statement by casting a non-binding advisory vote “FOR” the following resolution:</w:t>
      </w:r>
    </w:p>
    <w:p>
      <w:pPr>
        <w:spacing w:after="0" w:line="190" w:lineRule="exact"/>
        <w:rPr>
          <w:sz w:val="20"/>
          <w:szCs w:val="20"/>
          <w:color w:val="auto"/>
        </w:rPr>
      </w:pPr>
    </w:p>
    <w:p>
      <w:pPr>
        <w:ind w:right="660" w:firstLine="360"/>
        <w:spacing w:after="0" w:line="268" w:lineRule="auto"/>
        <w:rPr>
          <w:sz w:val="20"/>
          <w:szCs w:val="20"/>
          <w:color w:val="auto"/>
        </w:rPr>
      </w:pPr>
      <w:r>
        <w:rPr>
          <w:rFonts w:ascii="Arial" w:cs="Arial" w:eastAsia="Arial" w:hAnsi="Arial"/>
          <w:sz w:val="20"/>
          <w:szCs w:val="20"/>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90" w:lineRule="exact"/>
        <w:rPr>
          <w:sz w:val="20"/>
          <w:szCs w:val="20"/>
          <w:color w:val="auto"/>
        </w:rPr>
      </w:pPr>
    </w:p>
    <w:p>
      <w:pPr>
        <w:ind w:right="140" w:firstLine="360"/>
        <w:spacing w:after="0" w:line="262" w:lineRule="auto"/>
        <w:rPr>
          <w:sz w:val="20"/>
          <w:szCs w:val="20"/>
          <w:color w:val="auto"/>
        </w:rPr>
      </w:pPr>
      <w:r>
        <w:rPr>
          <w:rFonts w:ascii="Arial" w:cs="Arial" w:eastAsia="Arial" w:hAnsi="Arial"/>
          <w:sz w:val="20"/>
          <w:szCs w:val="20"/>
          <w:color w:val="auto"/>
        </w:rPr>
        <w:t>Advisory approval of this proposal requires the vote of the holders of a majority of the shares present online or represented by proxy and entitled to vote on the matter at the annual meeting. Unless the Board decides to modify its policy regarding the frequency of soliciting Say-on-Pay votes, the next scheduled Say-on-Pay vote will be at the 2024 Annual Meeting.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BOARD OF DIRECTORS RECOMMENDS A VOTE IN FAVOR OF PROPOSAL 3.</w:t>
      </w:r>
    </w:p>
    <w:p>
      <w:pPr>
        <w:sectPr>
          <w:pgSz w:w="11880" w:h="15480" w:orient="portrait"/>
          <w:cols w:equalWidth="0" w:num="1">
            <w:col w:w="900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880" w:h="15480" w:orient="portrait"/>
          <w:cols w:equalWidth="0" w:num="1">
            <w:col w:w="9000"/>
          </w:cols>
          <w:pgMar w:left="1440" w:top="1440" w:right="1440" w:bottom="0" w:gutter="0" w:footer="0" w:header="0"/>
          <w:type w:val="continuous"/>
        </w:sectPr>
      </w:pPr>
    </w:p>
    <w:bookmarkStart w:id="36" w:name="page37"/>
    <w:bookmarkEnd w:id="36"/>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CORPORATE SOCIAL RESPONSIBILITY</w:t>
      </w:r>
    </w:p>
    <w:p>
      <w:pPr>
        <w:spacing w:after="0" w:line="251" w:lineRule="exact"/>
        <w:rPr>
          <w:sz w:val="20"/>
          <w:szCs w:val="20"/>
          <w:color w:val="auto"/>
        </w:rPr>
      </w:pPr>
    </w:p>
    <w:p>
      <w:pPr>
        <w:jc w:val="both"/>
        <w:ind w:right="200" w:firstLine="360"/>
        <w:spacing w:after="0" w:line="268" w:lineRule="auto"/>
        <w:rPr>
          <w:sz w:val="20"/>
          <w:szCs w:val="20"/>
          <w:color w:val="auto"/>
        </w:rPr>
      </w:pPr>
      <w:r>
        <w:rPr>
          <w:rFonts w:ascii="Arial" w:cs="Arial" w:eastAsia="Arial" w:hAnsi="Arial"/>
          <w:sz w:val="20"/>
          <w:szCs w:val="20"/>
          <w:color w:val="auto"/>
        </w:rPr>
        <w:t>We believe good governance at all levels is necessary to drive corporate responsibility, which in turn promotes the long-term interests of our stockholders and strengthens Board and management accountability. We focus our efforts in the following key areas:</w:t>
      </w:r>
    </w:p>
    <w:p>
      <w:pPr>
        <w:spacing w:after="0" w:line="24" w:lineRule="exact"/>
        <w:rPr>
          <w:sz w:val="20"/>
          <w:szCs w:val="20"/>
          <w:color w:val="auto"/>
        </w:rPr>
      </w:pPr>
    </w:p>
    <w:p>
      <w:pPr>
        <w:ind w:left="720" w:hanging="360"/>
        <w:spacing w:after="0"/>
        <w:tabs>
          <w:tab w:leader="none" w:pos="720" w:val="left"/>
        </w:tabs>
        <w:numPr>
          <w:ilvl w:val="0"/>
          <w:numId w:val="19"/>
        </w:numPr>
        <w:rPr>
          <w:rFonts w:ascii="Arial" w:cs="Arial" w:eastAsia="Arial" w:hAnsi="Arial"/>
          <w:sz w:val="22"/>
          <w:szCs w:val="22"/>
          <w:color w:val="auto"/>
        </w:rPr>
      </w:pPr>
      <w:r>
        <w:rPr>
          <w:rFonts w:ascii="Arial" w:cs="Arial" w:eastAsia="Arial" w:hAnsi="Arial"/>
          <w:sz w:val="20"/>
          <w:szCs w:val="20"/>
          <w:color w:val="auto"/>
        </w:rPr>
        <w:t>Governance;</w:t>
      </w:r>
    </w:p>
    <w:p>
      <w:pPr>
        <w:spacing w:after="0" w:line="71" w:lineRule="exact"/>
        <w:rPr>
          <w:rFonts w:ascii="Arial" w:cs="Arial" w:eastAsia="Arial" w:hAnsi="Arial"/>
          <w:sz w:val="22"/>
          <w:szCs w:val="22"/>
          <w:color w:val="auto"/>
        </w:rPr>
      </w:pPr>
    </w:p>
    <w:p>
      <w:pPr>
        <w:ind w:left="720" w:hanging="360"/>
        <w:spacing w:after="0"/>
        <w:tabs>
          <w:tab w:leader="none" w:pos="720" w:val="left"/>
        </w:tabs>
        <w:numPr>
          <w:ilvl w:val="0"/>
          <w:numId w:val="19"/>
        </w:numPr>
        <w:rPr>
          <w:rFonts w:ascii="Arial" w:cs="Arial" w:eastAsia="Arial" w:hAnsi="Arial"/>
          <w:sz w:val="22"/>
          <w:szCs w:val="22"/>
          <w:color w:val="auto"/>
        </w:rPr>
      </w:pPr>
      <w:r>
        <w:rPr>
          <w:rFonts w:ascii="Arial" w:cs="Arial" w:eastAsia="Arial" w:hAnsi="Arial"/>
          <w:sz w:val="20"/>
          <w:szCs w:val="20"/>
          <w:color w:val="auto"/>
        </w:rPr>
        <w:t>Environmental stewardship; and</w:t>
      </w:r>
    </w:p>
    <w:p>
      <w:pPr>
        <w:spacing w:after="0" w:line="71" w:lineRule="exact"/>
        <w:rPr>
          <w:rFonts w:ascii="Arial" w:cs="Arial" w:eastAsia="Arial" w:hAnsi="Arial"/>
          <w:sz w:val="22"/>
          <w:szCs w:val="22"/>
          <w:color w:val="auto"/>
        </w:rPr>
      </w:pPr>
    </w:p>
    <w:p>
      <w:pPr>
        <w:ind w:left="720" w:right="760" w:hanging="360"/>
        <w:spacing w:after="0" w:line="288" w:lineRule="auto"/>
        <w:tabs>
          <w:tab w:leader="none" w:pos="720" w:val="left"/>
        </w:tabs>
        <w:numPr>
          <w:ilvl w:val="0"/>
          <w:numId w:val="19"/>
        </w:numPr>
        <w:rPr>
          <w:rFonts w:ascii="Arial" w:cs="Arial" w:eastAsia="Arial" w:hAnsi="Arial"/>
          <w:sz w:val="22"/>
          <w:szCs w:val="22"/>
          <w:color w:val="auto"/>
        </w:rPr>
      </w:pPr>
      <w:r>
        <w:rPr>
          <w:rFonts w:ascii="Arial" w:cs="Arial" w:eastAsia="Arial" w:hAnsi="Arial"/>
          <w:sz w:val="20"/>
          <w:szCs w:val="20"/>
          <w:color w:val="auto"/>
        </w:rPr>
        <w:t>Social responsibility in: cybersecurity and data privacy, diversity, equity and inclusion, employee engagement, and community involvement.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68580</wp:posOffset>
            </wp:positionV>
            <wp:extent cx="476250" cy="4762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6250" cy="476250"/>
                    </a:xfrm>
                    <a:prstGeom prst="rect">
                      <a:avLst/>
                    </a:prstGeom>
                    <a:noFill/>
                  </pic:spPr>
                </pic:pic>
              </a:graphicData>
            </a:graphic>
          </wp:anchor>
        </w:drawing>
      </w:r>
    </w:p>
    <w:p>
      <w:pPr>
        <w:spacing w:after="0" w:line="363" w:lineRule="exact"/>
        <w:rPr>
          <w:sz w:val="20"/>
          <w:szCs w:val="20"/>
          <w:color w:val="auto"/>
        </w:rPr>
      </w:pPr>
    </w:p>
    <w:p>
      <w:pPr>
        <w:ind w:left="1060"/>
        <w:spacing w:after="0"/>
        <w:rPr>
          <w:sz w:val="20"/>
          <w:szCs w:val="20"/>
          <w:color w:val="auto"/>
        </w:rPr>
      </w:pPr>
      <w:r>
        <w:rPr>
          <w:rFonts w:ascii="Arial" w:cs="Arial" w:eastAsia="Arial" w:hAnsi="Arial"/>
          <w:sz w:val="20"/>
          <w:szCs w:val="20"/>
          <w:b w:val="1"/>
          <w:bCs w:val="1"/>
          <w:color w:val="auto"/>
        </w:rPr>
        <w:t>Governance</w:t>
      </w:r>
    </w:p>
    <w:p>
      <w:pPr>
        <w:spacing w:after="0" w:line="200" w:lineRule="exact"/>
        <w:rPr>
          <w:sz w:val="20"/>
          <w:szCs w:val="20"/>
          <w:color w:val="auto"/>
        </w:rPr>
      </w:pPr>
    </w:p>
    <w:p>
      <w:pPr>
        <w:spacing w:after="0" w:line="226" w:lineRule="exact"/>
        <w:rPr>
          <w:sz w:val="20"/>
          <w:szCs w:val="20"/>
          <w:color w:val="auto"/>
        </w:rPr>
      </w:pPr>
    </w:p>
    <w:p>
      <w:pPr>
        <w:jc w:val="both"/>
        <w:ind w:right="80" w:firstLine="360"/>
        <w:spacing w:after="0" w:line="257" w:lineRule="auto"/>
        <w:rPr>
          <w:sz w:val="20"/>
          <w:szCs w:val="20"/>
          <w:color w:val="auto"/>
        </w:rPr>
      </w:pPr>
      <w:r>
        <w:rPr>
          <w:rFonts w:ascii="Arial" w:cs="Arial" w:eastAsia="Arial" w:hAnsi="Arial"/>
          <w:sz w:val="20"/>
          <w:szCs w:val="20"/>
          <w:color w:val="auto"/>
        </w:rPr>
        <w:t>Our Board sets high standards for the Company's employees, officers, and directors. Implicit in this philosophy is the importance of sound corporate governance. It is the duty of the Board to serve as a prudent fiduciary for stockholders and to oversee the management of the Company's business. The Board adheres to our corporate governance guidelines, which are designed to give directors and management a flexible framework for effectively pursuing the Company's objectives for the benefit of its stockholders.</w:t>
      </w:r>
    </w:p>
    <w:p>
      <w:pPr>
        <w:spacing w:after="0" w:line="202" w:lineRule="exact"/>
        <w:rPr>
          <w:sz w:val="20"/>
          <w:szCs w:val="20"/>
          <w:color w:val="auto"/>
        </w:rPr>
      </w:pPr>
    </w:p>
    <w:p>
      <w:pPr>
        <w:ind w:right="80" w:firstLine="360"/>
        <w:spacing w:after="0" w:line="255" w:lineRule="auto"/>
        <w:rPr>
          <w:sz w:val="20"/>
          <w:szCs w:val="20"/>
          <w:color w:val="auto"/>
        </w:rPr>
      </w:pPr>
      <w:r>
        <w:rPr>
          <w:rFonts w:ascii="Arial" w:cs="Arial" w:eastAsia="Arial" w:hAnsi="Arial"/>
          <w:sz w:val="20"/>
          <w:szCs w:val="20"/>
          <w:color w:val="auto"/>
        </w:rPr>
        <w:t>In the risk management process, risk oversight is one of the Board’s key functions.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The Nominating and Corporate Governance Committee is responsible for environmental, social, and governance oversight and is briefed at least twice a year on relevant matters. For additional details on the Committee's oversight responsibilities see the section titled "Nominating and Corporate Governance Committee" above.</w:t>
      </w:r>
    </w:p>
    <w:p>
      <w:pPr>
        <w:spacing w:after="0" w:line="201" w:lineRule="exact"/>
        <w:rPr>
          <w:sz w:val="20"/>
          <w:szCs w:val="20"/>
          <w:color w:val="auto"/>
        </w:rPr>
      </w:pPr>
    </w:p>
    <w:p>
      <w:pPr>
        <w:ind w:right="80" w:firstLine="415"/>
        <w:spacing w:after="0" w:line="257" w:lineRule="auto"/>
        <w:rPr>
          <w:sz w:val="20"/>
          <w:szCs w:val="20"/>
          <w:color w:val="auto"/>
        </w:rPr>
      </w:pPr>
      <w:r>
        <w:rPr>
          <w:rFonts w:ascii="Arial" w:cs="Arial" w:eastAsia="Arial" w:hAnsi="Arial"/>
          <w:sz w:val="20"/>
          <w:szCs w:val="20"/>
          <w:color w:val="auto"/>
        </w:rPr>
        <w:t>In addition to our governance best practices, we consider environmental and social issues in our operations. We believe that socially responsible operating practices go hand in hand with generating value for our stockholders, providing cybersecurity solutions for our clients, being good neighbors within our communities, and being a good employer to our employees. In our view, our corporate governance is more effective when we consider environmental and social issues as part of our oversight of corporate strategy, key risks, and our operations more generally.</w:t>
      </w:r>
    </w:p>
    <w:p>
      <w:pPr>
        <w:spacing w:after="0" w:line="202" w:lineRule="exact"/>
        <w:rPr>
          <w:sz w:val="20"/>
          <w:szCs w:val="20"/>
          <w:color w:val="auto"/>
        </w:rPr>
      </w:pPr>
    </w:p>
    <w:p>
      <w:pPr>
        <w:ind w:right="40" w:firstLine="415"/>
        <w:spacing w:after="0" w:line="255" w:lineRule="auto"/>
        <w:rPr>
          <w:sz w:val="20"/>
          <w:szCs w:val="20"/>
          <w:color w:val="auto"/>
        </w:rPr>
      </w:pPr>
      <w:r>
        <w:rPr>
          <w:rFonts w:ascii="Arial" w:cs="Arial" w:eastAsia="Arial" w:hAnsi="Arial"/>
          <w:sz w:val="20"/>
          <w:szCs w:val="20"/>
          <w:color w:val="auto"/>
        </w:rPr>
        <w:t>We are committed to the promotion of ethical business practices and the implementation of measures to reduce the risk of corruption. We believe strongly in human rights, including, but not limited to, supporting our diverse and inclusive workforce and promoting equality of opportunity and treatment in hiring, training, promotions and working conditions. We took some additional steps in 2022 to ensure that what is important to Tenable extends to those with whom we do business, by adopting a Human Rights Policy and a Supplier Code of Conduct, which articulate our commitments and values regarding such matters as ethical business practices, labor practices (including child labor and human trafficking), data privacy, diversity and non-discrimination, and whistleblower protections, and our related expectations regarding supplier, vendor, and contractor practices.</w:t>
      </w:r>
    </w:p>
    <w:p>
      <w:pPr>
        <w:sectPr>
          <w:pgSz w:w="11880" w:h="15480" w:orient="portrait"/>
          <w:cols w:equalWidth="0" w:num="1">
            <w:col w:w="900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880" w:h="15480" w:orient="portrait"/>
          <w:cols w:equalWidth="0" w:num="1">
            <w:col w:w="9000"/>
          </w:cols>
          <w:pgMar w:left="1440" w:top="1440" w:right="1440" w:bottom="0" w:gutter="0" w:footer="0" w:header="0"/>
          <w:type w:val="continuous"/>
        </w:sectPr>
      </w:pPr>
    </w:p>
    <w:bookmarkStart w:id="37" w:name="page38"/>
    <w:bookmarkEnd w:id="37"/>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995045</wp:posOffset>
            </wp:positionH>
            <wp:positionV relativeFrom="page">
              <wp:posOffset>837565</wp:posOffset>
            </wp:positionV>
            <wp:extent cx="476250" cy="4762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476250" cy="47625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20"/>
          <w:szCs w:val="20"/>
          <w:b w:val="1"/>
          <w:bCs w:val="1"/>
          <w:color w:val="auto"/>
        </w:rPr>
        <w:t>Environmental Stewardship</w:t>
      </w:r>
    </w:p>
    <w:p>
      <w:pPr>
        <w:spacing w:after="0" w:line="200" w:lineRule="exact"/>
        <w:rPr>
          <w:sz w:val="20"/>
          <w:szCs w:val="20"/>
          <w:color w:val="auto"/>
        </w:rPr>
      </w:pPr>
    </w:p>
    <w:p>
      <w:pPr>
        <w:spacing w:after="0" w:line="226" w:lineRule="exact"/>
        <w:rPr>
          <w:sz w:val="20"/>
          <w:szCs w:val="20"/>
          <w:color w:val="auto"/>
        </w:rPr>
      </w:pPr>
    </w:p>
    <w:p>
      <w:pPr>
        <w:ind w:right="120" w:firstLine="360"/>
        <w:spacing w:after="0" w:line="257" w:lineRule="auto"/>
        <w:rPr>
          <w:sz w:val="20"/>
          <w:szCs w:val="20"/>
          <w:color w:val="auto"/>
        </w:rPr>
      </w:pPr>
      <w:r>
        <w:rPr>
          <w:rFonts w:ascii="Arial" w:cs="Arial" w:eastAsia="Arial" w:hAnsi="Arial"/>
          <w:sz w:val="20"/>
          <w:szCs w:val="20"/>
          <w:color w:val="auto"/>
        </w:rPr>
        <w:t>Our Board and management team recognize that we have a role to play in environmental stewardship. Given that the Company is a software company, our energy consumption and usage within our data centers is an important component of the day-to-day operations of our business. We outsource our data center needs to Amazon Web Services (“AWS”). In addition to carefully choosing data center locations to mitigate environmental risks, AWS has a long-term commitment to using 100 percent renewable energy.</w:t>
      </w:r>
    </w:p>
    <w:p>
      <w:pPr>
        <w:spacing w:after="0" w:line="202" w:lineRule="exact"/>
        <w:rPr>
          <w:sz w:val="20"/>
          <w:szCs w:val="20"/>
          <w:color w:val="auto"/>
        </w:rPr>
      </w:pPr>
    </w:p>
    <w:p>
      <w:pPr>
        <w:ind w:right="280" w:firstLine="360"/>
        <w:spacing w:after="0" w:line="262" w:lineRule="auto"/>
        <w:rPr>
          <w:sz w:val="20"/>
          <w:szCs w:val="20"/>
          <w:color w:val="auto"/>
        </w:rPr>
      </w:pPr>
      <w:r>
        <w:rPr>
          <w:rFonts w:ascii="Arial" w:cs="Arial" w:eastAsia="Arial" w:hAnsi="Arial"/>
          <w:sz w:val="20"/>
          <w:szCs w:val="20"/>
          <w:color w:val="auto"/>
        </w:rPr>
        <w:t>Aside from data center needs, greenhouse gas emissions and water and energy usage are not material factors in the day-to-day operations of our business. However, we believe that we can still play a part through environmentally sound practices. Consequently, we are in the process of determining and tracking our scope 1 and scope 2 footprint.</w:t>
      </w:r>
    </w:p>
    <w:p>
      <w:pPr>
        <w:spacing w:after="0" w:line="196" w:lineRule="exact"/>
        <w:rPr>
          <w:sz w:val="20"/>
          <w:szCs w:val="20"/>
          <w:color w:val="auto"/>
        </w:rPr>
      </w:pPr>
    </w:p>
    <w:p>
      <w:pPr>
        <w:ind w:right="100" w:firstLine="360"/>
        <w:spacing w:after="0" w:line="281" w:lineRule="auto"/>
        <w:rPr>
          <w:sz w:val="20"/>
          <w:szCs w:val="20"/>
          <w:color w:val="auto"/>
        </w:rPr>
      </w:pPr>
      <w:r>
        <w:rPr>
          <w:rFonts w:ascii="Arial" w:cs="Arial" w:eastAsia="Arial" w:hAnsi="Arial"/>
          <w:sz w:val="20"/>
          <w:szCs w:val="20"/>
          <w:color w:val="auto"/>
        </w:rPr>
        <w:t>Our corporate headquarters is a LEED Certified Gold for Core Construction. In addition, we have taken the following actions to enable environmental stewardship:</w:t>
      </w:r>
    </w:p>
    <w:p>
      <w:pPr>
        <w:spacing w:after="0" w:line="1" w:lineRule="exact"/>
        <w:rPr>
          <w:sz w:val="20"/>
          <w:szCs w:val="20"/>
          <w:color w:val="auto"/>
        </w:rPr>
      </w:pPr>
    </w:p>
    <w:p>
      <w:pPr>
        <w:ind w:left="720" w:hanging="360"/>
        <w:spacing w:after="0"/>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implemented recycling in our offices;</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offered biodegradable to-go boxes to reduce food waste;</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implemented a strict policy for disposing of hardware; and</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transitioned to a travel portal that provides detail on our carbon footprint.</w:t>
      </w:r>
    </w:p>
    <w:p>
      <w:pPr>
        <w:spacing w:after="0" w:line="250" w:lineRule="exact"/>
        <w:rPr>
          <w:sz w:val="20"/>
          <w:szCs w:val="20"/>
          <w:color w:val="auto"/>
        </w:rPr>
      </w:pPr>
    </w:p>
    <w:p>
      <w:pPr>
        <w:ind w:right="120" w:firstLine="360"/>
        <w:spacing w:after="0" w:line="255" w:lineRule="auto"/>
        <w:rPr>
          <w:sz w:val="20"/>
          <w:szCs w:val="20"/>
          <w:color w:val="auto"/>
        </w:rPr>
      </w:pPr>
      <w:r>
        <w:rPr>
          <w:rFonts w:ascii="Arial" w:cs="Arial" w:eastAsia="Arial" w:hAnsi="Arial"/>
          <w:sz w:val="20"/>
          <w:szCs w:val="20"/>
          <w:color w:val="auto"/>
        </w:rPr>
        <w:t>Tenable and our employees have donated time and money to important environmental causes such as healthy waterways and other clean-up efforts, recycling, carbon footprint mitigation and protection of threatened wildlife. At Tenable, we believe our employees are our most critical catalysts for change. Our Green Initiatives group continues to gain traction as a way for employees to share best practices for an environmentally conscious lifestyle, building global support within the Company, and lead campaigns such as trash clean-ups, sustainable lifestyle pledges, and tree-planting initiatives. Partnering within our Tenable CARES program - detailed later in this section - the Green Initiatives group curates easy-to-implement actions and measures our collective impact.</w:t>
      </w:r>
    </w:p>
    <w:p>
      <w:pPr>
        <w:spacing w:after="0" w:line="325" w:lineRule="exact"/>
        <w:rPr>
          <w:sz w:val="20"/>
          <w:szCs w:val="20"/>
          <w:color w:val="auto"/>
        </w:rPr>
      </w:pPr>
    </w:p>
    <w:p>
      <w:pPr>
        <w:ind w:right="160" w:firstLine="360"/>
        <w:spacing w:after="0" w:line="257" w:lineRule="auto"/>
        <w:rPr>
          <w:sz w:val="20"/>
          <w:szCs w:val="20"/>
          <w:color w:val="auto"/>
        </w:rPr>
      </w:pPr>
      <w:r>
        <w:rPr>
          <w:rFonts w:ascii="Arial" w:cs="Arial" w:eastAsia="Arial" w:hAnsi="Arial"/>
          <w:sz w:val="20"/>
          <w:szCs w:val="20"/>
          <w:color w:val="auto"/>
        </w:rPr>
        <w:t>Our regional Green Initiatives leaders build engagement and momentum by hosting regular community check-ins and information sessions and building camaraderie among members. Through their shared passion for environmentalism, participants inspire one another to take action for a greener and cleaner tomorrow. Our 2023 theme, “Go Plant!” is centered around the importance of trees in mitigating the effects of climate change. The Green Initiatives group will spearhead tree-planting sessions and provide educational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86995</wp:posOffset>
            </wp:positionV>
            <wp:extent cx="476250" cy="4762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250" cy="476250"/>
                    </a:xfrm>
                    <a:prstGeom prst="rect">
                      <a:avLst/>
                    </a:prstGeom>
                    <a:noFill/>
                  </pic:spPr>
                </pic:pic>
              </a:graphicData>
            </a:graphic>
          </wp:anchor>
        </w:drawing>
      </w:r>
    </w:p>
    <w:p>
      <w:pPr>
        <w:spacing w:after="0" w:line="392" w:lineRule="exact"/>
        <w:rPr>
          <w:sz w:val="20"/>
          <w:szCs w:val="20"/>
          <w:color w:val="auto"/>
        </w:rPr>
      </w:pPr>
    </w:p>
    <w:p>
      <w:pPr>
        <w:ind w:left="1060"/>
        <w:spacing w:after="0"/>
        <w:rPr>
          <w:sz w:val="20"/>
          <w:szCs w:val="20"/>
          <w:color w:val="auto"/>
        </w:rPr>
      </w:pPr>
      <w:r>
        <w:rPr>
          <w:rFonts w:ascii="Arial" w:cs="Arial" w:eastAsia="Arial" w:hAnsi="Arial"/>
          <w:sz w:val="20"/>
          <w:szCs w:val="20"/>
          <w:b w:val="1"/>
          <w:bCs w:val="1"/>
          <w:color w:val="auto"/>
        </w:rPr>
        <w:t>Cybersecurity and Data Privacy</w:t>
      </w:r>
    </w:p>
    <w:p>
      <w:pPr>
        <w:spacing w:after="0" w:line="200" w:lineRule="exact"/>
        <w:rPr>
          <w:sz w:val="20"/>
          <w:szCs w:val="20"/>
          <w:color w:val="auto"/>
        </w:rPr>
      </w:pPr>
    </w:p>
    <w:p>
      <w:pPr>
        <w:spacing w:after="0" w:line="226" w:lineRule="exact"/>
        <w:rPr>
          <w:sz w:val="20"/>
          <w:szCs w:val="20"/>
          <w:color w:val="auto"/>
        </w:rPr>
      </w:pPr>
    </w:p>
    <w:p>
      <w:pPr>
        <w:ind w:right="160" w:firstLine="360"/>
        <w:spacing w:after="0" w:line="262" w:lineRule="auto"/>
        <w:rPr>
          <w:sz w:val="20"/>
          <w:szCs w:val="20"/>
          <w:color w:val="auto"/>
        </w:rPr>
      </w:pPr>
      <w:r>
        <w:rPr>
          <w:rFonts w:ascii="Arial" w:cs="Arial" w:eastAsia="Arial" w:hAnsi="Arial"/>
          <w:sz w:val="20"/>
          <w:szCs w:val="20"/>
          <w:color w:val="auto"/>
        </w:rPr>
        <w:t>We take great pride in assisting our customers with enhancing their security posture through the use of our services and products. We understand that customers must trust and have confidence in an organization to use its service offerings for managing their exposure data. As such, we take the overall security of our products and their supporting infrastructure very seriously.</w:t>
      </w:r>
    </w:p>
    <w:p>
      <w:pPr>
        <w:spacing w:after="0" w:line="196" w:lineRule="exact"/>
        <w:rPr>
          <w:sz w:val="20"/>
          <w:szCs w:val="20"/>
          <w:color w:val="auto"/>
        </w:rPr>
      </w:pPr>
    </w:p>
    <w:p>
      <w:pPr>
        <w:ind w:right="160" w:firstLine="360"/>
        <w:spacing w:after="0" w:line="289" w:lineRule="auto"/>
        <w:rPr>
          <w:sz w:val="20"/>
          <w:szCs w:val="20"/>
          <w:color w:val="auto"/>
        </w:rPr>
      </w:pPr>
      <w:r>
        <w:rPr>
          <w:rFonts w:ascii="Arial" w:cs="Arial" w:eastAsia="Arial" w:hAnsi="Arial"/>
          <w:sz w:val="19"/>
          <w:szCs w:val="19"/>
          <w:color w:val="auto"/>
        </w:rPr>
        <w:t>We align our information security and risk management program to the National Institute of Standards and Technology Cybersecurity Framework and have implemented an information security management system to protect the confidentiality, integrity, and availability of assets against threats</w:t>
      </w:r>
    </w:p>
    <w:p>
      <w:pPr>
        <w:sectPr>
          <w:pgSz w:w="11880" w:h="15480" w:orient="portrait"/>
          <w:cols w:equalWidth="0" w:num="1">
            <w:col w:w="9000"/>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880" w:h="15480" w:orient="portrait"/>
          <w:cols w:equalWidth="0" w:num="1">
            <w:col w:w="9000"/>
          </w:cols>
          <w:pgMar w:left="1440" w:top="1440" w:right="1440" w:bottom="0" w:gutter="0" w:footer="0" w:header="0"/>
          <w:type w:val="continuous"/>
        </w:sectPr>
      </w:pPr>
    </w:p>
    <w:bookmarkStart w:id="38" w:name="page39"/>
    <w:bookmarkEnd w:id="38"/>
    <w:p>
      <w:pPr>
        <w:ind w:right="1020"/>
        <w:spacing w:after="0" w:line="287" w:lineRule="auto"/>
        <w:rPr>
          <w:sz w:val="20"/>
          <w:szCs w:val="20"/>
          <w:color w:val="auto"/>
        </w:rPr>
      </w:pPr>
      <w:r>
        <w:rPr>
          <w:rFonts w:ascii="Arial" w:cs="Arial" w:eastAsia="Arial" w:hAnsi="Arial"/>
          <w:sz w:val="20"/>
          <w:szCs w:val="20"/>
          <w:color w:val="auto"/>
        </w:rPr>
        <w:t>and vulnerabilities. We achieved ISO/IEC 27001:2013 certification, recognizing our proven commitment to the highest level of information security management.</w:t>
      </w:r>
    </w:p>
    <w:p>
      <w:pPr>
        <w:spacing w:after="0" w:line="170" w:lineRule="exact"/>
        <w:rPr>
          <w:sz w:val="20"/>
          <w:szCs w:val="20"/>
          <w:color w:val="auto"/>
        </w:rPr>
      </w:pPr>
    </w:p>
    <w:p>
      <w:pPr>
        <w:ind w:right="160" w:firstLine="360"/>
        <w:spacing w:after="0" w:line="255" w:lineRule="auto"/>
        <w:rPr>
          <w:sz w:val="20"/>
          <w:szCs w:val="20"/>
          <w:color w:val="auto"/>
        </w:rPr>
      </w:pPr>
      <w:r>
        <w:rPr>
          <w:rFonts w:ascii="Arial" w:cs="Arial" w:eastAsia="Arial" w:hAnsi="Arial"/>
          <w:sz w:val="20"/>
          <w:szCs w:val="20"/>
          <w:color w:val="auto"/>
        </w:rPr>
        <w:t>As a leader in cybersecurity, and with our focus on sound governance, we believe adding oversight at the board level is important, which is why we elevated the Cybersecurity Risk Management Committee from a subcommittee of the Audit Committee to a separate fully functioning committee of the Board in November of 2022. The Cybersecurity Risk Management Committee assists the Board in fulfilling its oversight responsibility for managing risks related to the Company’s information technology use and protection, cybersecurity, and product security. For additional details on the Committee's oversight responsibilities see the section titled "Cybersecurity Risk Management Committee" above.</w:t>
      </w:r>
    </w:p>
    <w:p>
      <w:pPr>
        <w:spacing w:after="0" w:line="205" w:lineRule="exact"/>
        <w:rPr>
          <w:sz w:val="20"/>
          <w:szCs w:val="20"/>
          <w:color w:val="auto"/>
        </w:rPr>
      </w:pPr>
    </w:p>
    <w:p>
      <w:pPr>
        <w:ind w:right="280" w:firstLine="360"/>
        <w:spacing w:after="0" w:line="259" w:lineRule="auto"/>
        <w:rPr>
          <w:sz w:val="20"/>
          <w:szCs w:val="20"/>
          <w:color w:val="auto"/>
        </w:rPr>
      </w:pPr>
      <w:r>
        <w:rPr>
          <w:rFonts w:ascii="Arial" w:cs="Arial" w:eastAsia="Arial" w:hAnsi="Arial"/>
          <w:sz w:val="20"/>
          <w:szCs w:val="20"/>
          <w:color w:val="auto"/>
        </w:rPr>
        <w:t>Data privacy protection and cybersecurity require diligence and a community effort. We enable the community through our employees, customers, and products by bringing security awareness to everything we do. As an enterprise security company, we consistently look for ways to improve our security posture to maintain data privacy and protect sensitive information for our employees and customers.</w:t>
      </w:r>
    </w:p>
    <w:p>
      <w:pPr>
        <w:spacing w:after="0" w:line="199" w:lineRule="exact"/>
        <w:rPr>
          <w:sz w:val="20"/>
          <w:szCs w:val="20"/>
          <w:color w:val="auto"/>
        </w:rPr>
      </w:pPr>
    </w:p>
    <w:p>
      <w:pPr>
        <w:ind w:right="220" w:firstLine="360"/>
        <w:spacing w:after="0" w:line="254" w:lineRule="auto"/>
        <w:rPr>
          <w:sz w:val="20"/>
          <w:szCs w:val="20"/>
          <w:color w:val="auto"/>
        </w:rPr>
      </w:pPr>
      <w:r>
        <w:rPr>
          <w:rFonts w:ascii="Arial" w:cs="Arial" w:eastAsia="Arial" w:hAnsi="Arial"/>
          <w:sz w:val="20"/>
          <w:szCs w:val="20"/>
          <w:color w:val="auto"/>
        </w:rPr>
        <w:t>Thousands of customers, including financial services organizations, healthcare providers, retailers, educational institutions, and government agencies, trust Tenable with their exposure data, digital identities and exposure insights in our cloud platform. Security is core to our corporate ethos and we allocate significant investment to protect the confidentiality, integrity, and availability of all customer data. One of our top priorities is preventing any non-customers or bad actors from accessing, disclosing, or violating the privacy and protection of data stored in the Tenable cloud platform. Using a combination of preventative and detective controls, environment segregation, automation, granular data access controls, modern identity and access management practices, and data localization, our products are built to protect data and help meet privacy obligations. We continuously assess and implement additional measures to help improve our security program and address the ever-changing threat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201295</wp:posOffset>
            </wp:positionV>
            <wp:extent cx="476250" cy="4762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6250" cy="47625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1060"/>
        <w:spacing w:after="0"/>
        <w:rPr>
          <w:sz w:val="20"/>
          <w:szCs w:val="20"/>
          <w:color w:val="auto"/>
        </w:rPr>
      </w:pPr>
      <w:r>
        <w:rPr>
          <w:rFonts w:ascii="Arial" w:cs="Arial" w:eastAsia="Arial" w:hAnsi="Arial"/>
          <w:sz w:val="20"/>
          <w:szCs w:val="20"/>
          <w:b w:val="1"/>
          <w:bCs w:val="1"/>
          <w:color w:val="auto"/>
        </w:rPr>
        <w:t>Diversity, Equity and Inclusion</w:t>
      </w:r>
    </w:p>
    <w:p>
      <w:pPr>
        <w:spacing w:after="0" w:line="200" w:lineRule="exact"/>
        <w:rPr>
          <w:sz w:val="20"/>
          <w:szCs w:val="20"/>
          <w:color w:val="auto"/>
        </w:rPr>
      </w:pPr>
    </w:p>
    <w:p>
      <w:pPr>
        <w:spacing w:after="0" w:line="226" w:lineRule="exact"/>
        <w:rPr>
          <w:sz w:val="20"/>
          <w:szCs w:val="20"/>
          <w:color w:val="auto"/>
        </w:rPr>
      </w:pPr>
    </w:p>
    <w:p>
      <w:pPr>
        <w:ind w:right="40" w:firstLine="360"/>
        <w:spacing w:after="0" w:line="256" w:lineRule="auto"/>
        <w:rPr>
          <w:sz w:val="20"/>
          <w:szCs w:val="20"/>
          <w:color w:val="auto"/>
        </w:rPr>
      </w:pPr>
      <w:r>
        <w:rPr>
          <w:rFonts w:ascii="Arial" w:cs="Arial" w:eastAsia="Arial" w:hAnsi="Arial"/>
          <w:sz w:val="20"/>
          <w:szCs w:val="20"/>
          <w:color w:val="auto"/>
        </w:rPr>
        <w:t>We believe an inclusive culture drives employee engagement, sparks innovation and delivers exceptional business results. Tenable’s people strategy aspires to create a positive and rewarding experience for new, prospective and current employees across all aspects of employee connection — recruiting, onboarding, career growth, wellness and compensation. Our total rewards package — which includes abundant development options — recognizes employees for their contributions, gives them the opportunity for continued growth and provides resources to support well-being both inside and outside the workplace.</w:t>
      </w:r>
    </w:p>
    <w:p>
      <w:pPr>
        <w:spacing w:after="0" w:line="203" w:lineRule="exact"/>
        <w:rPr>
          <w:sz w:val="20"/>
          <w:szCs w:val="20"/>
          <w:color w:val="auto"/>
        </w:rPr>
      </w:pPr>
    </w:p>
    <w:p>
      <w:pPr>
        <w:ind w:right="60" w:firstLine="360"/>
        <w:spacing w:after="0" w:line="268" w:lineRule="auto"/>
        <w:rPr>
          <w:sz w:val="20"/>
          <w:szCs w:val="20"/>
          <w:color w:val="auto"/>
        </w:rPr>
      </w:pPr>
      <w:r>
        <w:rPr>
          <w:rFonts w:ascii="Arial" w:cs="Arial" w:eastAsia="Arial" w:hAnsi="Arial"/>
          <w:sz w:val="20"/>
          <w:szCs w:val="20"/>
          <w:color w:val="auto"/>
        </w:rPr>
        <w:t>At Tenable, we strive to be a career destination in which employees from all backgrounds are welcomed and empowered, treated with fairness and respect, presented with opportunities to make a difference and provided with resources to enable them to grow.</w:t>
      </w:r>
    </w:p>
    <w:p>
      <w:pPr>
        <w:spacing w:after="0" w:line="190" w:lineRule="exact"/>
        <w:rPr>
          <w:sz w:val="20"/>
          <w:szCs w:val="20"/>
          <w:color w:val="auto"/>
        </w:rPr>
      </w:pPr>
    </w:p>
    <w:p>
      <w:pPr>
        <w:ind w:right="100" w:firstLine="360"/>
        <w:spacing w:after="0" w:line="276" w:lineRule="auto"/>
        <w:rPr>
          <w:sz w:val="20"/>
          <w:szCs w:val="20"/>
          <w:color w:val="auto"/>
        </w:rPr>
      </w:pPr>
      <w:r>
        <w:rPr>
          <w:rFonts w:ascii="Arial" w:cs="Arial" w:eastAsia="Arial" w:hAnsi="Arial"/>
          <w:sz w:val="19"/>
          <w:szCs w:val="19"/>
          <w:color w:val="auto"/>
        </w:rPr>
        <w:t>We feel it is imperative to be transparent regarding our progress concerning Diversity, Equity and Inclusion ("DEI"). We undertake numerous efforts to increase representation in our workforce of historically excluded communities, cultivating a more inclusive culture and engaging more impactfully in the global communities that surround us. Our Diversity Council is made up of leaders from across our organization and is responsible for developing, enabling and promoting our strategic DEI plans.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880" w:h="15480" w:orient="portrait"/>
          <w:cols w:equalWidth="0" w:num="1">
            <w:col w:w="9000"/>
          </w:cols>
          <w:pgMar w:left="1440" w:top="1204" w:right="1440" w:bottom="0" w:gutter="0" w:footer="0" w:header="0"/>
          <w:type w:val="continuous"/>
        </w:sectPr>
      </w:pPr>
    </w:p>
    <w:bookmarkStart w:id="39" w:name="page40"/>
    <w:bookmarkEnd w:id="39"/>
    <w:p>
      <w:pPr>
        <w:ind w:right="420"/>
        <w:spacing w:after="0" w:line="287" w:lineRule="auto"/>
        <w:rPr>
          <w:sz w:val="20"/>
          <w:szCs w:val="20"/>
          <w:color w:val="auto"/>
        </w:rPr>
      </w:pPr>
      <w:r>
        <w:rPr>
          <w:rFonts w:ascii="Arial" w:cs="Arial" w:eastAsia="Arial" w:hAnsi="Arial"/>
          <w:sz w:val="20"/>
          <w:szCs w:val="20"/>
          <w:color w:val="auto"/>
        </w:rPr>
        <w:t>They champion and prioritize all DEI initiatives, cultivate and strengthen a culture of inclusion and hold themselves and other leaders accountable for our DEI goals.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Our DEI strategy at Tenable is aligned to three major objectives:</w:t>
      </w:r>
    </w:p>
    <w:p>
      <w:pPr>
        <w:spacing w:after="0" w:line="70" w:lineRule="exact"/>
        <w:rPr>
          <w:sz w:val="20"/>
          <w:szCs w:val="20"/>
          <w:color w:val="auto"/>
        </w:rPr>
      </w:pPr>
    </w:p>
    <w:p>
      <w:pPr>
        <w:ind w:left="720" w:hanging="360"/>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Workforce: increase the representation of women globally and people of color in the U.S.;</w:t>
      </w:r>
    </w:p>
    <w:p>
      <w:pPr>
        <w:spacing w:after="0" w:line="70" w:lineRule="exact"/>
        <w:rPr>
          <w:rFonts w:ascii="Arial" w:cs="Arial" w:eastAsia="Arial" w:hAnsi="Arial"/>
          <w:sz w:val="20"/>
          <w:szCs w:val="20"/>
          <w:color w:val="auto"/>
        </w:rPr>
      </w:pPr>
    </w:p>
    <w:p>
      <w:pPr>
        <w:ind w:left="720" w:right="360" w:hanging="360"/>
        <w:spacing w:after="0" w:line="281" w:lineRule="auto"/>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Workplace: cultivate an inclusive workplace where all employees feel they belong and are given the support they need to thrive; and</w:t>
      </w:r>
    </w:p>
    <w:p>
      <w:pPr>
        <w:spacing w:after="0" w:line="1" w:lineRule="exact"/>
        <w:rPr>
          <w:rFonts w:ascii="Arial" w:cs="Arial" w:eastAsia="Arial" w:hAnsi="Arial"/>
          <w:sz w:val="20"/>
          <w:szCs w:val="20"/>
          <w:color w:val="auto"/>
        </w:rPr>
      </w:pPr>
    </w:p>
    <w:p>
      <w:pPr>
        <w:ind w:left="720" w:right="980" w:hanging="360"/>
        <w:spacing w:after="0" w:line="314" w:lineRule="auto"/>
        <w:tabs>
          <w:tab w:leader="none" w:pos="7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Community: increase our commitment to supporting the next generation of science technology, engineering and mathematics (STEM) talent in diverse communities.</w:t>
      </w:r>
    </w:p>
    <w:p>
      <w:pPr>
        <w:spacing w:after="0" w:line="148" w:lineRule="exact"/>
        <w:rPr>
          <w:sz w:val="20"/>
          <w:szCs w:val="20"/>
          <w:color w:val="auto"/>
        </w:rPr>
      </w:pPr>
    </w:p>
    <w:p>
      <w:pPr>
        <w:ind w:right="20" w:firstLine="360"/>
        <w:spacing w:after="0" w:line="280" w:lineRule="auto"/>
        <w:rPr>
          <w:sz w:val="20"/>
          <w:szCs w:val="20"/>
          <w:color w:val="auto"/>
        </w:rPr>
      </w:pPr>
      <w:r>
        <w:rPr>
          <w:rFonts w:ascii="Arial" w:cs="Arial" w:eastAsia="Arial" w:hAnsi="Arial"/>
          <w:sz w:val="19"/>
          <w:szCs w:val="19"/>
          <w:color w:val="auto"/>
        </w:rPr>
        <w:t>To support our initiatives, we build partnerships within our communities to support organizations and events that strive for greater representation of women and underrepresented minorities in cybersecurity, hold inclusion, bias mitigation, and intercultural competency training and offer targeted development opportunities to assist with career advancement. Our efforts have included the following:</w:t>
      </w:r>
    </w:p>
    <w:p>
      <w:pPr>
        <w:ind w:left="720" w:right="780" w:hanging="360"/>
        <w:spacing w:after="0" w:line="281"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implementing initiatives to drive diversity at the senior level which have enabled us to increase the percentage of new hires and internal promotions;</w:t>
      </w:r>
    </w:p>
    <w:p>
      <w:pPr>
        <w:spacing w:after="0" w:line="1" w:lineRule="exact"/>
        <w:rPr>
          <w:rFonts w:ascii="Arial" w:cs="Arial" w:eastAsia="Arial" w:hAnsi="Arial"/>
          <w:sz w:val="20"/>
          <w:szCs w:val="20"/>
          <w:color w:val="auto"/>
        </w:rPr>
      </w:pPr>
    </w:p>
    <w:p>
      <w:pPr>
        <w:ind w:left="720" w:right="360" w:hanging="360"/>
        <w:spacing w:after="0" w:line="268"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using diversity-focused recruiting programs to help increase representation of women and people of color in cybersecurity. All of our open external positions are made available on diversity-focused job boards;</w:t>
      </w:r>
    </w:p>
    <w:p>
      <w:pPr>
        <w:spacing w:after="0" w:line="9" w:lineRule="exact"/>
        <w:rPr>
          <w:rFonts w:ascii="Arial" w:cs="Arial" w:eastAsia="Arial" w:hAnsi="Arial"/>
          <w:sz w:val="20"/>
          <w:szCs w:val="20"/>
          <w:color w:val="auto"/>
        </w:rPr>
      </w:pPr>
    </w:p>
    <w:p>
      <w:pPr>
        <w:ind w:left="720" w:right="80" w:hanging="360"/>
        <w:spacing w:after="0" w:line="281"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using talent scout programs for mid-level diverse talent to network with senior leaders as well as directed recruitment marketing efforts to diverse Tenable Talent Networks;</w:t>
      </w:r>
    </w:p>
    <w:p>
      <w:pPr>
        <w:spacing w:after="0" w:line="1" w:lineRule="exact"/>
        <w:rPr>
          <w:rFonts w:ascii="Arial" w:cs="Arial" w:eastAsia="Arial" w:hAnsi="Arial"/>
          <w:sz w:val="20"/>
          <w:szCs w:val="20"/>
          <w:color w:val="auto"/>
        </w:rPr>
      </w:pPr>
    </w:p>
    <w:p>
      <w:pPr>
        <w:ind w:left="720" w:right="20" w:hanging="360"/>
        <w:spacing w:after="0" w:line="281"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establishing Employee Resource Groups to connect and support employees who identify with diverse communities and identities;</w:t>
      </w:r>
    </w:p>
    <w:p>
      <w:pPr>
        <w:spacing w:after="0" w:line="1" w:lineRule="exact"/>
        <w:rPr>
          <w:rFonts w:ascii="Arial" w:cs="Arial" w:eastAsia="Arial" w:hAnsi="Arial"/>
          <w:sz w:val="20"/>
          <w:szCs w:val="20"/>
          <w:color w:val="auto"/>
        </w:rPr>
      </w:pPr>
    </w:p>
    <w:p>
      <w:pPr>
        <w:ind w:left="720" w:right="280" w:hanging="360"/>
        <w:spacing w:after="0" w:line="281"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working with external partners to host professional development events, including Pronoun Workshop for LGBTQ+ allies;</w:t>
      </w:r>
    </w:p>
    <w:p>
      <w:pPr>
        <w:spacing w:after="0" w:line="1" w:lineRule="exact"/>
        <w:rPr>
          <w:rFonts w:ascii="Arial" w:cs="Arial" w:eastAsia="Arial" w:hAnsi="Arial"/>
          <w:sz w:val="20"/>
          <w:szCs w:val="20"/>
          <w:color w:val="auto"/>
        </w:rPr>
      </w:pPr>
    </w:p>
    <w:p>
      <w:pPr>
        <w:ind w:left="720" w:right="80" w:hanging="360"/>
        <w:spacing w:after="0" w:line="268"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launching workshops for teams to discuss inclusion-related topics, such as cultural competency, and providing an Intercultural Development Inventory Administrator Certification through Tenable's professional development benefit; and</w:t>
      </w:r>
    </w:p>
    <w:p>
      <w:pPr>
        <w:spacing w:after="0" w:line="9" w:lineRule="exact"/>
        <w:rPr>
          <w:rFonts w:ascii="Arial" w:cs="Arial" w:eastAsia="Arial" w:hAnsi="Arial"/>
          <w:sz w:val="20"/>
          <w:szCs w:val="20"/>
          <w:color w:val="auto"/>
        </w:rPr>
      </w:pPr>
    </w:p>
    <w:p>
      <w:pPr>
        <w:ind w:left="720" w:right="700" w:hanging="360"/>
        <w:spacing w:after="0" w:line="268" w:lineRule="auto"/>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enhancing our mentorship program, focusing on opportunities for women, Black, and Hispanic employees to establish greater professional connections and grow within our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193040</wp:posOffset>
            </wp:positionV>
            <wp:extent cx="476250" cy="4762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6250" cy="47625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1060"/>
        <w:spacing w:after="0"/>
        <w:rPr>
          <w:sz w:val="20"/>
          <w:szCs w:val="20"/>
          <w:color w:val="auto"/>
        </w:rPr>
      </w:pPr>
      <w:r>
        <w:rPr>
          <w:rFonts w:ascii="Arial" w:cs="Arial" w:eastAsia="Arial" w:hAnsi="Arial"/>
          <w:sz w:val="20"/>
          <w:szCs w:val="20"/>
          <w:b w:val="1"/>
          <w:bCs w:val="1"/>
          <w:color w:val="auto"/>
        </w:rPr>
        <w:t>Employee Engagement</w:t>
      </w:r>
    </w:p>
    <w:p>
      <w:pPr>
        <w:spacing w:after="0" w:line="200" w:lineRule="exact"/>
        <w:rPr>
          <w:sz w:val="20"/>
          <w:szCs w:val="20"/>
          <w:color w:val="auto"/>
        </w:rPr>
      </w:pPr>
    </w:p>
    <w:p>
      <w:pPr>
        <w:spacing w:after="0" w:line="226" w:lineRule="exact"/>
        <w:rPr>
          <w:sz w:val="20"/>
          <w:szCs w:val="20"/>
          <w:color w:val="auto"/>
        </w:rPr>
      </w:pPr>
    </w:p>
    <w:p>
      <w:pPr>
        <w:ind w:right="280" w:firstLine="360"/>
        <w:spacing w:after="0" w:line="259" w:lineRule="auto"/>
        <w:rPr>
          <w:sz w:val="20"/>
          <w:szCs w:val="20"/>
          <w:color w:val="auto"/>
        </w:rPr>
      </w:pPr>
      <w:r>
        <w:rPr>
          <w:rFonts w:ascii="Arial" w:cs="Arial" w:eastAsia="Arial" w:hAnsi="Arial"/>
          <w:sz w:val="20"/>
          <w:szCs w:val="20"/>
          <w:color w:val="auto"/>
        </w:rPr>
        <w:t>Our ability to fulfill core values depends on how well we listen to our employees. We constantly ask employees what they need to do their best work and we act on their input. We have several different methods of soliciting employee feedback to ensure we hear from all parts of the business. We also create regular opportunities for two-way communication with our executives to help our people better understand how decisions are made. Our methods include the following:</w:t>
      </w:r>
    </w:p>
    <w:p>
      <w:pPr>
        <w:spacing w:after="0" w:line="19" w:lineRule="exact"/>
        <w:rPr>
          <w:sz w:val="20"/>
          <w:szCs w:val="20"/>
          <w:color w:val="auto"/>
        </w:rPr>
      </w:pPr>
    </w:p>
    <w:p>
      <w:pPr>
        <w:ind w:left="720" w:right="480" w:hanging="360"/>
        <w:spacing w:after="0" w:line="281"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conducting an annual employee engagement survey combined with periodic division - or region-specific check-ins;</w:t>
      </w:r>
    </w:p>
    <w:p>
      <w:pPr>
        <w:spacing w:after="0" w:line="1" w:lineRule="exact"/>
        <w:rPr>
          <w:rFonts w:ascii="Arial" w:cs="Arial" w:eastAsia="Arial" w:hAnsi="Arial"/>
          <w:sz w:val="20"/>
          <w:szCs w:val="20"/>
          <w:color w:val="auto"/>
        </w:rPr>
      </w:pPr>
    </w:p>
    <w:p>
      <w:pPr>
        <w:ind w:left="720" w:right="40" w:hanging="360"/>
        <w:spacing w:after="0" w:line="281"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soliciting employee feedback at various stages of their employment cycle, from onboarding to offboarding;</w:t>
      </w:r>
    </w:p>
    <w:p>
      <w:pPr>
        <w:spacing w:after="0" w:line="1" w:lineRule="exact"/>
        <w:rPr>
          <w:rFonts w:ascii="Arial" w:cs="Arial" w:eastAsia="Arial" w:hAnsi="Arial"/>
          <w:sz w:val="20"/>
          <w:szCs w:val="20"/>
          <w:color w:val="auto"/>
        </w:rPr>
      </w:pPr>
    </w:p>
    <w:p>
      <w:pPr>
        <w:ind w:left="720" w:right="140" w:hanging="360"/>
        <w:spacing w:after="0" w:line="268" w:lineRule="auto"/>
        <w:tabs>
          <w:tab w:leader="none" w:pos="7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holding monthly executive "coffee chat" sessions during which employees can engage with our senior leaders to exchange information, provide feedback and brainstorm ideas in small-group settings;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880" w:h="15480" w:orient="portrait"/>
          <w:cols w:equalWidth="0" w:num="1">
            <w:col w:w="9000"/>
          </w:cols>
          <w:pgMar w:left="1440" w:top="1204" w:right="1440" w:bottom="0" w:gutter="0" w:footer="0" w:header="0"/>
          <w:type w:val="continuous"/>
        </w:sectPr>
      </w:pPr>
    </w:p>
    <w:bookmarkStart w:id="40" w:name="page41"/>
    <w:bookmarkEnd w:id="40"/>
    <w:p>
      <w:pPr>
        <w:ind w:left="720" w:right="220" w:hanging="360"/>
        <w:spacing w:after="0" w:line="281"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staging monthly company-wide All Hands meetings led by our CEO, with an open question-and-answer period;</w:t>
      </w:r>
    </w:p>
    <w:p>
      <w:pPr>
        <w:spacing w:after="0" w:line="1" w:lineRule="exact"/>
        <w:rPr>
          <w:rFonts w:ascii="Arial" w:cs="Arial" w:eastAsia="Arial" w:hAnsi="Arial"/>
          <w:sz w:val="20"/>
          <w:szCs w:val="20"/>
          <w:color w:val="auto"/>
        </w:rPr>
      </w:pPr>
    </w:p>
    <w:p>
      <w:pPr>
        <w:ind w:left="720" w:right="500" w:hanging="360"/>
        <w:spacing w:after="0" w:line="281"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empowering departmental, regional or team leaders to host their own town halls for their direct reports;</w:t>
      </w:r>
    </w:p>
    <w:p>
      <w:pPr>
        <w:spacing w:after="0" w:line="1" w:lineRule="exact"/>
        <w:rPr>
          <w:rFonts w:ascii="Arial" w:cs="Arial" w:eastAsia="Arial" w:hAnsi="Arial"/>
          <w:sz w:val="20"/>
          <w:szCs w:val="20"/>
          <w:color w:val="auto"/>
        </w:rPr>
      </w:pPr>
    </w:p>
    <w:p>
      <w:pPr>
        <w:ind w:left="720" w:right="500" w:hanging="360"/>
        <w:spacing w:after="0" w:line="268"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encouraging people managers to hold regular check-in meetings with their direct reports where they can focus on real-time feedback, recognition, coaching, and professional development; and</w:t>
      </w:r>
    </w:p>
    <w:p>
      <w:pPr>
        <w:spacing w:after="0" w:line="9" w:lineRule="exact"/>
        <w:rPr>
          <w:rFonts w:ascii="Arial" w:cs="Arial" w:eastAsia="Arial" w:hAnsi="Arial"/>
          <w:sz w:val="20"/>
          <w:szCs w:val="20"/>
          <w:color w:val="auto"/>
        </w:rPr>
      </w:pPr>
    </w:p>
    <w:p>
      <w:pPr>
        <w:ind w:left="720" w:right="280" w:hanging="360"/>
        <w:spacing w:after="0" w:line="287" w:lineRule="auto"/>
        <w:tabs>
          <w:tab w:leader="none" w:pos="7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ensuring executive sponsorship of each Employee Resource Group, providing each cohort with a direct path to communicate with senior leadership.</w:t>
      </w:r>
    </w:p>
    <w:p>
      <w:pPr>
        <w:spacing w:after="0" w:line="170" w:lineRule="exact"/>
        <w:rPr>
          <w:sz w:val="20"/>
          <w:szCs w:val="20"/>
          <w:color w:val="auto"/>
        </w:rPr>
      </w:pPr>
    </w:p>
    <w:p>
      <w:pPr>
        <w:ind w:firstLine="360"/>
        <w:spacing w:after="0" w:line="254" w:lineRule="auto"/>
        <w:rPr>
          <w:sz w:val="20"/>
          <w:szCs w:val="20"/>
          <w:color w:val="auto"/>
        </w:rPr>
      </w:pPr>
      <w:r>
        <w:rPr>
          <w:rFonts w:ascii="Arial" w:cs="Arial" w:eastAsia="Arial" w:hAnsi="Arial"/>
          <w:sz w:val="20"/>
          <w:szCs w:val="20"/>
          <w:color w:val="auto"/>
        </w:rPr>
        <w:t>We believe professional development is a continuous and iterative process and encourage employees to think of refining and redefining their development goals and plans as a path or direction, rather than pursuing a specific job position or promotion. We promote and support employee development and organizational effectiveness by providing numerous high-quality learning and development options. Employees and their managers work together to create development plans for increasing business acumen and building on the skills and knowledge each employee needs to excel in their position and grow professionally. Our professional development offerings include mentor and mentee matching and informal networking opportunities, tuition reimbursement and professional development funds, access to industry-leading tools for learning and building skills, a management development program, career development and learning events, and an internship program.</w:t>
      </w:r>
    </w:p>
    <w:p>
      <w:pPr>
        <w:spacing w:after="0" w:line="326" w:lineRule="exact"/>
        <w:rPr>
          <w:sz w:val="20"/>
          <w:szCs w:val="20"/>
          <w:color w:val="auto"/>
        </w:rPr>
      </w:pPr>
    </w:p>
    <w:p>
      <w:pPr>
        <w:ind w:right="120" w:firstLine="360"/>
        <w:spacing w:after="0" w:line="262" w:lineRule="auto"/>
        <w:rPr>
          <w:sz w:val="20"/>
          <w:szCs w:val="20"/>
          <w:color w:val="auto"/>
        </w:rPr>
      </w:pPr>
      <w:r>
        <w:rPr>
          <w:rFonts w:ascii="Arial" w:cs="Arial" w:eastAsia="Arial" w:hAnsi="Arial"/>
          <w:sz w:val="20"/>
          <w:szCs w:val="20"/>
          <w:color w:val="auto"/>
        </w:rPr>
        <w:t>We expect our employees to respect and adhere to the highest standards of business conduct, including as set forth in our Code of Business Conduct and Ethics. All employees are expected to complete certain compliance training requirements annually. Topics include information security, data privacy, harassment prevention, anti-bribery and 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196850</wp:posOffset>
            </wp:positionV>
            <wp:extent cx="476250" cy="4762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6250" cy="47625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1060"/>
        <w:spacing w:after="0"/>
        <w:rPr>
          <w:sz w:val="20"/>
          <w:szCs w:val="20"/>
          <w:color w:val="auto"/>
        </w:rPr>
      </w:pPr>
      <w:r>
        <w:rPr>
          <w:rFonts w:ascii="Arial" w:cs="Arial" w:eastAsia="Arial" w:hAnsi="Arial"/>
          <w:sz w:val="20"/>
          <w:szCs w:val="20"/>
          <w:b w:val="1"/>
          <w:bCs w:val="1"/>
          <w:color w:val="auto"/>
        </w:rPr>
        <w:t>Community Involvement</w:t>
      </w:r>
    </w:p>
    <w:p>
      <w:pPr>
        <w:spacing w:after="0" w:line="200" w:lineRule="exact"/>
        <w:rPr>
          <w:sz w:val="20"/>
          <w:szCs w:val="20"/>
          <w:color w:val="auto"/>
        </w:rPr>
      </w:pPr>
    </w:p>
    <w:p>
      <w:pPr>
        <w:spacing w:after="0" w:line="226" w:lineRule="exact"/>
        <w:rPr>
          <w:sz w:val="20"/>
          <w:szCs w:val="20"/>
          <w:color w:val="auto"/>
        </w:rPr>
      </w:pPr>
    </w:p>
    <w:p>
      <w:pPr>
        <w:ind w:right="120" w:firstLine="360"/>
        <w:spacing w:after="0" w:line="262" w:lineRule="auto"/>
        <w:rPr>
          <w:sz w:val="20"/>
          <w:szCs w:val="20"/>
          <w:color w:val="auto"/>
        </w:rPr>
      </w:pPr>
      <w:r>
        <w:rPr>
          <w:rFonts w:ascii="Arial" w:cs="Arial" w:eastAsia="Arial" w:hAnsi="Arial"/>
          <w:sz w:val="20"/>
          <w:szCs w:val="20"/>
          <w:color w:val="auto"/>
        </w:rPr>
        <w:t>We invest in social good in alignment with our company values. Tenable demonstrates that we care by striving to make a positive difference in everything that we do — in our work, with our customers and colleagues and in our communities. We are proud to contribute to charities, initiatives and programs that strengthen our industry and impact our employees and communities.</w:t>
      </w:r>
    </w:p>
    <w:p>
      <w:pPr>
        <w:spacing w:after="0" w:line="196" w:lineRule="exact"/>
        <w:rPr>
          <w:sz w:val="20"/>
          <w:szCs w:val="20"/>
          <w:color w:val="auto"/>
        </w:rPr>
      </w:pPr>
    </w:p>
    <w:p>
      <w:pPr>
        <w:ind w:right="40" w:firstLine="360"/>
        <w:spacing w:after="0" w:line="254" w:lineRule="auto"/>
        <w:rPr>
          <w:sz w:val="20"/>
          <w:szCs w:val="20"/>
          <w:color w:val="auto"/>
        </w:rPr>
      </w:pPr>
      <w:r>
        <w:rPr>
          <w:rFonts w:ascii="Arial" w:cs="Arial" w:eastAsia="Arial" w:hAnsi="Arial"/>
          <w:sz w:val="20"/>
          <w:szCs w:val="20"/>
          <w:color w:val="auto"/>
        </w:rPr>
        <w:t>Our people strive to create a better tomorrow by giving back to their communities globally through our internal giving and volunteerism program, Tenable CARES. Tenable CARES is designed to make it easier for our employees to support the charitable organizations that are important to them. The program offers employees one day of paid leave per year to participate in volunteer activities. In addition, we match employee donations to their preferred organizations and give each employee an opportunity to nominate a cause that is important to them to be selected as Tenable's global cause of the year. In 2022, Tenable's global cause of the year was St. Jude Children's Research Hospital. Previous causes have included the Multiple Sclerosis Foundation and the Make-A-Wish Foundation. Through Tenable CARES, we aim to unite our employees around our missions and use our programs and tools to help spread the word about their charitable passions and work.</w:t>
      </w:r>
    </w:p>
    <w:p>
      <w:pPr>
        <w:spacing w:after="0" w:line="206" w:lineRule="exact"/>
        <w:rPr>
          <w:sz w:val="20"/>
          <w:szCs w:val="20"/>
          <w:color w:val="auto"/>
        </w:rPr>
      </w:pPr>
    </w:p>
    <w:p>
      <w:pPr>
        <w:ind w:right="80" w:firstLine="360"/>
        <w:spacing w:after="0" w:line="259" w:lineRule="auto"/>
        <w:rPr>
          <w:sz w:val="20"/>
          <w:szCs w:val="20"/>
          <w:color w:val="auto"/>
        </w:rPr>
      </w:pPr>
      <w:r>
        <w:rPr>
          <w:rFonts w:ascii="Arial" w:cs="Arial" w:eastAsia="Arial" w:hAnsi="Arial"/>
          <w:sz w:val="20"/>
          <w:szCs w:val="20"/>
          <w:color w:val="auto"/>
        </w:rPr>
        <w:t>Just as volunteering in our communities is an important aspect of our corporate culture, we encourage our employees to express their voices in local, state, and national public policy. Employees are given a total of one day off per year to exercise their right to vote. We are also focused on advocating for policies that impact Tenable and the cybersecurity industry as a whole. We regularly engage with U.S. federal, state, and local government entities to provide expertise and</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880" w:h="15480" w:orient="portrait"/>
          <w:cols w:equalWidth="0" w:num="1">
            <w:col w:w="9000"/>
          </w:cols>
          <w:pgMar w:left="1440" w:top="1204" w:right="1440" w:bottom="0" w:gutter="0" w:footer="0" w:header="0"/>
          <w:type w:val="continuous"/>
        </w:sectPr>
      </w:pPr>
    </w:p>
    <w:bookmarkStart w:id="41" w:name="page42"/>
    <w:bookmarkEnd w:id="41"/>
    <w:p>
      <w:pPr>
        <w:ind w:right="240"/>
        <w:spacing w:after="0" w:line="262" w:lineRule="auto"/>
        <w:rPr>
          <w:sz w:val="20"/>
          <w:szCs w:val="20"/>
          <w:color w:val="auto"/>
        </w:rPr>
      </w:pPr>
      <w:r>
        <w:rPr>
          <w:rFonts w:ascii="Arial" w:cs="Arial" w:eastAsia="Arial" w:hAnsi="Arial"/>
          <w:sz w:val="20"/>
          <w:szCs w:val="20"/>
          <w:color w:val="auto"/>
        </w:rPr>
        <w:t>thought leadership to policymakers as they shape policies and regulations that directly impact our customers and cybersecurity as a whole. But our efforts are not limited to the U.S. government. We engage governments, policymakers and partners around the world to advocate on important issues affecting our business, our customers, our partners, and the communities in which we operate.</w:t>
      </w:r>
    </w:p>
    <w:p>
      <w:pPr>
        <w:spacing w:after="0" w:line="196" w:lineRule="exact"/>
        <w:rPr>
          <w:sz w:val="20"/>
          <w:szCs w:val="20"/>
          <w:color w:val="auto"/>
        </w:rPr>
      </w:pPr>
    </w:p>
    <w:p>
      <w:pPr>
        <w:ind w:right="140" w:firstLine="360"/>
        <w:spacing w:after="0" w:line="259" w:lineRule="auto"/>
        <w:rPr>
          <w:sz w:val="20"/>
          <w:szCs w:val="20"/>
          <w:color w:val="auto"/>
        </w:rPr>
      </w:pPr>
      <w:r>
        <w:rPr>
          <w:rFonts w:ascii="Arial" w:cs="Arial" w:eastAsia="Arial" w:hAnsi="Arial"/>
          <w:sz w:val="20"/>
          <w:szCs w:val="20"/>
          <w:color w:val="auto"/>
        </w:rPr>
        <w:t>We also lend our expertise to promote cybersecurity resilience and help inform the development of cybersecurity standards. We participate in numerous government bodies - such as the President's National Security Telecommunications Advisory Committee and the National Institute for Standards and Technology's National Cybersecurity Center of Excellence - to provide cybersecurity and technology insight to policymakers and government officials.</w:t>
      </w:r>
    </w:p>
    <w:p>
      <w:pPr>
        <w:spacing w:after="0" w:line="199" w:lineRule="exact"/>
        <w:rPr>
          <w:sz w:val="20"/>
          <w:szCs w:val="20"/>
          <w:color w:val="auto"/>
        </w:rPr>
      </w:pPr>
    </w:p>
    <w:p>
      <w:pPr>
        <w:ind w:right="200" w:firstLine="360"/>
        <w:spacing w:after="0" w:line="273" w:lineRule="auto"/>
        <w:rPr>
          <w:sz w:val="20"/>
          <w:szCs w:val="20"/>
          <w:color w:val="auto"/>
        </w:rPr>
      </w:pPr>
      <w:r>
        <w:rPr>
          <w:rFonts w:ascii="Arial" w:cs="Arial" w:eastAsia="Arial" w:hAnsi="Arial"/>
          <w:sz w:val="19"/>
          <w:szCs w:val="19"/>
          <w:color w:val="auto"/>
        </w:rPr>
        <w:t>These engagements have led to opportunities to provide official testimony at congressional hearings on topics ranging from securing critical infrastructure to creating the Office of the National Cybersecurity Director. Tenable participates in a range of conferences, events, and summits that collectively advance our public policy goals. In addition, we conduct lobbying activities aimed at supporting policies that enhance cybersecurity and digital resilience. These activities are reported publicly in accordance with the Lobbying Disclosure Act and all subsequent amendments to the law.</w:t>
      </w:r>
    </w:p>
    <w:p>
      <w:pPr>
        <w:spacing w:after="0" w:line="189" w:lineRule="exact"/>
        <w:rPr>
          <w:sz w:val="20"/>
          <w:szCs w:val="20"/>
          <w:color w:val="auto"/>
        </w:rPr>
      </w:pPr>
    </w:p>
    <w:p>
      <w:pPr>
        <w:ind w:right="20" w:firstLine="360"/>
        <w:spacing w:after="0" w:line="256" w:lineRule="auto"/>
        <w:rPr>
          <w:sz w:val="20"/>
          <w:szCs w:val="20"/>
          <w:color w:val="auto"/>
        </w:rPr>
      </w:pPr>
      <w:r>
        <w:rPr>
          <w:rFonts w:ascii="Arial" w:cs="Arial" w:eastAsia="Arial" w:hAnsi="Arial"/>
          <w:sz w:val="20"/>
          <w:szCs w:val="20"/>
          <w:color w:val="auto"/>
        </w:rPr>
        <w:t>Complementary to our policy advocacy, we are engaged in cyber threat intelligence information sharing and operational collaboration with multiple organizations, including the Cybersecurity and Infrastructure Security Agency's Joint Cyber Defense Collaborative. We are a member of the following associations: Alliance for Digital Innovation, the Cybersecurity Coalition, the Computing Technology Industry Association, the Information Technology Industry Council, the International Society of Automation, the National Association of Chief Information Officers, and the National Governors Association.</w:t>
      </w:r>
    </w:p>
    <w:p>
      <w:pPr>
        <w:spacing w:after="0" w:line="203" w:lineRule="exact"/>
        <w:rPr>
          <w:sz w:val="20"/>
          <w:szCs w:val="20"/>
          <w:color w:val="auto"/>
        </w:rPr>
      </w:pPr>
    </w:p>
    <w:p>
      <w:pPr>
        <w:ind w:firstLine="360"/>
        <w:spacing w:after="0" w:line="257" w:lineRule="auto"/>
        <w:rPr>
          <w:sz w:val="20"/>
          <w:szCs w:val="20"/>
          <w:color w:val="auto"/>
        </w:rPr>
      </w:pPr>
      <w:r>
        <w:rPr>
          <w:rFonts w:ascii="Arial" w:cs="Arial" w:eastAsia="Arial" w:hAnsi="Arial"/>
          <w:sz w:val="20"/>
          <w:szCs w:val="20"/>
          <w:color w:val="auto"/>
        </w:rPr>
        <w:t>In addition, we formed a federal Political Action Committee ("PAC"), which allows eligible employees to pool their voluntary, personal contributions to help support and elect pro-technology and pro-cybersecurity lawmakers to Congress. Tenable's PAC does not advance a partisan or social agenda, but instead ensures public policies promote sound cybersecurity policies and growth for our business, our employees and our customers. You can find all disbursements for the Tenable PAC by visiting the Federal Election Commission website.</w:t>
      </w:r>
    </w:p>
    <w:p>
      <w:pPr>
        <w:spacing w:after="0" w:line="202"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EXECUTIVE OFFICERS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Our executive officers, and their respective ages as of April 12, 2023, are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Name</w:t>
            </w:r>
          </w:p>
        </w:tc>
        <w:tc>
          <w:tcPr>
            <w:tcW w:w="80" w:type="dxa"/>
            <w:vAlign w:val="bottom"/>
            <w:tcBorders>
              <w:bottom w:val="single" w:sz="8" w:color="D2EDF0"/>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Age</w:t>
            </w:r>
          </w:p>
        </w:tc>
        <w:tc>
          <w:tcPr>
            <w:tcW w:w="80" w:type="dxa"/>
            <w:vAlign w:val="bottom"/>
            <w:tcBorders>
              <w:bottom w:val="single" w:sz="8" w:color="D2EDF0"/>
            </w:tcBorders>
          </w:tcPr>
          <w:p>
            <w:pPr>
              <w:spacing w:after="0"/>
              <w:rPr>
                <w:sz w:val="20"/>
                <w:szCs w:val="20"/>
                <w:color w:val="auto"/>
              </w:rPr>
            </w:pPr>
          </w:p>
        </w:tc>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Position(s)</w:t>
            </w:r>
          </w:p>
        </w:tc>
      </w:tr>
      <w:tr>
        <w:trPr>
          <w:trHeight w:val="245"/>
        </w:trPr>
        <w:tc>
          <w:tcPr>
            <w:tcW w:w="2440" w:type="dxa"/>
            <w:vAlign w:val="bottom"/>
            <w:shd w:val="clear" w:color="auto" w:fill="D2EDF0"/>
          </w:tcPr>
          <w:p>
            <w:pPr>
              <w:ind w:left="100"/>
              <w:spacing w:after="0"/>
              <w:rPr>
                <w:sz w:val="20"/>
                <w:szCs w:val="20"/>
                <w:color w:val="auto"/>
              </w:rPr>
            </w:pPr>
            <w:r>
              <w:rPr>
                <w:rFonts w:ascii="Arial" w:cs="Arial" w:eastAsia="Arial" w:hAnsi="Arial"/>
                <w:sz w:val="18"/>
                <w:szCs w:val="18"/>
                <w:b w:val="1"/>
                <w:bCs w:val="1"/>
                <w:i w:val="1"/>
                <w:iCs w:val="1"/>
                <w:color w:val="auto"/>
              </w:rPr>
              <w:t>Executive Officers</w:t>
            </w:r>
          </w:p>
        </w:tc>
        <w:tc>
          <w:tcPr>
            <w:tcW w:w="80" w:type="dxa"/>
            <w:vAlign w:val="bottom"/>
            <w:shd w:val="clear" w:color="auto" w:fill="D2EDF0"/>
          </w:tcPr>
          <w:p>
            <w:pPr>
              <w:spacing w:after="0"/>
              <w:rPr>
                <w:sz w:val="21"/>
                <w:szCs w:val="21"/>
                <w:color w:val="auto"/>
              </w:rPr>
            </w:pPr>
          </w:p>
        </w:tc>
        <w:tc>
          <w:tcPr>
            <w:tcW w:w="560" w:type="dxa"/>
            <w:vAlign w:val="bottom"/>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5820" w:type="dxa"/>
            <w:vAlign w:val="bottom"/>
            <w:shd w:val="clear" w:color="auto" w:fill="D2EDF0"/>
          </w:tcPr>
          <w:p>
            <w:pPr>
              <w:spacing w:after="0"/>
              <w:rPr>
                <w:sz w:val="21"/>
                <w:szCs w:val="21"/>
                <w:color w:val="auto"/>
              </w:rPr>
            </w:pPr>
          </w:p>
        </w:tc>
      </w:tr>
      <w:tr>
        <w:trPr>
          <w:trHeight w:val="281"/>
        </w:trPr>
        <w:tc>
          <w:tcPr>
            <w:tcW w:w="2440" w:type="dxa"/>
            <w:vAlign w:val="bottom"/>
          </w:tcPr>
          <w:p>
            <w:pPr>
              <w:ind w:left="180"/>
              <w:spacing w:after="0"/>
              <w:rPr>
                <w:sz w:val="20"/>
                <w:szCs w:val="20"/>
                <w:color w:val="auto"/>
              </w:rPr>
            </w:pPr>
            <w:r>
              <w:rPr>
                <w:rFonts w:ascii="Arial" w:cs="Arial" w:eastAsia="Arial" w:hAnsi="Arial"/>
                <w:sz w:val="20"/>
                <w:szCs w:val="20"/>
                <w:color w:val="auto"/>
              </w:rPr>
              <w:t>Amit Yoran</w:t>
            </w:r>
          </w:p>
        </w:tc>
        <w:tc>
          <w:tcPr>
            <w:tcW w:w="640" w:type="dxa"/>
            <w:vAlign w:val="bottom"/>
            <w:gridSpan w:val="2"/>
          </w:tcPr>
          <w:p>
            <w:pPr>
              <w:jc w:val="right"/>
              <w:spacing w:after="0"/>
              <w:rPr>
                <w:sz w:val="20"/>
                <w:szCs w:val="20"/>
                <w:color w:val="auto"/>
              </w:rPr>
            </w:pPr>
            <w:r>
              <w:rPr>
                <w:rFonts w:ascii="Arial" w:cs="Arial" w:eastAsia="Arial" w:hAnsi="Arial"/>
                <w:sz w:val="20"/>
                <w:szCs w:val="20"/>
                <w:color w:val="auto"/>
              </w:rPr>
              <w:t>52</w:t>
            </w:r>
          </w:p>
        </w:tc>
        <w:tc>
          <w:tcPr>
            <w:tcW w:w="80" w:type="dxa"/>
            <w:vAlign w:val="bottom"/>
          </w:tcPr>
          <w:p>
            <w:pPr>
              <w:spacing w:after="0"/>
              <w:rPr>
                <w:sz w:val="24"/>
                <w:szCs w:val="24"/>
                <w:color w:val="auto"/>
              </w:rPr>
            </w:pPr>
          </w:p>
        </w:tc>
        <w:tc>
          <w:tcPr>
            <w:tcW w:w="5820" w:type="dxa"/>
            <w:vAlign w:val="bottom"/>
          </w:tcPr>
          <w:p>
            <w:pPr>
              <w:ind w:left="40"/>
              <w:spacing w:after="0"/>
              <w:rPr>
                <w:sz w:val="20"/>
                <w:szCs w:val="20"/>
                <w:color w:val="auto"/>
              </w:rPr>
            </w:pPr>
            <w:r>
              <w:rPr>
                <w:rFonts w:ascii="Arial" w:cs="Arial" w:eastAsia="Arial" w:hAnsi="Arial"/>
                <w:sz w:val="20"/>
                <w:szCs w:val="20"/>
                <w:color w:val="auto"/>
              </w:rPr>
              <w:t>Chief Executive Officer and Chairman</w:t>
            </w:r>
          </w:p>
        </w:tc>
      </w:tr>
      <w:tr>
        <w:trPr>
          <w:trHeight w:val="289"/>
        </w:trPr>
        <w:tc>
          <w:tcPr>
            <w:tcW w:w="2440" w:type="dxa"/>
            <w:vAlign w:val="bottom"/>
            <w:shd w:val="clear" w:color="auto" w:fill="D2EDF0"/>
          </w:tcPr>
          <w:p>
            <w:pPr>
              <w:ind w:left="180"/>
              <w:spacing w:after="0"/>
              <w:rPr>
                <w:sz w:val="20"/>
                <w:szCs w:val="20"/>
                <w:color w:val="auto"/>
              </w:rPr>
            </w:pPr>
            <w:r>
              <w:rPr>
                <w:rFonts w:ascii="Arial" w:cs="Arial" w:eastAsia="Arial" w:hAnsi="Arial"/>
                <w:sz w:val="20"/>
                <w:szCs w:val="20"/>
                <w:color w:val="auto"/>
              </w:rPr>
              <w:t>Stephen A. Vintz</w:t>
            </w:r>
          </w:p>
        </w:tc>
        <w:tc>
          <w:tcPr>
            <w:tcW w:w="64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54</w:t>
            </w:r>
          </w:p>
        </w:tc>
        <w:tc>
          <w:tcPr>
            <w:tcW w:w="80" w:type="dxa"/>
            <w:vAlign w:val="bottom"/>
            <w:shd w:val="clear" w:color="auto" w:fill="D2EDF0"/>
          </w:tcPr>
          <w:p>
            <w:pPr>
              <w:spacing w:after="0"/>
              <w:rPr>
                <w:sz w:val="24"/>
                <w:szCs w:val="24"/>
                <w:color w:val="auto"/>
              </w:rPr>
            </w:pPr>
          </w:p>
        </w:tc>
        <w:tc>
          <w:tcPr>
            <w:tcW w:w="5820" w:type="dxa"/>
            <w:vAlign w:val="bottom"/>
            <w:shd w:val="clear" w:color="auto" w:fill="D2EDF0"/>
          </w:tcPr>
          <w:p>
            <w:pPr>
              <w:ind w:left="40"/>
              <w:spacing w:after="0"/>
              <w:rPr>
                <w:sz w:val="20"/>
                <w:szCs w:val="20"/>
                <w:color w:val="auto"/>
              </w:rPr>
            </w:pPr>
            <w:r>
              <w:rPr>
                <w:rFonts w:ascii="Arial" w:cs="Arial" w:eastAsia="Arial" w:hAnsi="Arial"/>
                <w:sz w:val="20"/>
                <w:szCs w:val="20"/>
                <w:color w:val="auto"/>
              </w:rPr>
              <w:t>Chief Financial Officer</w:t>
            </w:r>
          </w:p>
        </w:tc>
      </w:tr>
      <w:tr>
        <w:trPr>
          <w:trHeight w:val="277"/>
        </w:trPr>
        <w:tc>
          <w:tcPr>
            <w:tcW w:w="2440" w:type="dxa"/>
            <w:vAlign w:val="bottom"/>
          </w:tcPr>
          <w:p>
            <w:pPr>
              <w:ind w:left="180"/>
              <w:spacing w:after="0"/>
              <w:rPr>
                <w:sz w:val="20"/>
                <w:szCs w:val="20"/>
                <w:color w:val="auto"/>
              </w:rPr>
            </w:pPr>
            <w:r>
              <w:rPr>
                <w:rFonts w:ascii="Arial" w:cs="Arial" w:eastAsia="Arial" w:hAnsi="Arial"/>
                <w:sz w:val="20"/>
                <w:szCs w:val="20"/>
                <w:color w:val="auto"/>
              </w:rPr>
              <w:t>Mark Thurmond</w:t>
            </w:r>
          </w:p>
        </w:tc>
        <w:tc>
          <w:tcPr>
            <w:tcW w:w="640" w:type="dxa"/>
            <w:vAlign w:val="bottom"/>
            <w:gridSpan w:val="2"/>
          </w:tcPr>
          <w:p>
            <w:pPr>
              <w:jc w:val="right"/>
              <w:spacing w:after="0"/>
              <w:rPr>
                <w:sz w:val="20"/>
                <w:szCs w:val="20"/>
                <w:color w:val="auto"/>
              </w:rPr>
            </w:pPr>
            <w:r>
              <w:rPr>
                <w:rFonts w:ascii="Arial" w:cs="Arial" w:eastAsia="Arial" w:hAnsi="Arial"/>
                <w:sz w:val="20"/>
                <w:szCs w:val="20"/>
                <w:color w:val="auto"/>
              </w:rPr>
              <w:t>53</w:t>
            </w:r>
          </w:p>
        </w:tc>
        <w:tc>
          <w:tcPr>
            <w:tcW w:w="80" w:type="dxa"/>
            <w:vAlign w:val="bottom"/>
          </w:tcPr>
          <w:p>
            <w:pPr>
              <w:spacing w:after="0"/>
              <w:rPr>
                <w:sz w:val="24"/>
                <w:szCs w:val="24"/>
                <w:color w:val="auto"/>
              </w:rPr>
            </w:pPr>
          </w:p>
        </w:tc>
        <w:tc>
          <w:tcPr>
            <w:tcW w:w="5820" w:type="dxa"/>
            <w:vAlign w:val="bottom"/>
          </w:tcPr>
          <w:p>
            <w:pPr>
              <w:ind w:left="40"/>
              <w:spacing w:after="0"/>
              <w:rPr>
                <w:sz w:val="20"/>
                <w:szCs w:val="20"/>
                <w:color w:val="auto"/>
              </w:rPr>
            </w:pPr>
            <w:r>
              <w:rPr>
                <w:rFonts w:ascii="Arial" w:cs="Arial" w:eastAsia="Arial" w:hAnsi="Arial"/>
                <w:sz w:val="20"/>
                <w:szCs w:val="20"/>
                <w:color w:val="auto"/>
              </w:rPr>
              <w:t>Chief Operating Officer</w:t>
            </w:r>
          </w:p>
        </w:tc>
      </w:tr>
    </w:tbl>
    <w:p>
      <w:pPr>
        <w:spacing w:after="0" w:line="20" w:lineRule="exact"/>
        <w:rPr>
          <w:sz w:val="20"/>
          <w:szCs w:val="20"/>
          <w:color w:val="auto"/>
        </w:rPr>
      </w:pPr>
    </w:p>
    <w:p>
      <w:pPr>
        <w:spacing w:after="0" w:line="27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biography of Mr. Yoran is set forth in “Proposal 1: Election of Directors” above.</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880" w:h="15480" w:orient="portrait"/>
          <w:cols w:equalWidth="0" w:num="1">
            <w:col w:w="9000"/>
          </w:cols>
          <w:pgMar w:left="1440" w:top="1204" w:right="1440" w:bottom="0" w:gutter="0" w:footer="0" w:header="0"/>
          <w:type w:val="continuous"/>
        </w:sectPr>
      </w:pPr>
    </w:p>
    <w:bookmarkStart w:id="42" w:name="page43"/>
    <w:bookmarkEnd w:id="42"/>
    <w:p>
      <w:pPr>
        <w:ind w:left="1860"/>
        <w:spacing w:after="0"/>
        <w:rPr>
          <w:sz w:val="20"/>
          <w:szCs w:val="20"/>
          <w:color w:val="auto"/>
        </w:rPr>
      </w:pPr>
      <w:r>
        <w:rPr>
          <w:rFonts w:ascii="Arial" w:cs="Arial" w:eastAsia="Arial" w:hAnsi="Arial"/>
          <w:sz w:val="20"/>
          <w:szCs w:val="20"/>
          <w:b w:val="1"/>
          <w:bCs w:val="1"/>
          <w:i w:val="1"/>
          <w:iCs w:val="1"/>
          <w:color w:val="auto"/>
        </w:rPr>
        <w:t>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-106680</wp:posOffset>
            </wp:positionV>
            <wp:extent cx="952500" cy="952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52500" cy="952500"/>
                    </a:xfrm>
                    <a:prstGeom prst="rect">
                      <a:avLst/>
                    </a:prstGeom>
                    <a:noFill/>
                  </pic:spPr>
                </pic:pic>
              </a:graphicData>
            </a:graphic>
          </wp:anchor>
        </w:drawing>
      </w:r>
    </w:p>
    <w:p>
      <w:pPr>
        <w:spacing w:after="0" w:line="229" w:lineRule="exact"/>
        <w:rPr>
          <w:sz w:val="20"/>
          <w:szCs w:val="20"/>
          <w:color w:val="auto"/>
        </w:rPr>
      </w:pPr>
    </w:p>
    <w:p>
      <w:pPr>
        <w:ind w:left="1860" w:right="160"/>
        <w:spacing w:after="0" w:line="262" w:lineRule="auto"/>
        <w:rPr>
          <w:sz w:val="20"/>
          <w:szCs w:val="20"/>
          <w:color w:val="auto"/>
        </w:rPr>
      </w:pPr>
      <w:r>
        <w:rPr>
          <w:rFonts w:ascii="Arial" w:cs="Arial" w:eastAsia="Arial" w:hAnsi="Arial"/>
          <w:sz w:val="20"/>
          <w:szCs w:val="20"/>
          <w:color w:val="auto"/>
        </w:rPr>
        <w:t>Stephen A. Vintz has served as our Chief Financial Officer since October 2014. Mr. Vintz previously served as Executive Vice President and Chief Financial Officer of Vocus. Mr. Vintz received a B.B.A. in Accounting from Loyola University Maryland and is a Certified Public Accountant.</w:t>
      </w:r>
    </w:p>
    <w:p>
      <w:pPr>
        <w:spacing w:after="0" w:line="200" w:lineRule="exact"/>
        <w:rPr>
          <w:sz w:val="20"/>
          <w:szCs w:val="20"/>
          <w:color w:val="auto"/>
        </w:rPr>
      </w:pPr>
    </w:p>
    <w:p>
      <w:pPr>
        <w:spacing w:after="0" w:line="252" w:lineRule="exact"/>
        <w:rPr>
          <w:sz w:val="20"/>
          <w:szCs w:val="20"/>
          <w:color w:val="auto"/>
        </w:rPr>
      </w:pPr>
    </w:p>
    <w:p>
      <w:pPr>
        <w:ind w:left="1860"/>
        <w:spacing w:after="0"/>
        <w:rPr>
          <w:sz w:val="20"/>
          <w:szCs w:val="20"/>
          <w:color w:val="auto"/>
        </w:rPr>
      </w:pPr>
      <w:r>
        <w:rPr>
          <w:rFonts w:ascii="Arial" w:cs="Arial" w:eastAsia="Arial" w:hAnsi="Arial"/>
          <w:sz w:val="20"/>
          <w:szCs w:val="20"/>
          <w:b w:val="1"/>
          <w:bCs w:val="1"/>
          <w:i w:val="1"/>
          <w:iCs w:val="1"/>
          <w:color w:val="auto"/>
        </w:rPr>
        <w:t>Mark Thurmond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73660</wp:posOffset>
            </wp:positionV>
            <wp:extent cx="952500" cy="952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52500" cy="952500"/>
                    </a:xfrm>
                    <a:prstGeom prst="rect">
                      <a:avLst/>
                    </a:prstGeom>
                    <a:noFill/>
                  </pic:spPr>
                </pic:pic>
              </a:graphicData>
            </a:graphic>
          </wp:anchor>
        </w:drawing>
      </w:r>
    </w:p>
    <w:p>
      <w:pPr>
        <w:spacing w:after="0" w:line="229" w:lineRule="exact"/>
        <w:rPr>
          <w:sz w:val="20"/>
          <w:szCs w:val="20"/>
          <w:color w:val="auto"/>
        </w:rPr>
      </w:pPr>
    </w:p>
    <w:p>
      <w:pPr>
        <w:jc w:val="both"/>
        <w:ind w:left="1860" w:right="60"/>
        <w:spacing w:after="0" w:line="257" w:lineRule="auto"/>
        <w:rPr>
          <w:sz w:val="20"/>
          <w:szCs w:val="20"/>
          <w:color w:val="auto"/>
        </w:rPr>
      </w:pPr>
      <w:r>
        <w:rPr>
          <w:rFonts w:ascii="Arial" w:cs="Arial" w:eastAsia="Arial" w:hAnsi="Arial"/>
          <w:sz w:val="20"/>
          <w:szCs w:val="20"/>
          <w:color w:val="auto"/>
        </w:rPr>
        <w:t>Mark Thurmond has served as the Company’s Chief Operating Officer since February 2020. Prior to joining the Company, Mr. Thurmond served as the Chief Operating Officer of Turbonomic Inc. from September 2017 to February 2020 and as the Executive Vice President, Worldwide Sales and Services of QlikTech International AB from August 2015 to August 2017. Mr. Thurmond holds a B.S. in Psychology from Hofstra University.</w:t>
      </w:r>
    </w:p>
    <w:p>
      <w:pPr>
        <w:sectPr>
          <w:pgSz w:w="11880" w:h="15480" w:orient="portrait"/>
          <w:cols w:equalWidth="0" w:num="1">
            <w:col w:w="9000"/>
          </w:cols>
          <w:pgMar w:left="1440" w:top="125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880" w:h="15480" w:orient="portrait"/>
          <w:cols w:equalWidth="0" w:num="1">
            <w:col w:w="9000"/>
          </w:cols>
          <w:pgMar w:left="1440" w:top="1258" w:right="1440" w:bottom="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20"/>
          <w:szCs w:val="20"/>
          <w:b w:val="1"/>
          <w:bCs w:val="1"/>
          <w:color w:val="auto"/>
        </w:rPr>
        <w:t>SECURITY OWNERSHIP 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CERTAIN BENEFICIAL OWNERS AND MANAGEMENT</w:t>
      </w:r>
    </w:p>
    <w:p>
      <w:pPr>
        <w:spacing w:after="0" w:line="251" w:lineRule="exact"/>
        <w:rPr>
          <w:sz w:val="20"/>
          <w:szCs w:val="20"/>
          <w:color w:val="auto"/>
        </w:rPr>
      </w:pPr>
    </w:p>
    <w:p>
      <w:pPr>
        <w:ind w:right="20" w:firstLine="360"/>
        <w:spacing w:after="0" w:line="259" w:lineRule="auto"/>
        <w:rPr>
          <w:sz w:val="20"/>
          <w:szCs w:val="20"/>
          <w:color w:val="auto"/>
        </w:rPr>
      </w:pPr>
      <w:r>
        <w:rPr>
          <w:rFonts w:ascii="Arial" w:cs="Arial" w:eastAsia="Arial" w:hAnsi="Arial"/>
          <w:sz w:val="20"/>
          <w:szCs w:val="20"/>
          <w:color w:val="auto"/>
        </w:rPr>
        <w:t>The following table sets forth certain information regarding the ownership of the Company’s common stock as of March 3, 2023 by: (i) each director and nominee for director; (ii) each of the executive officers named in the Summary Compensation Table; (iii) all executive officers and directors of the Company as a group; and (iv) all those known by the Company to be beneficial owners of more than five percent of its common stock.</w:t>
      </w:r>
    </w:p>
    <w:p>
      <w:pPr>
        <w:spacing w:after="0" w:line="95" w:lineRule="exact"/>
        <w:rPr>
          <w:sz w:val="20"/>
          <w:szCs w:val="20"/>
          <w:color w:val="auto"/>
        </w:rPr>
      </w:pPr>
    </w:p>
    <w:tbl>
      <w:tblPr>
        <w:tblLayout w:type="fixed"/>
        <w:tblInd w:w="2120" w:type="dxa"/>
        <w:tblCellMar>
          <w:top w:w="0" w:type="dxa"/>
          <w:left w:w="0" w:type="dxa"/>
          <w:bottom w:w="0" w:type="dxa"/>
          <w:right w:w="0" w:type="dxa"/>
        </w:tblCellMar>
      </w:tblPr>
      <w:tr>
        <w:trPr>
          <w:trHeight w:val="264"/>
        </w:trPr>
        <w:tc>
          <w:tcPr>
            <w:tcW w:w="3600" w:type="dxa"/>
            <w:vAlign w:val="bottom"/>
          </w:tcPr>
          <w:p>
            <w:pPr>
              <w:spacing w:after="0"/>
              <w:rPr>
                <w:sz w:val="22"/>
                <w:szCs w:val="22"/>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Beneficial Ownership</w:t>
            </w:r>
            <w:r>
              <w:rPr>
                <w:rFonts w:ascii="Arial" w:cs="Arial" w:eastAsia="Arial" w:hAnsi="Arial"/>
                <w:sz w:val="23"/>
                <w:szCs w:val="23"/>
                <w:b w:val="1"/>
                <w:bCs w:val="1"/>
                <w:color w:val="auto"/>
                <w:w w:val="98"/>
                <w:vertAlign w:val="superscript"/>
              </w:rPr>
              <w:t>(1)</w:t>
            </w:r>
          </w:p>
        </w:tc>
      </w:tr>
      <w:tr>
        <w:trPr>
          <w:trHeight w:val="244"/>
        </w:trPr>
        <w:tc>
          <w:tcPr>
            <w:tcW w:w="3600" w:type="dxa"/>
            <w:vAlign w:val="bottom"/>
          </w:tcPr>
          <w:p>
            <w:pPr>
              <w:spacing w:after="0"/>
              <w:rPr>
                <w:sz w:val="20"/>
                <w:szCs w:val="20"/>
                <w:color w:val="auto"/>
              </w:rPr>
            </w:pPr>
            <w:r>
              <w:rPr>
                <w:rFonts w:ascii="Arial" w:cs="Arial" w:eastAsia="Arial" w:hAnsi="Arial"/>
                <w:sz w:val="18"/>
                <w:szCs w:val="18"/>
                <w:b w:val="1"/>
                <w:bCs w:val="1"/>
                <w:color w:val="auto"/>
              </w:rPr>
              <w:t>Beneficial Owner</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rPr>
              <w:t>Number of Shares  Percent of 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5705475"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5475" cy="196850"/>
                    </a:xfrm>
                    <a:prstGeom prst="rect">
                      <a:avLst/>
                    </a:prstGeom>
                    <a:noFill/>
                  </pic:spPr>
                </pic:pic>
              </a:graphicData>
            </a:graphic>
          </wp:anchor>
        </w:drawing>
      </w:r>
    </w:p>
    <w:p>
      <w:pPr>
        <w:ind w:left="60"/>
        <w:spacing w:after="0"/>
        <w:rPr>
          <w:sz w:val="20"/>
          <w:szCs w:val="20"/>
          <w:color w:val="auto"/>
        </w:rPr>
      </w:pPr>
      <w:r>
        <w:rPr>
          <w:rFonts w:ascii="Arial" w:cs="Arial" w:eastAsia="Arial" w:hAnsi="Arial"/>
          <w:sz w:val="20"/>
          <w:szCs w:val="20"/>
          <w:i w:val="1"/>
          <w:iCs w:val="1"/>
          <w:color w:val="auto"/>
        </w:rPr>
        <w:t>5% or greater stockholders:</w:t>
      </w:r>
    </w:p>
    <w:p>
      <w:pPr>
        <w:sectPr>
          <w:pgSz w:w="11880" w:h="15480" w:orient="portrait"/>
          <w:cols w:equalWidth="0" w:num="1">
            <w:col w:w="9000"/>
          </w:cols>
          <w:pgMar w:left="1440" w:top="1203" w:right="1440" w:bottom="0" w:gutter="0" w:footer="0" w:header="0"/>
        </w:sectPr>
      </w:pPr>
    </w:p>
    <w:p>
      <w:pPr>
        <w:spacing w:after="0" w:line="48" w:lineRule="exact"/>
        <w:rPr>
          <w:sz w:val="20"/>
          <w:szCs w:val="20"/>
          <w:color w:val="auto"/>
        </w:rPr>
      </w:pPr>
    </w:p>
    <w:p>
      <w:pPr>
        <w:ind w:left="320"/>
        <w:spacing w:after="0"/>
        <w:rPr>
          <w:sz w:val="20"/>
          <w:szCs w:val="20"/>
          <w:color w:val="auto"/>
        </w:rPr>
      </w:pPr>
      <w:r>
        <w:rPr>
          <w:rFonts w:ascii="Arial" w:cs="Arial" w:eastAsia="Arial" w:hAnsi="Arial"/>
          <w:sz w:val="20"/>
          <w:szCs w:val="20"/>
          <w:color w:val="auto"/>
        </w:rPr>
        <w:t>The Vanguard Group</w:t>
      </w:r>
      <w:r>
        <w:rPr>
          <w:rFonts w:ascii="Arial" w:cs="Arial" w:eastAsia="Arial" w:hAnsi="Arial"/>
          <w:sz w:val="26"/>
          <w:szCs w:val="26"/>
          <w:color w:val="auto"/>
          <w:vertAlign w:val="superscript"/>
        </w:rPr>
        <w:t>(2)</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20"/>
          <w:szCs w:val="20"/>
          <w:color w:val="auto"/>
        </w:rPr>
        <w:t>FMR, LLC</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5705475" cy="190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5475" cy="19050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0"/>
          <w:szCs w:val="20"/>
          <w:color w:val="auto"/>
        </w:rPr>
        <w:t>BlackRock, Inc.</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5705475" cy="190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5475" cy="190500"/>
                    </a:xfrm>
                    <a:prstGeom prst="rect">
                      <a:avLst/>
                    </a:prstGeom>
                    <a:noFill/>
                  </pic:spPr>
                </pic:pic>
              </a:graphicData>
            </a:graphic>
          </wp:anchor>
        </w:drawing>
      </w:r>
    </w:p>
    <w:p>
      <w:pPr>
        <w:spacing w:after="0" w:line="301"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Named executive officers and directors</w:t>
      </w:r>
      <w:r>
        <w:rPr>
          <w:rFonts w:ascii="Arial" w:cs="Arial" w:eastAsia="Arial" w:hAnsi="Arial"/>
          <w:sz w:val="20"/>
          <w:szCs w:val="20"/>
          <w:color w:val="auto"/>
        </w:rPr>
        <w:t>:</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20"/>
          <w:szCs w:val="20"/>
          <w:color w:val="auto"/>
        </w:rPr>
        <w:t>Amit Yoran</w:t>
      </w:r>
      <w:r>
        <w:rPr>
          <w:rFonts w:ascii="Arial" w:cs="Arial" w:eastAsia="Arial" w:hAnsi="Arial"/>
          <w:sz w:val="26"/>
          <w:szCs w:val="26"/>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5705475" cy="190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5475" cy="190500"/>
                    </a:xfrm>
                    <a:prstGeom prst="rect">
                      <a:avLst/>
                    </a:prstGeom>
                    <a:noFill/>
                  </pic:spPr>
                </pic:pic>
              </a:graphicData>
            </a:graphic>
          </wp:anchor>
        </w:drawing>
      </w:r>
    </w:p>
    <w:p>
      <w:pPr>
        <w:spacing w:after="0" w:line="1" w:lineRule="exact"/>
        <w:rPr>
          <w:sz w:val="20"/>
          <w:szCs w:val="20"/>
          <w:color w:val="auto"/>
        </w:rPr>
      </w:pPr>
    </w:p>
    <w:p>
      <w:pPr>
        <w:ind w:left="320"/>
        <w:spacing w:after="0"/>
        <w:rPr>
          <w:sz w:val="20"/>
          <w:szCs w:val="20"/>
          <w:color w:val="auto"/>
        </w:rPr>
      </w:pPr>
      <w:r>
        <w:rPr>
          <w:rFonts w:ascii="Arial" w:cs="Arial" w:eastAsia="Arial" w:hAnsi="Arial"/>
          <w:sz w:val="20"/>
          <w:szCs w:val="20"/>
          <w:color w:val="auto"/>
        </w:rPr>
        <w:t>Stephen A. Vintz</w:t>
      </w:r>
      <w:r>
        <w:rPr>
          <w:rFonts w:ascii="Arial" w:cs="Arial" w:eastAsia="Arial" w:hAnsi="Arial"/>
          <w:sz w:val="26"/>
          <w:szCs w:val="26"/>
          <w:color w:val="auto"/>
          <w:vertAlign w:val="superscript"/>
        </w:rPr>
        <w:t>(6)</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20"/>
          <w:szCs w:val="20"/>
          <w:color w:val="auto"/>
        </w:rPr>
        <w:t>Stephen A. Riddick</w:t>
      </w:r>
      <w:r>
        <w:rPr>
          <w:rFonts w:ascii="Arial" w:cs="Arial" w:eastAsia="Arial" w:hAnsi="Arial"/>
          <w:sz w:val="26"/>
          <w:szCs w:val="26"/>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-187325</wp:posOffset>
            </wp:positionV>
            <wp:extent cx="5705475" cy="190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5475" cy="19050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0"/>
          <w:szCs w:val="20"/>
          <w:color w:val="auto"/>
        </w:rPr>
        <w:t>Mark Thurmond</w:t>
      </w:r>
      <w:r>
        <w:rPr>
          <w:rFonts w:ascii="Arial" w:cs="Arial" w:eastAsia="Arial" w:hAnsi="Arial"/>
          <w:sz w:val="26"/>
          <w:szCs w:val="26"/>
          <w:color w:val="auto"/>
          <w:vertAlign w:val="superscript"/>
        </w:rPr>
        <w:t>(8)</w:t>
      </w:r>
    </w:p>
    <w:p>
      <w:pPr>
        <w:ind w:left="320"/>
        <w:spacing w:after="0" w:line="225" w:lineRule="auto"/>
        <w:rPr>
          <w:sz w:val="20"/>
          <w:szCs w:val="20"/>
          <w:color w:val="auto"/>
        </w:rPr>
      </w:pPr>
      <w:r>
        <w:rPr>
          <w:rFonts w:ascii="Arial" w:cs="Arial" w:eastAsia="Arial" w:hAnsi="Arial"/>
          <w:sz w:val="20"/>
          <w:szCs w:val="20"/>
          <w:color w:val="auto"/>
        </w:rPr>
        <w:t>Arthur W. Coviello, Jr.</w:t>
      </w:r>
      <w:r>
        <w:rPr>
          <w:rFonts w:ascii="Arial" w:cs="Arial" w:eastAsia="Arial" w:hAnsi="Arial"/>
          <w:sz w:val="26"/>
          <w:szCs w:val="26"/>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5705475" cy="1905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5475" cy="19050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0"/>
          <w:szCs w:val="20"/>
          <w:color w:val="auto"/>
        </w:rPr>
        <w:t>John C. Huffard, Jr.</w:t>
      </w:r>
      <w:r>
        <w:rPr>
          <w:rFonts w:ascii="Arial" w:cs="Arial" w:eastAsia="Arial" w:hAnsi="Arial"/>
          <w:sz w:val="26"/>
          <w:szCs w:val="26"/>
          <w:color w:val="auto"/>
          <w:vertAlign w:val="superscript"/>
        </w:rPr>
        <w:t>(10)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0"/>
          <w:szCs w:val="20"/>
          <w:color w:val="auto"/>
        </w:rPr>
        <w:t>Linda Zecher Higgins</w:t>
      </w:r>
      <w:r>
        <w:rPr>
          <w:rFonts w:ascii="Arial" w:cs="Arial" w:eastAsia="Arial" w:hAnsi="Arial"/>
          <w:sz w:val="26"/>
          <w:szCs w:val="26"/>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5705475" cy="190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05475" cy="19050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0"/>
          <w:szCs w:val="20"/>
          <w:color w:val="auto"/>
        </w:rPr>
        <w:t>Niloofar Razi Howe</w:t>
      </w:r>
      <w:r>
        <w:rPr>
          <w:rFonts w:ascii="Arial" w:cs="Arial" w:eastAsia="Arial" w:hAnsi="Arial"/>
          <w:sz w:val="26"/>
          <w:szCs w:val="26"/>
          <w:color w:val="auto"/>
          <w:vertAlign w:val="superscript"/>
        </w:rPr>
        <w:t>(12)</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20"/>
          <w:szCs w:val="20"/>
          <w:color w:val="auto"/>
        </w:rPr>
        <w:t>A. Brooke Seawell</w:t>
      </w:r>
      <w:r>
        <w:rPr>
          <w:rFonts w:ascii="Arial" w:cs="Arial" w:eastAsia="Arial" w:hAnsi="Arial"/>
          <w:sz w:val="26"/>
          <w:szCs w:val="26"/>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-187325</wp:posOffset>
            </wp:positionV>
            <wp:extent cx="5705475" cy="190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5475" cy="19050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0"/>
          <w:szCs w:val="20"/>
          <w:color w:val="auto"/>
        </w:rPr>
        <w:t>Raymond Vicks, Jr.</w:t>
      </w:r>
      <w:r>
        <w:rPr>
          <w:rFonts w:ascii="Arial" w:cs="Arial" w:eastAsia="Arial" w:hAnsi="Arial"/>
          <w:sz w:val="26"/>
          <w:szCs w:val="26"/>
          <w:color w:val="auto"/>
          <w:vertAlign w:val="superscript"/>
        </w:rPr>
        <w:t>(14)</w:t>
      </w:r>
    </w:p>
    <w:p>
      <w:pPr>
        <w:ind w:left="320"/>
        <w:spacing w:after="0" w:line="229" w:lineRule="auto"/>
        <w:rPr>
          <w:sz w:val="20"/>
          <w:szCs w:val="20"/>
          <w:color w:val="auto"/>
        </w:rPr>
      </w:pPr>
      <w:r>
        <w:rPr>
          <w:rFonts w:ascii="Arial" w:cs="Arial" w:eastAsia="Arial" w:hAnsi="Arial"/>
          <w:sz w:val="20"/>
          <w:szCs w:val="20"/>
          <w:color w:val="auto"/>
        </w:rPr>
        <w:t>George Alexander Tosheff</w:t>
      </w:r>
      <w:r>
        <w:rPr>
          <w:rFonts w:ascii="Arial" w:cs="Arial" w:eastAsia="Arial" w:hAnsi="Arial"/>
          <w:sz w:val="26"/>
          <w:szCs w:val="26"/>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5705475" cy="180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5475" cy="180975"/>
                    </a:xfrm>
                    <a:prstGeom prst="rect">
                      <a:avLst/>
                    </a:prstGeom>
                    <a:noFill/>
                  </pic:spPr>
                </pic:pic>
              </a:graphicData>
            </a:graphic>
          </wp:anchor>
        </w:drawing>
      </w:r>
    </w:p>
    <w:p>
      <w:pPr>
        <w:ind w:left="60" w:right="240"/>
        <w:spacing w:after="0" w:line="255" w:lineRule="auto"/>
        <w:rPr>
          <w:sz w:val="20"/>
          <w:szCs w:val="20"/>
          <w:color w:val="auto"/>
        </w:rPr>
      </w:pPr>
      <w:r>
        <w:rPr>
          <w:rFonts w:ascii="Arial" w:cs="Arial" w:eastAsia="Arial" w:hAnsi="Arial"/>
          <w:sz w:val="20"/>
          <w:szCs w:val="20"/>
          <w:color w:val="auto"/>
        </w:rPr>
        <w:t>All current executive officers and directors as a group (10 persons)</w:t>
      </w:r>
      <w:r>
        <w:rPr>
          <w:rFonts w:ascii="Arial" w:cs="Arial" w:eastAsia="Arial" w:hAnsi="Arial"/>
          <w:sz w:val="26"/>
          <w:szCs w:val="26"/>
          <w:color w:val="auto"/>
          <w:vertAlign w:val="superscript"/>
        </w:rPr>
        <w:t>(16)</w:t>
      </w:r>
    </w:p>
    <w:p>
      <w:pPr>
        <w:spacing w:after="0" w:line="216" w:lineRule="auto"/>
        <w:rPr>
          <w:sz w:val="20"/>
          <w:szCs w:val="20"/>
          <w:color w:val="auto"/>
        </w:rPr>
      </w:pPr>
      <w:r>
        <w:rPr>
          <w:rFonts w:ascii="Arial" w:cs="Arial" w:eastAsia="Arial" w:hAnsi="Arial"/>
          <w:sz w:val="12"/>
          <w:szCs w:val="12"/>
          <w:color w:val="auto"/>
        </w:rPr>
        <w:t>_____________</w:t>
      </w:r>
    </w:p>
    <w:p>
      <w:pPr>
        <w:ind w:left="360" w:hanging="360"/>
        <w:spacing w:after="0"/>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Represents beneficial ownership of less than 1%.</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tabs>
          <w:tab w:leader="none" w:pos="1940" w:val="left"/>
        </w:tabs>
        <w:rPr>
          <w:sz w:val="20"/>
          <w:szCs w:val="20"/>
          <w:color w:val="auto"/>
        </w:rPr>
      </w:pPr>
      <w:r>
        <w:rPr>
          <w:rFonts w:ascii="Arial" w:cs="Arial" w:eastAsia="Arial" w:hAnsi="Arial"/>
          <w:sz w:val="20"/>
          <w:szCs w:val="20"/>
          <w:color w:val="auto"/>
        </w:rPr>
        <w:t>11,310,002</w:t>
      </w:r>
      <w:r>
        <w:rPr>
          <w:sz w:val="20"/>
          <w:szCs w:val="20"/>
          <w:color w:val="auto"/>
        </w:rPr>
        <w:tab/>
      </w:r>
      <w:r>
        <w:rPr>
          <w:rFonts w:ascii="Arial" w:cs="Arial" w:eastAsia="Arial" w:hAnsi="Arial"/>
          <w:sz w:val="20"/>
          <w:szCs w:val="20"/>
          <w:color w:val="auto"/>
        </w:rPr>
        <w:t>9.9%</w:t>
      </w:r>
    </w:p>
    <w:p>
      <w:pPr>
        <w:spacing w:after="0" w:line="70" w:lineRule="exact"/>
        <w:rPr>
          <w:sz w:val="20"/>
          <w:szCs w:val="20"/>
          <w:color w:val="auto"/>
        </w:rPr>
      </w:pPr>
    </w:p>
    <w:p>
      <w:pPr>
        <w:spacing w:after="0"/>
        <w:tabs>
          <w:tab w:leader="none" w:pos="1940" w:val="left"/>
        </w:tabs>
        <w:rPr>
          <w:sz w:val="20"/>
          <w:szCs w:val="20"/>
          <w:color w:val="auto"/>
        </w:rPr>
      </w:pPr>
      <w:r>
        <w:rPr>
          <w:rFonts w:ascii="Arial" w:cs="Arial" w:eastAsia="Arial" w:hAnsi="Arial"/>
          <w:sz w:val="20"/>
          <w:szCs w:val="20"/>
          <w:color w:val="auto"/>
        </w:rPr>
        <w:t>11,132,927</w:t>
      </w:r>
      <w:r>
        <w:rPr>
          <w:sz w:val="20"/>
          <w:szCs w:val="20"/>
          <w:color w:val="auto"/>
        </w:rPr>
        <w:tab/>
      </w:r>
      <w:r>
        <w:rPr>
          <w:rFonts w:ascii="Arial" w:cs="Arial" w:eastAsia="Arial" w:hAnsi="Arial"/>
          <w:sz w:val="20"/>
          <w:szCs w:val="20"/>
          <w:color w:val="auto"/>
        </w:rPr>
        <w:t>9.7%</w:t>
      </w:r>
    </w:p>
    <w:p>
      <w:pPr>
        <w:spacing w:after="0" w:line="70" w:lineRule="exact"/>
        <w:rPr>
          <w:sz w:val="20"/>
          <w:szCs w:val="20"/>
          <w:color w:val="auto"/>
        </w:rPr>
      </w:pPr>
    </w:p>
    <w:p>
      <w:pPr>
        <w:ind w:left="60"/>
        <w:spacing w:after="0"/>
        <w:tabs>
          <w:tab w:leader="none" w:pos="1940" w:val="left"/>
        </w:tabs>
        <w:rPr>
          <w:sz w:val="20"/>
          <w:szCs w:val="20"/>
          <w:color w:val="auto"/>
        </w:rPr>
      </w:pPr>
      <w:r>
        <w:rPr>
          <w:rFonts w:ascii="Arial" w:cs="Arial" w:eastAsia="Arial" w:hAnsi="Arial"/>
          <w:sz w:val="20"/>
          <w:szCs w:val="20"/>
          <w:color w:val="auto"/>
        </w:rPr>
        <w:t>9,876,238</w:t>
      </w:r>
      <w:r>
        <w:rPr>
          <w:sz w:val="20"/>
          <w:szCs w:val="20"/>
          <w:color w:val="auto"/>
        </w:rPr>
        <w:tab/>
      </w:r>
      <w:r>
        <w:rPr>
          <w:rFonts w:ascii="Arial" w:cs="Arial" w:eastAsia="Arial" w:hAnsi="Arial"/>
          <w:sz w:val="20"/>
          <w:szCs w:val="20"/>
          <w:color w:val="auto"/>
        </w:rPr>
        <w:t>8.6%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spacing w:after="0"/>
        <w:tabs>
          <w:tab w:leader="none" w:pos="1940" w:val="left"/>
        </w:tabs>
        <w:rPr>
          <w:sz w:val="20"/>
          <w:szCs w:val="20"/>
          <w:color w:val="auto"/>
        </w:rPr>
      </w:pPr>
      <w:r>
        <w:rPr>
          <w:rFonts w:ascii="Arial" w:cs="Arial" w:eastAsia="Arial" w:hAnsi="Arial"/>
          <w:sz w:val="20"/>
          <w:szCs w:val="20"/>
          <w:color w:val="auto"/>
        </w:rPr>
        <w:t>3,534,554</w:t>
      </w:r>
      <w:r>
        <w:rPr>
          <w:sz w:val="20"/>
          <w:szCs w:val="20"/>
          <w:color w:val="auto"/>
        </w:rPr>
        <w:tab/>
      </w:r>
      <w:r>
        <w:rPr>
          <w:rFonts w:ascii="Arial" w:cs="Arial" w:eastAsia="Arial" w:hAnsi="Arial"/>
          <w:sz w:val="20"/>
          <w:szCs w:val="20"/>
          <w:color w:val="auto"/>
        </w:rPr>
        <w:t>3.0%</w:t>
      </w:r>
    </w:p>
    <w:p>
      <w:pPr>
        <w:spacing w:after="0" w:line="70" w:lineRule="exact"/>
        <w:rPr>
          <w:sz w:val="20"/>
          <w:szCs w:val="20"/>
          <w:color w:val="auto"/>
        </w:rPr>
      </w:pPr>
    </w:p>
    <w:p>
      <w:pPr>
        <w:ind w:left="60"/>
        <w:spacing w:after="0"/>
        <w:tabs>
          <w:tab w:leader="none" w:pos="2120" w:val="left"/>
        </w:tabs>
        <w:rPr>
          <w:sz w:val="20"/>
          <w:szCs w:val="20"/>
          <w:color w:val="auto"/>
        </w:rPr>
      </w:pPr>
      <w:r>
        <w:rPr>
          <w:rFonts w:ascii="Arial" w:cs="Arial" w:eastAsia="Arial" w:hAnsi="Arial"/>
          <w:sz w:val="20"/>
          <w:szCs w:val="20"/>
          <w:color w:val="auto"/>
        </w:rPr>
        <w:t>1,028,326</w:t>
      </w:r>
      <w:r>
        <w:rPr>
          <w:sz w:val="20"/>
          <w:szCs w:val="20"/>
          <w:color w:val="auto"/>
        </w:rPr>
        <w:tab/>
      </w:r>
      <w:r>
        <w:rPr>
          <w:rFonts w:ascii="Arial" w:cs="Arial" w:eastAsia="Arial" w:hAnsi="Arial"/>
          <w:sz w:val="20"/>
          <w:szCs w:val="20"/>
          <w:color w:val="auto"/>
        </w:rPr>
        <w:t>*</w:t>
      </w:r>
    </w:p>
    <w:p>
      <w:pPr>
        <w:spacing w:after="0" w:line="70" w:lineRule="exact"/>
        <w:rPr>
          <w:sz w:val="20"/>
          <w:szCs w:val="20"/>
          <w:color w:val="auto"/>
        </w:rPr>
      </w:pPr>
    </w:p>
    <w:p>
      <w:pPr>
        <w:ind w:left="180"/>
        <w:spacing w:after="0"/>
        <w:tabs>
          <w:tab w:leader="none" w:pos="2120" w:val="left"/>
        </w:tabs>
        <w:rPr>
          <w:sz w:val="20"/>
          <w:szCs w:val="20"/>
          <w:color w:val="auto"/>
        </w:rPr>
      </w:pPr>
      <w:r>
        <w:rPr>
          <w:rFonts w:ascii="Arial" w:cs="Arial" w:eastAsia="Arial" w:hAnsi="Arial"/>
          <w:sz w:val="20"/>
          <w:szCs w:val="20"/>
          <w:color w:val="auto"/>
        </w:rPr>
        <w:t>56,721</w:t>
      </w:r>
      <w:r>
        <w:rPr>
          <w:sz w:val="20"/>
          <w:szCs w:val="20"/>
          <w:color w:val="auto"/>
        </w:rPr>
        <w:tab/>
      </w:r>
      <w:r>
        <w:rPr>
          <w:rFonts w:ascii="Arial" w:cs="Arial" w:eastAsia="Arial" w:hAnsi="Arial"/>
          <w:sz w:val="20"/>
          <w:szCs w:val="20"/>
          <w:color w:val="auto"/>
        </w:rPr>
        <w:t>*</w:t>
      </w:r>
    </w:p>
    <w:p>
      <w:pPr>
        <w:spacing w:after="0" w:line="70" w:lineRule="exact"/>
        <w:rPr>
          <w:sz w:val="20"/>
          <w:szCs w:val="20"/>
          <w:color w:val="auto"/>
        </w:rPr>
      </w:pPr>
    </w:p>
    <w:p>
      <w:pPr>
        <w:ind w:left="180"/>
        <w:spacing w:after="0"/>
        <w:tabs>
          <w:tab w:leader="none" w:pos="2120" w:val="left"/>
        </w:tabs>
        <w:rPr>
          <w:sz w:val="20"/>
          <w:szCs w:val="20"/>
          <w:color w:val="auto"/>
        </w:rPr>
      </w:pPr>
      <w:r>
        <w:rPr>
          <w:rFonts w:ascii="Arial" w:cs="Arial" w:eastAsia="Arial" w:hAnsi="Arial"/>
          <w:sz w:val="20"/>
          <w:szCs w:val="20"/>
          <w:color w:val="auto"/>
        </w:rPr>
        <w:t>26,520</w:t>
      </w:r>
      <w:r>
        <w:rPr>
          <w:sz w:val="20"/>
          <w:szCs w:val="20"/>
          <w:color w:val="auto"/>
        </w:rPr>
        <w:tab/>
      </w:r>
      <w:r>
        <w:rPr>
          <w:rFonts w:ascii="Arial" w:cs="Arial" w:eastAsia="Arial" w:hAnsi="Arial"/>
          <w:sz w:val="20"/>
          <w:szCs w:val="20"/>
          <w:color w:val="auto"/>
        </w:rPr>
        <w:t>*</w:t>
      </w:r>
    </w:p>
    <w:p>
      <w:pPr>
        <w:spacing w:after="0" w:line="70" w:lineRule="exact"/>
        <w:rPr>
          <w:sz w:val="20"/>
          <w:szCs w:val="20"/>
          <w:color w:val="auto"/>
        </w:rPr>
      </w:pPr>
    </w:p>
    <w:p>
      <w:pPr>
        <w:ind w:left="180"/>
        <w:spacing w:after="0"/>
        <w:tabs>
          <w:tab w:leader="none" w:pos="2120" w:val="left"/>
        </w:tabs>
        <w:rPr>
          <w:sz w:val="20"/>
          <w:szCs w:val="20"/>
          <w:color w:val="auto"/>
        </w:rPr>
      </w:pPr>
      <w:r>
        <w:rPr>
          <w:rFonts w:ascii="Arial" w:cs="Arial" w:eastAsia="Arial" w:hAnsi="Arial"/>
          <w:sz w:val="20"/>
          <w:szCs w:val="20"/>
          <w:color w:val="auto"/>
        </w:rPr>
        <w:t>25,879</w:t>
      </w:r>
      <w:r>
        <w:rPr>
          <w:sz w:val="20"/>
          <w:szCs w:val="20"/>
          <w:color w:val="auto"/>
        </w:rPr>
        <w:tab/>
      </w:r>
      <w:r>
        <w:rPr>
          <w:rFonts w:ascii="Arial" w:cs="Arial" w:eastAsia="Arial" w:hAnsi="Arial"/>
          <w:sz w:val="20"/>
          <w:szCs w:val="20"/>
          <w:color w:val="auto"/>
        </w:rPr>
        <w:t>*</w:t>
      </w:r>
    </w:p>
    <w:p>
      <w:pPr>
        <w:spacing w:after="0" w:line="70" w:lineRule="exact"/>
        <w:rPr>
          <w:sz w:val="20"/>
          <w:szCs w:val="20"/>
          <w:color w:val="auto"/>
        </w:rPr>
      </w:pPr>
    </w:p>
    <w:p>
      <w:pPr>
        <w:ind w:left="140"/>
        <w:spacing w:after="0"/>
        <w:tabs>
          <w:tab w:leader="none" w:pos="2120" w:val="left"/>
        </w:tabs>
        <w:rPr>
          <w:sz w:val="20"/>
          <w:szCs w:val="20"/>
          <w:color w:val="auto"/>
        </w:rPr>
      </w:pPr>
      <w:r>
        <w:rPr>
          <w:rFonts w:ascii="Arial" w:cs="Arial" w:eastAsia="Arial" w:hAnsi="Arial"/>
          <w:sz w:val="20"/>
          <w:szCs w:val="20"/>
          <w:color w:val="auto"/>
        </w:rPr>
        <w:t>482,753</w:t>
      </w:r>
      <w:r>
        <w:rPr>
          <w:sz w:val="20"/>
          <w:szCs w:val="20"/>
          <w:color w:val="auto"/>
        </w:rPr>
        <w:tab/>
      </w:r>
      <w:r>
        <w:rPr>
          <w:rFonts w:ascii="Arial" w:cs="Arial" w:eastAsia="Arial" w:hAnsi="Arial"/>
          <w:sz w:val="20"/>
          <w:szCs w:val="20"/>
          <w:color w:val="auto"/>
        </w:rPr>
        <w:t>*</w:t>
      </w:r>
    </w:p>
    <w:p>
      <w:pPr>
        <w:spacing w:after="0" w:line="70" w:lineRule="exact"/>
        <w:rPr>
          <w:sz w:val="20"/>
          <w:szCs w:val="20"/>
          <w:color w:val="auto"/>
        </w:rPr>
      </w:pPr>
    </w:p>
    <w:p>
      <w:pPr>
        <w:ind w:left="240"/>
        <w:spacing w:after="0"/>
        <w:tabs>
          <w:tab w:leader="none" w:pos="2120" w:val="left"/>
        </w:tabs>
        <w:rPr>
          <w:sz w:val="20"/>
          <w:szCs w:val="20"/>
          <w:color w:val="auto"/>
        </w:rPr>
      </w:pPr>
      <w:r>
        <w:rPr>
          <w:rFonts w:ascii="Arial" w:cs="Arial" w:eastAsia="Arial" w:hAnsi="Arial"/>
          <w:sz w:val="20"/>
          <w:szCs w:val="20"/>
          <w:color w:val="auto"/>
        </w:rPr>
        <w:t>5,922</w:t>
      </w:r>
      <w:r>
        <w:rPr>
          <w:sz w:val="20"/>
          <w:szCs w:val="20"/>
          <w:color w:val="auto"/>
        </w:rPr>
        <w:tab/>
      </w:r>
      <w:r>
        <w:rPr>
          <w:rFonts w:ascii="Arial" w:cs="Arial" w:eastAsia="Arial" w:hAnsi="Arial"/>
          <w:sz w:val="20"/>
          <w:szCs w:val="20"/>
          <w:color w:val="auto"/>
        </w:rPr>
        <w:t>*</w:t>
      </w:r>
    </w:p>
    <w:p>
      <w:pPr>
        <w:spacing w:after="0" w:line="70" w:lineRule="exact"/>
        <w:rPr>
          <w:sz w:val="20"/>
          <w:szCs w:val="20"/>
          <w:color w:val="auto"/>
        </w:rPr>
      </w:pPr>
    </w:p>
    <w:p>
      <w:pPr>
        <w:ind w:left="240"/>
        <w:spacing w:after="0"/>
        <w:tabs>
          <w:tab w:leader="none" w:pos="2120" w:val="left"/>
        </w:tabs>
        <w:rPr>
          <w:sz w:val="20"/>
          <w:szCs w:val="20"/>
          <w:color w:val="auto"/>
        </w:rPr>
      </w:pPr>
      <w:r>
        <w:rPr>
          <w:rFonts w:ascii="Arial" w:cs="Arial" w:eastAsia="Arial" w:hAnsi="Arial"/>
          <w:sz w:val="20"/>
          <w:szCs w:val="20"/>
          <w:color w:val="auto"/>
        </w:rPr>
        <w:t>3,308</w:t>
      </w:r>
      <w:r>
        <w:rPr>
          <w:sz w:val="20"/>
          <w:szCs w:val="20"/>
          <w:color w:val="auto"/>
        </w:rPr>
        <w:tab/>
      </w:r>
      <w:r>
        <w:rPr>
          <w:rFonts w:ascii="Arial" w:cs="Arial" w:eastAsia="Arial" w:hAnsi="Arial"/>
          <w:sz w:val="20"/>
          <w:szCs w:val="20"/>
          <w:color w:val="auto"/>
        </w:rPr>
        <w:t>*</w:t>
      </w:r>
    </w:p>
    <w:p>
      <w:pPr>
        <w:spacing w:after="0" w:line="70" w:lineRule="exact"/>
        <w:rPr>
          <w:sz w:val="20"/>
          <w:szCs w:val="20"/>
          <w:color w:val="auto"/>
        </w:rPr>
      </w:pPr>
    </w:p>
    <w:p>
      <w:pPr>
        <w:ind w:left="140"/>
        <w:spacing w:after="0"/>
        <w:tabs>
          <w:tab w:leader="none" w:pos="2120" w:val="left"/>
        </w:tabs>
        <w:rPr>
          <w:sz w:val="20"/>
          <w:szCs w:val="20"/>
          <w:color w:val="auto"/>
        </w:rPr>
      </w:pPr>
      <w:r>
        <w:rPr>
          <w:rFonts w:ascii="Arial" w:cs="Arial" w:eastAsia="Arial" w:hAnsi="Arial"/>
          <w:sz w:val="20"/>
          <w:szCs w:val="20"/>
          <w:color w:val="auto"/>
        </w:rPr>
        <w:t>264,962</w:t>
      </w:r>
      <w:r>
        <w:rPr>
          <w:sz w:val="20"/>
          <w:szCs w:val="20"/>
          <w:color w:val="auto"/>
        </w:rPr>
        <w:tab/>
      </w:r>
      <w:r>
        <w:rPr>
          <w:rFonts w:ascii="Arial" w:cs="Arial" w:eastAsia="Arial" w:hAnsi="Arial"/>
          <w:sz w:val="20"/>
          <w:szCs w:val="20"/>
          <w:color w:val="auto"/>
        </w:rPr>
        <w:t>*</w:t>
      </w:r>
    </w:p>
    <w:p>
      <w:pPr>
        <w:spacing w:after="0" w:line="70" w:lineRule="exact"/>
        <w:rPr>
          <w:sz w:val="20"/>
          <w:szCs w:val="20"/>
          <w:color w:val="auto"/>
        </w:rPr>
      </w:pPr>
    </w:p>
    <w:p>
      <w:pPr>
        <w:ind w:left="240"/>
        <w:spacing w:after="0"/>
        <w:tabs>
          <w:tab w:leader="none" w:pos="2120" w:val="left"/>
        </w:tabs>
        <w:rPr>
          <w:sz w:val="20"/>
          <w:szCs w:val="20"/>
          <w:color w:val="auto"/>
        </w:rPr>
      </w:pPr>
      <w:r>
        <w:rPr>
          <w:rFonts w:ascii="Arial" w:cs="Arial" w:eastAsia="Arial" w:hAnsi="Arial"/>
          <w:sz w:val="20"/>
          <w:szCs w:val="20"/>
          <w:color w:val="auto"/>
        </w:rPr>
        <w:t>1,697</w:t>
      </w:r>
      <w:r>
        <w:rPr>
          <w:sz w:val="20"/>
          <w:szCs w:val="20"/>
          <w:color w:val="auto"/>
        </w:rPr>
        <w:tab/>
      </w:r>
      <w:r>
        <w:rPr>
          <w:rFonts w:ascii="Arial" w:cs="Arial" w:eastAsia="Arial" w:hAnsi="Arial"/>
          <w:sz w:val="20"/>
          <w:szCs w:val="20"/>
          <w:color w:val="auto"/>
        </w:rPr>
        <w:t>*</w:t>
      </w:r>
    </w:p>
    <w:p>
      <w:pPr>
        <w:spacing w:after="0" w:line="55" w:lineRule="exact"/>
        <w:rPr>
          <w:sz w:val="20"/>
          <w:szCs w:val="20"/>
          <w:color w:val="auto"/>
        </w:rPr>
      </w:pPr>
    </w:p>
    <w:p>
      <w:pPr>
        <w:ind w:left="240"/>
        <w:spacing w:after="0"/>
        <w:tabs>
          <w:tab w:leader="none" w:pos="2120" w:val="left"/>
        </w:tabs>
        <w:rPr>
          <w:sz w:val="20"/>
          <w:szCs w:val="20"/>
          <w:color w:val="auto"/>
        </w:rPr>
      </w:pPr>
      <w:r>
        <w:rPr>
          <w:rFonts w:ascii="Arial" w:cs="Arial" w:eastAsia="Arial" w:hAnsi="Arial"/>
          <w:sz w:val="20"/>
          <w:szCs w:val="20"/>
          <w:color w:val="auto"/>
        </w:rPr>
        <w:t>5,613</w:t>
      </w:r>
      <w:r>
        <w:rPr>
          <w:sz w:val="20"/>
          <w:szCs w:val="20"/>
          <w:color w:val="auto"/>
        </w:rPr>
        <w:tab/>
      </w:r>
      <w:r>
        <w:rPr>
          <w:rFonts w:ascii="Arial" w:cs="Arial" w:eastAsia="Arial" w:hAnsi="Arial"/>
          <w:sz w:val="20"/>
          <w:szCs w:val="20"/>
          <w:color w:val="auto"/>
        </w:rPr>
        <w:t>*</w:t>
      </w:r>
    </w:p>
    <w:p>
      <w:pPr>
        <w:spacing w:after="0" w:line="265" w:lineRule="exact"/>
        <w:rPr>
          <w:sz w:val="20"/>
          <w:szCs w:val="20"/>
          <w:color w:val="auto"/>
        </w:rPr>
      </w:pPr>
    </w:p>
    <w:p>
      <w:pPr>
        <w:ind w:left="60"/>
        <w:spacing w:after="0"/>
        <w:tabs>
          <w:tab w:leader="none" w:pos="1940" w:val="left"/>
        </w:tabs>
        <w:rPr>
          <w:sz w:val="20"/>
          <w:szCs w:val="20"/>
          <w:color w:val="auto"/>
        </w:rPr>
      </w:pPr>
      <w:r>
        <w:rPr>
          <w:rFonts w:ascii="Arial" w:cs="Arial" w:eastAsia="Arial" w:hAnsi="Arial"/>
          <w:sz w:val="20"/>
          <w:szCs w:val="20"/>
          <w:color w:val="auto"/>
        </w:rPr>
        <w:t>5,379,534</w:t>
      </w:r>
      <w:r>
        <w:rPr>
          <w:sz w:val="20"/>
          <w:szCs w:val="20"/>
          <w:color w:val="auto"/>
        </w:rPr>
        <w:tab/>
      </w:r>
      <w:r>
        <w:rPr>
          <w:rFonts w:ascii="Arial" w:cs="Arial" w:eastAsia="Arial" w:hAnsi="Arial"/>
          <w:sz w:val="20"/>
          <w:szCs w:val="20"/>
          <w:color w:val="auto"/>
        </w:rPr>
        <w:t>4.5%</w:t>
      </w:r>
    </w:p>
    <w:p>
      <w:pPr>
        <w:spacing w:after="0" w:line="661" w:lineRule="exact"/>
        <w:rPr>
          <w:sz w:val="20"/>
          <w:szCs w:val="20"/>
          <w:color w:val="auto"/>
        </w:rPr>
      </w:pPr>
    </w:p>
    <w:p>
      <w:pPr>
        <w:sectPr>
          <w:pgSz w:w="11880" w:h="15480" w:orient="portrait"/>
          <w:cols w:equalWidth="0" w:num="2">
            <w:col w:w="5340" w:space="720"/>
            <w:col w:w="2940"/>
          </w:cols>
          <w:pgMar w:left="1440" w:top="1203" w:right="1440" w:bottom="0" w:gutter="0" w:footer="0" w:header="0"/>
          <w:type w:val="continuous"/>
        </w:sectPr>
      </w:pPr>
    </w:p>
    <w:p>
      <w:pPr>
        <w:spacing w:after="0" w:line="50" w:lineRule="exact"/>
        <w:rPr>
          <w:sz w:val="20"/>
          <w:szCs w:val="20"/>
          <w:color w:val="auto"/>
        </w:rPr>
      </w:pPr>
    </w:p>
    <w:p>
      <w:pPr>
        <w:ind w:right="60"/>
        <w:spacing w:after="0" w:line="273" w:lineRule="auto"/>
        <w:tabs>
          <w:tab w:leader="none" w:pos="7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This table is based upon information supplied by officers, directors and principal stockholders and Schedules 13D and 13G filed with the SEC.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114,693,859 shares outstanding on March 3, 2023, adjusted as required by rules promulgated by the SEC.</w:t>
      </w:r>
    </w:p>
    <w:p>
      <w:pPr>
        <w:spacing w:after="0" w:line="188" w:lineRule="exact"/>
        <w:rPr>
          <w:rFonts w:ascii="Arial" w:cs="Arial" w:eastAsia="Arial" w:hAnsi="Arial"/>
          <w:sz w:val="19"/>
          <w:szCs w:val="19"/>
          <w:color w:val="auto"/>
        </w:rPr>
      </w:pPr>
    </w:p>
    <w:p>
      <w:pPr>
        <w:ind w:right="100"/>
        <w:spacing w:after="0" w:line="270" w:lineRule="auto"/>
        <w:tabs>
          <w:tab w:leader="none" w:pos="7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As reported in a Schedule 13G/A filed with the Securities and Exchange Commission on January 10, 2023, which states that The Vanguard Group, Inc. has sole dispositive power with respect to 11,008,997 of the shares, shared dispositive power with respect to 301,005 of the shares and shared voting power with respect to 190,290 of the shares. The Vanguard Group, Inc. is the parent holding company of Vanguard Asset Management, Limited, Vanguard Fiduciary Trust Company, Vanguard Global Advisors, LLC, Vanguard Group (Ireland) Limited, Vanguard Investments Australia Ltd, Vanguard Investments Canada Inc., Vanguard Investments Hong Kong Limited and Vanguard Investments UK, Limited, which act as investment advisers to registered investment</w:t>
      </w:r>
    </w:p>
    <w:p>
      <w:pPr>
        <w:sectPr>
          <w:pgSz w:w="11880" w:h="15480" w:orient="portrait"/>
          <w:cols w:equalWidth="0" w:num="1">
            <w:col w:w="9000"/>
          </w:cols>
          <w:pgMar w:left="1440" w:top="1203"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880" w:h="15480" w:orient="portrait"/>
          <w:cols w:equalWidth="0" w:num="1">
            <w:col w:w="9000"/>
          </w:cols>
          <w:pgMar w:left="1440" w:top="1203" w:right="1440" w:bottom="0" w:gutter="0" w:footer="0" w:header="0"/>
          <w:type w:val="continuous"/>
        </w:sectPr>
      </w:pPr>
    </w:p>
    <w:bookmarkStart w:id="44" w:name="page45"/>
    <w:bookmarkEnd w:id="44"/>
    <w:p>
      <w:pPr>
        <w:ind w:right="280"/>
        <w:spacing w:after="0" w:line="287" w:lineRule="auto"/>
        <w:rPr>
          <w:sz w:val="20"/>
          <w:szCs w:val="20"/>
          <w:color w:val="auto"/>
        </w:rPr>
      </w:pPr>
      <w:r>
        <w:rPr>
          <w:rFonts w:ascii="Arial" w:cs="Arial" w:eastAsia="Arial" w:hAnsi="Arial"/>
          <w:sz w:val="20"/>
          <w:szCs w:val="20"/>
          <w:color w:val="auto"/>
        </w:rPr>
        <w:t>companies and separate accounts that own the reported shares. The principal business address of The Vanguard Group, Inc. is 100 Vanguard Boulevard, Malvern, Pennsylvania 19355.</w:t>
      </w:r>
    </w:p>
    <w:p>
      <w:pPr>
        <w:spacing w:after="0" w:line="170" w:lineRule="exact"/>
        <w:rPr>
          <w:sz w:val="20"/>
          <w:szCs w:val="20"/>
          <w:color w:val="auto"/>
        </w:rPr>
      </w:pPr>
    </w:p>
    <w:p>
      <w:pPr>
        <w:ind w:right="420"/>
        <w:spacing w:after="0" w:line="262"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As reported in a Schedule 13G/A filed with the Securities and Exchange Commission on February 9, 2023, which states that FMR LLC has sole dispositive power with respect to all of the shares and sole voting power with respect to 11,131,903 of the shares. The principal business address of FMR LLC is 245 Summer Street, Boston, Massachusetts 02210.</w:t>
      </w:r>
    </w:p>
    <w:p>
      <w:pPr>
        <w:spacing w:after="0" w:line="195" w:lineRule="exact"/>
        <w:rPr>
          <w:rFonts w:ascii="Arial" w:cs="Arial" w:eastAsia="Arial" w:hAnsi="Arial"/>
          <w:sz w:val="20"/>
          <w:szCs w:val="20"/>
          <w:color w:val="auto"/>
        </w:rPr>
      </w:pPr>
    </w:p>
    <w:p>
      <w:pPr>
        <w:spacing w:after="0" w:line="253"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As reported in a Schedule 13G filed with the Securities and Exchange Commission on January 25, 2023, which states that BlackRock, Inc. has sole dispositive power with respect to all of the shares and sole voting power with respect to 9,610,017 of the shares. BlackRock, Inc. is the parent holding company of BlackRock Life Limited, BlackRock Advisors, LLC, BlackRock (Netherlands) B.V.,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Investment Management (Australia) Limited, BlackRock Fund Advisors and BlackRock Fund Managers Ltd, which act as investment advisers to registered investment companies and separate accounts that own the reported shares. The principal business address of BlackRock, Inc. is 55 East 52nd Street, New York, New York 10055.</w:t>
      </w:r>
    </w:p>
    <w:p>
      <w:pPr>
        <w:spacing w:after="0" w:line="210" w:lineRule="exact"/>
        <w:rPr>
          <w:rFonts w:ascii="Arial" w:cs="Arial" w:eastAsia="Arial" w:hAnsi="Arial"/>
          <w:sz w:val="20"/>
          <w:szCs w:val="20"/>
          <w:color w:val="auto"/>
        </w:rPr>
      </w:pPr>
    </w:p>
    <w:p>
      <w:pPr>
        <w:ind w:right="160"/>
        <w:spacing w:after="0" w:line="276" w:lineRule="auto"/>
        <w:tabs>
          <w:tab w:leader="none" w:pos="7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Consists of (a) 204,925 shares of common stock held by Mr. Yoran directly, (b) 245,947 shares of common stock held by the Amit Yoran 2020 Family Trust, (c) 350,270 shares of common stock held by the Amit Yoran Grantor Retained Annuity Trust A, (d) 179,700 shares of common stock held by the Amit Yoran Grantor Retained Annuity Trust B and (e) 2,553,712 shares of common stock issuable upon the exercise of outstanding options exercisable within 60 days of March 3, 2023.</w:t>
      </w:r>
    </w:p>
    <w:p>
      <w:pPr>
        <w:spacing w:after="0" w:line="183" w:lineRule="exact"/>
        <w:rPr>
          <w:rFonts w:ascii="Arial" w:cs="Arial" w:eastAsia="Arial" w:hAnsi="Arial"/>
          <w:sz w:val="19"/>
          <w:szCs w:val="19"/>
          <w:color w:val="auto"/>
        </w:rPr>
      </w:pPr>
    </w:p>
    <w:p>
      <w:pPr>
        <w:ind w:right="300"/>
        <w:spacing w:after="0" w:line="314" w:lineRule="auto"/>
        <w:tabs>
          <w:tab w:leader="none" w:pos="7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Consists of (a) 194,392 shares of common stock and (b) 833,934 shares of common stock issuable upon the exercise of outstanding options exercisable within 60 days of March 3, 2023.</w:t>
      </w:r>
    </w:p>
    <w:p>
      <w:pPr>
        <w:spacing w:after="0" w:line="148" w:lineRule="exact"/>
        <w:rPr>
          <w:rFonts w:ascii="Arial" w:cs="Arial" w:eastAsia="Arial" w:hAnsi="Arial"/>
          <w:sz w:val="19"/>
          <w:szCs w:val="19"/>
          <w:color w:val="auto"/>
        </w:rPr>
      </w:pPr>
    </w:p>
    <w:p>
      <w:pPr>
        <w:ind w:right="220"/>
        <w:spacing w:after="0" w:line="268"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Consists of (a) 42,199 shares of common stock and (b) 14,522 shares of common stock issuable upon the exercise of outstanding options exercisable as of October 14, 2022, Mr. Riddick's last day of employment with the Company.</w:t>
      </w:r>
    </w:p>
    <w:p>
      <w:pPr>
        <w:spacing w:after="0" w:line="189" w:lineRule="exact"/>
        <w:rPr>
          <w:rFonts w:ascii="Arial" w:cs="Arial" w:eastAsia="Arial" w:hAnsi="Arial"/>
          <w:sz w:val="20"/>
          <w:szCs w:val="20"/>
          <w:color w:val="auto"/>
        </w:rPr>
      </w:pPr>
    </w:p>
    <w:p>
      <w:pPr>
        <w:ind w:left="720" w:hanging="720"/>
        <w:spacing w:after="0"/>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Consists of 26,520 shares of common stock held by Mr. Thurmond directly.</w:t>
      </w:r>
    </w:p>
    <w:p>
      <w:pPr>
        <w:spacing w:after="0" w:line="250" w:lineRule="exact"/>
        <w:rPr>
          <w:rFonts w:ascii="Arial" w:cs="Arial" w:eastAsia="Arial" w:hAnsi="Arial"/>
          <w:sz w:val="20"/>
          <w:szCs w:val="20"/>
          <w:color w:val="auto"/>
        </w:rPr>
      </w:pPr>
    </w:p>
    <w:p>
      <w:pPr>
        <w:ind w:left="720" w:hanging="720"/>
        <w:spacing w:after="0"/>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Consists of 25,879 shares of common stock held by Mr. Coviello directly.</w:t>
      </w:r>
    </w:p>
    <w:p>
      <w:pPr>
        <w:spacing w:after="0" w:line="250" w:lineRule="exact"/>
        <w:rPr>
          <w:rFonts w:ascii="Arial" w:cs="Arial" w:eastAsia="Arial" w:hAnsi="Arial"/>
          <w:sz w:val="20"/>
          <w:szCs w:val="20"/>
          <w:color w:val="auto"/>
        </w:rPr>
      </w:pPr>
    </w:p>
    <w:p>
      <w:pPr>
        <w:ind w:right="40"/>
        <w:spacing w:after="0" w:line="256"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Consists of (a) 7,135 shares of common stock held by Mr. Huffard directly, (b) 31,847 shares of common stock held by Mr. Huffard’s spouse in the Mary Kathryn Braden Huffard Revocable Trust U/T/A dated March 2, 2012, (c) 390,183 shares of common stock held by Mary Kathryn Braden Huffard and Jonathan M. Forster, as Trustees of The Three Suns 2019 Non-Exempt Irrevocable Trust U/T/A dated November 15, 2019, and (d) 53,588 shares of common stock held by Mr. Huffard and Mary Kathryn Braden Huffard, as Trustees of The John Cloyd Huffard Jr Revocable Trust U/T/A dated March 2, 2012.</w:t>
      </w:r>
    </w:p>
    <w:p>
      <w:pPr>
        <w:spacing w:after="0" w:line="202" w:lineRule="exact"/>
        <w:rPr>
          <w:rFonts w:ascii="Arial" w:cs="Arial" w:eastAsia="Arial" w:hAnsi="Arial"/>
          <w:sz w:val="20"/>
          <w:szCs w:val="20"/>
          <w:color w:val="auto"/>
        </w:rPr>
      </w:pPr>
    </w:p>
    <w:p>
      <w:pPr>
        <w:ind w:left="720" w:hanging="720"/>
        <w:spacing w:after="0"/>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Consists of 5,922 shares of common stock held by Ms. Zecher Higgins directly.</w:t>
      </w:r>
    </w:p>
    <w:p>
      <w:pPr>
        <w:spacing w:after="0" w:line="250" w:lineRule="exact"/>
        <w:rPr>
          <w:rFonts w:ascii="Arial" w:cs="Arial" w:eastAsia="Arial" w:hAnsi="Arial"/>
          <w:sz w:val="20"/>
          <w:szCs w:val="20"/>
          <w:color w:val="auto"/>
        </w:rPr>
      </w:pPr>
    </w:p>
    <w:p>
      <w:pPr>
        <w:ind w:left="720" w:hanging="720"/>
        <w:spacing w:after="0"/>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Consists of 3,308 shares of common stock held by Ms. Howe directly.</w:t>
      </w:r>
    </w:p>
    <w:p>
      <w:pPr>
        <w:spacing w:after="0" w:line="250" w:lineRule="exact"/>
        <w:rPr>
          <w:rFonts w:ascii="Arial" w:cs="Arial" w:eastAsia="Arial" w:hAnsi="Arial"/>
          <w:sz w:val="20"/>
          <w:szCs w:val="20"/>
          <w:color w:val="auto"/>
        </w:rPr>
      </w:pPr>
    </w:p>
    <w:p>
      <w:pPr>
        <w:ind w:right="420"/>
        <w:spacing w:after="0" w:line="314" w:lineRule="auto"/>
        <w:tabs>
          <w:tab w:leader="none" w:pos="7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Consists of (a) 34,962 shares of common stock and (b) 230,000 shares of common stock issuable upon the exercise of outstanding options exercisable within 60 days of March 3, 2023.</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880" w:h="15480" w:orient="portrait"/>
          <w:cols w:equalWidth="0" w:num="1">
            <w:col w:w="9000"/>
          </w:cols>
          <w:pgMar w:left="1440" w:top="1204" w:right="1440" w:bottom="0" w:gutter="0" w:footer="0" w:header="0"/>
          <w:type w:val="continuous"/>
        </w:sectPr>
      </w:pPr>
    </w:p>
    <w:bookmarkStart w:id="45" w:name="page46"/>
    <w:bookmarkEnd w:id="45"/>
    <w:p>
      <w:pPr>
        <w:ind w:left="720" w:hanging="720"/>
        <w:spacing w:after="0"/>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Consists of 1,697 shares of common stock held by Mr. Vicks directly.</w:t>
      </w:r>
    </w:p>
    <w:p>
      <w:pPr>
        <w:spacing w:after="0" w:line="250" w:lineRule="exact"/>
        <w:rPr>
          <w:rFonts w:ascii="Arial" w:cs="Arial" w:eastAsia="Arial" w:hAnsi="Arial"/>
          <w:sz w:val="20"/>
          <w:szCs w:val="20"/>
          <w:color w:val="auto"/>
        </w:rPr>
      </w:pPr>
    </w:p>
    <w:p>
      <w:pPr>
        <w:ind w:left="720" w:hanging="720"/>
        <w:spacing w:after="0"/>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Consists of 5,613 shares of common stock held by Mr. Tosheff directly.</w:t>
      </w:r>
    </w:p>
    <w:p>
      <w:pPr>
        <w:spacing w:after="0" w:line="250" w:lineRule="exact"/>
        <w:rPr>
          <w:rFonts w:ascii="Arial" w:cs="Arial" w:eastAsia="Arial" w:hAnsi="Arial"/>
          <w:sz w:val="20"/>
          <w:szCs w:val="20"/>
          <w:color w:val="auto"/>
        </w:rPr>
      </w:pPr>
    </w:p>
    <w:p>
      <w:pPr>
        <w:ind w:right="100"/>
        <w:spacing w:after="0" w:line="314" w:lineRule="auto"/>
        <w:tabs>
          <w:tab w:leader="none" w:pos="7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Consists of (a) 1,761,888 shares of common stock and (b) 3,617,646 shares of common stock issuable upon the exercise of outstanding options exercisable within 60 days of March 3, 2023.</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DELINQUENT SECTION 16(A) REPORTS</w:t>
      </w:r>
    </w:p>
    <w:p>
      <w:pPr>
        <w:spacing w:after="0" w:line="251" w:lineRule="exact"/>
        <w:rPr>
          <w:sz w:val="20"/>
          <w:szCs w:val="20"/>
          <w:color w:val="auto"/>
        </w:rPr>
      </w:pPr>
    </w:p>
    <w:p>
      <w:pPr>
        <w:ind w:right="200" w:firstLine="360"/>
        <w:spacing w:after="0" w:line="257" w:lineRule="auto"/>
        <w:rPr>
          <w:sz w:val="20"/>
          <w:szCs w:val="20"/>
          <w:color w:val="auto"/>
        </w:rPr>
      </w:pPr>
      <w:r>
        <w:rPr>
          <w:rFonts w:ascii="Arial" w:cs="Arial" w:eastAsia="Arial" w:hAnsi="Arial"/>
          <w:sz w:val="20"/>
          <w:szCs w:val="20"/>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w:t>
      </w:r>
    </w:p>
    <w:p>
      <w:pPr>
        <w:spacing w:after="0" w:line="202" w:lineRule="exact"/>
        <w:rPr>
          <w:sz w:val="20"/>
          <w:szCs w:val="20"/>
          <w:color w:val="auto"/>
        </w:rPr>
      </w:pPr>
    </w:p>
    <w:p>
      <w:pPr>
        <w:ind w:right="60" w:firstLine="360"/>
        <w:spacing w:after="0" w:line="259" w:lineRule="auto"/>
        <w:rPr>
          <w:sz w:val="20"/>
          <w:szCs w:val="20"/>
          <w:color w:val="auto"/>
        </w:rPr>
      </w:pPr>
      <w:r>
        <w:rPr>
          <w:rFonts w:ascii="Arial" w:cs="Arial" w:eastAsia="Arial" w:hAnsi="Arial"/>
          <w:sz w:val="20"/>
          <w:szCs w:val="20"/>
          <w:color w:val="auto"/>
        </w:rPr>
        <w:t>To the Company's knowledge, based solely on a review of the copies of such reports furnished to the Company and written representations that no other reports were required, during the year ended December 31, 2022, all Section 16(a) filing requirements applicable to its officers, directors and greater than ten percent beneficial owners were complied with, except that one report covering one transaction was inadvertently filed late on behalf of Mr. Tosheff by the Company.</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880" w:h="15480" w:orient="portrait"/>
          <w:cols w:equalWidth="0" w:num="1">
            <w:col w:w="9000"/>
          </w:cols>
          <w:pgMar w:left="1440" w:top="1204" w:right="1440" w:bottom="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20"/>
          <w:szCs w:val="20"/>
          <w:b w:val="1"/>
          <w:bCs w:val="1"/>
          <w:color w:val="auto"/>
        </w:rPr>
        <w:t>EXECUTIVE COMPENSATION</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COMPENSATION DISCUSSION AND ANALYSIS</w:t>
      </w:r>
    </w:p>
    <w:p>
      <w:pPr>
        <w:spacing w:after="0" w:line="251" w:lineRule="exact"/>
        <w:rPr>
          <w:sz w:val="20"/>
          <w:szCs w:val="20"/>
          <w:color w:val="auto"/>
        </w:rPr>
      </w:pPr>
    </w:p>
    <w:p>
      <w:pPr>
        <w:jc w:val="both"/>
        <w:ind w:right="40" w:firstLine="360"/>
        <w:spacing w:after="0" w:line="268" w:lineRule="auto"/>
        <w:rPr>
          <w:sz w:val="20"/>
          <w:szCs w:val="20"/>
          <w:color w:val="auto"/>
        </w:rPr>
      </w:pPr>
      <w:r>
        <w:rPr>
          <w:rFonts w:ascii="Arial" w:cs="Arial" w:eastAsia="Arial" w:hAnsi="Arial"/>
          <w:sz w:val="20"/>
          <w:szCs w:val="20"/>
          <w:color w:val="auto"/>
        </w:rPr>
        <w:t>This Compensation Discussion and Analysis reviews the material elements of our 2022 executive compensation, philosophy, policies and practices, and discusses compensation earned by our named executive officers, which for 2022 were as follows (our “Named Executive Officers”):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0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Name</w:t>
            </w:r>
          </w:p>
        </w:tc>
        <w:tc>
          <w:tcPr>
            <w:tcW w:w="80" w:type="dxa"/>
            <w:vAlign w:val="bottom"/>
            <w:tcBorders>
              <w:bottom w:val="single" w:sz="8" w:color="D2EDF0"/>
            </w:tcBorders>
          </w:tcPr>
          <w:p>
            <w:pPr>
              <w:spacing w:after="0"/>
              <w:rPr>
                <w:sz w:val="22"/>
                <w:szCs w:val="22"/>
                <w:color w:val="auto"/>
              </w:rPr>
            </w:pPr>
          </w:p>
        </w:tc>
        <w:tc>
          <w:tcPr>
            <w:tcW w:w="650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Position</w:t>
            </w:r>
          </w:p>
        </w:tc>
      </w:tr>
      <w:tr>
        <w:trPr>
          <w:trHeight w:val="290"/>
        </w:trPr>
        <w:tc>
          <w:tcPr>
            <w:tcW w:w="2400" w:type="dxa"/>
            <w:vAlign w:val="bottom"/>
            <w:shd w:val="clear" w:color="auto" w:fill="D2EDF0"/>
          </w:tcPr>
          <w:p>
            <w:pPr>
              <w:ind w:left="60"/>
              <w:spacing w:after="0"/>
              <w:rPr>
                <w:sz w:val="20"/>
                <w:szCs w:val="20"/>
                <w:color w:val="auto"/>
              </w:rPr>
            </w:pPr>
            <w:r>
              <w:rPr>
                <w:rFonts w:ascii="Arial" w:cs="Arial" w:eastAsia="Arial" w:hAnsi="Arial"/>
                <w:sz w:val="20"/>
                <w:szCs w:val="20"/>
                <w:color w:val="auto"/>
              </w:rPr>
              <w:t>Amit Yoran</w:t>
            </w:r>
          </w:p>
        </w:tc>
        <w:tc>
          <w:tcPr>
            <w:tcW w:w="80" w:type="dxa"/>
            <w:vAlign w:val="bottom"/>
            <w:shd w:val="clear" w:color="auto" w:fill="D2EDF0"/>
          </w:tcPr>
          <w:p>
            <w:pPr>
              <w:spacing w:after="0"/>
              <w:rPr>
                <w:sz w:val="24"/>
                <w:szCs w:val="24"/>
                <w:color w:val="auto"/>
              </w:rPr>
            </w:pPr>
          </w:p>
        </w:tc>
        <w:tc>
          <w:tcPr>
            <w:tcW w:w="6500" w:type="dxa"/>
            <w:vAlign w:val="bottom"/>
            <w:shd w:val="clear" w:color="auto" w:fill="D2EDF0"/>
          </w:tcPr>
          <w:p>
            <w:pPr>
              <w:ind w:left="40"/>
              <w:spacing w:after="0"/>
              <w:rPr>
                <w:sz w:val="20"/>
                <w:szCs w:val="20"/>
                <w:color w:val="auto"/>
              </w:rPr>
            </w:pPr>
            <w:r>
              <w:rPr>
                <w:rFonts w:ascii="Arial" w:cs="Arial" w:eastAsia="Arial" w:hAnsi="Arial"/>
                <w:sz w:val="20"/>
                <w:szCs w:val="20"/>
                <w:color w:val="auto"/>
              </w:rPr>
              <w:t>Chief Executive Officer and Chairman of the Board of Directors</w:t>
            </w:r>
          </w:p>
        </w:tc>
      </w:tr>
      <w:tr>
        <w:trPr>
          <w:trHeight w:val="296"/>
        </w:trPr>
        <w:tc>
          <w:tcPr>
            <w:tcW w:w="2400" w:type="dxa"/>
            <w:vAlign w:val="bottom"/>
          </w:tcPr>
          <w:p>
            <w:pPr>
              <w:ind w:left="60"/>
              <w:spacing w:after="0"/>
              <w:rPr>
                <w:sz w:val="20"/>
                <w:szCs w:val="20"/>
                <w:color w:val="auto"/>
              </w:rPr>
            </w:pPr>
            <w:r>
              <w:rPr>
                <w:rFonts w:ascii="Arial" w:cs="Arial" w:eastAsia="Arial" w:hAnsi="Arial"/>
                <w:sz w:val="20"/>
                <w:szCs w:val="20"/>
                <w:color w:val="auto"/>
              </w:rPr>
              <w:t>Stephen A. Vintz</w:t>
            </w:r>
          </w:p>
        </w:tc>
        <w:tc>
          <w:tcPr>
            <w:tcW w:w="80" w:type="dxa"/>
            <w:vAlign w:val="bottom"/>
          </w:tcPr>
          <w:p>
            <w:pPr>
              <w:spacing w:after="0"/>
              <w:rPr>
                <w:sz w:val="24"/>
                <w:szCs w:val="24"/>
                <w:color w:val="auto"/>
              </w:rPr>
            </w:pPr>
          </w:p>
        </w:tc>
        <w:tc>
          <w:tcPr>
            <w:tcW w:w="6500" w:type="dxa"/>
            <w:vAlign w:val="bottom"/>
          </w:tcPr>
          <w:p>
            <w:pPr>
              <w:ind w:left="40"/>
              <w:spacing w:after="0"/>
              <w:rPr>
                <w:sz w:val="20"/>
                <w:szCs w:val="20"/>
                <w:color w:val="auto"/>
              </w:rPr>
            </w:pPr>
            <w:r>
              <w:rPr>
                <w:rFonts w:ascii="Arial" w:cs="Arial" w:eastAsia="Arial" w:hAnsi="Arial"/>
                <w:sz w:val="20"/>
                <w:szCs w:val="20"/>
                <w:color w:val="auto"/>
              </w:rPr>
              <w:t>Chief Financial Officer</w:t>
            </w:r>
          </w:p>
        </w:tc>
      </w:tr>
      <w:tr>
        <w:trPr>
          <w:trHeight w:val="304"/>
        </w:trPr>
        <w:tc>
          <w:tcPr>
            <w:tcW w:w="2400" w:type="dxa"/>
            <w:vAlign w:val="bottom"/>
            <w:shd w:val="clear" w:color="auto" w:fill="D2EDF0"/>
          </w:tcPr>
          <w:p>
            <w:pPr>
              <w:ind w:left="60"/>
              <w:spacing w:after="0"/>
              <w:rPr>
                <w:sz w:val="20"/>
                <w:szCs w:val="20"/>
                <w:color w:val="auto"/>
              </w:rPr>
            </w:pPr>
            <w:r>
              <w:rPr>
                <w:rFonts w:ascii="Arial" w:cs="Arial" w:eastAsia="Arial" w:hAnsi="Arial"/>
                <w:sz w:val="20"/>
                <w:szCs w:val="20"/>
                <w:color w:val="auto"/>
              </w:rPr>
              <w:t>Stephen A. Riddick</w:t>
            </w:r>
            <w:r>
              <w:rPr>
                <w:rFonts w:ascii="Arial" w:cs="Arial" w:eastAsia="Arial" w:hAnsi="Arial"/>
                <w:sz w:val="26"/>
                <w:szCs w:val="26"/>
                <w:color w:val="auto"/>
                <w:vertAlign w:val="superscript"/>
              </w:rPr>
              <w:t>(1)</w:t>
            </w:r>
          </w:p>
        </w:tc>
        <w:tc>
          <w:tcPr>
            <w:tcW w:w="80" w:type="dxa"/>
            <w:vAlign w:val="bottom"/>
            <w:shd w:val="clear" w:color="auto" w:fill="D2EDF0"/>
          </w:tcPr>
          <w:p>
            <w:pPr>
              <w:spacing w:after="0"/>
              <w:rPr>
                <w:sz w:val="24"/>
                <w:szCs w:val="24"/>
                <w:color w:val="auto"/>
              </w:rPr>
            </w:pPr>
          </w:p>
        </w:tc>
        <w:tc>
          <w:tcPr>
            <w:tcW w:w="6500" w:type="dxa"/>
            <w:vAlign w:val="bottom"/>
            <w:shd w:val="clear" w:color="auto" w:fill="D2EDF0"/>
          </w:tcPr>
          <w:p>
            <w:pPr>
              <w:ind w:left="40"/>
              <w:spacing w:after="0"/>
              <w:rPr>
                <w:sz w:val="20"/>
                <w:szCs w:val="20"/>
                <w:color w:val="auto"/>
              </w:rPr>
            </w:pPr>
            <w:r>
              <w:rPr>
                <w:rFonts w:ascii="Arial" w:cs="Arial" w:eastAsia="Arial" w:hAnsi="Arial"/>
                <w:sz w:val="20"/>
                <w:szCs w:val="20"/>
                <w:color w:val="auto"/>
              </w:rPr>
              <w:t>Former Chief Legal Officer and Corporate Secretary</w:t>
            </w:r>
          </w:p>
        </w:tc>
      </w:tr>
      <w:tr>
        <w:trPr>
          <w:trHeight w:val="376"/>
        </w:trPr>
        <w:tc>
          <w:tcPr>
            <w:tcW w:w="2400" w:type="dxa"/>
            <w:vAlign w:val="bottom"/>
          </w:tcPr>
          <w:p>
            <w:pPr>
              <w:ind w:left="60"/>
              <w:spacing w:after="0"/>
              <w:rPr>
                <w:sz w:val="20"/>
                <w:szCs w:val="20"/>
                <w:color w:val="auto"/>
              </w:rPr>
            </w:pPr>
            <w:r>
              <w:rPr>
                <w:rFonts w:ascii="Arial" w:cs="Arial" w:eastAsia="Arial" w:hAnsi="Arial"/>
                <w:sz w:val="20"/>
                <w:szCs w:val="20"/>
                <w:color w:val="auto"/>
              </w:rPr>
              <w:t>Mark Thurmond</w:t>
            </w:r>
            <w:r>
              <w:rPr>
                <w:rFonts w:ascii="Arial" w:cs="Arial" w:eastAsia="Arial" w:hAnsi="Arial"/>
                <w:sz w:val="26"/>
                <w:szCs w:val="26"/>
                <w:color w:val="auto"/>
                <w:vertAlign w:val="superscript"/>
              </w:rPr>
              <w:t>(2)</w:t>
            </w:r>
          </w:p>
        </w:tc>
        <w:tc>
          <w:tcPr>
            <w:tcW w:w="80" w:type="dxa"/>
            <w:vAlign w:val="bottom"/>
          </w:tcPr>
          <w:p>
            <w:pPr>
              <w:spacing w:after="0"/>
              <w:rPr>
                <w:sz w:val="24"/>
                <w:szCs w:val="24"/>
                <w:color w:val="auto"/>
              </w:rPr>
            </w:pPr>
          </w:p>
        </w:tc>
        <w:tc>
          <w:tcPr>
            <w:tcW w:w="6500" w:type="dxa"/>
            <w:vAlign w:val="bottom"/>
          </w:tcPr>
          <w:p>
            <w:pPr>
              <w:ind w:left="40"/>
              <w:spacing w:after="0"/>
              <w:rPr>
                <w:sz w:val="20"/>
                <w:szCs w:val="20"/>
                <w:color w:val="auto"/>
              </w:rPr>
            </w:pPr>
            <w:r>
              <w:rPr>
                <w:rFonts w:ascii="Arial" w:cs="Arial" w:eastAsia="Arial" w:hAnsi="Arial"/>
                <w:sz w:val="20"/>
                <w:szCs w:val="20"/>
                <w:color w:val="auto"/>
              </w:rPr>
              <w:t>Chief Operating Officer</w:t>
            </w:r>
          </w:p>
        </w:tc>
      </w:tr>
    </w:tbl>
    <w:p>
      <w:pPr>
        <w:spacing w:after="0" w:line="20" w:lineRule="exact"/>
        <w:rPr>
          <w:sz w:val="20"/>
          <w:szCs w:val="20"/>
          <w:color w:val="auto"/>
        </w:rPr>
      </w:pPr>
    </w:p>
    <w:p>
      <w:pPr>
        <w:spacing w:after="0" w:line="189" w:lineRule="exact"/>
        <w:rPr>
          <w:sz w:val="20"/>
          <w:szCs w:val="20"/>
          <w:color w:val="auto"/>
        </w:rPr>
      </w:pPr>
    </w:p>
    <w:p>
      <w:pPr>
        <w:ind w:right="880"/>
        <w:spacing w:after="0" w:line="287" w:lineRule="auto"/>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Effective October 14, 2022, Mr. Riddick retired as Chief Legal Officer and Corporate Secretary of the Company.</w:t>
      </w:r>
    </w:p>
    <w:p>
      <w:pPr>
        <w:spacing w:after="0" w:line="169" w:lineRule="exact"/>
        <w:rPr>
          <w:rFonts w:ascii="Arial" w:cs="Arial" w:eastAsia="Arial" w:hAnsi="Arial"/>
          <w:sz w:val="20"/>
          <w:szCs w:val="20"/>
          <w:color w:val="auto"/>
        </w:rPr>
      </w:pPr>
    </w:p>
    <w:p>
      <w:pPr>
        <w:jc w:val="both"/>
        <w:ind w:right="160"/>
        <w:spacing w:after="0" w:line="262" w:lineRule="auto"/>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Mr. Thurmond was not an executive officer at the end of 2022. However, we have voluntarily included Mr. Thurmond as a Named Executive Officer for 2022 because he would have been among the three most highly compensated executive officers of the Company if he had been serving as an executive officer at the end of 2022.</w:t>
      </w:r>
    </w:p>
    <w:p>
      <w:pPr>
        <w:spacing w:after="0" w:line="195" w:lineRule="exact"/>
        <w:rPr>
          <w:sz w:val="20"/>
          <w:szCs w:val="20"/>
          <w:color w:val="auto"/>
        </w:rPr>
      </w:pPr>
    </w:p>
    <w:p>
      <w:pPr>
        <w:jc w:val="center"/>
        <w:ind w:right="7100"/>
        <w:spacing w:after="0"/>
        <w:rPr>
          <w:sz w:val="20"/>
          <w:szCs w:val="20"/>
          <w:color w:val="auto"/>
        </w:rPr>
      </w:pPr>
      <w:r>
        <w:rPr>
          <w:rFonts w:ascii="Arial" w:cs="Arial" w:eastAsia="Arial" w:hAnsi="Arial"/>
          <w:sz w:val="19"/>
          <w:szCs w:val="19"/>
          <w:b w:val="1"/>
          <w:bCs w:val="1"/>
          <w:color w:val="auto"/>
        </w:rPr>
        <w:t>Executive Summary</w:t>
      </w:r>
    </w:p>
    <w:p>
      <w:pPr>
        <w:spacing w:after="0" w:line="264" w:lineRule="exact"/>
        <w:rPr>
          <w:sz w:val="20"/>
          <w:szCs w:val="20"/>
          <w:color w:val="auto"/>
        </w:rPr>
      </w:pPr>
    </w:p>
    <w:p>
      <w:pPr>
        <w:jc w:val="center"/>
        <w:ind w:right="7100"/>
        <w:spacing w:after="0"/>
        <w:rPr>
          <w:sz w:val="20"/>
          <w:szCs w:val="20"/>
          <w:color w:val="auto"/>
        </w:rPr>
      </w:pPr>
      <w:r>
        <w:rPr>
          <w:rFonts w:ascii="Arial" w:cs="Arial" w:eastAsia="Arial" w:hAnsi="Arial"/>
          <w:sz w:val="20"/>
          <w:szCs w:val="20"/>
          <w:b w:val="1"/>
          <w:bCs w:val="1"/>
          <w:i w:val="1"/>
          <w:iCs w:val="1"/>
          <w:color w:val="auto"/>
        </w:rPr>
        <w:t>Who We Are</w:t>
      </w:r>
    </w:p>
    <w:p>
      <w:pPr>
        <w:spacing w:after="0" w:line="249" w:lineRule="exact"/>
        <w:rPr>
          <w:sz w:val="20"/>
          <w:szCs w:val="20"/>
          <w:color w:val="auto"/>
        </w:rPr>
      </w:pPr>
    </w:p>
    <w:p>
      <w:pPr>
        <w:ind w:right="220" w:firstLine="360"/>
        <w:spacing w:after="0" w:line="268" w:lineRule="auto"/>
        <w:rPr>
          <w:sz w:val="20"/>
          <w:szCs w:val="20"/>
          <w:color w:val="auto"/>
        </w:rPr>
      </w:pPr>
      <w:r>
        <w:rPr>
          <w:rFonts w:ascii="Arial" w:cs="Arial" w:eastAsia="Arial" w:hAnsi="Arial"/>
          <w:sz w:val="20"/>
          <w:szCs w:val="20"/>
          <w:color w:val="auto"/>
        </w:rPr>
        <w:t>We are a leading provider of exposure management solutions. Exposure management is an effective discipline for managing, measuring and comparing cybersecurity risk in today's complex IT environments.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2022 Business Highlights</w:t>
      </w:r>
    </w:p>
    <w:p>
      <w:pPr>
        <w:spacing w:after="0" w:line="249" w:lineRule="exact"/>
        <w:rPr>
          <w:sz w:val="20"/>
          <w:szCs w:val="20"/>
          <w:color w:val="auto"/>
        </w:rPr>
      </w:pPr>
    </w:p>
    <w:p>
      <w:pPr>
        <w:ind w:right="100" w:firstLine="360"/>
        <w:spacing w:after="0" w:line="281" w:lineRule="auto"/>
        <w:rPr>
          <w:sz w:val="20"/>
          <w:szCs w:val="20"/>
          <w:color w:val="auto"/>
        </w:rPr>
      </w:pPr>
      <w:r>
        <w:rPr>
          <w:rFonts w:ascii="Arial" w:cs="Arial" w:eastAsia="Arial" w:hAnsi="Arial"/>
          <w:sz w:val="20"/>
          <w:szCs w:val="20"/>
          <w:color w:val="auto"/>
        </w:rPr>
        <w:t>2022 was a strong year, marked by increased revenue and calculated current billings growth and attractive levels of free cash flow. Our 2022 highlights were as follows:</w:t>
      </w:r>
    </w:p>
    <w:p>
      <w:pPr>
        <w:spacing w:after="0" w:line="1" w:lineRule="exact"/>
        <w:rPr>
          <w:sz w:val="20"/>
          <w:szCs w:val="20"/>
          <w:color w:val="auto"/>
        </w:rPr>
      </w:pPr>
    </w:p>
    <w:p>
      <w:pPr>
        <w:ind w:left="720" w:hanging="360"/>
        <w:spacing w:after="0"/>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Revenue was $683.2 million, a 26% increase year-over-year;</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Calculated current billings was $776.9 million, a 26% increase year-over-year;</w:t>
      </w:r>
    </w:p>
    <w:p>
      <w:pPr>
        <w:spacing w:after="0" w:line="70" w:lineRule="exact"/>
        <w:rPr>
          <w:rFonts w:ascii="Arial" w:cs="Arial" w:eastAsia="Arial" w:hAnsi="Arial"/>
          <w:sz w:val="20"/>
          <w:szCs w:val="20"/>
          <w:color w:val="auto"/>
        </w:rPr>
      </w:pPr>
    </w:p>
    <w:p>
      <w:pPr>
        <w:ind w:left="720" w:right="320" w:hanging="360"/>
        <w:spacing w:after="0" w:line="296" w:lineRule="auto"/>
        <w:tabs>
          <w:tab w:leader="none" w:pos="7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GAAP loss from operations was $67.8 million, compared to a loss of $41.8 million in 2021. Non-GAAP income from operations was $67.7 million, compared to $51.0 million in 2021;</w:t>
      </w:r>
    </w:p>
    <w:p>
      <w:pPr>
        <w:spacing w:after="0" w:line="1" w:lineRule="exact"/>
        <w:rPr>
          <w:rFonts w:ascii="Arial" w:cs="Arial" w:eastAsia="Arial" w:hAnsi="Arial"/>
          <w:sz w:val="19"/>
          <w:szCs w:val="19"/>
          <w:color w:val="auto"/>
        </w:rPr>
      </w:pPr>
    </w:p>
    <w:p>
      <w:pPr>
        <w:ind w:left="720" w:right="60" w:hanging="360"/>
        <w:spacing w:after="0" w:line="281"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GAAP net loss was $92.2 million, compared to a loss of $46.7 million in 2021. Non-GAAP net income was $44.3 million, compared to $38.9 million in 2021;</w:t>
      </w:r>
    </w:p>
    <w:p>
      <w:pPr>
        <w:spacing w:after="0" w:line="1" w:lineRule="exact"/>
        <w:rPr>
          <w:rFonts w:ascii="Arial" w:cs="Arial" w:eastAsia="Arial" w:hAnsi="Arial"/>
          <w:sz w:val="20"/>
          <w:szCs w:val="20"/>
          <w:color w:val="auto"/>
        </w:rPr>
      </w:pPr>
    </w:p>
    <w:p>
      <w:pPr>
        <w:ind w:left="720" w:right="380" w:hanging="360"/>
        <w:spacing w:after="0" w:line="281"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GAAP net loss per share was $0.83, compared to a loss per share of $0.44 in 2021. Non-GAAP diluted earnings per share was $0.38, compared to $0.34 in 2021; and</w:t>
      </w:r>
    </w:p>
    <w:p>
      <w:pPr>
        <w:spacing w:after="0" w:line="1" w:lineRule="exact"/>
        <w:rPr>
          <w:rFonts w:ascii="Arial" w:cs="Arial" w:eastAsia="Arial" w:hAnsi="Arial"/>
          <w:sz w:val="20"/>
          <w:szCs w:val="20"/>
          <w:color w:val="auto"/>
        </w:rPr>
      </w:pPr>
    </w:p>
    <w:p>
      <w:pPr>
        <w:ind w:left="720" w:right="380" w:hanging="360"/>
        <w:spacing w:after="0" w:line="281"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Net cash provided by operating activities was $131.2 million, compared to $96.8 million in 2021.</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Unlevered free cash flow was $128.1 million, an increase of 35% from $95.2 million in 2021.</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Refer to the appendix for reconciliations of non-GAAP measures to comparable GAAP measures.</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880" w:h="15480" w:orient="portrait"/>
          <w:cols w:equalWidth="0" w:num="1">
            <w:col w:w="9000"/>
          </w:cols>
          <w:pgMar w:left="1440" w:top="1203" w:right="1440" w:bottom="0" w:gutter="0" w:footer="0" w:header="0"/>
          <w:type w:val="continuous"/>
        </w:sectPr>
      </w:pPr>
    </w:p>
    <w:bookmarkStart w:id="47" w:name="page48"/>
    <w:bookmarkEnd w:id="47"/>
    <w:p>
      <w:pPr>
        <w:ind w:left="360"/>
        <w:spacing w:after="0"/>
        <w:rPr>
          <w:sz w:val="20"/>
          <w:szCs w:val="20"/>
          <w:color w:val="auto"/>
        </w:rPr>
      </w:pPr>
      <w:r>
        <w:rPr>
          <w:rFonts w:ascii="Arial" w:cs="Arial" w:eastAsia="Arial" w:hAnsi="Arial"/>
          <w:sz w:val="20"/>
          <w:szCs w:val="20"/>
          <w:b w:val="1"/>
          <w:bCs w:val="1"/>
          <w:i w:val="1"/>
          <w:iCs w:val="1"/>
          <w:color w:val="auto"/>
        </w:rPr>
        <w:t>Executive Compensation Highlights</w:t>
      </w:r>
    </w:p>
    <w:p>
      <w:pPr>
        <w:spacing w:after="0" w:line="249" w:lineRule="exact"/>
        <w:rPr>
          <w:sz w:val="20"/>
          <w:szCs w:val="20"/>
          <w:color w:val="auto"/>
        </w:rPr>
      </w:pPr>
    </w:p>
    <w:p>
      <w:pPr>
        <w:ind w:firstLine="360"/>
        <w:spacing w:after="0" w:line="257" w:lineRule="auto"/>
        <w:rPr>
          <w:sz w:val="20"/>
          <w:szCs w:val="20"/>
          <w:color w:val="auto"/>
        </w:rPr>
      </w:pPr>
      <w:r>
        <w:rPr>
          <w:rFonts w:ascii="Arial" w:cs="Arial" w:eastAsia="Arial" w:hAnsi="Arial"/>
          <w:sz w:val="20"/>
          <w:szCs w:val="20"/>
          <w:color w:val="auto"/>
        </w:rPr>
        <w:t>We seek to ensure that executive pay is tied to performance and long-term stockholder value creation. Based on our success in executing our strategic plan in a challenging environment, including progress by the executive leadership team on our diversity and inclusion and employee engagement and development initiatives, and continuing a safe working environment during the pandemic, the Compensation Committee took the following key actions with respect to the compensation of our Named Executive Officers in 2022:</w:t>
      </w:r>
    </w:p>
    <w:p>
      <w:pPr>
        <w:spacing w:after="0" w:line="22" w:lineRule="exact"/>
        <w:rPr>
          <w:sz w:val="20"/>
          <w:szCs w:val="20"/>
          <w:color w:val="auto"/>
        </w:rPr>
      </w:pPr>
    </w:p>
    <w:p>
      <w:pPr>
        <w:ind w:left="720" w:right="160" w:hanging="360"/>
        <w:spacing w:after="0" w:line="268"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Base Salaries - We approved salary increases in 2022 for our Named Executive Officers in light of their and the company’s strong performance and to maintain market competitiveness relative to our peers. Raises ranged from 3.5% to 3.6%.</w:t>
      </w:r>
    </w:p>
    <w:p>
      <w:pPr>
        <w:spacing w:after="0" w:line="9" w:lineRule="exact"/>
        <w:rPr>
          <w:rFonts w:ascii="Arial" w:cs="Arial" w:eastAsia="Arial" w:hAnsi="Arial"/>
          <w:sz w:val="20"/>
          <w:szCs w:val="20"/>
          <w:color w:val="auto"/>
        </w:rPr>
      </w:pPr>
    </w:p>
    <w:p>
      <w:pPr>
        <w:ind w:left="720" w:hanging="360"/>
        <w:spacing w:after="0" w:line="273" w:lineRule="auto"/>
        <w:tabs>
          <w:tab w:leader="none" w:pos="7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Cash Bonuses - Our cash bonus structure mirrored that of prior years and incorporated revenue, unlevered free cash flow and bookings goals. Our target cash bonuses are expressed as a percentage of base salary paid out based on quarterly and annual attainment, and remained comparable with 2021. For 2022, our Compensation Committee capped the bonus payments at 200% of the target. Given our strong performance in these areas, cash bonuses were paid out in accordance with their plan formula above target at 102.8%.</w:t>
      </w:r>
    </w:p>
    <w:p>
      <w:pPr>
        <w:spacing w:after="0" w:line="8" w:lineRule="exact"/>
        <w:rPr>
          <w:rFonts w:ascii="Arial" w:cs="Arial" w:eastAsia="Arial" w:hAnsi="Arial"/>
          <w:sz w:val="19"/>
          <w:szCs w:val="19"/>
          <w:color w:val="auto"/>
        </w:rPr>
      </w:pPr>
    </w:p>
    <w:p>
      <w:pPr>
        <w:ind w:left="720" w:right="200" w:hanging="360"/>
        <w:spacing w:after="0" w:line="255"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Long-Term Incentive Compensation - We continue to provide a large percentage of our Named Executive Officers’ compensation opportunity through our long-term incentive compensation program. In 2022, our long-term incentive plan continued to include the grant of restricted stock units (“RSUs”) subject to service-based vesting and we began granting performance restricted stock units ("PSUs") subject to achievement of certain performance goals and followed by additional service-based vesting. In order to remain competitive, the aggregate dollar value of Messrs. Yoran, Vintz, Riddick and Thurmond’s 2022 grants were increased relative to 2021 by $1.5 million, $1.0 million, $0.3 million and $0.5 million, respectively.</w:t>
      </w:r>
    </w:p>
    <w:p>
      <w:pPr>
        <w:spacing w:after="0" w:line="20" w:lineRule="exact"/>
        <w:rPr>
          <w:rFonts w:ascii="Arial" w:cs="Arial" w:eastAsia="Arial" w:hAnsi="Arial"/>
          <w:sz w:val="20"/>
          <w:szCs w:val="20"/>
          <w:color w:val="auto"/>
        </w:rPr>
      </w:pPr>
    </w:p>
    <w:p>
      <w:pPr>
        <w:ind w:left="720" w:right="60" w:hanging="360"/>
        <w:spacing w:after="0" w:line="268"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We adopted a compensation recoupment policy under which compensation paid to or earned by our executives may be recovered in the event of financial restatements and misconduct that contributed to the financial restatements.</w:t>
      </w:r>
    </w:p>
    <w:p>
      <w:pPr>
        <w:spacing w:after="0" w:line="190" w:lineRule="exact"/>
        <w:rPr>
          <w:sz w:val="20"/>
          <w:szCs w:val="20"/>
          <w:color w:val="auto"/>
        </w:rPr>
      </w:pPr>
    </w:p>
    <w:p>
      <w:pPr>
        <w:ind w:right="340" w:firstLine="360"/>
        <w:spacing w:after="0" w:line="268" w:lineRule="auto"/>
        <w:rPr>
          <w:sz w:val="20"/>
          <w:szCs w:val="20"/>
          <w:color w:val="auto"/>
        </w:rPr>
      </w:pPr>
      <w:r>
        <w:rPr>
          <w:rFonts w:ascii="Arial" w:cs="Arial" w:eastAsia="Arial" w:hAnsi="Arial"/>
          <w:sz w:val="20"/>
          <w:szCs w:val="20"/>
          <w:color w:val="auto"/>
        </w:rPr>
        <w:t>We believe the increases in our Named Executive Officers' 2022 total direct compensation are consistent with our successful performance, company growth and philosophy of retaining and rewarding our executives for successful company performance.</w:t>
      </w:r>
    </w:p>
    <w:p>
      <w:pPr>
        <w:sectPr>
          <w:pgSz w:w="11880" w:h="15480" w:orient="portrait"/>
          <w:cols w:equalWidth="0" w:num="1">
            <w:col w:w="9000"/>
          </w:cols>
          <w:pgMar w:left="1440" w:top="12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880" w:h="15480" w:orient="portrait"/>
          <w:cols w:equalWidth="0" w:num="1">
            <w:col w:w="9000"/>
          </w:cols>
          <w:pgMar w:left="1440" w:top="1205" w:right="1440" w:bottom="0" w:gutter="0" w:footer="0" w:header="0"/>
          <w:type w:val="continuous"/>
        </w:sectPr>
      </w:pPr>
    </w:p>
    <w:bookmarkStart w:id="48" w:name="page49"/>
    <w:bookmarkEnd w:id="48"/>
    <w:p>
      <w:pPr>
        <w:ind w:left="360"/>
        <w:spacing w:after="0"/>
        <w:rPr>
          <w:sz w:val="20"/>
          <w:szCs w:val="20"/>
          <w:color w:val="auto"/>
        </w:rPr>
      </w:pPr>
      <w:r>
        <w:rPr>
          <w:rFonts w:ascii="Arial" w:cs="Arial" w:eastAsia="Arial" w:hAnsi="Arial"/>
          <w:sz w:val="20"/>
          <w:szCs w:val="20"/>
          <w:b w:val="1"/>
          <w:bCs w:val="1"/>
          <w:i w:val="1"/>
          <w:iCs w:val="1"/>
          <w:color w:val="auto"/>
        </w:rPr>
        <w:t>2022 Target Total Direct Compensation Overview</w:t>
      </w:r>
    </w:p>
    <w:p>
      <w:pPr>
        <w:spacing w:after="0" w:line="249" w:lineRule="exact"/>
        <w:rPr>
          <w:sz w:val="20"/>
          <w:szCs w:val="20"/>
          <w:color w:val="auto"/>
        </w:rPr>
      </w:pPr>
    </w:p>
    <w:p>
      <w:pPr>
        <w:ind w:right="320" w:firstLine="360"/>
        <w:spacing w:after="0" w:line="289" w:lineRule="auto"/>
        <w:rPr>
          <w:sz w:val="20"/>
          <w:szCs w:val="20"/>
          <w:color w:val="auto"/>
        </w:rPr>
      </w:pPr>
      <w:r>
        <w:rPr>
          <w:rFonts w:ascii="Arial" w:cs="Arial" w:eastAsia="Arial" w:hAnsi="Arial"/>
          <w:sz w:val="19"/>
          <w:szCs w:val="19"/>
          <w:color w:val="auto"/>
        </w:rPr>
        <w:t>For 2022, 95% of our CEO’s total reported compensation and an average of 91% of our other Named Executive Officers’ total reported compensation was at-risk through quarterly and annual bonuses earned and equity incentives awarded, as reported in the Summary Compensation Table.</w:t>
      </w:r>
    </w:p>
    <w:p>
      <w:pPr>
        <w:spacing w:after="0" w:line="194" w:lineRule="exact"/>
        <w:rPr>
          <w:sz w:val="20"/>
          <w:szCs w:val="20"/>
          <w:color w:val="auto"/>
        </w:rPr>
      </w:pPr>
    </w:p>
    <w:p>
      <w:pPr>
        <w:ind w:left="1540"/>
        <w:spacing w:after="0"/>
        <w:tabs>
          <w:tab w:leader="none" w:pos="5060" w:val="left"/>
        </w:tabs>
        <w:rPr>
          <w:sz w:val="20"/>
          <w:szCs w:val="20"/>
          <w:color w:val="auto"/>
        </w:rPr>
      </w:pPr>
      <w:r>
        <w:rPr>
          <w:rFonts w:ascii="Arial" w:cs="Arial" w:eastAsia="Arial" w:hAnsi="Arial"/>
          <w:sz w:val="24"/>
          <w:szCs w:val="24"/>
          <w:b w:val="1"/>
          <w:bCs w:val="1"/>
          <w:color w:val="auto"/>
        </w:rPr>
        <w:t>CEO Pay Mix</w:t>
      </w:r>
      <w:r>
        <w:rPr>
          <w:sz w:val="20"/>
          <w:szCs w:val="20"/>
          <w:color w:val="auto"/>
        </w:rPr>
        <w:tab/>
      </w:r>
      <w:r>
        <w:rPr>
          <w:rFonts w:ascii="Arial" w:cs="Arial" w:eastAsia="Arial" w:hAnsi="Arial"/>
          <w:sz w:val="23"/>
          <w:szCs w:val="23"/>
          <w:b w:val="1"/>
          <w:bCs w:val="1"/>
          <w:color w:val="auto"/>
        </w:rPr>
        <w:t>Other Executives Pay Mix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-141605</wp:posOffset>
            </wp:positionV>
            <wp:extent cx="5626100" cy="23622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26100" cy="2362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360" w:type="dxa"/>
        <w:tblCellMar>
          <w:top w:w="0" w:type="dxa"/>
          <w:left w:w="0" w:type="dxa"/>
          <w:bottom w:w="0" w:type="dxa"/>
          <w:right w:w="0" w:type="dxa"/>
        </w:tblCellMar>
      </w:tblPr>
      <w:tr>
        <w:trPr>
          <w:trHeight w:val="254"/>
        </w:trPr>
        <w:tc>
          <w:tcPr>
            <w:tcW w:w="1260" w:type="dxa"/>
            <w:vAlign w:val="bottom"/>
          </w:tcPr>
          <w:p>
            <w:pPr>
              <w:spacing w:after="0"/>
              <w:rPr>
                <w:sz w:val="20"/>
                <w:szCs w:val="20"/>
                <w:color w:val="auto"/>
              </w:rPr>
            </w:pPr>
            <w:r>
              <w:rPr>
                <w:rFonts w:ascii="Arial" w:cs="Arial" w:eastAsia="Arial" w:hAnsi="Arial"/>
                <w:sz w:val="16"/>
                <w:szCs w:val="16"/>
                <w:color w:val="auto"/>
              </w:rPr>
              <w:t>Base Salary 5%</w:t>
            </w:r>
          </w:p>
        </w:tc>
        <w:tc>
          <w:tcPr>
            <w:tcW w:w="2280" w:type="dxa"/>
            <w:vAlign w:val="bottom"/>
            <w:vMerge w:val="restart"/>
          </w:tcPr>
          <w:p>
            <w:pPr>
              <w:ind w:left="120"/>
              <w:spacing w:after="0"/>
              <w:rPr>
                <w:sz w:val="20"/>
                <w:szCs w:val="20"/>
                <w:color w:val="auto"/>
              </w:rPr>
            </w:pPr>
            <w:r>
              <w:rPr>
                <w:rFonts w:ascii="Arial" w:cs="Arial" w:eastAsia="Arial" w:hAnsi="Arial"/>
                <w:sz w:val="16"/>
                <w:szCs w:val="16"/>
                <w:color w:val="auto"/>
              </w:rPr>
              <w:t>Actual Bonus 5%</w:t>
            </w:r>
          </w:p>
        </w:tc>
        <w:tc>
          <w:tcPr>
            <w:tcW w:w="2080" w:type="dxa"/>
            <w:vAlign w:val="bottom"/>
          </w:tcPr>
          <w:p>
            <w:pPr>
              <w:ind w:left="940"/>
              <w:spacing w:after="0"/>
              <w:rPr>
                <w:sz w:val="20"/>
                <w:szCs w:val="20"/>
                <w:color w:val="auto"/>
              </w:rPr>
            </w:pPr>
            <w:r>
              <w:rPr>
                <w:rFonts w:ascii="Arial" w:cs="Arial" w:eastAsia="Arial" w:hAnsi="Arial"/>
                <w:sz w:val="16"/>
                <w:szCs w:val="16"/>
                <w:color w:val="auto"/>
                <w:w w:val="98"/>
              </w:rPr>
              <w:t>Base Salary 9%</w:t>
            </w:r>
          </w:p>
        </w:tc>
        <w:tc>
          <w:tcPr>
            <w:tcW w:w="0" w:type="dxa"/>
            <w:vAlign w:val="bottom"/>
          </w:tcPr>
          <w:p>
            <w:pPr>
              <w:spacing w:after="0"/>
              <w:rPr>
                <w:sz w:val="1"/>
                <w:szCs w:val="1"/>
                <w:color w:val="auto"/>
              </w:rPr>
            </w:pPr>
          </w:p>
        </w:tc>
      </w:tr>
      <w:tr>
        <w:trPr>
          <w:trHeight w:val="69"/>
        </w:trPr>
        <w:tc>
          <w:tcPr>
            <w:tcW w:w="1260" w:type="dxa"/>
            <w:vAlign w:val="bottom"/>
          </w:tcPr>
          <w:p>
            <w:pPr>
              <w:spacing w:after="0"/>
              <w:rPr>
                <w:sz w:val="5"/>
                <w:szCs w:val="5"/>
                <w:color w:val="auto"/>
              </w:rPr>
            </w:pPr>
          </w:p>
        </w:tc>
        <w:tc>
          <w:tcPr>
            <w:tcW w:w="2280" w:type="dxa"/>
            <w:vAlign w:val="bottom"/>
            <w:vMerge w:val="continue"/>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500"/>
        <w:spacing w:after="0"/>
        <w:rPr>
          <w:sz w:val="20"/>
          <w:szCs w:val="20"/>
          <w:color w:val="auto"/>
        </w:rPr>
      </w:pPr>
      <w:r>
        <w:rPr>
          <w:rFonts w:ascii="Arial" w:cs="Arial" w:eastAsia="Arial" w:hAnsi="Arial"/>
          <w:sz w:val="16"/>
          <w:szCs w:val="16"/>
          <w:color w:val="auto"/>
        </w:rPr>
        <w:t>Actual Bonus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2700" w:type="dxa"/>
            <w:vAlign w:val="bottom"/>
          </w:tcPr>
          <w:p>
            <w:pPr>
              <w:spacing w:after="0"/>
              <w:rPr>
                <w:sz w:val="20"/>
                <w:szCs w:val="20"/>
                <w:color w:val="auto"/>
              </w:rPr>
            </w:pPr>
            <w:r>
              <w:rPr>
                <w:rFonts w:ascii="Arial" w:cs="Arial" w:eastAsia="Arial" w:hAnsi="Arial"/>
                <w:sz w:val="16"/>
                <w:szCs w:val="16"/>
                <w:color w:val="auto"/>
              </w:rPr>
              <w:t>Equity Awards</w:t>
            </w:r>
          </w:p>
        </w:tc>
        <w:tc>
          <w:tcPr>
            <w:tcW w:w="2680" w:type="dxa"/>
            <w:vAlign w:val="bottom"/>
          </w:tcPr>
          <w:p>
            <w:pPr>
              <w:ind w:left="1660"/>
              <w:spacing w:after="0"/>
              <w:rPr>
                <w:sz w:val="20"/>
                <w:szCs w:val="20"/>
                <w:color w:val="auto"/>
              </w:rPr>
            </w:pPr>
            <w:r>
              <w:rPr>
                <w:rFonts w:ascii="Arial" w:cs="Arial" w:eastAsia="Arial" w:hAnsi="Arial"/>
                <w:sz w:val="16"/>
                <w:szCs w:val="16"/>
                <w:color w:val="auto"/>
                <w:w w:val="97"/>
              </w:rPr>
              <w:t>Equity Awards</w:t>
            </w:r>
          </w:p>
        </w:tc>
      </w:tr>
      <w:tr>
        <w:trPr>
          <w:trHeight w:val="220"/>
        </w:trPr>
        <w:tc>
          <w:tcPr>
            <w:tcW w:w="2700" w:type="dxa"/>
            <w:vAlign w:val="bottom"/>
          </w:tcPr>
          <w:p>
            <w:pPr>
              <w:spacing w:after="0"/>
              <w:rPr>
                <w:sz w:val="20"/>
                <w:szCs w:val="20"/>
                <w:color w:val="auto"/>
              </w:rPr>
            </w:pPr>
            <w:r>
              <w:rPr>
                <w:rFonts w:ascii="Arial" w:cs="Arial" w:eastAsia="Arial" w:hAnsi="Arial"/>
                <w:sz w:val="16"/>
                <w:szCs w:val="16"/>
                <w:color w:val="auto"/>
              </w:rPr>
              <w:t>90%</w:t>
            </w:r>
          </w:p>
        </w:tc>
        <w:tc>
          <w:tcPr>
            <w:tcW w:w="2680" w:type="dxa"/>
            <w:vAlign w:val="bottom"/>
          </w:tcPr>
          <w:p>
            <w:pPr>
              <w:ind w:left="1660"/>
              <w:spacing w:after="0"/>
              <w:rPr>
                <w:sz w:val="20"/>
                <w:szCs w:val="20"/>
                <w:color w:val="auto"/>
              </w:rPr>
            </w:pPr>
            <w:r>
              <w:rPr>
                <w:rFonts w:ascii="Arial" w:cs="Arial" w:eastAsia="Arial" w:hAnsi="Arial"/>
                <w:sz w:val="16"/>
                <w:szCs w:val="16"/>
                <w:color w:val="auto"/>
              </w:rPr>
              <w:t>84%</w:t>
            </w: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_____</w:t>
      </w:r>
    </w:p>
    <w:p>
      <w:pPr>
        <w:ind w:right="200"/>
        <w:spacing w:after="0" w:line="268" w:lineRule="auto"/>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Other executives pay mix assumes Mr. Riddick received his target bonus amount for the full year rather than the actual pro rata amount he received due to his retirement in October 2022. The bonus amounts for the other executives are the actual bonus amounts for the full year.</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Listening to Our Stockholders</w:t>
      </w:r>
    </w:p>
    <w:p>
      <w:pPr>
        <w:spacing w:after="0" w:line="249" w:lineRule="exact"/>
        <w:rPr>
          <w:sz w:val="20"/>
          <w:szCs w:val="20"/>
          <w:color w:val="auto"/>
        </w:rPr>
      </w:pPr>
    </w:p>
    <w:p>
      <w:pPr>
        <w:ind w:right="20" w:firstLine="360"/>
        <w:spacing w:after="0" w:line="253" w:lineRule="auto"/>
        <w:rPr>
          <w:sz w:val="20"/>
          <w:szCs w:val="20"/>
          <w:color w:val="auto"/>
        </w:rPr>
      </w:pPr>
      <w:r>
        <w:rPr>
          <w:rFonts w:ascii="Arial" w:cs="Arial" w:eastAsia="Arial" w:hAnsi="Arial"/>
          <w:sz w:val="20"/>
          <w:szCs w:val="20"/>
          <w:color w:val="auto"/>
        </w:rPr>
        <w:t>At our annual meeting of stockholders in 2022, we conducted our second advisory vote on executive compensation, or a say-on-pay vote. Approximately 94.4% of the votes cast on the say-on-pay proposal supported the proposal. Our Compensation Committee reviewed the final vote results for the proposal and given the level of support, concluded that our compensation program provided a competitive performance package that incentivizes our Named Executive Officers and encourages their retention over the long term. Accordingly, other than as described below, the Compensation Committee determined not to make any significant changes to our executive compensation policies or decisions as a result of the vote. However, in order to strengthen the Company's pay for performance philosophy and in light of stockholder and institutional investor feedback, the Compensation Committee began granting PSUs and adopted the Compensation Recoupment Policy. Our Compensation Committee will continue to monitor and continually evaluate our compensation program going forward in light of our stockholders’ views and our transforming business needs. In addition to our annual advisory vote on executive compensation, we are committed to ongoing engagement with our stockholders on executive compensation and corporate governance issues.</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Executive Compensation Policies and Practices</w:t>
      </w:r>
    </w:p>
    <w:p>
      <w:pPr>
        <w:spacing w:after="0" w:line="249" w:lineRule="exact"/>
        <w:rPr>
          <w:sz w:val="20"/>
          <w:szCs w:val="20"/>
          <w:color w:val="auto"/>
        </w:rPr>
      </w:pPr>
    </w:p>
    <w:p>
      <w:pPr>
        <w:ind w:right="40" w:firstLine="360"/>
        <w:spacing w:after="0" w:line="257" w:lineRule="auto"/>
        <w:rPr>
          <w:sz w:val="20"/>
          <w:szCs w:val="20"/>
          <w:color w:val="auto"/>
        </w:rPr>
      </w:pPr>
      <w:r>
        <w:rPr>
          <w:rFonts w:ascii="Arial" w:cs="Arial" w:eastAsia="Arial" w:hAnsi="Arial"/>
          <w:sz w:val="20"/>
          <w:szCs w:val="20"/>
          <w:color w:val="auto"/>
        </w:rPr>
        <w:t>We endeavor to maintain appropriate pay-for-performance alignment and sound governance standards as we review and manage executive compensation policies and practices. The Compensation Committee evaluates our executive compensation program on a regular basis to ensure that it is consistent with our short-term and long-term goals given the dynamic nature of our business and the market in which we compete for executive talent. The following summarizes our key convictions with respect to executive compensation and related policies and practices:</w:t>
      </w:r>
    </w:p>
    <w:p>
      <w:pPr>
        <w:sectPr>
          <w:pgSz w:w="11880" w:h="15480" w:orient="portrait"/>
          <w:cols w:equalWidth="0" w:num="1">
            <w:col w:w="9000"/>
          </w:cols>
          <w:pgMar w:left="1440" w:top="12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880" w:h="15480" w:orient="portrait"/>
          <w:cols w:equalWidth="0" w:num="1">
            <w:col w:w="9000"/>
          </w:cols>
          <w:pgMar w:left="1440" w:top="1205" w:right="1440" w:bottom="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20"/>
          <w:szCs w:val="20"/>
          <w:b w:val="1"/>
          <w:bCs w:val="1"/>
          <w:color w:val="auto"/>
        </w:rPr>
        <w:t>What We Do</w:t>
      </w:r>
    </w:p>
    <w:p>
      <w:pPr>
        <w:spacing w:after="0" w:line="47" w:lineRule="exact"/>
        <w:rPr>
          <w:sz w:val="20"/>
          <w:szCs w:val="20"/>
          <w:color w:val="auto"/>
        </w:rPr>
      </w:pPr>
    </w:p>
    <w:p>
      <w:pPr>
        <w:ind w:left="780" w:right="60" w:hanging="367"/>
        <w:spacing w:after="0" w:line="252" w:lineRule="auto"/>
        <w:tabs>
          <w:tab w:leader="none" w:pos="7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Maintain an independent Compensation Committee. Retain an independent compensation advisor.</w:t>
      </w:r>
    </w:p>
    <w:p>
      <w:pPr>
        <w:spacing w:after="0" w:line="7" w:lineRule="exact"/>
        <w:rPr>
          <w:rFonts w:ascii="Arial" w:cs="Arial" w:eastAsia="Arial" w:hAnsi="Arial"/>
          <w:sz w:val="20"/>
          <w:szCs w:val="20"/>
          <w:color w:val="auto"/>
        </w:rPr>
      </w:pPr>
    </w:p>
    <w:p>
      <w:pPr>
        <w:ind w:left="780" w:right="340" w:hanging="367"/>
        <w:spacing w:after="0" w:line="268" w:lineRule="auto"/>
        <w:tabs>
          <w:tab w:leader="none" w:pos="7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Annual executive compensation strategy review. Multi-year vesting requirements for equity awards.</w:t>
      </w:r>
    </w:p>
    <w:p>
      <w:pPr>
        <w:ind w:left="780" w:right="340" w:hanging="367"/>
        <w:spacing w:after="0" w:line="265" w:lineRule="auto"/>
        <w:tabs>
          <w:tab w:leader="none" w:pos="7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“Double-trigger” change-in-control arrangements.</w:t>
      </w:r>
    </w:p>
    <w:p>
      <w:pPr>
        <w:ind w:left="780" w:hanging="367"/>
        <w:spacing w:after="0"/>
        <w:tabs>
          <w:tab w:leader="none" w:pos="7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Succession planning by full Board.</w:t>
      </w:r>
    </w:p>
    <w:p>
      <w:pPr>
        <w:spacing w:after="0" w:line="54" w:lineRule="exact"/>
        <w:rPr>
          <w:rFonts w:ascii="Arial" w:cs="Arial" w:eastAsia="Arial" w:hAnsi="Arial"/>
          <w:sz w:val="20"/>
          <w:szCs w:val="20"/>
          <w:color w:val="auto"/>
        </w:rPr>
      </w:pPr>
    </w:p>
    <w:p>
      <w:pPr>
        <w:ind w:left="780" w:hanging="367"/>
        <w:spacing w:after="0"/>
        <w:tabs>
          <w:tab w:leader="none" w:pos="7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Annual Say-on-Pay voting.</w:t>
      </w:r>
    </w:p>
    <w:p>
      <w:pPr>
        <w:spacing w:after="0" w:line="54" w:lineRule="exact"/>
        <w:rPr>
          <w:rFonts w:ascii="Arial" w:cs="Arial" w:eastAsia="Arial" w:hAnsi="Arial"/>
          <w:sz w:val="20"/>
          <w:szCs w:val="20"/>
          <w:color w:val="auto"/>
        </w:rPr>
      </w:pPr>
    </w:p>
    <w:p>
      <w:pPr>
        <w:ind w:left="780" w:right="160" w:hanging="367"/>
        <w:spacing w:after="0" w:line="242" w:lineRule="auto"/>
        <w:tabs>
          <w:tab w:leader="none" w:pos="7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Executive compensation “clawback” policy for our executives, including our Named Executive Officers, and stock ownership guidelines for our non-employee directors.</w:t>
      </w:r>
    </w:p>
    <w:p>
      <w:pPr>
        <w:spacing w:after="0" w:line="20" w:lineRule="exact"/>
        <w:rPr>
          <w:rFonts w:ascii="Arial" w:cs="Arial" w:eastAsia="Arial" w:hAnsi="Arial"/>
          <w:sz w:val="20"/>
          <w:szCs w:val="20"/>
          <w:color w:val="auto"/>
        </w:rPr>
      </w:pPr>
    </w:p>
    <w:p>
      <w:pPr>
        <w:ind w:left="780" w:hanging="367"/>
        <w:spacing w:after="0" w:line="239" w:lineRule="auto"/>
        <w:tabs>
          <w:tab w:leader="none" w:pos="7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Stock incentive plans and executive employment agreements that provide for forfeiture of equity awards and severance if an executive is terminated for cause, including due to misconduct that results in reputational harm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What We Do Not Do</w:t>
      </w:r>
    </w:p>
    <w:p>
      <w:pPr>
        <w:spacing w:after="0" w:line="41" w:lineRule="exact"/>
        <w:rPr>
          <w:sz w:val="20"/>
          <w:szCs w:val="20"/>
          <w:color w:val="auto"/>
        </w:rPr>
      </w:pPr>
    </w:p>
    <w:p>
      <w:pPr>
        <w:ind w:left="720" w:right="980" w:hanging="367"/>
        <w:spacing w:after="0" w:line="246" w:lineRule="auto"/>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No guaranteed bonuses. No tax “gross ups” on payments on future post-employment compensation arrangements.</w:t>
      </w:r>
    </w:p>
    <w:p>
      <w:pPr>
        <w:spacing w:after="0" w:line="13" w:lineRule="exact"/>
        <w:rPr>
          <w:rFonts w:ascii="Arial" w:cs="Arial" w:eastAsia="Arial" w:hAnsi="Arial"/>
          <w:sz w:val="20"/>
          <w:szCs w:val="20"/>
          <w:color w:val="auto"/>
        </w:rPr>
      </w:pPr>
    </w:p>
    <w:p>
      <w:pPr>
        <w:ind w:left="720" w:right="800" w:hanging="367"/>
        <w:spacing w:after="0" w:line="265" w:lineRule="auto"/>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No hedging or pledging of our equity securities.</w:t>
      </w:r>
    </w:p>
    <w:p>
      <w:pPr>
        <w:ind w:left="720" w:right="720" w:hanging="367"/>
        <w:spacing w:after="0" w:line="246" w:lineRule="auto"/>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No mid-year adjustments or modifications of our cash or equity incentives in 2022, despite the recent volatile market condition.</w:t>
      </w:r>
    </w:p>
    <w:p>
      <w:pPr>
        <w:spacing w:after="0" w:line="13" w:lineRule="exact"/>
        <w:rPr>
          <w:rFonts w:ascii="Arial" w:cs="Arial" w:eastAsia="Arial" w:hAnsi="Arial"/>
          <w:sz w:val="20"/>
          <w:szCs w:val="20"/>
          <w:color w:val="auto"/>
        </w:rPr>
      </w:pPr>
    </w:p>
    <w:p>
      <w:pPr>
        <w:jc w:val="both"/>
        <w:ind w:left="720" w:right="740" w:hanging="367"/>
        <w:spacing w:after="0" w:line="252" w:lineRule="auto"/>
        <w:tabs>
          <w:tab w:leader="none" w:pos="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No retirement and perquisite benefits to our executives that are not offered to employees generally.</w:t>
      </w:r>
    </w:p>
    <w:p>
      <w:pPr>
        <w:spacing w:after="0" w:line="2384" w:lineRule="exact"/>
        <w:rPr>
          <w:sz w:val="20"/>
          <w:szCs w:val="20"/>
          <w:color w:val="auto"/>
        </w:rPr>
      </w:pPr>
    </w:p>
    <w:p>
      <w:pPr>
        <w:sectPr>
          <w:pgSz w:w="11880" w:h="15480" w:orient="portrait"/>
          <w:cols w:equalWidth="0" w:num="2">
            <w:col w:w="4120" w:space="140"/>
            <w:col w:w="4740"/>
          </w:cols>
          <w:pgMar w:left="1440" w:top="1271" w:right="1440" w:bottom="0" w:gutter="0" w:footer="0" w:header="0"/>
        </w:sectPr>
      </w:pP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Compensation Philosophy and Objectives</w:t>
      </w:r>
    </w:p>
    <w:p>
      <w:pPr>
        <w:spacing w:after="0" w:line="251" w:lineRule="exact"/>
        <w:rPr>
          <w:sz w:val="20"/>
          <w:szCs w:val="20"/>
          <w:color w:val="auto"/>
        </w:rPr>
      </w:pPr>
    </w:p>
    <w:p>
      <w:pPr>
        <w:ind w:right="80" w:firstLine="360"/>
        <w:spacing w:after="0" w:line="255" w:lineRule="auto"/>
        <w:rPr>
          <w:sz w:val="20"/>
          <w:szCs w:val="20"/>
          <w:color w:val="auto"/>
        </w:rPr>
      </w:pPr>
      <w:r>
        <w:rPr>
          <w:rFonts w:ascii="Arial" w:cs="Arial" w:eastAsia="Arial" w:hAnsi="Arial"/>
          <w:sz w:val="20"/>
          <w:szCs w:val="20"/>
          <w:color w:val="auto"/>
        </w:rPr>
        <w:t>Our executive compensation program is guided by our overarching philosophy of paying for demonstrable performance. To achieve these objectives, we believe that our executive compensation program should include short-term and long-term elements, including cash and equity compensation, and should reward consistent performance that meets or exceeds expectations. We evaluate both performance and compensation to make sure that the compensation provided to our executives remains competitive relative to compensation paid by companies of similar size operating in our industry, taking into account our relative performance, our strategic objectives, and the performance of the individual executive.</w:t>
      </w:r>
    </w:p>
    <w:p>
      <w:pPr>
        <w:spacing w:after="0" w:line="205" w:lineRule="exact"/>
        <w:rPr>
          <w:sz w:val="20"/>
          <w:szCs w:val="20"/>
          <w:color w:val="auto"/>
        </w:rPr>
      </w:pPr>
    </w:p>
    <w:p>
      <w:pPr>
        <w:ind w:right="640" w:firstLine="360"/>
        <w:spacing w:after="0" w:line="244" w:lineRule="auto"/>
        <w:rPr>
          <w:sz w:val="20"/>
          <w:szCs w:val="20"/>
          <w:color w:val="auto"/>
        </w:rPr>
      </w:pPr>
      <w:r>
        <w:rPr>
          <w:rFonts w:ascii="Arial" w:cs="Arial" w:eastAsia="Arial" w:hAnsi="Arial"/>
          <w:sz w:val="20"/>
          <w:szCs w:val="20"/>
          <w:color w:val="auto"/>
        </w:rPr>
        <w:t>Consistent with this philosophy, we have designed our executive compensation program to achieve the following primary objectives:</w:t>
      </w:r>
    </w:p>
    <w:p>
      <w:pPr>
        <w:spacing w:after="0" w:line="41" w:lineRule="exact"/>
        <w:rPr>
          <w:sz w:val="20"/>
          <w:szCs w:val="20"/>
          <w:color w:val="auto"/>
        </w:rPr>
      </w:pPr>
    </w:p>
    <w:p>
      <w:pPr>
        <w:ind w:left="720" w:right="120" w:hanging="360"/>
        <w:spacing w:after="0" w:line="289" w:lineRule="auto"/>
        <w:tabs>
          <w:tab w:leader="none" w:pos="720" w:val="left"/>
        </w:tabs>
        <w:numPr>
          <w:ilvl w:val="0"/>
          <w:numId w:val="35"/>
        </w:numPr>
        <w:rPr>
          <w:rFonts w:ascii="Arial" w:cs="Arial" w:eastAsia="Arial" w:hAnsi="Arial"/>
          <w:sz w:val="24"/>
          <w:szCs w:val="24"/>
          <w:color w:val="auto"/>
        </w:rPr>
      </w:pPr>
      <w:r>
        <w:rPr>
          <w:rFonts w:ascii="Arial" w:cs="Arial" w:eastAsia="Arial" w:hAnsi="Arial"/>
          <w:sz w:val="20"/>
          <w:szCs w:val="20"/>
          <w:color w:val="auto"/>
        </w:rPr>
        <w:t>Provide market competitive compensation and benefit levels that will attract, motivate, reward, and retain a highly talented team of executives within the context of responsible cost management;</w:t>
      </w:r>
    </w:p>
    <w:p>
      <w:pPr>
        <w:spacing w:after="0" w:line="8" w:lineRule="exact"/>
        <w:rPr>
          <w:rFonts w:ascii="Arial" w:cs="Arial" w:eastAsia="Arial" w:hAnsi="Arial"/>
          <w:sz w:val="24"/>
          <w:szCs w:val="24"/>
          <w:color w:val="auto"/>
        </w:rPr>
      </w:pPr>
    </w:p>
    <w:p>
      <w:pPr>
        <w:ind w:left="720" w:right="240" w:hanging="360"/>
        <w:spacing w:after="0" w:line="281" w:lineRule="auto"/>
        <w:tabs>
          <w:tab w:leader="none" w:pos="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Establish a direct link between our financial and operational results and strategic objectives and the compensation of our executives;</w:t>
      </w:r>
    </w:p>
    <w:p>
      <w:pPr>
        <w:spacing w:after="0" w:line="1" w:lineRule="exact"/>
        <w:rPr>
          <w:rFonts w:ascii="Arial" w:cs="Arial" w:eastAsia="Arial" w:hAnsi="Arial"/>
          <w:sz w:val="20"/>
          <w:szCs w:val="20"/>
          <w:color w:val="auto"/>
        </w:rPr>
      </w:pPr>
    </w:p>
    <w:p>
      <w:pPr>
        <w:ind w:left="720" w:right="100" w:hanging="360"/>
        <w:spacing w:after="0" w:line="268" w:lineRule="auto"/>
        <w:tabs>
          <w:tab w:leader="none" w:pos="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Align the interests and objectives of our executives with those of our stockholders by linking our executives’ long-term incentive compensation opportunities to stockholder value creation and their cash incentives to our annual performance; and</w:t>
      </w:r>
    </w:p>
    <w:p>
      <w:pPr>
        <w:spacing w:after="0" w:line="9" w:lineRule="exact"/>
        <w:rPr>
          <w:rFonts w:ascii="Arial" w:cs="Arial" w:eastAsia="Arial" w:hAnsi="Arial"/>
          <w:sz w:val="20"/>
          <w:szCs w:val="20"/>
          <w:color w:val="auto"/>
        </w:rPr>
      </w:pPr>
    </w:p>
    <w:p>
      <w:pPr>
        <w:ind w:left="720" w:right="60" w:hanging="360"/>
        <w:spacing w:after="0" w:line="287" w:lineRule="auto"/>
        <w:tabs>
          <w:tab w:leader="none" w:pos="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Offer total compensation opportunities to our executives that, while competitive, are internally consistent.</w:t>
      </w:r>
    </w:p>
    <w:p>
      <w:pPr>
        <w:sectPr>
          <w:pgSz w:w="11880" w:h="15480" w:orient="portrait"/>
          <w:cols w:equalWidth="0" w:num="1">
            <w:col w:w="9000"/>
          </w:cols>
          <w:pgMar w:left="1440" w:top="127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880" w:h="15480" w:orient="portrait"/>
          <w:cols w:equalWidth="0" w:num="1">
            <w:col w:w="9000"/>
          </w:cols>
          <w:pgMar w:left="1440" w:top="1271" w:right="1440" w:bottom="0" w:gutter="0" w:footer="0" w:header="0"/>
          <w:type w:val="continuous"/>
        </w:sectPr>
      </w:pPr>
    </w:p>
    <w:bookmarkStart w:id="50" w:name="page51"/>
    <w:bookmarkEnd w:id="50"/>
    <w:p>
      <w:pPr>
        <w:ind w:left="360"/>
        <w:spacing w:after="0"/>
        <w:rPr>
          <w:sz w:val="20"/>
          <w:szCs w:val="20"/>
          <w:color w:val="auto"/>
        </w:rPr>
      </w:pPr>
      <w:r>
        <w:rPr>
          <w:rFonts w:ascii="Arial" w:cs="Arial" w:eastAsia="Arial" w:hAnsi="Arial"/>
          <w:sz w:val="20"/>
          <w:szCs w:val="20"/>
          <w:b w:val="1"/>
          <w:bCs w:val="1"/>
          <w:i w:val="1"/>
          <w:iCs w:val="1"/>
          <w:color w:val="auto"/>
        </w:rPr>
        <w:t>Executive Compensation Design; Pay for Performance</w:t>
      </w:r>
    </w:p>
    <w:p>
      <w:pPr>
        <w:spacing w:after="0" w:line="249" w:lineRule="exact"/>
        <w:rPr>
          <w:sz w:val="20"/>
          <w:szCs w:val="20"/>
          <w:color w:val="auto"/>
        </w:rPr>
      </w:pPr>
    </w:p>
    <w:p>
      <w:pPr>
        <w:ind w:right="240" w:firstLine="360"/>
        <w:spacing w:after="0" w:line="314" w:lineRule="auto"/>
        <w:rPr>
          <w:sz w:val="20"/>
          <w:szCs w:val="20"/>
          <w:color w:val="auto"/>
        </w:rPr>
      </w:pPr>
      <w:r>
        <w:rPr>
          <w:rFonts w:ascii="Arial" w:cs="Arial" w:eastAsia="Arial" w:hAnsi="Arial"/>
          <w:sz w:val="19"/>
          <w:szCs w:val="19"/>
          <w:color w:val="auto"/>
        </w:rPr>
        <w:t>The annual compensation arrangements for our Named Executive Officers consist of both fixed and "at risk" compensation elements which have been designed to align pay and performance.</w:t>
      </w:r>
    </w:p>
    <w:p>
      <w:pPr>
        <w:spacing w:after="0" w:line="148" w:lineRule="exact"/>
        <w:rPr>
          <w:sz w:val="20"/>
          <w:szCs w:val="20"/>
          <w:color w:val="auto"/>
        </w:rPr>
      </w:pPr>
    </w:p>
    <w:p>
      <w:pPr>
        <w:ind w:right="120" w:firstLine="360"/>
        <w:spacing w:after="0" w:line="256" w:lineRule="auto"/>
        <w:rPr>
          <w:sz w:val="20"/>
          <w:szCs w:val="20"/>
          <w:color w:val="auto"/>
        </w:rPr>
      </w:pPr>
      <w:r>
        <w:rPr>
          <w:rFonts w:ascii="Arial" w:cs="Arial" w:eastAsia="Arial" w:hAnsi="Arial"/>
          <w:sz w:val="20"/>
          <w:szCs w:val="20"/>
          <w:color w:val="auto"/>
        </w:rPr>
        <w:t>Our fixed base salaries are designed to retain our executives by providing dependable and competitive annual income. In addition, we emphasize variable compensation through our short-term incentive cash bonus plan based on our Named Executive Officers attainment of pre-established short-term financial targets as determined from time to time by the Company and reviewed by our Board of Directors in connection with our annual operating plan, and "at-risk" compensation through our long-term equity incentive plan, which consists of service-vesting RSUs and, beginning in 2022, PSUs.</w:t>
      </w:r>
    </w:p>
    <w:p>
      <w:pPr>
        <w:spacing w:after="0" w:line="203" w:lineRule="exact"/>
        <w:rPr>
          <w:sz w:val="20"/>
          <w:szCs w:val="20"/>
          <w:color w:val="auto"/>
        </w:rPr>
      </w:pPr>
    </w:p>
    <w:p>
      <w:pPr>
        <w:ind w:firstLine="360"/>
        <w:spacing w:after="0" w:line="254" w:lineRule="auto"/>
        <w:rPr>
          <w:sz w:val="20"/>
          <w:szCs w:val="20"/>
          <w:color w:val="auto"/>
        </w:rPr>
      </w:pPr>
      <w:r>
        <w:rPr>
          <w:rFonts w:ascii="Arial" w:cs="Arial" w:eastAsia="Arial" w:hAnsi="Arial"/>
          <w:sz w:val="20"/>
          <w:szCs w:val="20"/>
          <w:color w:val="auto"/>
        </w:rPr>
        <w:t>Historically, we believed that service-based RSU awards were an appropriate long-term incentive compensation vehicle in so far as they exposed our Named Executive Officers to fluctuations in our stock price, thereby aligning the interests of our Named Executive Officers and stockholders and incentivizing them to build sustainable long-term value for the benefit of our stockholders while satisfying our retention objectives. In 2022, we decided to incorporate PSUs in our long-term incentive plan as a portion of our long-term incentive grants in order to further tie pay to performance. For 2022, PSUs made up 25% of the total grant date fair value of the long-term incentive grants for our Named Executive Officers. In future years and over time, the Compensation Committee intends to gradually shift the mix of equity awards granted to Named Executive Officers to include a higher proportion of performance-based incentives.</w:t>
      </w:r>
    </w:p>
    <w:p>
      <w:pPr>
        <w:spacing w:after="0" w:line="206" w:lineRule="exact"/>
        <w:rPr>
          <w:sz w:val="20"/>
          <w:szCs w:val="20"/>
          <w:color w:val="auto"/>
        </w:rPr>
      </w:pPr>
    </w:p>
    <w:p>
      <w:pPr>
        <w:ind w:right="40" w:firstLine="360"/>
        <w:spacing w:after="0" w:line="268" w:lineRule="auto"/>
        <w:rPr>
          <w:sz w:val="20"/>
          <w:szCs w:val="20"/>
          <w:color w:val="auto"/>
        </w:rPr>
      </w:pPr>
      <w:r>
        <w:rPr>
          <w:rFonts w:ascii="Arial" w:cs="Arial" w:eastAsia="Arial" w:hAnsi="Arial"/>
          <w:sz w:val="20"/>
          <w:szCs w:val="20"/>
          <w:color w:val="auto"/>
        </w:rPr>
        <w:t>These at-risk pay elements ensure that a substantial portion of our Named Executive Officers’ target total direct compensation is contingent (rather than fixed) in nature, with the amounts ultimately payable commensurate with our actual performance.</w:t>
      </w:r>
    </w:p>
    <w:p>
      <w:pPr>
        <w:sectPr>
          <w:pgSz w:w="11880" w:h="15480" w:orient="portrait"/>
          <w:cols w:equalWidth="0" w:num="1">
            <w:col w:w="9000"/>
          </w:cols>
          <w:pgMar w:left="1440" w:top="12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880" w:h="15480" w:orient="portrait"/>
          <w:cols w:equalWidth="0" w:num="1">
            <w:col w:w="9000"/>
          </w:cols>
          <w:pgMar w:left="1440" w:top="1205" w:right="1440" w:bottom="0" w:gutter="0" w:footer="0" w:header="0"/>
          <w:type w:val="continuous"/>
        </w:sectPr>
      </w:pPr>
    </w:p>
    <w:bookmarkStart w:id="51" w:name="page52"/>
    <w:bookmarkEnd w:id="51"/>
    <w:p>
      <w:pPr>
        <w:spacing w:after="0"/>
        <w:rPr>
          <w:sz w:val="20"/>
          <w:szCs w:val="20"/>
          <w:color w:val="auto"/>
        </w:rPr>
      </w:pPr>
      <w:r>
        <w:rPr>
          <w:rFonts w:ascii="Arial" w:cs="Arial" w:eastAsia="Arial" w:hAnsi="Arial"/>
          <w:sz w:val="20"/>
          <w:szCs w:val="20"/>
          <w:b w:val="1"/>
          <w:bCs w:val="1"/>
          <w:color w:val="auto"/>
        </w:rPr>
        <w:t>Compensation Elements</w:t>
      </w:r>
    </w:p>
    <w:p>
      <w:pPr>
        <w:spacing w:after="0" w:line="251" w:lineRule="exact"/>
        <w:rPr>
          <w:sz w:val="20"/>
          <w:szCs w:val="20"/>
          <w:color w:val="auto"/>
        </w:rPr>
      </w:pPr>
    </w:p>
    <w:p>
      <w:pPr>
        <w:ind w:right="340" w:firstLine="360"/>
        <w:spacing w:after="0" w:line="287" w:lineRule="auto"/>
        <w:rPr>
          <w:sz w:val="20"/>
          <w:szCs w:val="20"/>
          <w:color w:val="auto"/>
        </w:rPr>
      </w:pPr>
      <w:r>
        <w:rPr>
          <w:rFonts w:ascii="Arial" w:cs="Arial" w:eastAsia="Arial" w:hAnsi="Arial"/>
          <w:sz w:val="20"/>
          <w:szCs w:val="20"/>
          <w:color w:val="auto"/>
        </w:rPr>
        <w:t>In 2022, the principal elements of our executive compensation program, and the objective and key features of each element, were as follows:</w:t>
      </w:r>
    </w:p>
    <w:p>
      <w:pPr>
        <w:sectPr>
          <w:pgSz w:w="11880" w:h="15480" w:orient="portrait"/>
          <w:cols w:equalWidth="0" w:num="1">
            <w:col w:w="9000"/>
          </w:cols>
          <w:pgMar w:left="1440" w:top="1203" w:right="1440" w:bottom="0" w:gutter="0" w:footer="0" w:header="0"/>
        </w:sectPr>
      </w:pPr>
    </w:p>
    <w:p>
      <w:pPr>
        <w:spacing w:after="0" w:line="82" w:lineRule="exact"/>
        <w:rPr>
          <w:sz w:val="20"/>
          <w:szCs w:val="20"/>
          <w:color w:val="auto"/>
        </w:rPr>
      </w:pPr>
    </w:p>
    <w:p>
      <w:pPr>
        <w:ind w:left="60"/>
        <w:spacing w:after="0"/>
        <w:tabs>
          <w:tab w:leader="none" w:pos="1540" w:val="left"/>
        </w:tabs>
        <w:rPr>
          <w:sz w:val="20"/>
          <w:szCs w:val="20"/>
          <w:color w:val="auto"/>
        </w:rPr>
      </w:pPr>
      <w:r>
        <w:rPr>
          <w:rFonts w:ascii="Arial" w:cs="Arial" w:eastAsia="Arial" w:hAnsi="Arial"/>
          <w:sz w:val="20"/>
          <w:szCs w:val="20"/>
          <w:b w:val="1"/>
          <w:bCs w:val="1"/>
          <w:color w:val="auto"/>
        </w:rPr>
        <w:t>Element</w:t>
      </w:r>
      <w:r>
        <w:rPr>
          <w:sz w:val="20"/>
          <w:szCs w:val="20"/>
          <w:color w:val="auto"/>
        </w:rPr>
        <w:tab/>
      </w:r>
      <w:r>
        <w:rPr>
          <w:rFonts w:ascii="Arial" w:cs="Arial" w:eastAsia="Arial" w:hAnsi="Arial"/>
          <w:sz w:val="20"/>
          <w:szCs w:val="20"/>
          <w:b w:val="1"/>
          <w:bCs w:val="1"/>
          <w:color w:val="auto"/>
        </w:rPr>
        <w:t>Type and Form of Objective</w:t>
      </w:r>
    </w:p>
    <w:p>
      <w:pPr>
        <w:spacing w:after="0" w:line="10" w:lineRule="exact"/>
        <w:rPr>
          <w:sz w:val="20"/>
          <w:szCs w:val="20"/>
          <w:color w:val="auto"/>
        </w:rPr>
      </w:pPr>
    </w:p>
    <w:p>
      <w:pPr>
        <w:ind w:left="1560"/>
        <w:spacing w:after="0"/>
        <w:rPr>
          <w:sz w:val="20"/>
          <w:szCs w:val="20"/>
          <w:color w:val="auto"/>
        </w:rPr>
      </w:pPr>
      <w:r>
        <w:rPr>
          <w:rFonts w:ascii="Arial" w:cs="Arial" w:eastAsia="Arial" w:hAnsi="Arial"/>
          <w:sz w:val="20"/>
          <w:szCs w:val="20"/>
          <w:b w:val="1"/>
          <w:bCs w:val="1"/>
          <w:color w:val="auto"/>
        </w:rPr>
        <w:t>Element</w:t>
      </w:r>
    </w:p>
    <w:p>
      <w:pPr>
        <w:spacing w:after="0" w:line="71" w:lineRule="exact"/>
        <w:rPr>
          <w:sz w:val="20"/>
          <w:szCs w:val="20"/>
          <w:color w:val="auto"/>
        </w:rPr>
      </w:pPr>
    </w:p>
    <w:p>
      <w:pPr>
        <w:ind w:left="60"/>
        <w:spacing w:after="0"/>
        <w:tabs>
          <w:tab w:leader="none" w:pos="1540" w:val="left"/>
          <w:tab w:leader="none" w:pos="3340" w:val="left"/>
        </w:tabs>
        <w:rPr>
          <w:sz w:val="20"/>
          <w:szCs w:val="20"/>
          <w:color w:val="auto"/>
        </w:rPr>
      </w:pPr>
      <w:r>
        <w:rPr>
          <w:rFonts w:ascii="Arial" w:cs="Arial" w:eastAsia="Arial" w:hAnsi="Arial"/>
          <w:sz w:val="20"/>
          <w:szCs w:val="20"/>
          <w:color w:val="auto"/>
        </w:rPr>
        <w:t>Base Salary</w:t>
      </w:r>
      <w:r>
        <w:rPr>
          <w:sz w:val="20"/>
          <w:szCs w:val="20"/>
          <w:color w:val="auto"/>
        </w:rPr>
        <w:tab/>
      </w:r>
      <w:r>
        <w:rPr>
          <w:rFonts w:ascii="Arial" w:cs="Arial" w:eastAsia="Arial" w:hAnsi="Arial"/>
          <w:sz w:val="20"/>
          <w:szCs w:val="20"/>
          <w:color w:val="auto"/>
        </w:rPr>
        <w:t>Fixed/Cash</w:t>
      </w:r>
      <w:r>
        <w:rPr>
          <w:sz w:val="20"/>
          <w:szCs w:val="20"/>
          <w:color w:val="auto"/>
        </w:rPr>
        <w:tab/>
      </w:r>
      <w:r>
        <w:rPr>
          <w:rFonts w:ascii="Arial" w:cs="Arial" w:eastAsia="Arial" w:hAnsi="Arial"/>
          <w:sz w:val="20"/>
          <w:szCs w:val="20"/>
          <w:color w:val="auto"/>
        </w:rPr>
        <w:t>Designed to attract and</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retain highly talented</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executives by providing</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financial stability and security</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for performing job</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responsibilities through a</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fixed amount that is market</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competitive and rewards</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0"/>
        <w:spacing w:after="0"/>
        <w:tabs>
          <w:tab w:leader="none" w:pos="1540" w:val="left"/>
          <w:tab w:leader="none" w:pos="3340" w:val="left"/>
        </w:tabs>
        <w:rPr>
          <w:sz w:val="20"/>
          <w:szCs w:val="20"/>
          <w:color w:val="auto"/>
        </w:rPr>
      </w:pPr>
      <w:r>
        <w:rPr>
          <w:rFonts w:ascii="Arial" w:cs="Arial" w:eastAsia="Arial" w:hAnsi="Arial"/>
          <w:sz w:val="20"/>
          <w:szCs w:val="20"/>
          <w:color w:val="auto"/>
        </w:rPr>
        <w:t>Short-Term</w:t>
      </w:r>
      <w:r>
        <w:rPr>
          <w:sz w:val="20"/>
          <w:szCs w:val="20"/>
          <w:color w:val="auto"/>
        </w:rPr>
        <w:tab/>
      </w:r>
      <w:r>
        <w:rPr>
          <w:rFonts w:ascii="Arial" w:cs="Arial" w:eastAsia="Arial" w:hAnsi="Arial"/>
          <w:sz w:val="20"/>
          <w:szCs w:val="20"/>
          <w:color w:val="auto"/>
        </w:rPr>
        <w:t>Variable/Cash</w:t>
      </w:r>
      <w:r>
        <w:rPr>
          <w:sz w:val="20"/>
          <w:szCs w:val="20"/>
          <w:color w:val="auto"/>
        </w:rPr>
        <w:tab/>
      </w:r>
      <w:r>
        <w:rPr>
          <w:rFonts w:ascii="Arial" w:cs="Arial" w:eastAsia="Arial" w:hAnsi="Arial"/>
          <w:sz w:val="20"/>
          <w:szCs w:val="20"/>
          <w:color w:val="auto"/>
        </w:rPr>
        <w:t>Designed to motivate and</w:t>
      </w:r>
    </w:p>
    <w:p>
      <w:pPr>
        <w:spacing w:after="0" w:line="10" w:lineRule="exact"/>
        <w:rPr>
          <w:sz w:val="20"/>
          <w:szCs w:val="20"/>
          <w:color w:val="auto"/>
        </w:rPr>
      </w:pPr>
    </w:p>
    <w:p>
      <w:pPr>
        <w:ind w:left="60"/>
        <w:spacing w:after="0"/>
        <w:tabs>
          <w:tab w:leader="none" w:pos="1540" w:val="left"/>
          <w:tab w:leader="none" w:pos="3340" w:val="left"/>
        </w:tabs>
        <w:rPr>
          <w:sz w:val="20"/>
          <w:szCs w:val="20"/>
          <w:color w:val="auto"/>
        </w:rPr>
      </w:pPr>
      <w:r>
        <w:rPr>
          <w:rFonts w:ascii="Arial" w:cs="Arial" w:eastAsia="Arial" w:hAnsi="Arial"/>
          <w:sz w:val="20"/>
          <w:szCs w:val="20"/>
          <w:color w:val="auto"/>
        </w:rPr>
        <w:t>Incentive</w:t>
      </w:r>
      <w:r>
        <w:rPr>
          <w:sz w:val="20"/>
          <w:szCs w:val="20"/>
          <w:color w:val="auto"/>
        </w:rPr>
        <w:tab/>
      </w:r>
      <w:r>
        <w:rPr>
          <w:rFonts w:ascii="Arial" w:cs="Arial" w:eastAsia="Arial" w:hAnsi="Arial"/>
          <w:sz w:val="20"/>
          <w:szCs w:val="20"/>
          <w:color w:val="auto"/>
        </w:rPr>
        <w:t>Bonus</w:t>
      </w:r>
      <w:r>
        <w:rPr>
          <w:sz w:val="20"/>
          <w:szCs w:val="20"/>
          <w:color w:val="auto"/>
        </w:rPr>
        <w:tab/>
      </w:r>
      <w:r>
        <w:rPr>
          <w:rFonts w:ascii="Arial" w:cs="Arial" w:eastAsia="Arial" w:hAnsi="Arial"/>
          <w:sz w:val="19"/>
          <w:szCs w:val="19"/>
          <w:color w:val="auto"/>
        </w:rPr>
        <w:t>reward executives with</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financial incentives for</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achieving or exceeding</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rigorous quarterly and</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annual financial objectives</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related to our key business</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imperatives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Features</w:t>
      </w:r>
    </w:p>
    <w:p>
      <w:pPr>
        <w:spacing w:after="0" w:line="311" w:lineRule="exact"/>
        <w:rPr>
          <w:sz w:val="20"/>
          <w:szCs w:val="20"/>
          <w:color w:val="auto"/>
        </w:rPr>
      </w:pPr>
    </w:p>
    <w:p>
      <w:pPr>
        <w:ind w:right="240" w:firstLine="8"/>
        <w:spacing w:after="0" w:line="250" w:lineRule="auto"/>
        <w:tabs>
          <w:tab w:leader="none" w:pos="125" w:val="left"/>
        </w:tabs>
        <w:numPr>
          <w:ilvl w:val="0"/>
          <w:numId w:val="36"/>
        </w:numPr>
        <w:rPr>
          <w:rFonts w:ascii="Arial" w:cs="Arial" w:eastAsia="Arial" w:hAnsi="Arial"/>
          <w:sz w:val="20"/>
          <w:szCs w:val="20"/>
          <w:color w:val="auto"/>
        </w:rPr>
      </w:pPr>
      <w:r>
        <w:rPr>
          <w:rFonts w:ascii="Arial" w:cs="Arial" w:eastAsia="Arial" w:hAnsi="Arial"/>
          <w:sz w:val="20"/>
          <w:szCs w:val="20"/>
          <w:color w:val="auto"/>
        </w:rPr>
        <w:t>Established initially through arm’s-length negotiation at the time of hire and then reviewed annually at beginning of year.</w:t>
      </w:r>
    </w:p>
    <w:p>
      <w:pPr>
        <w:spacing w:after="0" w:line="1" w:lineRule="exact"/>
        <w:rPr>
          <w:rFonts w:ascii="Arial" w:cs="Arial" w:eastAsia="Arial" w:hAnsi="Arial"/>
          <w:sz w:val="20"/>
          <w:szCs w:val="20"/>
          <w:color w:val="auto"/>
        </w:rPr>
      </w:pPr>
    </w:p>
    <w:p>
      <w:pPr>
        <w:ind w:right="80" w:firstLine="8"/>
        <w:spacing w:after="0" w:line="253" w:lineRule="auto"/>
        <w:tabs>
          <w:tab w:leader="none" w:pos="125" w:val="left"/>
        </w:tabs>
        <w:numPr>
          <w:ilvl w:val="0"/>
          <w:numId w:val="36"/>
        </w:numPr>
        <w:rPr>
          <w:rFonts w:ascii="Arial" w:cs="Arial" w:eastAsia="Arial" w:hAnsi="Arial"/>
          <w:sz w:val="20"/>
          <w:szCs w:val="20"/>
          <w:color w:val="auto"/>
        </w:rPr>
      </w:pPr>
      <w:r>
        <w:rPr>
          <w:rFonts w:ascii="Arial" w:cs="Arial" w:eastAsia="Arial" w:hAnsi="Arial"/>
          <w:sz w:val="20"/>
          <w:szCs w:val="20"/>
          <w:color w:val="auto"/>
        </w:rPr>
        <w:t>Factors considered include: executive's position, qualifications, experience, pre-hire salary level, the base salaries of our other executives, company and individual performance, retention objectives, a competitive market analysis, and recommendations of the CEO (for Named Executive Officers other than the CEO)</w:t>
      </w:r>
    </w:p>
    <w:p>
      <w:pPr>
        <w:spacing w:after="0" w:line="135" w:lineRule="exact"/>
        <w:rPr>
          <w:rFonts w:ascii="Arial" w:cs="Arial" w:eastAsia="Arial" w:hAnsi="Arial"/>
          <w:sz w:val="20"/>
          <w:szCs w:val="20"/>
          <w:color w:val="auto"/>
        </w:rPr>
      </w:pPr>
    </w:p>
    <w:p>
      <w:pPr>
        <w:ind w:right="120" w:firstLine="8"/>
        <w:spacing w:after="0" w:line="250" w:lineRule="auto"/>
        <w:tabs>
          <w:tab w:leader="none" w:pos="122" w:val="left"/>
        </w:tabs>
        <w:numPr>
          <w:ilvl w:val="0"/>
          <w:numId w:val="36"/>
        </w:numPr>
        <w:rPr>
          <w:rFonts w:ascii="Arial" w:cs="Arial" w:eastAsia="Arial" w:hAnsi="Arial"/>
          <w:sz w:val="20"/>
          <w:szCs w:val="20"/>
          <w:color w:val="auto"/>
        </w:rPr>
      </w:pPr>
      <w:r>
        <w:rPr>
          <w:rFonts w:ascii="Arial" w:cs="Arial" w:eastAsia="Arial" w:hAnsi="Arial"/>
          <w:sz w:val="20"/>
          <w:szCs w:val="20"/>
          <w:color w:val="auto"/>
        </w:rPr>
        <w:t>Target bonus amounts generally are reviewed annually at the beginning of year and determined based on various factors, including company and individual performance, a competitive market analysis, and recommendations of the CEO (for Named Executive Officers other than the CEO)</w:t>
      </w:r>
    </w:p>
    <w:p>
      <w:pPr>
        <w:spacing w:after="0" w:line="4" w:lineRule="exact"/>
        <w:rPr>
          <w:rFonts w:ascii="Arial" w:cs="Arial" w:eastAsia="Arial" w:hAnsi="Arial"/>
          <w:sz w:val="20"/>
          <w:szCs w:val="20"/>
          <w:color w:val="auto"/>
        </w:rPr>
      </w:pPr>
    </w:p>
    <w:p>
      <w:pPr>
        <w:jc w:val="both"/>
        <w:ind w:right="300" w:firstLine="8"/>
        <w:spacing w:after="0" w:line="250" w:lineRule="auto"/>
        <w:tabs>
          <w:tab w:leader="none" w:pos="125" w:val="left"/>
        </w:tabs>
        <w:numPr>
          <w:ilvl w:val="0"/>
          <w:numId w:val="36"/>
        </w:numPr>
        <w:rPr>
          <w:rFonts w:ascii="Arial" w:cs="Arial" w:eastAsia="Arial" w:hAnsi="Arial"/>
          <w:sz w:val="20"/>
          <w:szCs w:val="20"/>
          <w:color w:val="auto"/>
        </w:rPr>
      </w:pPr>
      <w:r>
        <w:rPr>
          <w:rFonts w:ascii="Arial" w:cs="Arial" w:eastAsia="Arial" w:hAnsi="Arial"/>
          <w:sz w:val="20"/>
          <w:szCs w:val="20"/>
          <w:color w:val="auto"/>
        </w:rPr>
        <w:t>Bonus payments earned are determined after each quarter and the full-year</w:t>
      </w:r>
    </w:p>
    <w:p>
      <w:pPr>
        <w:spacing w:after="0" w:line="1" w:lineRule="exact"/>
        <w:rPr>
          <w:rFonts w:ascii="Arial" w:cs="Arial" w:eastAsia="Arial" w:hAnsi="Arial"/>
          <w:sz w:val="20"/>
          <w:szCs w:val="20"/>
          <w:color w:val="auto"/>
        </w:rPr>
      </w:pPr>
    </w:p>
    <w:p>
      <w:pPr>
        <w:ind w:right="80" w:firstLine="8"/>
        <w:spacing w:after="0" w:line="255" w:lineRule="auto"/>
        <w:tabs>
          <w:tab w:leader="none" w:pos="125" w:val="left"/>
        </w:tabs>
        <w:numPr>
          <w:ilvl w:val="0"/>
          <w:numId w:val="36"/>
        </w:numPr>
        <w:rPr>
          <w:rFonts w:ascii="Arial" w:cs="Arial" w:eastAsia="Arial" w:hAnsi="Arial"/>
          <w:sz w:val="20"/>
          <w:szCs w:val="20"/>
          <w:color w:val="auto"/>
        </w:rPr>
      </w:pPr>
      <w:r>
        <w:rPr>
          <w:rFonts w:ascii="Arial" w:cs="Arial" w:eastAsia="Arial" w:hAnsi="Arial"/>
          <w:sz w:val="20"/>
          <w:szCs w:val="20"/>
          <w:color w:val="auto"/>
        </w:rPr>
        <w:t>Bonus payments are generally dependent upon achievement of pre-established corporate financial objectives selected by our Compensation Committee from our annual operating plan reviewed by our Board of Directors</w:t>
      </w:r>
    </w:p>
    <w:p>
      <w:pPr>
        <w:spacing w:after="0" w:line="200" w:lineRule="exact"/>
        <w:rPr>
          <w:sz w:val="20"/>
          <w:szCs w:val="20"/>
          <w:color w:val="auto"/>
        </w:rPr>
      </w:pPr>
    </w:p>
    <w:p>
      <w:pPr>
        <w:sectPr>
          <w:pgSz w:w="11880" w:h="15480" w:orient="portrait"/>
          <w:cols w:equalWidth="0" w:num="2">
            <w:col w:w="5960" w:space="100"/>
            <w:col w:w="2940"/>
          </w:cols>
          <w:pgMar w:left="1440" w:top="1203"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880" w:h="15480" w:orient="portrait"/>
          <w:cols w:equalWidth="0" w:num="1">
            <w:col w:w="9000"/>
          </w:cols>
          <w:pgMar w:left="1440" w:top="1203" w:right="1440" w:bottom="0" w:gutter="0" w:footer="0" w:header="0"/>
          <w:type w:val="continuous"/>
        </w:sectPr>
      </w:pPr>
    </w:p>
    <w:bookmarkStart w:id="52" w:name="page53"/>
    <w:bookmarkEnd w:id="52"/>
    <w:p>
      <w:pPr>
        <w:ind w:left="60"/>
        <w:spacing w:after="0"/>
        <w:tabs>
          <w:tab w:leader="none" w:pos="1540" w:val="left"/>
          <w:tab w:leader="none" w:pos="3340" w:val="left"/>
        </w:tabs>
        <w:rPr>
          <w:sz w:val="20"/>
          <w:szCs w:val="20"/>
          <w:color w:val="auto"/>
        </w:rPr>
      </w:pPr>
      <w:r>
        <w:rPr>
          <w:rFonts w:ascii="Arial" w:cs="Arial" w:eastAsia="Arial" w:hAnsi="Arial"/>
          <w:sz w:val="20"/>
          <w:szCs w:val="20"/>
          <w:color w:val="auto"/>
        </w:rPr>
        <w:t>Long-Term</w:t>
      </w:r>
      <w:r>
        <w:rPr>
          <w:sz w:val="20"/>
          <w:szCs w:val="20"/>
          <w:color w:val="auto"/>
        </w:rPr>
        <w:tab/>
      </w:r>
      <w:r>
        <w:rPr>
          <w:rFonts w:ascii="Arial" w:cs="Arial" w:eastAsia="Arial" w:hAnsi="Arial"/>
          <w:sz w:val="20"/>
          <w:szCs w:val="20"/>
          <w:color w:val="auto"/>
        </w:rPr>
        <w:t>At risk/RSUs and</w:t>
        <w:tab/>
        <w:t>Designed to motivate and</w:t>
      </w:r>
    </w:p>
    <w:p>
      <w:pPr>
        <w:spacing w:after="0" w:line="10" w:lineRule="exact"/>
        <w:rPr>
          <w:sz w:val="20"/>
          <w:szCs w:val="20"/>
          <w:color w:val="auto"/>
        </w:rPr>
      </w:pPr>
    </w:p>
    <w:p>
      <w:pPr>
        <w:ind w:left="60"/>
        <w:spacing w:after="0"/>
        <w:tabs>
          <w:tab w:leader="none" w:pos="1540" w:val="left"/>
          <w:tab w:leader="none" w:pos="3340" w:val="left"/>
        </w:tabs>
        <w:rPr>
          <w:sz w:val="20"/>
          <w:szCs w:val="20"/>
          <w:color w:val="auto"/>
        </w:rPr>
      </w:pPr>
      <w:r>
        <w:rPr>
          <w:rFonts w:ascii="Arial" w:cs="Arial" w:eastAsia="Arial" w:hAnsi="Arial"/>
          <w:sz w:val="20"/>
          <w:szCs w:val="20"/>
          <w:color w:val="auto"/>
        </w:rPr>
        <w:t>Incentive</w:t>
      </w:r>
      <w:r>
        <w:rPr>
          <w:sz w:val="20"/>
          <w:szCs w:val="20"/>
          <w:color w:val="auto"/>
        </w:rPr>
        <w:tab/>
      </w:r>
      <w:r>
        <w:rPr>
          <w:rFonts w:ascii="Arial" w:cs="Arial" w:eastAsia="Arial" w:hAnsi="Arial"/>
          <w:sz w:val="20"/>
          <w:szCs w:val="20"/>
          <w:color w:val="auto"/>
        </w:rPr>
        <w:t>Variable/PSUs</w:t>
      </w:r>
      <w:r>
        <w:rPr>
          <w:sz w:val="20"/>
          <w:szCs w:val="20"/>
          <w:color w:val="auto"/>
        </w:rPr>
        <w:tab/>
      </w:r>
      <w:r>
        <w:rPr>
          <w:rFonts w:ascii="Arial" w:cs="Arial" w:eastAsia="Arial" w:hAnsi="Arial"/>
          <w:sz w:val="19"/>
          <w:szCs w:val="19"/>
          <w:color w:val="auto"/>
        </w:rPr>
        <w:t>reward executives for</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successful long-term</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performance, align interests</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of executives and</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stockholders by motivating</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them to create sustainable</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long-term stockholder value,</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and encourage continued</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employment of executives</w:t>
      </w:r>
    </w:p>
    <w:p>
      <w:pPr>
        <w:spacing w:after="0" w:line="10"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over the long-term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60" w:type="dxa"/>
        <w:tblCellMar>
          <w:top w:w="0" w:type="dxa"/>
          <w:left w:w="0" w:type="dxa"/>
          <w:bottom w:w="0" w:type="dxa"/>
          <w:right w:w="0" w:type="dxa"/>
        </w:tblCellMar>
      </w:tblPr>
      <w:tr>
        <w:trPr>
          <w:trHeight w:val="240"/>
        </w:trPr>
        <w:tc>
          <w:tcPr>
            <w:tcW w:w="1400" w:type="dxa"/>
            <w:vAlign w:val="bottom"/>
          </w:tcPr>
          <w:p>
            <w:pPr>
              <w:spacing w:after="0"/>
              <w:rPr>
                <w:sz w:val="20"/>
                <w:szCs w:val="20"/>
                <w:color w:val="auto"/>
              </w:rPr>
            </w:pPr>
            <w:r>
              <w:rPr>
                <w:rFonts w:ascii="Arial" w:cs="Arial" w:eastAsia="Arial" w:hAnsi="Arial"/>
                <w:sz w:val="20"/>
                <w:szCs w:val="20"/>
                <w:color w:val="auto"/>
              </w:rPr>
              <w:t>Other</w:t>
            </w:r>
          </w:p>
        </w:tc>
        <w:tc>
          <w:tcPr>
            <w:tcW w:w="1820" w:type="dxa"/>
            <w:vAlign w:val="bottom"/>
          </w:tcPr>
          <w:p>
            <w:pPr>
              <w:ind w:left="100"/>
              <w:spacing w:after="0"/>
              <w:rPr>
                <w:sz w:val="20"/>
                <w:szCs w:val="20"/>
                <w:color w:val="auto"/>
              </w:rPr>
            </w:pPr>
            <w:r>
              <w:rPr>
                <w:rFonts w:ascii="Arial" w:cs="Arial" w:eastAsia="Arial" w:hAnsi="Arial"/>
                <w:sz w:val="20"/>
                <w:szCs w:val="20"/>
                <w:color w:val="auto"/>
              </w:rPr>
              <w:t>Retirement and</w:t>
            </w:r>
          </w:p>
        </w:tc>
        <w:tc>
          <w:tcPr>
            <w:tcW w:w="2580" w:type="dxa"/>
            <w:vAlign w:val="bottom"/>
          </w:tcPr>
          <w:p>
            <w:pPr>
              <w:ind w:left="80"/>
              <w:spacing w:after="0"/>
              <w:rPr>
                <w:sz w:val="20"/>
                <w:szCs w:val="20"/>
                <w:color w:val="auto"/>
              </w:rPr>
            </w:pPr>
            <w:r>
              <w:rPr>
                <w:rFonts w:ascii="Arial" w:cs="Arial" w:eastAsia="Arial" w:hAnsi="Arial"/>
                <w:sz w:val="20"/>
                <w:szCs w:val="20"/>
                <w:color w:val="auto"/>
              </w:rPr>
              <w:t>Employee benefits that</w:t>
            </w:r>
          </w:p>
        </w:tc>
      </w:tr>
      <w:tr>
        <w:trPr>
          <w:trHeight w:val="240"/>
        </w:trPr>
        <w:tc>
          <w:tcPr>
            <w:tcW w:w="1400" w:type="dxa"/>
            <w:vAlign w:val="bottom"/>
          </w:tcPr>
          <w:p>
            <w:pPr>
              <w:spacing w:after="0"/>
              <w:rPr>
                <w:sz w:val="20"/>
                <w:szCs w:val="20"/>
                <w:color w:val="auto"/>
              </w:rPr>
            </w:pPr>
            <w:r>
              <w:rPr>
                <w:rFonts w:ascii="Arial" w:cs="Arial" w:eastAsia="Arial" w:hAnsi="Arial"/>
                <w:sz w:val="20"/>
                <w:szCs w:val="20"/>
                <w:color w:val="auto"/>
              </w:rPr>
              <w:t>Compensation</w:t>
            </w:r>
          </w:p>
        </w:tc>
        <w:tc>
          <w:tcPr>
            <w:tcW w:w="1820" w:type="dxa"/>
            <w:vAlign w:val="bottom"/>
          </w:tcPr>
          <w:p>
            <w:pPr>
              <w:ind w:left="100"/>
              <w:spacing w:after="0"/>
              <w:rPr>
                <w:sz w:val="20"/>
                <w:szCs w:val="20"/>
                <w:color w:val="auto"/>
              </w:rPr>
            </w:pPr>
            <w:r>
              <w:rPr>
                <w:rFonts w:ascii="Arial" w:cs="Arial" w:eastAsia="Arial" w:hAnsi="Arial"/>
                <w:sz w:val="20"/>
                <w:szCs w:val="20"/>
                <w:color w:val="auto"/>
              </w:rPr>
              <w:t>health and welfare</w:t>
            </w:r>
          </w:p>
        </w:tc>
        <w:tc>
          <w:tcPr>
            <w:tcW w:w="2580" w:type="dxa"/>
            <w:vAlign w:val="bottom"/>
          </w:tcPr>
          <w:p>
            <w:pPr>
              <w:ind w:left="80"/>
              <w:spacing w:after="0"/>
              <w:rPr>
                <w:sz w:val="20"/>
                <w:szCs w:val="20"/>
                <w:color w:val="auto"/>
              </w:rPr>
            </w:pPr>
            <w:r>
              <w:rPr>
                <w:rFonts w:ascii="Arial" w:cs="Arial" w:eastAsia="Arial" w:hAnsi="Arial"/>
                <w:sz w:val="20"/>
                <w:szCs w:val="20"/>
                <w:color w:val="auto"/>
              </w:rPr>
              <w:t>promote employee savings</w:t>
            </w:r>
          </w:p>
        </w:tc>
      </w:tr>
      <w:tr>
        <w:trPr>
          <w:trHeight w:val="240"/>
        </w:trPr>
        <w:tc>
          <w:tcPr>
            <w:tcW w:w="1400" w:type="dxa"/>
            <w:vAlign w:val="bottom"/>
          </w:tcPr>
          <w:p>
            <w:pPr>
              <w:spacing w:after="0"/>
              <w:rPr>
                <w:sz w:val="20"/>
                <w:szCs w:val="20"/>
                <w:color w:val="auto"/>
              </w:rPr>
            </w:pPr>
          </w:p>
        </w:tc>
        <w:tc>
          <w:tcPr>
            <w:tcW w:w="1820" w:type="dxa"/>
            <w:vAlign w:val="bottom"/>
          </w:tcPr>
          <w:p>
            <w:pPr>
              <w:ind w:left="100"/>
              <w:spacing w:after="0"/>
              <w:rPr>
                <w:sz w:val="20"/>
                <w:szCs w:val="20"/>
                <w:color w:val="auto"/>
              </w:rPr>
            </w:pPr>
            <w:r>
              <w:rPr>
                <w:rFonts w:ascii="Arial" w:cs="Arial" w:eastAsia="Arial" w:hAnsi="Arial"/>
                <w:sz w:val="20"/>
                <w:szCs w:val="20"/>
                <w:color w:val="auto"/>
              </w:rPr>
              <w:t>benefits offered to</w:t>
            </w:r>
          </w:p>
        </w:tc>
        <w:tc>
          <w:tcPr>
            <w:tcW w:w="2580" w:type="dxa"/>
            <w:vAlign w:val="bottom"/>
          </w:tcPr>
          <w:p>
            <w:pPr>
              <w:ind w:left="80"/>
              <w:spacing w:after="0"/>
              <w:rPr>
                <w:sz w:val="20"/>
                <w:szCs w:val="20"/>
                <w:color w:val="auto"/>
              </w:rPr>
            </w:pPr>
            <w:r>
              <w:rPr>
                <w:rFonts w:ascii="Arial" w:cs="Arial" w:eastAsia="Arial" w:hAnsi="Arial"/>
                <w:sz w:val="20"/>
                <w:szCs w:val="20"/>
                <w:color w:val="auto"/>
              </w:rPr>
              <w:t>and health and welfare,</w:t>
            </w:r>
          </w:p>
        </w:tc>
      </w:tr>
      <w:tr>
        <w:trPr>
          <w:trHeight w:val="240"/>
        </w:trPr>
        <w:tc>
          <w:tcPr>
            <w:tcW w:w="1400" w:type="dxa"/>
            <w:vAlign w:val="bottom"/>
          </w:tcPr>
          <w:p>
            <w:pPr>
              <w:spacing w:after="0"/>
              <w:rPr>
                <w:sz w:val="20"/>
                <w:szCs w:val="20"/>
                <w:color w:val="auto"/>
              </w:rPr>
            </w:pPr>
          </w:p>
        </w:tc>
        <w:tc>
          <w:tcPr>
            <w:tcW w:w="1820" w:type="dxa"/>
            <w:vAlign w:val="bottom"/>
          </w:tcPr>
          <w:p>
            <w:pPr>
              <w:ind w:left="100"/>
              <w:spacing w:after="0"/>
              <w:rPr>
                <w:sz w:val="20"/>
                <w:szCs w:val="20"/>
                <w:color w:val="auto"/>
              </w:rPr>
            </w:pPr>
            <w:r>
              <w:rPr>
                <w:rFonts w:ascii="Arial" w:cs="Arial" w:eastAsia="Arial" w:hAnsi="Arial"/>
                <w:sz w:val="20"/>
                <w:szCs w:val="20"/>
                <w:color w:val="auto"/>
              </w:rPr>
              <w:t>all employees on</w:t>
            </w:r>
          </w:p>
        </w:tc>
        <w:tc>
          <w:tcPr>
            <w:tcW w:w="2580" w:type="dxa"/>
            <w:vAlign w:val="bottom"/>
          </w:tcPr>
          <w:p>
            <w:pPr>
              <w:ind w:left="80"/>
              <w:spacing w:after="0"/>
              <w:rPr>
                <w:sz w:val="20"/>
                <w:szCs w:val="20"/>
                <w:color w:val="auto"/>
              </w:rPr>
            </w:pPr>
            <w:r>
              <w:rPr>
                <w:rFonts w:ascii="Arial" w:cs="Arial" w:eastAsia="Arial" w:hAnsi="Arial"/>
                <w:sz w:val="20"/>
                <w:szCs w:val="20"/>
                <w:color w:val="auto"/>
              </w:rPr>
              <w:t>which assists in attracting</w:t>
            </w:r>
          </w:p>
        </w:tc>
      </w:tr>
      <w:tr>
        <w:trPr>
          <w:trHeight w:val="240"/>
        </w:trPr>
        <w:tc>
          <w:tcPr>
            <w:tcW w:w="1400" w:type="dxa"/>
            <w:vAlign w:val="bottom"/>
          </w:tcPr>
          <w:p>
            <w:pPr>
              <w:spacing w:after="0"/>
              <w:rPr>
                <w:sz w:val="20"/>
                <w:szCs w:val="20"/>
                <w:color w:val="auto"/>
              </w:rPr>
            </w:pPr>
          </w:p>
        </w:tc>
        <w:tc>
          <w:tcPr>
            <w:tcW w:w="1820" w:type="dxa"/>
            <w:vAlign w:val="bottom"/>
          </w:tcPr>
          <w:p>
            <w:pPr>
              <w:ind w:left="100"/>
              <w:spacing w:after="0"/>
              <w:rPr>
                <w:sz w:val="20"/>
                <w:szCs w:val="20"/>
                <w:color w:val="auto"/>
              </w:rPr>
            </w:pPr>
            <w:r>
              <w:rPr>
                <w:rFonts w:ascii="Arial" w:cs="Arial" w:eastAsia="Arial" w:hAnsi="Arial"/>
                <w:sz w:val="20"/>
                <w:szCs w:val="20"/>
                <w:color w:val="auto"/>
              </w:rPr>
              <w:t>the same terms</w:t>
            </w:r>
          </w:p>
        </w:tc>
        <w:tc>
          <w:tcPr>
            <w:tcW w:w="2580" w:type="dxa"/>
            <w:vAlign w:val="bottom"/>
          </w:tcPr>
          <w:p>
            <w:pPr>
              <w:ind w:left="80"/>
              <w:spacing w:after="0"/>
              <w:rPr>
                <w:sz w:val="20"/>
                <w:szCs w:val="20"/>
                <w:color w:val="auto"/>
              </w:rPr>
            </w:pPr>
            <w:r>
              <w:rPr>
                <w:rFonts w:ascii="Arial" w:cs="Arial" w:eastAsia="Arial" w:hAnsi="Arial"/>
                <w:sz w:val="20"/>
                <w:szCs w:val="20"/>
                <w:color w:val="auto"/>
                <w:w w:val="99"/>
              </w:rPr>
              <w:t>and retaining our executives</w:t>
            </w:r>
          </w:p>
        </w:tc>
      </w:tr>
      <w:tr>
        <w:trPr>
          <w:trHeight w:val="265"/>
        </w:trPr>
        <w:tc>
          <w:tcPr>
            <w:tcW w:w="14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580" w:type="dxa"/>
            <w:vAlign w:val="bottom"/>
          </w:tcPr>
          <w:p>
            <w:pPr>
              <w:ind w:left="80"/>
              <w:spacing w:after="0"/>
              <w:rPr>
                <w:sz w:val="20"/>
                <w:szCs w:val="20"/>
                <w:color w:val="auto"/>
              </w:rPr>
            </w:pPr>
            <w:r>
              <w:rPr>
                <w:rFonts w:ascii="Arial" w:cs="Arial" w:eastAsia="Arial" w:hAnsi="Arial"/>
                <w:sz w:val="20"/>
                <w:szCs w:val="20"/>
                <w:color w:val="auto"/>
              </w:rPr>
              <w:t>and employees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Base Salary</w:t>
      </w:r>
    </w:p>
    <w:p>
      <w:pPr>
        <w:spacing w:after="0" w:line="20" w:lineRule="exact"/>
        <w:rPr>
          <w:sz w:val="20"/>
          <w:szCs w:val="20"/>
          <w:color w:val="auto"/>
        </w:rPr>
      </w:pPr>
      <w:r>
        <w:rPr>
          <w:sz w:val="20"/>
          <w:szCs w:val="20"/>
          <w:color w:val="auto"/>
        </w:rPr>
        <w:br w:type="column"/>
      </w:r>
    </w:p>
    <w:p>
      <w:pPr>
        <w:ind w:right="160" w:firstLine="8"/>
        <w:spacing w:after="0" w:line="250" w:lineRule="auto"/>
        <w:tabs>
          <w:tab w:leader="none" w:pos="114"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Annual award opportunities are generally reviewed and determined annually at beginning of the year or as appropriate during year for new hires, promotions, or other special circumstances</w:t>
      </w:r>
    </w:p>
    <w:p>
      <w:pPr>
        <w:spacing w:after="0" w:line="3" w:lineRule="exact"/>
        <w:rPr>
          <w:rFonts w:ascii="Arial" w:cs="Arial" w:eastAsia="Arial" w:hAnsi="Arial"/>
          <w:sz w:val="20"/>
          <w:szCs w:val="20"/>
          <w:color w:val="auto"/>
        </w:rPr>
      </w:pPr>
    </w:p>
    <w:p>
      <w:pPr>
        <w:ind w:right="180" w:firstLine="8"/>
        <w:spacing w:after="0" w:line="250" w:lineRule="auto"/>
        <w:tabs>
          <w:tab w:leader="none" w:pos="125"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Individual awards are determined based on various factors, including company and individual performance, retention value of outstanding equity holdings, competitive market analysis, and recommendations of the CEO (for Named Executive Officers other than the CEO)</w:t>
      </w:r>
    </w:p>
    <w:p>
      <w:pPr>
        <w:spacing w:after="0" w:line="4" w:lineRule="exact"/>
        <w:rPr>
          <w:rFonts w:ascii="Arial" w:cs="Arial" w:eastAsia="Arial" w:hAnsi="Arial"/>
          <w:sz w:val="20"/>
          <w:szCs w:val="20"/>
          <w:color w:val="auto"/>
        </w:rPr>
      </w:pPr>
    </w:p>
    <w:p>
      <w:pPr>
        <w:ind w:right="160" w:firstLine="8"/>
        <w:spacing w:after="0" w:line="250" w:lineRule="auto"/>
        <w:tabs>
          <w:tab w:leader="none" w:pos="125" w:val="left"/>
        </w:tabs>
        <w:numPr>
          <w:ilvl w:val="0"/>
          <w:numId w:val="37"/>
        </w:numPr>
        <w:rPr>
          <w:rFonts w:ascii="Arial" w:cs="Arial" w:eastAsia="Arial" w:hAnsi="Arial"/>
          <w:sz w:val="20"/>
          <w:szCs w:val="20"/>
          <w:color w:val="auto"/>
        </w:rPr>
      </w:pPr>
      <w:r>
        <w:rPr>
          <w:rFonts w:ascii="Arial" w:cs="Arial" w:eastAsia="Arial" w:hAnsi="Arial"/>
          <w:sz w:val="20"/>
          <w:szCs w:val="20"/>
          <w:color w:val="auto"/>
        </w:rPr>
        <w:t>Historically granted RSU awards or stock options with four-year vesting requirements, although the Compensation Committee has discretion to grant other equity vehicles and use different vesting requirements or performance conditions</w:t>
      </w:r>
    </w:p>
    <w:p>
      <w:pPr>
        <w:spacing w:after="0" w:line="3" w:lineRule="exact"/>
        <w:rPr>
          <w:rFonts w:ascii="Arial" w:cs="Arial" w:eastAsia="Arial" w:hAnsi="Arial"/>
          <w:sz w:val="20"/>
          <w:szCs w:val="20"/>
          <w:color w:val="auto"/>
        </w:rPr>
      </w:pPr>
    </w:p>
    <w:p>
      <w:pPr>
        <w:ind w:right="240" w:firstLine="8"/>
        <w:spacing w:after="0" w:line="257" w:lineRule="auto"/>
        <w:tabs>
          <w:tab w:leader="none" w:pos="125"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 2022, added PSUs to the long-term incentive program in order to more closely tie together Named Executive Officer compensation and Company performance</w:t>
      </w:r>
    </w:p>
    <w:p>
      <w:pPr>
        <w:spacing w:after="0" w:line="67"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color w:val="auto"/>
        </w:rPr>
        <w:t>Indirect compensation element consisting of programs such as medical, vision, dental, life and disability insurance, as well as the 401(k) Plan with a company matching contribution and an ESPP, and other plans and programs made available to all eligible employees</w:t>
      </w:r>
    </w:p>
    <w:p>
      <w:pPr>
        <w:spacing w:after="0" w:line="739" w:lineRule="exact"/>
        <w:rPr>
          <w:sz w:val="20"/>
          <w:szCs w:val="20"/>
          <w:color w:val="auto"/>
        </w:rPr>
      </w:pPr>
    </w:p>
    <w:p>
      <w:pPr>
        <w:sectPr>
          <w:pgSz w:w="11880" w:h="15480" w:orient="portrait"/>
          <w:cols w:equalWidth="0" w:num="2">
            <w:col w:w="5880" w:space="180"/>
            <w:col w:w="2940"/>
          </w:cols>
          <w:pgMar w:left="1440" w:top="1257" w:right="1440" w:bottom="0" w:gutter="0" w:footer="0" w:header="0"/>
        </w:sectPr>
      </w:pPr>
    </w:p>
    <w:p>
      <w:pPr>
        <w:spacing w:after="0" w:line="49" w:lineRule="exact"/>
        <w:rPr>
          <w:sz w:val="20"/>
          <w:szCs w:val="20"/>
          <w:color w:val="auto"/>
        </w:rPr>
      </w:pPr>
    </w:p>
    <w:p>
      <w:pPr>
        <w:ind w:right="80" w:firstLine="360"/>
        <w:spacing w:after="0" w:line="257" w:lineRule="auto"/>
        <w:rPr>
          <w:sz w:val="20"/>
          <w:szCs w:val="20"/>
          <w:color w:val="auto"/>
        </w:rPr>
      </w:pPr>
      <w:r>
        <w:rPr>
          <w:rFonts w:ascii="Arial" w:cs="Arial" w:eastAsia="Arial" w:hAnsi="Arial"/>
          <w:sz w:val="20"/>
          <w:szCs w:val="20"/>
          <w:color w:val="auto"/>
        </w:rPr>
        <w:t>In February 2022, the Compensation Committee reviewed the base salaries of our Named Executive Officers, taking into consideration a competitive market analysis prepared by its compensation consultant and the recommendations of our CEO (except with respect to the CEO's own compensation), as well as the other factors described in “Compensation-Setting Process" below. Following this review, the Compensation Committee determined to adjust the base salaries of our Named Executive Officers to enhance their competitiveness.</w:t>
      </w:r>
    </w:p>
    <w:p>
      <w:pPr>
        <w:sectPr>
          <w:pgSz w:w="11880" w:h="15480" w:orient="portrait"/>
          <w:cols w:equalWidth="0" w:num="1">
            <w:col w:w="9000"/>
          </w:cols>
          <w:pgMar w:left="1440" w:top="125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880" w:h="15480" w:orient="portrait"/>
          <w:cols w:equalWidth="0" w:num="1">
            <w:col w:w="9000"/>
          </w:cols>
          <w:pgMar w:left="1440" w:top="1257" w:right="1440" w:bottom="0" w:gutter="0" w:footer="0" w:header="0"/>
          <w:type w:val="continuous"/>
        </w:sectPr>
      </w:pPr>
    </w:p>
    <w:bookmarkStart w:id="53" w:name="page54"/>
    <w:bookmarkEnd w:id="53"/>
    <w:p>
      <w:pPr>
        <w:ind w:left="360"/>
        <w:spacing w:after="0"/>
        <w:rPr>
          <w:sz w:val="20"/>
          <w:szCs w:val="20"/>
          <w:color w:val="auto"/>
        </w:rPr>
      </w:pPr>
      <w:r>
        <w:rPr>
          <w:rFonts w:ascii="Arial" w:cs="Arial" w:eastAsia="Arial" w:hAnsi="Arial"/>
          <w:sz w:val="20"/>
          <w:szCs w:val="20"/>
          <w:color w:val="auto"/>
        </w:rPr>
        <w:t>The base salaries of our Named Executive Officers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3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Named Executive Officer</w:t>
            </w:r>
          </w:p>
        </w:tc>
        <w:tc>
          <w:tcPr>
            <w:tcW w:w="80" w:type="dxa"/>
            <w:vAlign w:val="bottom"/>
            <w:tcBorders>
              <w:bottom w:val="single" w:sz="8" w:color="D2EDF0"/>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242"/>
              <w:spacing w:after="0"/>
              <w:rPr>
                <w:sz w:val="20"/>
                <w:szCs w:val="20"/>
                <w:color w:val="auto"/>
              </w:rPr>
            </w:pPr>
            <w:r>
              <w:rPr>
                <w:rFonts w:ascii="Arial" w:cs="Arial" w:eastAsia="Arial" w:hAnsi="Arial"/>
                <w:sz w:val="18"/>
                <w:szCs w:val="18"/>
                <w:b w:val="1"/>
                <w:bCs w:val="1"/>
                <w:color w:val="auto"/>
              </w:rPr>
              <w:t>2021 Base Salary</w:t>
            </w:r>
          </w:p>
        </w:tc>
        <w:tc>
          <w:tcPr>
            <w:tcW w:w="80" w:type="dxa"/>
            <w:vAlign w:val="bottom"/>
            <w:tcBorders>
              <w:bottom w:val="single" w:sz="8" w:color="D2EDF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02"/>
              <w:spacing w:after="0"/>
              <w:rPr>
                <w:sz w:val="20"/>
                <w:szCs w:val="20"/>
                <w:color w:val="auto"/>
              </w:rPr>
            </w:pPr>
            <w:r>
              <w:rPr>
                <w:rFonts w:ascii="Arial" w:cs="Arial" w:eastAsia="Arial" w:hAnsi="Arial"/>
                <w:sz w:val="18"/>
                <w:szCs w:val="18"/>
                <w:b w:val="1"/>
                <w:bCs w:val="1"/>
                <w:color w:val="auto"/>
              </w:rPr>
              <w:t>2022 Base Salary</w:t>
            </w:r>
          </w:p>
        </w:tc>
        <w:tc>
          <w:tcPr>
            <w:tcW w:w="60" w:type="dxa"/>
            <w:vAlign w:val="bottom"/>
            <w:tcBorders>
              <w:bottom w:val="single" w:sz="8" w:color="D2EDF0"/>
            </w:tcBorders>
          </w:tcPr>
          <w:p>
            <w:pPr>
              <w:spacing w:after="0"/>
              <w:rPr>
                <w:sz w:val="20"/>
                <w:szCs w:val="20"/>
                <w:color w:val="auto"/>
              </w:rPr>
            </w:pPr>
          </w:p>
        </w:tc>
        <w:tc>
          <w:tcPr>
            <w:tcW w:w="2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Percentage Adjustment</w:t>
            </w:r>
          </w:p>
        </w:tc>
      </w:tr>
      <w:tr>
        <w:trPr>
          <w:trHeight w:val="275"/>
        </w:trPr>
        <w:tc>
          <w:tcPr>
            <w:tcW w:w="2340" w:type="dxa"/>
            <w:vAlign w:val="bottom"/>
            <w:shd w:val="clear" w:color="auto" w:fill="D2EDF0"/>
          </w:tcPr>
          <w:p>
            <w:pPr>
              <w:ind w:left="60"/>
              <w:spacing w:after="0"/>
              <w:rPr>
                <w:sz w:val="20"/>
                <w:szCs w:val="20"/>
                <w:color w:val="auto"/>
              </w:rPr>
            </w:pPr>
            <w:r>
              <w:rPr>
                <w:rFonts w:ascii="Arial" w:cs="Arial" w:eastAsia="Arial" w:hAnsi="Arial"/>
                <w:sz w:val="20"/>
                <w:szCs w:val="20"/>
                <w:color w:val="auto"/>
              </w:rPr>
              <w:t>Mr. Yoran</w:t>
            </w:r>
          </w:p>
        </w:tc>
        <w:tc>
          <w:tcPr>
            <w:tcW w:w="340" w:type="dxa"/>
            <w:vAlign w:val="bottom"/>
            <w:gridSpan w:val="2"/>
            <w:shd w:val="clear" w:color="auto" w:fill="D2EDF0"/>
          </w:tcPr>
          <w:p>
            <w:pPr>
              <w:jc w:val="right"/>
              <w:ind w:right="100"/>
              <w:spacing w:after="0"/>
              <w:rPr>
                <w:sz w:val="20"/>
                <w:szCs w:val="20"/>
                <w:color w:val="auto"/>
              </w:rPr>
            </w:pPr>
            <w:r>
              <w:rPr>
                <w:rFonts w:ascii="Arial" w:cs="Arial" w:eastAsia="Arial" w:hAnsi="Arial"/>
                <w:sz w:val="20"/>
                <w:szCs w:val="20"/>
                <w:color w:val="auto"/>
              </w:rPr>
              <w:t>$</w:t>
            </w:r>
          </w:p>
        </w:tc>
        <w:tc>
          <w:tcPr>
            <w:tcW w:w="1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470,000</w:t>
            </w:r>
          </w:p>
        </w:tc>
        <w:tc>
          <w:tcPr>
            <w:tcW w:w="300" w:type="dxa"/>
            <w:vAlign w:val="bottom"/>
            <w:gridSpan w:val="2"/>
            <w:shd w:val="clear" w:color="auto" w:fill="D2EDF0"/>
          </w:tcPr>
          <w:p>
            <w:pPr>
              <w:jc w:val="right"/>
              <w:ind w:right="60"/>
              <w:spacing w:after="0"/>
              <w:rPr>
                <w:sz w:val="20"/>
                <w:szCs w:val="20"/>
                <w:color w:val="auto"/>
              </w:rPr>
            </w:pPr>
            <w:r>
              <w:rPr>
                <w:rFonts w:ascii="Arial" w:cs="Arial" w:eastAsia="Arial" w:hAnsi="Arial"/>
                <w:sz w:val="20"/>
                <w:szCs w:val="20"/>
                <w:color w:val="auto"/>
              </w:rPr>
              <w:t>$</w:t>
            </w:r>
          </w:p>
        </w:tc>
        <w:tc>
          <w:tcPr>
            <w:tcW w:w="18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487,000</w:t>
            </w:r>
          </w:p>
        </w:tc>
        <w:tc>
          <w:tcPr>
            <w:tcW w:w="22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3.6 %</w:t>
            </w:r>
          </w:p>
        </w:tc>
      </w:tr>
      <w:tr>
        <w:trPr>
          <w:trHeight w:val="281"/>
        </w:trPr>
        <w:tc>
          <w:tcPr>
            <w:tcW w:w="2340" w:type="dxa"/>
            <w:vAlign w:val="bottom"/>
          </w:tcPr>
          <w:p>
            <w:pPr>
              <w:ind w:left="60"/>
              <w:spacing w:after="0"/>
              <w:rPr>
                <w:sz w:val="20"/>
                <w:szCs w:val="20"/>
                <w:color w:val="auto"/>
              </w:rPr>
            </w:pPr>
            <w:r>
              <w:rPr>
                <w:rFonts w:ascii="Arial" w:cs="Arial" w:eastAsia="Arial" w:hAnsi="Arial"/>
                <w:sz w:val="20"/>
                <w:szCs w:val="20"/>
                <w:color w:val="auto"/>
              </w:rPr>
              <w:t>Mr. Vintz</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400,000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414,000</w:t>
            </w:r>
          </w:p>
        </w:tc>
        <w:tc>
          <w:tcPr>
            <w:tcW w:w="2280" w:type="dxa"/>
            <w:vAlign w:val="bottom"/>
            <w:gridSpan w:val="2"/>
          </w:tcPr>
          <w:p>
            <w:pPr>
              <w:jc w:val="right"/>
              <w:spacing w:after="0"/>
              <w:rPr>
                <w:sz w:val="20"/>
                <w:szCs w:val="20"/>
                <w:color w:val="auto"/>
              </w:rPr>
            </w:pPr>
            <w:r>
              <w:rPr>
                <w:rFonts w:ascii="Arial" w:cs="Arial" w:eastAsia="Arial" w:hAnsi="Arial"/>
                <w:sz w:val="20"/>
                <w:szCs w:val="20"/>
                <w:color w:val="auto"/>
              </w:rPr>
              <w:t>3.5 %</w:t>
            </w:r>
          </w:p>
        </w:tc>
      </w:tr>
      <w:tr>
        <w:trPr>
          <w:trHeight w:val="289"/>
        </w:trPr>
        <w:tc>
          <w:tcPr>
            <w:tcW w:w="2340" w:type="dxa"/>
            <w:vAlign w:val="bottom"/>
            <w:shd w:val="clear" w:color="auto" w:fill="D2EDF0"/>
          </w:tcPr>
          <w:p>
            <w:pPr>
              <w:ind w:left="60"/>
              <w:spacing w:after="0"/>
              <w:rPr>
                <w:sz w:val="20"/>
                <w:szCs w:val="20"/>
                <w:color w:val="auto"/>
              </w:rPr>
            </w:pPr>
            <w:r>
              <w:rPr>
                <w:rFonts w:ascii="Arial" w:cs="Arial" w:eastAsia="Arial" w:hAnsi="Arial"/>
                <w:sz w:val="20"/>
                <w:szCs w:val="20"/>
                <w:color w:val="auto"/>
              </w:rPr>
              <w:t>Mr. Riddick</w:t>
            </w:r>
          </w:p>
        </w:tc>
        <w:tc>
          <w:tcPr>
            <w:tcW w:w="80" w:type="dxa"/>
            <w:vAlign w:val="bottom"/>
            <w:shd w:val="clear" w:color="auto" w:fill="D2EDF0"/>
          </w:tcPr>
          <w:p>
            <w:pPr>
              <w:spacing w:after="0"/>
              <w:rPr>
                <w:sz w:val="24"/>
                <w:szCs w:val="24"/>
                <w:color w:val="auto"/>
              </w:rPr>
            </w:pPr>
          </w:p>
        </w:tc>
        <w:tc>
          <w:tcPr>
            <w:tcW w:w="260" w:type="dxa"/>
            <w:vAlign w:val="bottom"/>
            <w:shd w:val="clear" w:color="auto" w:fill="D2EDF0"/>
          </w:tcPr>
          <w:p>
            <w:pPr>
              <w:spacing w:after="0"/>
              <w:rPr>
                <w:sz w:val="24"/>
                <w:szCs w:val="24"/>
                <w:color w:val="auto"/>
              </w:rPr>
            </w:pPr>
          </w:p>
        </w:tc>
        <w:tc>
          <w:tcPr>
            <w:tcW w:w="1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360,000</w:t>
            </w:r>
          </w:p>
        </w:tc>
        <w:tc>
          <w:tcPr>
            <w:tcW w:w="80" w:type="dxa"/>
            <w:vAlign w:val="bottom"/>
            <w:shd w:val="clear" w:color="auto" w:fill="D2EDF0"/>
          </w:tcPr>
          <w:p>
            <w:pPr>
              <w:spacing w:after="0"/>
              <w:rPr>
                <w:sz w:val="24"/>
                <w:szCs w:val="24"/>
                <w:color w:val="auto"/>
              </w:rPr>
            </w:pPr>
          </w:p>
        </w:tc>
        <w:tc>
          <w:tcPr>
            <w:tcW w:w="220" w:type="dxa"/>
            <w:vAlign w:val="bottom"/>
            <w:shd w:val="clear" w:color="auto" w:fill="D2EDF0"/>
          </w:tcPr>
          <w:p>
            <w:pPr>
              <w:spacing w:after="0"/>
              <w:rPr>
                <w:sz w:val="24"/>
                <w:szCs w:val="24"/>
                <w:color w:val="auto"/>
              </w:rPr>
            </w:pPr>
          </w:p>
        </w:tc>
        <w:tc>
          <w:tcPr>
            <w:tcW w:w="18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373,000</w:t>
            </w:r>
          </w:p>
        </w:tc>
        <w:tc>
          <w:tcPr>
            <w:tcW w:w="22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3.6 %</w:t>
            </w:r>
          </w:p>
        </w:tc>
      </w:tr>
      <w:tr>
        <w:trPr>
          <w:trHeight w:val="277"/>
        </w:trPr>
        <w:tc>
          <w:tcPr>
            <w:tcW w:w="2340" w:type="dxa"/>
            <w:vAlign w:val="bottom"/>
          </w:tcPr>
          <w:p>
            <w:pPr>
              <w:ind w:left="60"/>
              <w:spacing w:after="0"/>
              <w:rPr>
                <w:sz w:val="20"/>
                <w:szCs w:val="20"/>
                <w:color w:val="auto"/>
              </w:rPr>
            </w:pPr>
            <w:r>
              <w:rPr>
                <w:rFonts w:ascii="Arial" w:cs="Arial" w:eastAsia="Arial" w:hAnsi="Arial"/>
                <w:sz w:val="20"/>
                <w:szCs w:val="20"/>
                <w:color w:val="auto"/>
              </w:rPr>
              <w:t>Mr. Thurmond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400,000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0"/>
                <w:szCs w:val="20"/>
                <w:color w:val="auto"/>
              </w:rPr>
              <w:t>414,000</w:t>
            </w:r>
          </w:p>
        </w:tc>
        <w:tc>
          <w:tcPr>
            <w:tcW w:w="2280" w:type="dxa"/>
            <w:vAlign w:val="bottom"/>
            <w:gridSpan w:val="2"/>
          </w:tcPr>
          <w:p>
            <w:pPr>
              <w:jc w:val="right"/>
              <w:spacing w:after="0"/>
              <w:rPr>
                <w:sz w:val="20"/>
                <w:szCs w:val="20"/>
                <w:color w:val="auto"/>
              </w:rPr>
            </w:pPr>
            <w:r>
              <w:rPr>
                <w:rFonts w:ascii="Arial" w:cs="Arial" w:eastAsia="Arial" w:hAnsi="Arial"/>
                <w:sz w:val="20"/>
                <w:szCs w:val="20"/>
                <w:color w:val="auto"/>
              </w:rPr>
              <w:t>3.5 %</w:t>
            </w:r>
          </w:p>
        </w:tc>
      </w:tr>
    </w:tbl>
    <w:p>
      <w:pPr>
        <w:spacing w:after="0" w:line="292" w:lineRule="exact"/>
        <w:rPr>
          <w:sz w:val="20"/>
          <w:szCs w:val="20"/>
          <w:color w:val="auto"/>
        </w:rPr>
      </w:pPr>
    </w:p>
    <w:p>
      <w:pPr>
        <w:jc w:val="both"/>
        <w:ind w:right="20" w:firstLine="360"/>
        <w:spacing w:after="0" w:line="287" w:lineRule="auto"/>
        <w:rPr>
          <w:sz w:val="20"/>
          <w:szCs w:val="20"/>
          <w:color w:val="auto"/>
        </w:rPr>
      </w:pPr>
      <w:r>
        <w:rPr>
          <w:rFonts w:ascii="Arial" w:cs="Arial" w:eastAsia="Arial" w:hAnsi="Arial"/>
          <w:sz w:val="20"/>
          <w:szCs w:val="20"/>
          <w:color w:val="auto"/>
        </w:rPr>
        <w:t xml:space="preserve">The base salaries paid to our Named Executive Officers during 2022 are set forth in the </w:t>
      </w:r>
      <w:r>
        <w:rPr>
          <w:rFonts w:ascii="Arial" w:cs="Arial" w:eastAsia="Arial" w:hAnsi="Arial"/>
          <w:sz w:val="20"/>
          <w:szCs w:val="20"/>
          <w:i w:val="1"/>
          <w:iCs w:val="1"/>
          <w:color w:val="auto"/>
        </w:rPr>
        <w:t>Summary</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Compensation Table </w:t>
      </w:r>
      <w:r>
        <w:rPr>
          <w:rFonts w:ascii="Arial" w:cs="Arial" w:eastAsia="Arial" w:hAnsi="Arial"/>
          <w:sz w:val="20"/>
          <w:szCs w:val="20"/>
          <w:color w:val="auto"/>
        </w:rPr>
        <w:t>below.</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Cash Bonuses</w:t>
      </w:r>
    </w:p>
    <w:p>
      <w:pPr>
        <w:spacing w:after="0" w:line="249" w:lineRule="exact"/>
        <w:rPr>
          <w:sz w:val="20"/>
          <w:szCs w:val="20"/>
          <w:color w:val="auto"/>
        </w:rPr>
      </w:pPr>
    </w:p>
    <w:p>
      <w:pPr>
        <w:ind w:right="20" w:firstLine="360"/>
        <w:spacing w:after="0" w:line="268" w:lineRule="auto"/>
        <w:rPr>
          <w:sz w:val="20"/>
          <w:szCs w:val="20"/>
          <w:color w:val="auto"/>
        </w:rPr>
      </w:pPr>
      <w:r>
        <w:rPr>
          <w:rFonts w:ascii="Arial" w:cs="Arial" w:eastAsia="Arial" w:hAnsi="Arial"/>
          <w:sz w:val="20"/>
          <w:szCs w:val="20"/>
          <w:color w:val="auto"/>
        </w:rPr>
        <w:t>Cash bonuses are based upon a specific percentage of each participant’s annual base salary and are paid, subject to goal attainment, in five equally weighted installments, one following each quarter and the fifth payment following year-end.</w:t>
      </w:r>
    </w:p>
    <w:p>
      <w:pPr>
        <w:spacing w:after="0" w:line="190" w:lineRule="exact"/>
        <w:rPr>
          <w:sz w:val="20"/>
          <w:szCs w:val="20"/>
          <w:color w:val="auto"/>
        </w:rPr>
      </w:pPr>
    </w:p>
    <w:p>
      <w:pPr>
        <w:ind w:right="180" w:firstLine="360"/>
        <w:spacing w:after="0" w:line="268" w:lineRule="auto"/>
        <w:rPr>
          <w:sz w:val="20"/>
          <w:szCs w:val="20"/>
          <w:color w:val="auto"/>
        </w:rPr>
      </w:pPr>
      <w:r>
        <w:rPr>
          <w:rFonts w:ascii="Arial" w:cs="Arial" w:eastAsia="Arial" w:hAnsi="Arial"/>
          <w:sz w:val="20"/>
          <w:szCs w:val="20"/>
          <w:color w:val="auto"/>
        </w:rPr>
        <w:t>We believe that paying bonuses throughout the year is the most effective way to motivate achievement of our short-term financial goals because quarterly and annual payments align with the time periods for which we provide external guidance to the investment community.</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 xml:space="preserve">2022 </w:t>
      </w:r>
      <w:r>
        <w:rPr>
          <w:rFonts w:ascii="Arial" w:cs="Arial" w:eastAsia="Arial" w:hAnsi="Arial"/>
          <w:sz w:val="20"/>
          <w:szCs w:val="20"/>
          <w:i w:val="1"/>
          <w:iCs w:val="1"/>
          <w:color w:val="auto"/>
        </w:rPr>
        <w:t>Cash Bonus Structure</w:t>
      </w:r>
    </w:p>
    <w:p>
      <w:pPr>
        <w:spacing w:after="0" w:line="250" w:lineRule="exact"/>
        <w:rPr>
          <w:sz w:val="20"/>
          <w:szCs w:val="20"/>
          <w:color w:val="auto"/>
        </w:rPr>
      </w:pPr>
    </w:p>
    <w:p>
      <w:pPr>
        <w:ind w:right="60" w:firstLine="360"/>
        <w:spacing w:after="0" w:line="256" w:lineRule="auto"/>
        <w:rPr>
          <w:sz w:val="20"/>
          <w:szCs w:val="20"/>
          <w:color w:val="auto"/>
        </w:rPr>
      </w:pPr>
      <w:r>
        <w:rPr>
          <w:rFonts w:ascii="Arial" w:cs="Arial" w:eastAsia="Arial" w:hAnsi="Arial"/>
          <w:sz w:val="20"/>
          <w:szCs w:val="20"/>
          <w:color w:val="auto"/>
        </w:rPr>
        <w:t>In February 2022, the Compensation Committee reviewed the target short-term cash incentive bonus opportunities of our Named Executive Officers in place for 2022, taking into consideration a competitive market analysis prepared by its compensation consultant and the recommendations of our CEO (except with respect to the CEO's own bonus opportunity), as well as the other factors described in “Compensation-Setting" below. Following this review, the Compensation Committee determined that the target short-term cash incentive bonus opportunities would remain unchanged as a percentage of their base salaries for our Named Executive Officers.</w:t>
      </w:r>
    </w:p>
    <w:p>
      <w:pPr>
        <w:spacing w:after="0" w:line="203" w:lineRule="exact"/>
        <w:rPr>
          <w:sz w:val="20"/>
          <w:szCs w:val="20"/>
          <w:color w:val="auto"/>
        </w:rPr>
      </w:pPr>
    </w:p>
    <w:p>
      <w:pPr>
        <w:ind w:right="380" w:firstLine="360"/>
        <w:spacing w:after="0" w:line="287" w:lineRule="auto"/>
        <w:rPr>
          <w:sz w:val="20"/>
          <w:szCs w:val="20"/>
          <w:color w:val="auto"/>
        </w:rPr>
      </w:pPr>
      <w:r>
        <w:rPr>
          <w:rFonts w:ascii="Arial" w:cs="Arial" w:eastAsia="Arial" w:hAnsi="Arial"/>
          <w:sz w:val="20"/>
          <w:szCs w:val="20"/>
          <w:color w:val="auto"/>
        </w:rPr>
        <w:t>Accordingly, the target short-term cash incentive bonus opportunities of our Named Executive Officers for 2022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4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Named Executive Officer</w:t>
            </w:r>
          </w:p>
        </w:tc>
        <w:tc>
          <w:tcPr>
            <w:tcW w:w="80" w:type="dxa"/>
            <w:vAlign w:val="bottom"/>
            <w:tcBorders>
              <w:bottom w:val="single" w:sz="8" w:color="D2EDF0"/>
            </w:tcBorders>
          </w:tcPr>
          <w:p>
            <w:pPr>
              <w:spacing w:after="0"/>
              <w:rPr>
                <w:sz w:val="20"/>
                <w:szCs w:val="20"/>
                <w:color w:val="auto"/>
              </w:rPr>
            </w:pPr>
          </w:p>
        </w:tc>
        <w:tc>
          <w:tcPr>
            <w:tcW w:w="3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2022 Target Cash Bonus Opportunity</w:t>
            </w:r>
          </w:p>
        </w:tc>
        <w:tc>
          <w:tcPr>
            <w:tcW w:w="60" w:type="dxa"/>
            <w:vAlign w:val="bottom"/>
            <w:tcBorders>
              <w:bottom w:val="single" w:sz="8" w:color="D2EDF0"/>
            </w:tcBorders>
          </w:tcPr>
          <w:p>
            <w:pPr>
              <w:spacing w:after="0"/>
              <w:rPr>
                <w:sz w:val="20"/>
                <w:szCs w:val="20"/>
                <w:color w:val="auto"/>
              </w:rPr>
            </w:pPr>
          </w:p>
        </w:tc>
        <w:tc>
          <w:tcPr>
            <w:tcW w:w="3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Target Percentage of Base Salary</w:t>
            </w:r>
          </w:p>
        </w:tc>
      </w:tr>
      <w:tr>
        <w:trPr>
          <w:trHeight w:val="275"/>
        </w:trPr>
        <w:tc>
          <w:tcPr>
            <w:tcW w:w="2420" w:type="dxa"/>
            <w:vAlign w:val="bottom"/>
            <w:shd w:val="clear" w:color="auto" w:fill="D2EDF0"/>
          </w:tcPr>
          <w:p>
            <w:pPr>
              <w:ind w:left="60"/>
              <w:spacing w:after="0"/>
              <w:rPr>
                <w:sz w:val="20"/>
                <w:szCs w:val="20"/>
                <w:color w:val="auto"/>
              </w:rPr>
            </w:pPr>
            <w:r>
              <w:rPr>
                <w:rFonts w:ascii="Arial" w:cs="Arial" w:eastAsia="Arial" w:hAnsi="Arial"/>
                <w:sz w:val="20"/>
                <w:szCs w:val="20"/>
                <w:color w:val="auto"/>
              </w:rPr>
              <w:t>Mr. Yoran</w:t>
            </w:r>
          </w:p>
        </w:tc>
        <w:tc>
          <w:tcPr>
            <w:tcW w:w="1460" w:type="dxa"/>
            <w:vAlign w:val="bottom"/>
            <w:gridSpan w:val="2"/>
            <w:shd w:val="clear" w:color="auto" w:fill="D2EDF0"/>
          </w:tcPr>
          <w:p>
            <w:pPr>
              <w:jc w:val="right"/>
              <w:ind w:right="1130"/>
              <w:spacing w:after="0"/>
              <w:rPr>
                <w:sz w:val="20"/>
                <w:szCs w:val="20"/>
                <w:color w:val="auto"/>
              </w:rPr>
            </w:pPr>
            <w:r>
              <w:rPr>
                <w:rFonts w:ascii="Arial" w:cs="Arial" w:eastAsia="Arial" w:hAnsi="Arial"/>
                <w:sz w:val="20"/>
                <w:szCs w:val="20"/>
                <w:color w:val="auto"/>
              </w:rPr>
              <w:t>$</w:t>
            </w:r>
          </w:p>
        </w:tc>
        <w:tc>
          <w:tcPr>
            <w:tcW w:w="20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487,000</w:t>
            </w:r>
          </w:p>
        </w:tc>
        <w:tc>
          <w:tcPr>
            <w:tcW w:w="310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100.0 %</w:t>
            </w:r>
          </w:p>
        </w:tc>
      </w:tr>
      <w:tr>
        <w:trPr>
          <w:trHeight w:val="281"/>
        </w:trPr>
        <w:tc>
          <w:tcPr>
            <w:tcW w:w="2420" w:type="dxa"/>
            <w:vAlign w:val="bottom"/>
          </w:tcPr>
          <w:p>
            <w:pPr>
              <w:ind w:left="60"/>
              <w:spacing w:after="0"/>
              <w:rPr>
                <w:sz w:val="20"/>
                <w:szCs w:val="20"/>
                <w:color w:val="auto"/>
              </w:rPr>
            </w:pPr>
            <w:r>
              <w:rPr>
                <w:rFonts w:ascii="Arial" w:cs="Arial" w:eastAsia="Arial" w:hAnsi="Arial"/>
                <w:sz w:val="20"/>
                <w:szCs w:val="20"/>
                <w:color w:val="auto"/>
              </w:rPr>
              <w:t>Mr. Vintz</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362,250</w:t>
            </w:r>
          </w:p>
        </w:tc>
        <w:tc>
          <w:tcPr>
            <w:tcW w:w="3100" w:type="dxa"/>
            <w:vAlign w:val="bottom"/>
            <w:gridSpan w:val="2"/>
          </w:tcPr>
          <w:p>
            <w:pPr>
              <w:jc w:val="right"/>
              <w:spacing w:after="0"/>
              <w:rPr>
                <w:sz w:val="20"/>
                <w:szCs w:val="20"/>
                <w:color w:val="auto"/>
              </w:rPr>
            </w:pPr>
            <w:r>
              <w:rPr>
                <w:rFonts w:ascii="Arial" w:cs="Arial" w:eastAsia="Arial" w:hAnsi="Arial"/>
                <w:sz w:val="20"/>
                <w:szCs w:val="20"/>
                <w:color w:val="auto"/>
              </w:rPr>
              <w:t>87.5 %</w:t>
            </w:r>
          </w:p>
        </w:tc>
      </w:tr>
      <w:tr>
        <w:trPr>
          <w:trHeight w:val="289"/>
        </w:trPr>
        <w:tc>
          <w:tcPr>
            <w:tcW w:w="2420" w:type="dxa"/>
            <w:vAlign w:val="bottom"/>
            <w:shd w:val="clear" w:color="auto" w:fill="D2EDF0"/>
          </w:tcPr>
          <w:p>
            <w:pPr>
              <w:ind w:left="60"/>
              <w:spacing w:after="0"/>
              <w:rPr>
                <w:sz w:val="20"/>
                <w:szCs w:val="20"/>
                <w:color w:val="auto"/>
              </w:rPr>
            </w:pPr>
            <w:r>
              <w:rPr>
                <w:rFonts w:ascii="Arial" w:cs="Arial" w:eastAsia="Arial" w:hAnsi="Arial"/>
                <w:sz w:val="20"/>
                <w:szCs w:val="20"/>
                <w:color w:val="auto"/>
              </w:rPr>
              <w:t>Mr. Riddick</w:t>
            </w:r>
          </w:p>
        </w:tc>
        <w:tc>
          <w:tcPr>
            <w:tcW w:w="80" w:type="dxa"/>
            <w:vAlign w:val="bottom"/>
            <w:shd w:val="clear" w:color="auto" w:fill="D2EDF0"/>
          </w:tcPr>
          <w:p>
            <w:pPr>
              <w:spacing w:after="0"/>
              <w:rPr>
                <w:sz w:val="24"/>
                <w:szCs w:val="24"/>
                <w:color w:val="auto"/>
              </w:rPr>
            </w:pPr>
          </w:p>
        </w:tc>
        <w:tc>
          <w:tcPr>
            <w:tcW w:w="1380" w:type="dxa"/>
            <w:vAlign w:val="bottom"/>
            <w:shd w:val="clear" w:color="auto" w:fill="D2EDF0"/>
          </w:tcPr>
          <w:p>
            <w:pPr>
              <w:spacing w:after="0"/>
              <w:rPr>
                <w:sz w:val="24"/>
                <w:szCs w:val="24"/>
                <w:color w:val="auto"/>
              </w:rPr>
            </w:pPr>
          </w:p>
        </w:tc>
        <w:tc>
          <w:tcPr>
            <w:tcW w:w="20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186,500</w:t>
            </w:r>
          </w:p>
        </w:tc>
        <w:tc>
          <w:tcPr>
            <w:tcW w:w="310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50.0 %</w:t>
            </w:r>
          </w:p>
        </w:tc>
      </w:tr>
      <w:tr>
        <w:trPr>
          <w:trHeight w:val="277"/>
        </w:trPr>
        <w:tc>
          <w:tcPr>
            <w:tcW w:w="2420" w:type="dxa"/>
            <w:vAlign w:val="bottom"/>
          </w:tcPr>
          <w:p>
            <w:pPr>
              <w:ind w:left="60"/>
              <w:spacing w:after="0"/>
              <w:rPr>
                <w:sz w:val="20"/>
                <w:szCs w:val="20"/>
                <w:color w:val="auto"/>
              </w:rPr>
            </w:pPr>
            <w:r>
              <w:rPr>
                <w:rFonts w:ascii="Arial" w:cs="Arial" w:eastAsia="Arial" w:hAnsi="Arial"/>
                <w:sz w:val="20"/>
                <w:szCs w:val="20"/>
                <w:color w:val="auto"/>
              </w:rPr>
              <w:t>Mr. Thurmond</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20"/>
                <w:szCs w:val="20"/>
                <w:color w:val="auto"/>
              </w:rPr>
              <w:t>362,250</w:t>
            </w:r>
          </w:p>
        </w:tc>
        <w:tc>
          <w:tcPr>
            <w:tcW w:w="3100" w:type="dxa"/>
            <w:vAlign w:val="bottom"/>
            <w:gridSpan w:val="2"/>
          </w:tcPr>
          <w:p>
            <w:pPr>
              <w:jc w:val="right"/>
              <w:spacing w:after="0"/>
              <w:rPr>
                <w:sz w:val="20"/>
                <w:szCs w:val="20"/>
                <w:color w:val="auto"/>
              </w:rPr>
            </w:pPr>
            <w:r>
              <w:rPr>
                <w:rFonts w:ascii="Arial" w:cs="Arial" w:eastAsia="Arial" w:hAnsi="Arial"/>
                <w:sz w:val="20"/>
                <w:szCs w:val="20"/>
                <w:color w:val="auto"/>
              </w:rPr>
              <w:t>87.5 %</w:t>
            </w:r>
          </w:p>
        </w:tc>
      </w:tr>
    </w:tbl>
    <w:p>
      <w:pPr>
        <w:spacing w:after="0" w:line="292" w:lineRule="exact"/>
        <w:rPr>
          <w:sz w:val="20"/>
          <w:szCs w:val="20"/>
          <w:color w:val="auto"/>
        </w:rPr>
      </w:pPr>
    </w:p>
    <w:p>
      <w:pPr>
        <w:ind w:right="60" w:firstLine="360"/>
        <w:spacing w:after="0" w:line="273" w:lineRule="auto"/>
        <w:rPr>
          <w:sz w:val="20"/>
          <w:szCs w:val="20"/>
          <w:color w:val="auto"/>
        </w:rPr>
      </w:pPr>
      <w:r>
        <w:rPr>
          <w:rFonts w:ascii="Arial" w:cs="Arial" w:eastAsia="Arial" w:hAnsi="Arial"/>
          <w:sz w:val="19"/>
          <w:szCs w:val="19"/>
          <w:color w:val="auto"/>
        </w:rPr>
        <w:t>Consistent with the prior year, for 2022, our Board of Directors established anticipated target goals for each performance metric used in our annual operating plan, with actual bonus payments at each periodic payment interval calculated by multiplying 20% of a participant’s target cash bonus opportunity by the weighted average percentage attainment level of the applicable goals for each applicable quarter or full year. No payments are made if attainment is below 75% and the maximum payment is capped at 200% of the target amount. Accordingly, for 2022, the target performance goals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880" w:h="15480" w:orient="portrait"/>
          <w:cols w:equalWidth="0" w:num="1">
            <w:col w:w="9000"/>
          </w:cols>
          <w:pgMar w:left="1440" w:top="1204" w:right="1440" w:bottom="0" w:gutter="0" w:footer="0" w:header="0"/>
          <w:type w:val="continuous"/>
        </w:sectPr>
      </w:pPr>
    </w:p>
    <w:bookmarkStart w:id="54" w:name="page55"/>
    <w:bookmarkEnd w:id="54"/>
    <w:p>
      <w:pPr>
        <w:ind w:right="1020"/>
        <w:spacing w:after="0" w:line="287" w:lineRule="auto"/>
        <w:rPr>
          <w:sz w:val="20"/>
          <w:szCs w:val="20"/>
          <w:color w:val="auto"/>
        </w:rPr>
      </w:pPr>
      <w:r>
        <w:rPr>
          <w:rFonts w:ascii="Arial" w:cs="Arial" w:eastAsia="Arial" w:hAnsi="Arial"/>
          <w:sz w:val="20"/>
          <w:szCs w:val="20"/>
          <w:color w:val="auto"/>
        </w:rPr>
        <w:t>for our Named Executive Officers were as follows, each of which exceeds prior year actual performance: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Performance Metric</w:t>
            </w:r>
          </w:p>
        </w:tc>
        <w:tc>
          <w:tcPr>
            <w:tcW w:w="80" w:type="dxa"/>
            <w:vAlign w:val="bottom"/>
          </w:tcPr>
          <w:p>
            <w:pPr>
              <w:spacing w:after="0"/>
              <w:rPr>
                <w:sz w:val="17"/>
                <w:szCs w:val="17"/>
                <w:color w:val="auto"/>
              </w:rPr>
            </w:pP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rPr>
              <w:t>Target Performance Level</w:t>
            </w:r>
          </w:p>
        </w:tc>
        <w:tc>
          <w:tcPr>
            <w:tcW w:w="80" w:type="dxa"/>
            <w:vAlign w:val="bottom"/>
          </w:tcPr>
          <w:p>
            <w:pPr>
              <w:spacing w:after="0"/>
              <w:rPr>
                <w:sz w:val="17"/>
                <w:szCs w:val="17"/>
                <w:color w:val="auto"/>
              </w:rPr>
            </w:pPr>
          </w:p>
        </w:tc>
        <w:tc>
          <w:tcPr>
            <w:tcW w:w="2940" w:type="dxa"/>
            <w:vAlign w:val="bottom"/>
            <w:vMerge w:val="restart"/>
          </w:tcPr>
          <w:p>
            <w:pPr>
              <w:ind w:left="1020"/>
              <w:spacing w:after="0"/>
              <w:rPr>
                <w:sz w:val="20"/>
                <w:szCs w:val="20"/>
                <w:color w:val="auto"/>
              </w:rPr>
            </w:pPr>
            <w:r>
              <w:rPr>
                <w:rFonts w:ascii="Arial" w:cs="Arial" w:eastAsia="Arial" w:hAnsi="Arial"/>
                <w:sz w:val="18"/>
                <w:szCs w:val="18"/>
                <w:b w:val="1"/>
                <w:bCs w:val="1"/>
                <w:color w:val="auto"/>
              </w:rPr>
              <w:t>Weighting</w:t>
            </w:r>
          </w:p>
        </w:tc>
        <w:tc>
          <w:tcPr>
            <w:tcW w:w="0" w:type="dxa"/>
            <w:vAlign w:val="bottom"/>
          </w:tcPr>
          <w:p>
            <w:pPr>
              <w:spacing w:after="0"/>
              <w:rPr>
                <w:sz w:val="1"/>
                <w:szCs w:val="1"/>
                <w:color w:val="auto"/>
              </w:rPr>
            </w:pPr>
          </w:p>
        </w:tc>
      </w:tr>
      <w:tr>
        <w:trPr>
          <w:trHeight w:val="238"/>
        </w:trPr>
        <w:tc>
          <w:tcPr>
            <w:tcW w:w="29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94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18"/>
                <w:szCs w:val="18"/>
                <w:b w:val="1"/>
                <w:bCs w:val="1"/>
                <w:color w:val="auto"/>
                <w:w w:val="96"/>
              </w:rPr>
              <w:t>(in thousands)</w:t>
            </w:r>
            <w:r>
              <w:rPr>
                <w:rFonts w:ascii="Arial" w:cs="Arial" w:eastAsia="Arial" w:hAnsi="Arial"/>
                <w:sz w:val="23"/>
                <w:szCs w:val="23"/>
                <w:b w:val="1"/>
                <w:bCs w:val="1"/>
                <w:color w:val="auto"/>
                <w:w w:val="96"/>
                <w:vertAlign w:val="superscript"/>
              </w:rPr>
              <w:t>(1)</w:t>
            </w:r>
          </w:p>
        </w:tc>
        <w:tc>
          <w:tcPr>
            <w:tcW w:w="80" w:type="dxa"/>
            <w:vAlign w:val="bottom"/>
          </w:tcPr>
          <w:p>
            <w:pPr>
              <w:spacing w:after="0"/>
              <w:rPr>
                <w:sz w:val="20"/>
                <w:szCs w:val="20"/>
                <w:color w:val="auto"/>
              </w:rPr>
            </w:pPr>
          </w:p>
        </w:tc>
        <w:tc>
          <w:tcPr>
            <w:tcW w:w="2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695950" cy="3333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95950" cy="33337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20"/>
                <w:szCs w:val="20"/>
                <w:color w:val="auto"/>
              </w:rPr>
              <w:t>Revenue + Unlevered Free</w:t>
            </w:r>
          </w:p>
        </w:tc>
        <w:tc>
          <w:tcPr>
            <w:tcW w:w="1400" w:type="dxa"/>
            <w:vAlign w:val="bottom"/>
            <w:vMerge w:val="restart"/>
          </w:tcPr>
          <w:p>
            <w:pPr>
              <w:jc w:val="right"/>
              <w:ind w:right="880"/>
              <w:spacing w:after="0"/>
              <w:rPr>
                <w:sz w:val="20"/>
                <w:szCs w:val="20"/>
                <w:color w:val="auto"/>
              </w:rPr>
            </w:pPr>
            <w:r>
              <w:rPr>
                <w:rFonts w:ascii="Arial" w:cs="Arial" w:eastAsia="Arial" w:hAnsi="Arial"/>
                <w:sz w:val="20"/>
                <w:szCs w:val="20"/>
                <w:color w:val="auto"/>
              </w:rPr>
              <w:t>$</w:t>
            </w:r>
          </w:p>
        </w:tc>
        <w:tc>
          <w:tcPr>
            <w:tcW w:w="2900" w:type="dxa"/>
            <w:vAlign w:val="bottom"/>
            <w:vMerge w:val="restart"/>
          </w:tcPr>
          <w:p>
            <w:pPr>
              <w:jc w:val="right"/>
              <w:ind w:right="1098"/>
              <w:spacing w:after="0"/>
              <w:rPr>
                <w:sz w:val="20"/>
                <w:szCs w:val="20"/>
                <w:color w:val="auto"/>
              </w:rPr>
            </w:pPr>
            <w:r>
              <w:rPr>
                <w:rFonts w:ascii="Arial" w:cs="Arial" w:eastAsia="Arial" w:hAnsi="Arial"/>
                <w:sz w:val="20"/>
                <w:szCs w:val="20"/>
                <w:color w:val="auto"/>
              </w:rPr>
              <w:t>795,666</w:t>
            </w:r>
          </w:p>
        </w:tc>
        <w:tc>
          <w:tcPr>
            <w:tcW w:w="1900" w:type="dxa"/>
            <w:vAlign w:val="bottom"/>
            <w:vMerge w:val="restart"/>
          </w:tcPr>
          <w:p>
            <w:pPr>
              <w:jc w:val="right"/>
              <w:spacing w:after="0"/>
              <w:rPr>
                <w:sz w:val="20"/>
                <w:szCs w:val="20"/>
                <w:color w:val="auto"/>
              </w:rPr>
            </w:pPr>
            <w:r>
              <w:rPr>
                <w:rFonts w:ascii="Arial" w:cs="Arial" w:eastAsia="Arial" w:hAnsi="Arial"/>
                <w:sz w:val="20"/>
                <w:szCs w:val="20"/>
                <w:color w:val="auto"/>
              </w:rPr>
              <w:t>66.67 %</w:t>
            </w:r>
          </w:p>
        </w:tc>
        <w:tc>
          <w:tcPr>
            <w:tcW w:w="0" w:type="dxa"/>
            <w:vAlign w:val="bottom"/>
          </w:tcPr>
          <w:p>
            <w:pPr>
              <w:spacing w:after="0"/>
              <w:rPr>
                <w:sz w:val="1"/>
                <w:szCs w:val="1"/>
                <w:color w:val="auto"/>
              </w:rPr>
            </w:pPr>
          </w:p>
        </w:tc>
      </w:tr>
      <w:tr>
        <w:trPr>
          <w:trHeight w:val="279"/>
        </w:trPr>
        <w:tc>
          <w:tcPr>
            <w:tcW w:w="2700" w:type="dxa"/>
            <w:vAlign w:val="bottom"/>
          </w:tcPr>
          <w:p>
            <w:pPr>
              <w:spacing w:after="0" w:line="278" w:lineRule="exact"/>
              <w:rPr>
                <w:sz w:val="20"/>
                <w:szCs w:val="20"/>
                <w:color w:val="auto"/>
              </w:rPr>
            </w:pPr>
            <w:r>
              <w:rPr>
                <w:rFonts w:ascii="Arial" w:cs="Arial" w:eastAsia="Arial" w:hAnsi="Arial"/>
                <w:sz w:val="20"/>
                <w:szCs w:val="20"/>
                <w:color w:val="auto"/>
              </w:rPr>
              <w:t xml:space="preserve">Cash Flow </w:t>
            </w:r>
            <w:r>
              <w:rPr>
                <w:rFonts w:ascii="Arial" w:cs="Arial" w:eastAsia="Arial" w:hAnsi="Arial"/>
                <w:sz w:val="26"/>
                <w:szCs w:val="26"/>
                <w:color w:val="auto"/>
                <w:vertAlign w:val="superscript"/>
              </w:rPr>
              <w:t>(2)</w:t>
            </w:r>
          </w:p>
        </w:tc>
        <w:tc>
          <w:tcPr>
            <w:tcW w:w="1400" w:type="dxa"/>
            <w:vAlign w:val="bottom"/>
            <w:vMerge w:val="continue"/>
          </w:tcPr>
          <w:p>
            <w:pPr>
              <w:spacing w:after="0"/>
              <w:rPr>
                <w:sz w:val="24"/>
                <w:szCs w:val="24"/>
                <w:color w:val="auto"/>
              </w:rPr>
            </w:pPr>
          </w:p>
        </w:tc>
        <w:tc>
          <w:tcPr>
            <w:tcW w:w="2900" w:type="dxa"/>
            <w:vAlign w:val="bottom"/>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700" w:type="dxa"/>
            <w:vAlign w:val="bottom"/>
            <w:vMerge w:val="restart"/>
          </w:tcPr>
          <w:p>
            <w:pPr>
              <w:spacing w:after="0"/>
              <w:rPr>
                <w:sz w:val="20"/>
                <w:szCs w:val="20"/>
                <w:color w:val="auto"/>
              </w:rPr>
            </w:pPr>
            <w:r>
              <w:rPr>
                <w:rFonts w:ascii="Arial" w:cs="Arial" w:eastAsia="Arial" w:hAnsi="Arial"/>
                <w:sz w:val="20"/>
                <w:szCs w:val="20"/>
                <w:color w:val="auto"/>
              </w:rPr>
              <w:t>Bookings</w:t>
            </w:r>
          </w:p>
        </w:tc>
        <w:tc>
          <w:tcPr>
            <w:tcW w:w="1400" w:type="dxa"/>
            <w:vAlign w:val="bottom"/>
          </w:tcPr>
          <w:p>
            <w:pPr>
              <w:spacing w:after="0"/>
              <w:rPr>
                <w:sz w:val="15"/>
                <w:szCs w:val="15"/>
                <w:color w:val="auto"/>
              </w:rPr>
            </w:pPr>
          </w:p>
        </w:tc>
        <w:tc>
          <w:tcPr>
            <w:tcW w:w="2900" w:type="dxa"/>
            <w:vAlign w:val="bottom"/>
          </w:tcPr>
          <w:p>
            <w:pPr>
              <w:jc w:val="right"/>
              <w:ind w:right="1078"/>
              <w:spacing w:after="0"/>
              <w:rPr>
                <w:sz w:val="20"/>
                <w:szCs w:val="20"/>
                <w:color w:val="auto"/>
              </w:rPr>
            </w:pPr>
            <w:r>
              <w:rPr>
                <w:rFonts w:ascii="Arial" w:cs="Arial" w:eastAsia="Arial" w:hAnsi="Arial"/>
                <w:sz w:val="13"/>
                <w:szCs w:val="13"/>
                <w:color w:val="auto"/>
              </w:rPr>
              <w:t>(3)</w:t>
            </w:r>
          </w:p>
        </w:tc>
        <w:tc>
          <w:tcPr>
            <w:tcW w:w="1900" w:type="dxa"/>
            <w:vAlign w:val="bottom"/>
            <w:vMerge w:val="restart"/>
          </w:tcPr>
          <w:p>
            <w:pPr>
              <w:jc w:val="right"/>
              <w:spacing w:after="0"/>
              <w:rPr>
                <w:sz w:val="20"/>
                <w:szCs w:val="20"/>
                <w:color w:val="auto"/>
              </w:rPr>
            </w:pPr>
            <w:r>
              <w:rPr>
                <w:rFonts w:ascii="Arial" w:cs="Arial" w:eastAsia="Arial" w:hAnsi="Arial"/>
                <w:sz w:val="20"/>
                <w:szCs w:val="20"/>
                <w:color w:val="auto"/>
              </w:rPr>
              <w:t>33.33 %</w:t>
            </w:r>
          </w:p>
        </w:tc>
        <w:tc>
          <w:tcPr>
            <w:tcW w:w="0" w:type="dxa"/>
            <w:vAlign w:val="bottom"/>
          </w:tcPr>
          <w:p>
            <w:pPr>
              <w:spacing w:after="0"/>
              <w:rPr>
                <w:sz w:val="1"/>
                <w:szCs w:val="1"/>
                <w:color w:val="auto"/>
              </w:rPr>
            </w:pPr>
          </w:p>
        </w:tc>
      </w:tr>
      <w:tr>
        <w:trPr>
          <w:trHeight w:val="113"/>
        </w:trPr>
        <w:tc>
          <w:tcPr>
            <w:tcW w:w="27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44" w:lineRule="exact"/>
        <w:rPr>
          <w:sz w:val="20"/>
          <w:szCs w:val="20"/>
          <w:color w:val="auto"/>
        </w:rPr>
      </w:pPr>
    </w:p>
    <w:p>
      <w:pPr>
        <w:ind w:right="160"/>
        <w:spacing w:after="0" w:line="281" w:lineRule="auto"/>
        <w:tabs>
          <w:tab w:leader="none" w:pos="7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target performance level for each performance metric was adjusted to include the effect of certain acquisitions that occurred during the period.</w:t>
      </w:r>
    </w:p>
    <w:p>
      <w:pPr>
        <w:spacing w:after="0" w:line="1" w:lineRule="exact"/>
        <w:rPr>
          <w:rFonts w:ascii="Arial" w:cs="Arial" w:eastAsia="Arial" w:hAnsi="Arial"/>
          <w:sz w:val="20"/>
          <w:szCs w:val="20"/>
          <w:color w:val="auto"/>
        </w:rPr>
      </w:pPr>
    </w:p>
    <w:p>
      <w:pPr>
        <w:ind w:right="60"/>
        <w:spacing w:after="0" w:line="281" w:lineRule="auto"/>
        <w:tabs>
          <w:tab w:leader="none" w:pos="7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Unlevered Free Cash Flow is a non-GAAP measure. Refer to the appendix for reconciliations of non-GAAP measures to comparable GAAP measures.</w:t>
      </w:r>
    </w:p>
    <w:p>
      <w:pPr>
        <w:spacing w:after="0" w:line="1" w:lineRule="exact"/>
        <w:rPr>
          <w:rFonts w:ascii="Arial" w:cs="Arial" w:eastAsia="Arial" w:hAnsi="Arial"/>
          <w:sz w:val="20"/>
          <w:szCs w:val="20"/>
          <w:color w:val="auto"/>
        </w:rPr>
      </w:pPr>
    </w:p>
    <w:p>
      <w:pPr>
        <w:ind w:right="260"/>
        <w:spacing w:after="0" w:line="257" w:lineRule="auto"/>
        <w:tabs>
          <w:tab w:leader="none" w:pos="7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We have chosen not to disclose the target performance level for our bookings performance measure as such information is proprietary in nature, the disclosure of which could result in competitive harm to the Company. For 2022, the Board of Directors considered the target performance achievement levels for the bookings performance measure to be challenging but achievable with significant effort requiring circumstances to align as projected. The bookings target goal reflected an approximate 25.4% increase over our actual bookings results from 2021.</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For this purpose, each of the above metrics are defined as follows:</w:t>
      </w:r>
    </w:p>
    <w:p>
      <w:pPr>
        <w:spacing w:after="0" w:line="70" w:lineRule="exact"/>
        <w:rPr>
          <w:sz w:val="20"/>
          <w:szCs w:val="20"/>
          <w:color w:val="auto"/>
        </w:rPr>
      </w:pPr>
    </w:p>
    <w:p>
      <w:pPr>
        <w:ind w:left="720" w:right="380" w:hanging="360"/>
        <w:spacing w:after="0" w:line="281" w:lineRule="auto"/>
        <w:tabs>
          <w:tab w:leader="none" w:pos="72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Revenue</w:t>
      </w:r>
      <w:r>
        <w:rPr>
          <w:rFonts w:ascii="Arial" w:cs="Arial" w:eastAsia="Arial" w:hAnsi="Arial"/>
          <w:sz w:val="20"/>
          <w:szCs w:val="20"/>
          <w:color w:val="auto"/>
        </w:rPr>
        <w:t xml:space="preserve"> - to be calculated in accordance with GAAP and as set forth in our quarterly and annual financial statements.</w:t>
      </w:r>
    </w:p>
    <w:p>
      <w:pPr>
        <w:spacing w:after="0" w:line="1" w:lineRule="exact"/>
        <w:rPr>
          <w:rFonts w:ascii="Arial" w:cs="Arial" w:eastAsia="Arial" w:hAnsi="Arial"/>
          <w:sz w:val="20"/>
          <w:szCs w:val="20"/>
          <w:color w:val="auto"/>
        </w:rPr>
      </w:pPr>
    </w:p>
    <w:p>
      <w:pPr>
        <w:ind w:left="720" w:right="120" w:hanging="360"/>
        <w:spacing w:after="0" w:line="262" w:lineRule="auto"/>
        <w:tabs>
          <w:tab w:leader="none" w:pos="72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Unlevered Free Cash Flow</w:t>
      </w:r>
      <w:r>
        <w:rPr>
          <w:rFonts w:ascii="Arial" w:cs="Arial" w:eastAsia="Arial" w:hAnsi="Arial"/>
          <w:sz w:val="20"/>
          <w:szCs w:val="20"/>
          <w:color w:val="auto"/>
        </w:rPr>
        <w:t xml:space="preserve"> – to be calculated as free cash flow, defined as GAAP net cash flows from operating activities reduced by purchases of property and equipment, plus cash paid for interest and other financing costs, excluding payments for certain acquisition-related expenses.</w:t>
      </w:r>
    </w:p>
    <w:p>
      <w:pPr>
        <w:spacing w:after="0" w:line="15" w:lineRule="exact"/>
        <w:rPr>
          <w:rFonts w:ascii="Arial" w:cs="Arial" w:eastAsia="Arial" w:hAnsi="Arial"/>
          <w:sz w:val="20"/>
          <w:szCs w:val="20"/>
          <w:color w:val="auto"/>
        </w:rPr>
      </w:pPr>
    </w:p>
    <w:p>
      <w:pPr>
        <w:ind w:left="720" w:right="100" w:hanging="360"/>
        <w:spacing w:after="0" w:line="280" w:lineRule="auto"/>
        <w:tabs>
          <w:tab w:leader="none" w:pos="720" w:val="left"/>
        </w:tabs>
        <w:numPr>
          <w:ilvl w:val="0"/>
          <w:numId w:val="39"/>
        </w:numPr>
        <w:rPr>
          <w:rFonts w:ascii="Arial" w:cs="Arial" w:eastAsia="Arial" w:hAnsi="Arial"/>
          <w:sz w:val="19"/>
          <w:szCs w:val="19"/>
          <w:b w:val="1"/>
          <w:bCs w:val="1"/>
          <w:color w:val="auto"/>
        </w:rPr>
      </w:pPr>
      <w:r>
        <w:rPr>
          <w:rFonts w:ascii="Arial" w:cs="Arial" w:eastAsia="Arial" w:hAnsi="Arial"/>
          <w:sz w:val="19"/>
          <w:szCs w:val="19"/>
          <w:u w:val="single" w:color="auto"/>
          <w:color w:val="auto"/>
        </w:rPr>
        <w:t>Bookings</w:t>
      </w:r>
      <w:r>
        <w:rPr>
          <w:rFonts w:ascii="Arial" w:cs="Arial" w:eastAsia="Arial" w:hAnsi="Arial"/>
          <w:sz w:val="19"/>
          <w:szCs w:val="19"/>
          <w:color w:val="auto"/>
        </w:rPr>
        <w:t xml:space="preserve"> - to be calculated as sales of new and renewal subscription licenses, perpetual licenses and related first-year maintenance, and services and training, which are closed in a period. Bookings is based on annual contract value (ACV), whereby we include only the first-year contract value as booked in cases where a multi-year deal is prepaid or billed upfront.</w:t>
      </w:r>
    </w:p>
    <w:p>
      <w:pPr>
        <w:spacing w:after="0" w:line="180" w:lineRule="exact"/>
        <w:rPr>
          <w:sz w:val="20"/>
          <w:szCs w:val="20"/>
          <w:color w:val="auto"/>
        </w:rPr>
      </w:pPr>
    </w:p>
    <w:p>
      <w:pPr>
        <w:ind w:right="80" w:firstLine="360"/>
        <w:spacing w:after="0" w:line="257" w:lineRule="auto"/>
        <w:rPr>
          <w:sz w:val="20"/>
          <w:szCs w:val="20"/>
          <w:color w:val="auto"/>
        </w:rPr>
      </w:pPr>
      <w:r>
        <w:rPr>
          <w:rFonts w:ascii="Arial" w:cs="Arial" w:eastAsia="Arial" w:hAnsi="Arial"/>
          <w:sz w:val="20"/>
          <w:szCs w:val="20"/>
          <w:color w:val="auto"/>
        </w:rPr>
        <w:t>Our Board of Directors believed that, for purposes of the short-term cash incentive bonus plan, these were the most appropriate corporate performance measures to use because, in its view, they would provide meaningful indicators of our successful execution of our annual operating plan and our ability to enhance long-term value creation. In particular, we believe our bookings levels are an effective measure of annual contract value, which management uses to measure the growth of our business.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2022 Cash Bonus Attainment</w:t>
      </w:r>
    </w:p>
    <w:p>
      <w:pPr>
        <w:spacing w:after="0" w:line="248" w:lineRule="exact"/>
        <w:rPr>
          <w:sz w:val="20"/>
          <w:szCs w:val="20"/>
          <w:color w:val="auto"/>
        </w:rPr>
      </w:pPr>
    </w:p>
    <w:p>
      <w:pPr>
        <w:ind w:right="120" w:firstLine="360"/>
        <w:spacing w:after="0" w:line="289" w:lineRule="auto"/>
        <w:rPr>
          <w:sz w:val="20"/>
          <w:szCs w:val="20"/>
          <w:color w:val="auto"/>
        </w:rPr>
      </w:pPr>
      <w:r>
        <w:rPr>
          <w:rFonts w:ascii="Arial" w:cs="Arial" w:eastAsia="Arial" w:hAnsi="Arial"/>
          <w:sz w:val="19"/>
          <w:szCs w:val="19"/>
          <w:color w:val="auto"/>
        </w:rPr>
        <w:t>Our actual performance against the aggregate target level for the various corporate performance measures for each quarter and for the full year, as applicable, as well as the amounts received by each Named Executive Officer, were reviewed by the Compensation Committee in February 2023.</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880" w:h="15480" w:orient="portrait"/>
          <w:cols w:equalWidth="0" w:num="1">
            <w:col w:w="9000"/>
          </w:cols>
          <w:pgMar w:left="1440" w:top="1204" w:right="1440" w:bottom="0" w:gutter="0" w:footer="0" w:header="0"/>
          <w:type w:val="continuous"/>
        </w:sectPr>
      </w:pPr>
    </w:p>
    <w:bookmarkStart w:id="55" w:name="page56"/>
    <w:bookmarkEnd w:id="55"/>
    <w:p>
      <w:pPr>
        <w:ind w:right="80" w:firstLine="360"/>
        <w:spacing w:after="0" w:line="282" w:lineRule="auto"/>
        <w:rPr>
          <w:sz w:val="20"/>
          <w:szCs w:val="20"/>
          <w:color w:val="auto"/>
        </w:rPr>
      </w:pPr>
      <w:r>
        <w:rPr>
          <w:rFonts w:ascii="Arial" w:cs="Arial" w:eastAsia="Arial" w:hAnsi="Arial"/>
          <w:sz w:val="20"/>
          <w:szCs w:val="20"/>
          <w:color w:val="auto"/>
        </w:rPr>
        <w:t>The following table provides information regarding the full year cash bonus payout level achieved by the Named Executive Officers during 2022:</w:t>
      </w:r>
    </w:p>
    <w:tbl>
      <w:tblPr>
        <w:tblLayout w:type="fixed"/>
        <w:tblInd w:w="60" w:type="dxa"/>
        <w:tblCellMar>
          <w:top w:w="0" w:type="dxa"/>
          <w:left w:w="0" w:type="dxa"/>
          <w:bottom w:w="0" w:type="dxa"/>
          <w:right w:w="0" w:type="dxa"/>
        </w:tblCellMar>
      </w:tblPr>
      <w:tr>
        <w:trPr>
          <w:trHeight w:val="182"/>
        </w:trPr>
        <w:tc>
          <w:tcPr>
            <w:tcW w:w="2500" w:type="dxa"/>
            <w:vAlign w:val="bottom"/>
            <w:vMerge w:val="restart"/>
          </w:tcPr>
          <w:p>
            <w:pPr>
              <w:spacing w:after="0"/>
              <w:rPr>
                <w:sz w:val="20"/>
                <w:szCs w:val="20"/>
                <w:color w:val="auto"/>
              </w:rPr>
            </w:pPr>
            <w:r>
              <w:rPr>
                <w:rFonts w:ascii="Arial" w:cs="Arial" w:eastAsia="Arial" w:hAnsi="Arial"/>
                <w:sz w:val="18"/>
                <w:szCs w:val="18"/>
                <w:b w:val="1"/>
                <w:bCs w:val="1"/>
                <w:color w:val="auto"/>
              </w:rPr>
              <w:t>Performance Metric</w:t>
            </w:r>
          </w:p>
        </w:tc>
        <w:tc>
          <w:tcPr>
            <w:tcW w:w="3540" w:type="dxa"/>
            <w:vAlign w:val="bottom"/>
          </w:tcPr>
          <w:p>
            <w:pPr>
              <w:jc w:val="center"/>
              <w:ind w:left="230"/>
              <w:spacing w:after="0" w:line="182" w:lineRule="exact"/>
              <w:rPr>
                <w:sz w:val="20"/>
                <w:szCs w:val="20"/>
                <w:color w:val="auto"/>
              </w:rPr>
            </w:pPr>
            <w:r>
              <w:rPr>
                <w:rFonts w:ascii="Arial" w:cs="Arial" w:eastAsia="Arial" w:hAnsi="Arial"/>
                <w:sz w:val="18"/>
                <w:szCs w:val="18"/>
                <w:b w:val="1"/>
                <w:bCs w:val="1"/>
                <w:color w:val="auto"/>
              </w:rPr>
              <w:t>Actual Performance Level</w:t>
            </w:r>
          </w:p>
        </w:tc>
        <w:tc>
          <w:tcPr>
            <w:tcW w:w="2300" w:type="dxa"/>
            <w:vAlign w:val="bottom"/>
            <w:vMerge w:val="restart"/>
          </w:tcPr>
          <w:p>
            <w:pPr>
              <w:ind w:left="500"/>
              <w:spacing w:after="0"/>
              <w:rPr>
                <w:sz w:val="20"/>
                <w:szCs w:val="20"/>
                <w:color w:val="auto"/>
              </w:rPr>
            </w:pPr>
            <w:r>
              <w:rPr>
                <w:rFonts w:ascii="Arial" w:cs="Arial" w:eastAsia="Arial" w:hAnsi="Arial"/>
                <w:sz w:val="18"/>
                <w:szCs w:val="18"/>
                <w:b w:val="1"/>
                <w:bCs w:val="1"/>
                <w:color w:val="auto"/>
                <w:w w:val="99"/>
              </w:rPr>
              <w:t>Percentage of Target</w:t>
            </w:r>
          </w:p>
        </w:tc>
        <w:tc>
          <w:tcPr>
            <w:tcW w:w="0" w:type="dxa"/>
            <w:vAlign w:val="bottom"/>
          </w:tcPr>
          <w:p>
            <w:pPr>
              <w:spacing w:after="0"/>
              <w:rPr>
                <w:sz w:val="1"/>
                <w:szCs w:val="1"/>
                <w:color w:val="auto"/>
              </w:rPr>
            </w:pPr>
          </w:p>
        </w:tc>
      </w:tr>
      <w:tr>
        <w:trPr>
          <w:trHeight w:val="238"/>
        </w:trPr>
        <w:tc>
          <w:tcPr>
            <w:tcW w:w="2500" w:type="dxa"/>
            <w:vAlign w:val="bottom"/>
            <w:vMerge w:val="continue"/>
          </w:tcPr>
          <w:p>
            <w:pPr>
              <w:spacing w:after="0"/>
              <w:rPr>
                <w:sz w:val="20"/>
                <w:szCs w:val="20"/>
                <w:color w:val="auto"/>
              </w:rPr>
            </w:pPr>
          </w:p>
        </w:tc>
        <w:tc>
          <w:tcPr>
            <w:tcW w:w="3540" w:type="dxa"/>
            <w:vAlign w:val="bottom"/>
          </w:tcPr>
          <w:p>
            <w:pPr>
              <w:jc w:val="center"/>
              <w:ind w:left="230"/>
              <w:spacing w:after="0" w:line="237" w:lineRule="exact"/>
              <w:rPr>
                <w:sz w:val="20"/>
                <w:szCs w:val="20"/>
                <w:color w:val="auto"/>
              </w:rPr>
            </w:pPr>
            <w:r>
              <w:rPr>
                <w:rFonts w:ascii="Arial" w:cs="Arial" w:eastAsia="Arial" w:hAnsi="Arial"/>
                <w:sz w:val="18"/>
                <w:szCs w:val="18"/>
                <w:b w:val="1"/>
                <w:bCs w:val="1"/>
                <w:color w:val="auto"/>
                <w:w w:val="96"/>
              </w:rPr>
              <w:t>(in thousands)</w:t>
            </w:r>
            <w:r>
              <w:rPr>
                <w:rFonts w:ascii="Arial" w:cs="Arial" w:eastAsia="Arial" w:hAnsi="Arial"/>
                <w:sz w:val="23"/>
                <w:szCs w:val="23"/>
                <w:b w:val="1"/>
                <w:bCs w:val="1"/>
                <w:color w:val="auto"/>
                <w:w w:val="96"/>
                <w:vertAlign w:val="superscript"/>
              </w:rPr>
              <w:t>(1)</w:t>
            </w:r>
          </w:p>
        </w:tc>
        <w:tc>
          <w:tcPr>
            <w:tcW w:w="2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940" w:type="dxa"/>
            <w:vAlign w:val="bottom"/>
            <w:tcBorders>
              <w:top w:val="single" w:sz="8" w:color="auto"/>
            </w:tcBorders>
            <w:shd w:val="clear" w:color="auto" w:fill="D2EDF0"/>
          </w:tcPr>
          <w:p>
            <w:pPr>
              <w:ind w:left="60"/>
              <w:spacing w:after="0" w:line="183" w:lineRule="exact"/>
              <w:rPr>
                <w:sz w:val="20"/>
                <w:szCs w:val="20"/>
                <w:color w:val="auto"/>
              </w:rPr>
            </w:pPr>
            <w:r>
              <w:rPr>
                <w:rFonts w:ascii="Arial" w:cs="Arial" w:eastAsia="Arial" w:hAnsi="Arial"/>
                <w:sz w:val="20"/>
                <w:szCs w:val="20"/>
                <w:color w:val="auto"/>
              </w:rPr>
              <w:t>Revenue + Unlevered Free</w:t>
            </w:r>
          </w:p>
        </w:tc>
        <w:tc>
          <w:tcPr>
            <w:tcW w:w="80" w:type="dxa"/>
            <w:vAlign w:val="bottom"/>
            <w:tcBorders>
              <w:top w:val="single" w:sz="8" w:color="D2EDF0"/>
            </w:tcBorders>
            <w:vMerge w:val="restart"/>
            <w:shd w:val="clear" w:color="auto" w:fill="D2EDF0"/>
          </w:tcPr>
          <w:p>
            <w:pPr>
              <w:spacing w:after="0"/>
              <w:rPr>
                <w:sz w:val="15"/>
                <w:szCs w:val="15"/>
                <w:color w:val="auto"/>
              </w:rPr>
            </w:pPr>
          </w:p>
        </w:tc>
        <w:tc>
          <w:tcPr>
            <w:tcW w:w="1140" w:type="dxa"/>
            <w:vAlign w:val="bottom"/>
            <w:tcBorders>
              <w:top w:val="single" w:sz="8" w:color="auto"/>
            </w:tcBorders>
            <w:vMerge w:val="restart"/>
            <w:shd w:val="clear" w:color="auto" w:fill="D2EDF0"/>
          </w:tcPr>
          <w:p>
            <w:pPr>
              <w:jc w:val="right"/>
              <w:ind w:right="880"/>
              <w:spacing w:after="0"/>
              <w:rPr>
                <w:sz w:val="20"/>
                <w:szCs w:val="20"/>
                <w:color w:val="auto"/>
              </w:rPr>
            </w:pPr>
            <w:r>
              <w:rPr>
                <w:rFonts w:ascii="Arial" w:cs="Arial" w:eastAsia="Arial" w:hAnsi="Arial"/>
                <w:sz w:val="20"/>
                <w:szCs w:val="20"/>
                <w:color w:val="auto"/>
              </w:rPr>
              <w:t>$</w:t>
            </w:r>
          </w:p>
        </w:tc>
        <w:tc>
          <w:tcPr>
            <w:tcW w:w="1800" w:type="dxa"/>
            <w:vAlign w:val="bottom"/>
            <w:tcBorders>
              <w:top w:val="single" w:sz="8" w:color="auto"/>
            </w:tcBorders>
            <w:vMerge w:val="restart"/>
            <w:shd w:val="clear" w:color="auto" w:fill="D2EDF0"/>
          </w:tcPr>
          <w:p>
            <w:pPr>
              <w:jc w:val="right"/>
              <w:spacing w:after="0"/>
              <w:rPr>
                <w:sz w:val="20"/>
                <w:szCs w:val="20"/>
                <w:color w:val="auto"/>
              </w:rPr>
            </w:pPr>
            <w:r>
              <w:rPr>
                <w:rFonts w:ascii="Arial" w:cs="Arial" w:eastAsia="Arial" w:hAnsi="Arial"/>
                <w:sz w:val="20"/>
                <w:szCs w:val="20"/>
                <w:color w:val="auto"/>
              </w:rPr>
              <w:t>813,902</w:t>
            </w:r>
          </w:p>
        </w:tc>
        <w:tc>
          <w:tcPr>
            <w:tcW w:w="80" w:type="dxa"/>
            <w:vAlign w:val="bottom"/>
            <w:tcBorders>
              <w:top w:val="single" w:sz="8" w:color="D2EDF0"/>
            </w:tcBorders>
            <w:vMerge w:val="restart"/>
            <w:shd w:val="clear" w:color="auto" w:fill="D2EDF0"/>
          </w:tcPr>
          <w:p>
            <w:pPr>
              <w:spacing w:after="0"/>
              <w:rPr>
                <w:sz w:val="15"/>
                <w:szCs w:val="15"/>
                <w:color w:val="auto"/>
              </w:rPr>
            </w:pPr>
          </w:p>
        </w:tc>
        <w:tc>
          <w:tcPr>
            <w:tcW w:w="2940" w:type="dxa"/>
            <w:vAlign w:val="bottom"/>
            <w:tcBorders>
              <w:top w:val="single" w:sz="8" w:color="auto"/>
            </w:tcBorders>
            <w:vMerge w:val="restart"/>
            <w:shd w:val="clear" w:color="auto" w:fill="D2EDF0"/>
          </w:tcPr>
          <w:p>
            <w:pPr>
              <w:jc w:val="right"/>
              <w:spacing w:after="0"/>
              <w:rPr>
                <w:sz w:val="20"/>
                <w:szCs w:val="20"/>
                <w:color w:val="auto"/>
              </w:rPr>
            </w:pPr>
            <w:r>
              <w:rPr>
                <w:rFonts w:ascii="Arial" w:cs="Arial" w:eastAsia="Arial" w:hAnsi="Arial"/>
                <w:sz w:val="20"/>
                <w:szCs w:val="20"/>
                <w:color w:val="auto"/>
              </w:rPr>
              <w:t>102.3 %</w:t>
            </w:r>
          </w:p>
        </w:tc>
        <w:tc>
          <w:tcPr>
            <w:tcW w:w="0" w:type="dxa"/>
            <w:vAlign w:val="bottom"/>
          </w:tcPr>
          <w:p>
            <w:pPr>
              <w:spacing w:after="0"/>
              <w:rPr>
                <w:sz w:val="1"/>
                <w:szCs w:val="1"/>
                <w:color w:val="auto"/>
              </w:rPr>
            </w:pPr>
          </w:p>
        </w:tc>
      </w:tr>
      <w:tr>
        <w:trPr>
          <w:trHeight w:val="272"/>
        </w:trPr>
        <w:tc>
          <w:tcPr>
            <w:tcW w:w="2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Cash Flow</w:t>
            </w:r>
          </w:p>
        </w:tc>
        <w:tc>
          <w:tcPr>
            <w:tcW w:w="80" w:type="dxa"/>
            <w:vAlign w:val="bottom"/>
            <w:vMerge w:val="continue"/>
            <w:shd w:val="clear" w:color="auto" w:fill="D2EDF0"/>
          </w:tcPr>
          <w:p>
            <w:pPr>
              <w:spacing w:after="0"/>
              <w:rPr>
                <w:sz w:val="23"/>
                <w:szCs w:val="23"/>
                <w:color w:val="auto"/>
              </w:rPr>
            </w:pPr>
          </w:p>
        </w:tc>
        <w:tc>
          <w:tcPr>
            <w:tcW w:w="1140" w:type="dxa"/>
            <w:vAlign w:val="bottom"/>
            <w:vMerge w:val="continue"/>
            <w:shd w:val="clear" w:color="auto" w:fill="D2EDF0"/>
          </w:tcPr>
          <w:p>
            <w:pPr>
              <w:spacing w:after="0"/>
              <w:rPr>
                <w:sz w:val="23"/>
                <w:szCs w:val="23"/>
                <w:color w:val="auto"/>
              </w:rPr>
            </w:pPr>
          </w:p>
        </w:tc>
        <w:tc>
          <w:tcPr>
            <w:tcW w:w="1800" w:type="dxa"/>
            <w:vAlign w:val="bottom"/>
            <w:vMerge w:val="continue"/>
            <w:shd w:val="clear" w:color="auto" w:fill="D2EDF0"/>
          </w:tcPr>
          <w:p>
            <w:pPr>
              <w:spacing w:after="0"/>
              <w:rPr>
                <w:sz w:val="23"/>
                <w:szCs w:val="23"/>
                <w:color w:val="auto"/>
              </w:rPr>
            </w:pPr>
          </w:p>
        </w:tc>
        <w:tc>
          <w:tcPr>
            <w:tcW w:w="80" w:type="dxa"/>
            <w:vAlign w:val="bottom"/>
            <w:vMerge w:val="continue"/>
            <w:shd w:val="clear" w:color="auto" w:fill="D2EDF0"/>
          </w:tcPr>
          <w:p>
            <w:pPr>
              <w:spacing w:after="0"/>
              <w:rPr>
                <w:sz w:val="23"/>
                <w:szCs w:val="23"/>
                <w:color w:val="auto"/>
              </w:rPr>
            </w:pPr>
          </w:p>
        </w:tc>
        <w:tc>
          <w:tcPr>
            <w:tcW w:w="2940" w:type="dxa"/>
            <w:vAlign w:val="bottom"/>
            <w:vMerge w:val="continue"/>
            <w:shd w:val="clear" w:color="auto" w:fill="D2EDF0"/>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940" w:type="dxa"/>
            <w:vAlign w:val="bottom"/>
            <w:vMerge w:val="restart"/>
          </w:tcPr>
          <w:p>
            <w:pPr>
              <w:ind w:left="60"/>
              <w:spacing w:after="0"/>
              <w:rPr>
                <w:sz w:val="20"/>
                <w:szCs w:val="20"/>
                <w:color w:val="auto"/>
              </w:rPr>
            </w:pPr>
            <w:r>
              <w:rPr>
                <w:rFonts w:ascii="Arial" w:cs="Arial" w:eastAsia="Arial" w:hAnsi="Arial"/>
                <w:sz w:val="20"/>
                <w:szCs w:val="20"/>
                <w:color w:val="auto"/>
              </w:rPr>
              <w:t>Bookings</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3"/>
                <w:szCs w:val="13"/>
                <w:color w:val="auto"/>
              </w:rPr>
              <w:t>(2)</w:t>
            </w:r>
          </w:p>
        </w:tc>
        <w:tc>
          <w:tcPr>
            <w:tcW w:w="3020" w:type="dxa"/>
            <w:vAlign w:val="bottom"/>
            <w:gridSpan w:val="2"/>
            <w:vMerge w:val="restart"/>
          </w:tcPr>
          <w:p>
            <w:pPr>
              <w:jc w:val="right"/>
              <w:spacing w:after="0"/>
              <w:rPr>
                <w:sz w:val="20"/>
                <w:szCs w:val="20"/>
                <w:color w:val="auto"/>
              </w:rPr>
            </w:pPr>
            <w:r>
              <w:rPr>
                <w:rFonts w:ascii="Arial" w:cs="Arial" w:eastAsia="Arial" w:hAnsi="Arial"/>
                <w:sz w:val="20"/>
                <w:szCs w:val="20"/>
                <w:color w:val="auto"/>
              </w:rPr>
              <w:t>97.6 %</w:t>
            </w:r>
          </w:p>
        </w:tc>
        <w:tc>
          <w:tcPr>
            <w:tcW w:w="0" w:type="dxa"/>
            <w:vAlign w:val="bottom"/>
          </w:tcPr>
          <w:p>
            <w:pPr>
              <w:spacing w:after="0"/>
              <w:rPr>
                <w:sz w:val="1"/>
                <w:szCs w:val="1"/>
                <w:color w:val="auto"/>
              </w:rPr>
            </w:pPr>
          </w:p>
        </w:tc>
      </w:tr>
      <w:tr>
        <w:trPr>
          <w:trHeight w:val="113"/>
        </w:trPr>
        <w:tc>
          <w:tcPr>
            <w:tcW w:w="29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44" w:lineRule="exact"/>
        <w:rPr>
          <w:sz w:val="20"/>
          <w:szCs w:val="20"/>
          <w:color w:val="auto"/>
        </w:rPr>
      </w:pPr>
    </w:p>
    <w:p>
      <w:pPr>
        <w:ind w:right="600"/>
        <w:spacing w:after="0" w:line="287" w:lineRule="auto"/>
        <w:tabs>
          <w:tab w:leader="none" w:pos="7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actual performance level for each performance metric includes the effect of certain acquisitions that occurred during the period.</w:t>
      </w:r>
    </w:p>
    <w:p>
      <w:pPr>
        <w:spacing w:after="0" w:line="169" w:lineRule="exact"/>
        <w:rPr>
          <w:rFonts w:ascii="Arial" w:cs="Arial" w:eastAsia="Arial" w:hAnsi="Arial"/>
          <w:sz w:val="20"/>
          <w:szCs w:val="20"/>
          <w:color w:val="auto"/>
        </w:rPr>
      </w:pPr>
    </w:p>
    <w:p>
      <w:pPr>
        <w:ind w:right="320"/>
        <w:spacing w:after="0" w:line="256" w:lineRule="auto"/>
        <w:tabs>
          <w:tab w:leader="none" w:pos="7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We have chosen not to disclose the performance level for our bookings performance measure as such information is proprietary in nature, the disclosure of which could result in competitive harm to the Company. For 2022, the Board of Directors considered the target performance achievement levels for the booking performance measure to be challenging but achievable with significant effort requiring circumstances to align as projected. The bookings performance attainment reflected an approximate 22.4% increase over our actual bookings results from 2021.</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880" w:h="15480" w:orient="portrait"/>
          <w:cols w:equalWidth="0" w:num="1">
            <w:col w:w="9000"/>
          </w:cols>
          <w:pgMar w:left="1440" w:top="1204" w:right="1440" w:bottom="0" w:gutter="0" w:footer="0" w:header="0"/>
          <w:type w:val="continuous"/>
        </w:sectPr>
      </w:pPr>
    </w:p>
    <w:bookmarkStart w:id="56" w:name="page57"/>
    <w:bookmarkEnd w:id="56"/>
    <w:p>
      <w:pPr>
        <w:ind w:right="380"/>
        <w:spacing w:after="0" w:line="287" w:lineRule="auto"/>
        <w:rPr>
          <w:sz w:val="20"/>
          <w:szCs w:val="20"/>
          <w:color w:val="auto"/>
        </w:rPr>
      </w:pPr>
      <w:r>
        <w:rPr>
          <w:rFonts w:ascii="Arial" w:cs="Arial" w:eastAsia="Arial" w:hAnsi="Arial"/>
          <w:sz w:val="20"/>
          <w:szCs w:val="20"/>
          <w:color w:val="auto"/>
        </w:rPr>
        <w:t>The following table provides information regarding the actual quarterly and full year cash bonuses earned by the Named Executive Officers during 2022:</w:t>
      </w:r>
    </w:p>
    <w:tbl>
      <w:tblPr>
        <w:tblLayout w:type="fixed"/>
        <w:tblInd w:w="0" w:type="dxa"/>
        <w:tblCellMar>
          <w:top w:w="0" w:type="dxa"/>
          <w:left w:w="0" w:type="dxa"/>
          <w:bottom w:w="0" w:type="dxa"/>
          <w:right w:w="0" w:type="dxa"/>
        </w:tblCellMar>
      </w:tblPr>
      <w:tr>
        <w:trPr>
          <w:trHeight w:val="203"/>
        </w:trPr>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4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98"/>
              </w:rPr>
              <w:t>Aggregate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Weighted Average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Named Executive</w:t>
            </w:r>
          </w:p>
        </w:tc>
        <w:tc>
          <w:tcPr>
            <w:tcW w:w="80" w:type="dxa"/>
            <w:vAlign w:val="bottom"/>
          </w:tcPr>
          <w:p>
            <w:pPr>
              <w:spacing w:after="0"/>
              <w:rPr>
                <w:sz w:val="15"/>
                <w:szCs w:val="15"/>
                <w:color w:val="auto"/>
              </w:rPr>
            </w:pPr>
          </w:p>
        </w:tc>
        <w:tc>
          <w:tcPr>
            <w:tcW w:w="174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Performance</w:t>
            </w:r>
          </w:p>
        </w:tc>
        <w:tc>
          <w:tcPr>
            <w:tcW w:w="80" w:type="dxa"/>
            <w:vAlign w:val="bottom"/>
          </w:tcPr>
          <w:p>
            <w:pPr>
              <w:spacing w:after="0"/>
              <w:rPr>
                <w:sz w:val="15"/>
                <w:szCs w:val="15"/>
                <w:color w:val="auto"/>
              </w:rPr>
            </w:pPr>
          </w:p>
        </w:tc>
        <w:tc>
          <w:tcPr>
            <w:tcW w:w="174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Target Quarterly/</w:t>
            </w:r>
          </w:p>
        </w:tc>
        <w:tc>
          <w:tcPr>
            <w:tcW w:w="60" w:type="dxa"/>
            <w:vAlign w:val="bottom"/>
          </w:tcPr>
          <w:p>
            <w:pPr>
              <w:spacing w:after="0"/>
              <w:rPr>
                <w:sz w:val="15"/>
                <w:szCs w:val="15"/>
                <w:color w:val="auto"/>
              </w:rPr>
            </w:pPr>
          </w:p>
        </w:tc>
        <w:tc>
          <w:tcPr>
            <w:tcW w:w="17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Achievement/</w:t>
            </w:r>
          </w:p>
        </w:tc>
        <w:tc>
          <w:tcPr>
            <w:tcW w:w="80" w:type="dxa"/>
            <w:vAlign w:val="bottom"/>
          </w:tcPr>
          <w:p>
            <w:pPr>
              <w:spacing w:after="0"/>
              <w:rPr>
                <w:sz w:val="15"/>
                <w:szCs w:val="15"/>
                <w:color w:val="auto"/>
              </w:rPr>
            </w:pPr>
          </w:p>
        </w:tc>
        <w:tc>
          <w:tcPr>
            <w:tcW w:w="174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Actual Quarterly/</w:t>
            </w:r>
          </w:p>
        </w:tc>
        <w:tc>
          <w:tcPr>
            <w:tcW w:w="0" w:type="dxa"/>
            <w:vAlign w:val="bottom"/>
          </w:tcPr>
          <w:p>
            <w:pPr>
              <w:spacing w:after="0"/>
              <w:rPr>
                <w:sz w:val="1"/>
                <w:szCs w:val="1"/>
                <w:color w:val="auto"/>
              </w:rPr>
            </w:pPr>
          </w:p>
        </w:tc>
      </w:tr>
      <w:tr>
        <w:trPr>
          <w:trHeight w:val="180"/>
        </w:trPr>
        <w:tc>
          <w:tcPr>
            <w:tcW w:w="1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Payment</w:t>
            </w:r>
          </w:p>
        </w:tc>
        <w:tc>
          <w:tcPr>
            <w:tcW w:w="8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7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Officer</w:t>
            </w:r>
          </w:p>
        </w:tc>
        <w:tc>
          <w:tcPr>
            <w:tcW w:w="80" w:type="dxa"/>
            <w:vAlign w:val="bottom"/>
            <w:tcBorders>
              <w:bottom w:val="single" w:sz="8" w:color="D2EDF0"/>
            </w:tcBorders>
          </w:tcPr>
          <w:p>
            <w:pPr>
              <w:spacing w:after="0"/>
              <w:rPr>
                <w:sz w:val="20"/>
                <w:szCs w:val="20"/>
                <w:color w:val="auto"/>
              </w:rPr>
            </w:pPr>
          </w:p>
        </w:tc>
        <w:tc>
          <w:tcPr>
            <w:tcW w:w="17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Period</w:t>
            </w:r>
          </w:p>
        </w:tc>
        <w:tc>
          <w:tcPr>
            <w:tcW w:w="80" w:type="dxa"/>
            <w:vAlign w:val="bottom"/>
            <w:tcBorders>
              <w:bottom w:val="single" w:sz="8" w:color="D2EDF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b w:val="1"/>
                <w:bCs w:val="1"/>
                <w:color w:val="auto"/>
              </w:rPr>
              <w:t>Annual Bonus</w:t>
            </w:r>
          </w:p>
        </w:tc>
        <w:tc>
          <w:tcPr>
            <w:tcW w:w="60" w:type="dxa"/>
            <w:vAlign w:val="bottom"/>
            <w:tcBorders>
              <w:bottom w:val="single" w:sz="8" w:color="D2EDF0"/>
            </w:tcBorders>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Percentage</w:t>
            </w:r>
          </w:p>
        </w:tc>
        <w:tc>
          <w:tcPr>
            <w:tcW w:w="80" w:type="dxa"/>
            <w:vAlign w:val="bottom"/>
            <w:tcBorders>
              <w:bottom w:val="single" w:sz="8" w:color="D2EDF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b w:val="1"/>
                <w:bCs w:val="1"/>
                <w:color w:val="auto"/>
              </w:rPr>
              <w:t>Annual Bonus</w:t>
            </w:r>
          </w:p>
        </w:tc>
        <w:tc>
          <w:tcPr>
            <w:tcW w:w="0" w:type="dxa"/>
            <w:vAlign w:val="bottom"/>
          </w:tcPr>
          <w:p>
            <w:pPr>
              <w:spacing w:after="0"/>
              <w:rPr>
                <w:sz w:val="1"/>
                <w:szCs w:val="1"/>
                <w:color w:val="auto"/>
              </w:rPr>
            </w:pPr>
          </w:p>
        </w:tc>
      </w:tr>
      <w:tr>
        <w:trPr>
          <w:trHeight w:val="290"/>
        </w:trPr>
        <w:tc>
          <w:tcPr>
            <w:tcW w:w="1740" w:type="dxa"/>
            <w:vAlign w:val="bottom"/>
            <w:shd w:val="clear" w:color="auto" w:fill="D2EDF0"/>
          </w:tcPr>
          <w:p>
            <w:pPr>
              <w:ind w:left="60"/>
              <w:spacing w:after="0"/>
              <w:rPr>
                <w:sz w:val="20"/>
                <w:szCs w:val="20"/>
                <w:color w:val="auto"/>
              </w:rPr>
            </w:pPr>
            <w:r>
              <w:rPr>
                <w:rFonts w:ascii="Arial" w:cs="Arial" w:eastAsia="Arial" w:hAnsi="Arial"/>
                <w:sz w:val="20"/>
                <w:szCs w:val="20"/>
                <w:color w:val="auto"/>
              </w:rPr>
              <w:t>Mr. Yoran</w:t>
            </w:r>
          </w:p>
        </w:tc>
        <w:tc>
          <w:tcPr>
            <w:tcW w:w="80" w:type="dxa"/>
            <w:vAlign w:val="bottom"/>
            <w:shd w:val="clear" w:color="auto" w:fill="D2EDF0"/>
          </w:tcPr>
          <w:p>
            <w:pPr>
              <w:spacing w:after="0"/>
              <w:rPr>
                <w:sz w:val="24"/>
                <w:szCs w:val="24"/>
                <w:color w:val="auto"/>
              </w:rPr>
            </w:pPr>
          </w:p>
        </w:tc>
        <w:tc>
          <w:tcPr>
            <w:tcW w:w="1740" w:type="dxa"/>
            <w:vAlign w:val="bottom"/>
            <w:shd w:val="clear" w:color="auto" w:fill="D2EDF0"/>
          </w:tcPr>
          <w:p>
            <w:pPr>
              <w:ind w:left="40"/>
              <w:spacing w:after="0"/>
              <w:rPr>
                <w:sz w:val="20"/>
                <w:szCs w:val="20"/>
                <w:color w:val="auto"/>
              </w:rPr>
            </w:pPr>
            <w:r>
              <w:rPr>
                <w:rFonts w:ascii="Arial" w:cs="Arial" w:eastAsia="Arial" w:hAnsi="Arial"/>
                <w:sz w:val="20"/>
                <w:szCs w:val="20"/>
                <w:color w:val="auto"/>
              </w:rPr>
              <w:t>First Quarter</w:t>
            </w:r>
          </w:p>
        </w:tc>
        <w:tc>
          <w:tcPr>
            <w:tcW w:w="2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5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97,400</w:t>
            </w:r>
          </w:p>
        </w:tc>
        <w:tc>
          <w:tcPr>
            <w:tcW w:w="180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99.2 %</w:t>
            </w:r>
          </w:p>
        </w:tc>
        <w:tc>
          <w:tcPr>
            <w:tcW w:w="30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5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96,621</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ind w:left="40"/>
              <w:spacing w:after="0"/>
              <w:rPr>
                <w:sz w:val="20"/>
                <w:szCs w:val="20"/>
                <w:color w:val="auto"/>
              </w:rPr>
            </w:pPr>
            <w:r>
              <w:rPr>
                <w:rFonts w:ascii="Arial" w:cs="Arial" w:eastAsia="Arial" w:hAnsi="Arial"/>
                <w:sz w:val="20"/>
                <w:szCs w:val="20"/>
                <w:color w:val="auto"/>
              </w:rPr>
              <w:t>Second Quarter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97,400</w:t>
            </w:r>
          </w:p>
        </w:tc>
        <w:tc>
          <w:tcPr>
            <w:tcW w:w="1800" w:type="dxa"/>
            <w:vAlign w:val="bottom"/>
            <w:gridSpan w:val="2"/>
          </w:tcPr>
          <w:p>
            <w:pPr>
              <w:jc w:val="right"/>
              <w:spacing w:after="0"/>
              <w:rPr>
                <w:sz w:val="20"/>
                <w:szCs w:val="20"/>
                <w:color w:val="auto"/>
              </w:rPr>
            </w:pPr>
            <w:r>
              <w:rPr>
                <w:rFonts w:ascii="Arial" w:cs="Arial" w:eastAsia="Arial" w:hAnsi="Arial"/>
                <w:sz w:val="20"/>
                <w:szCs w:val="20"/>
                <w:color w:val="auto"/>
              </w:rPr>
              <w:t>106.7 %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103,926</w:t>
            </w:r>
          </w:p>
        </w:tc>
        <w:tc>
          <w:tcPr>
            <w:tcW w:w="0" w:type="dxa"/>
            <w:vAlign w:val="bottom"/>
          </w:tcPr>
          <w:p>
            <w:pPr>
              <w:spacing w:after="0"/>
              <w:rPr>
                <w:sz w:val="1"/>
                <w:szCs w:val="1"/>
                <w:color w:val="auto"/>
              </w:rPr>
            </w:pPr>
          </w:p>
        </w:tc>
      </w:tr>
      <w:tr>
        <w:trPr>
          <w:trHeight w:val="304"/>
        </w:trPr>
        <w:tc>
          <w:tcPr>
            <w:tcW w:w="174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1740" w:type="dxa"/>
            <w:vAlign w:val="bottom"/>
            <w:shd w:val="clear" w:color="auto" w:fill="D2EDF0"/>
          </w:tcPr>
          <w:p>
            <w:pPr>
              <w:ind w:left="40"/>
              <w:spacing w:after="0"/>
              <w:rPr>
                <w:sz w:val="20"/>
                <w:szCs w:val="20"/>
                <w:color w:val="auto"/>
              </w:rPr>
            </w:pPr>
            <w:r>
              <w:rPr>
                <w:rFonts w:ascii="Arial" w:cs="Arial" w:eastAsia="Arial" w:hAnsi="Arial"/>
                <w:sz w:val="20"/>
                <w:szCs w:val="20"/>
                <w:color w:val="auto"/>
              </w:rPr>
              <w:t>Third Quarter</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15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97,400</w:t>
            </w:r>
          </w:p>
        </w:tc>
        <w:tc>
          <w:tcPr>
            <w:tcW w:w="180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107.1 %</w:t>
            </w:r>
          </w:p>
        </w:tc>
        <w:tc>
          <w:tcPr>
            <w:tcW w:w="80" w:type="dxa"/>
            <w:vAlign w:val="bottom"/>
            <w:shd w:val="clear" w:color="auto" w:fill="D2EDF0"/>
          </w:tcPr>
          <w:p>
            <w:pPr>
              <w:spacing w:after="0"/>
              <w:rPr>
                <w:sz w:val="24"/>
                <w:szCs w:val="24"/>
                <w:color w:val="auto"/>
              </w:rPr>
            </w:pPr>
          </w:p>
        </w:tc>
        <w:tc>
          <w:tcPr>
            <w:tcW w:w="220" w:type="dxa"/>
            <w:vAlign w:val="bottom"/>
            <w:shd w:val="clear" w:color="auto" w:fill="D2EDF0"/>
          </w:tcPr>
          <w:p>
            <w:pPr>
              <w:spacing w:after="0"/>
              <w:rPr>
                <w:sz w:val="24"/>
                <w:szCs w:val="24"/>
                <w:color w:val="auto"/>
              </w:rPr>
            </w:pPr>
          </w:p>
        </w:tc>
        <w:tc>
          <w:tcPr>
            <w:tcW w:w="15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104,315</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ind w:left="40"/>
              <w:spacing w:after="0"/>
              <w:rPr>
                <w:sz w:val="20"/>
                <w:szCs w:val="20"/>
                <w:color w:val="auto"/>
              </w:rPr>
            </w:pPr>
            <w:r>
              <w:rPr>
                <w:rFonts w:ascii="Arial" w:cs="Arial" w:eastAsia="Arial" w:hAnsi="Arial"/>
                <w:sz w:val="20"/>
                <w:szCs w:val="20"/>
                <w:color w:val="auto"/>
              </w:rPr>
              <w:t>Fourth Quarter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97,400</w:t>
            </w:r>
          </w:p>
        </w:tc>
        <w:tc>
          <w:tcPr>
            <w:tcW w:w="1800" w:type="dxa"/>
            <w:vAlign w:val="bottom"/>
            <w:gridSpan w:val="2"/>
          </w:tcPr>
          <w:p>
            <w:pPr>
              <w:jc w:val="right"/>
              <w:spacing w:after="0"/>
              <w:rPr>
                <w:sz w:val="20"/>
                <w:szCs w:val="20"/>
                <w:color w:val="auto"/>
              </w:rPr>
            </w:pPr>
            <w:r>
              <w:rPr>
                <w:rFonts w:ascii="Arial" w:cs="Arial" w:eastAsia="Arial" w:hAnsi="Arial"/>
                <w:sz w:val="20"/>
                <w:szCs w:val="20"/>
                <w:color w:val="auto"/>
              </w:rPr>
              <w:t>99.9 %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97,303</w:t>
            </w:r>
          </w:p>
        </w:tc>
        <w:tc>
          <w:tcPr>
            <w:tcW w:w="0" w:type="dxa"/>
            <w:vAlign w:val="bottom"/>
          </w:tcPr>
          <w:p>
            <w:pPr>
              <w:spacing w:after="0"/>
              <w:rPr>
                <w:sz w:val="1"/>
                <w:szCs w:val="1"/>
                <w:color w:val="auto"/>
              </w:rPr>
            </w:pPr>
          </w:p>
        </w:tc>
      </w:tr>
      <w:tr>
        <w:trPr>
          <w:trHeight w:val="294"/>
        </w:trPr>
        <w:tc>
          <w:tcPr>
            <w:tcW w:w="1740" w:type="dxa"/>
            <w:vAlign w:val="bottom"/>
            <w:tcBorders>
              <w:bottom w:val="single" w:sz="8" w:color="D2EDF0"/>
            </w:tcBorders>
            <w:shd w:val="clear" w:color="auto" w:fill="D2EDF0"/>
          </w:tcPr>
          <w:p>
            <w:pPr>
              <w:spacing w:after="0"/>
              <w:rPr>
                <w:sz w:val="24"/>
                <w:szCs w:val="24"/>
                <w:color w:val="auto"/>
              </w:rPr>
            </w:pPr>
          </w:p>
        </w:tc>
        <w:tc>
          <w:tcPr>
            <w:tcW w:w="80" w:type="dxa"/>
            <w:vAlign w:val="bottom"/>
            <w:tcBorders>
              <w:bottom w:val="single" w:sz="8" w:color="D2EDF0"/>
            </w:tcBorders>
            <w:shd w:val="clear" w:color="auto" w:fill="D2EDF0"/>
          </w:tcPr>
          <w:p>
            <w:pPr>
              <w:spacing w:after="0"/>
              <w:rPr>
                <w:sz w:val="24"/>
                <w:szCs w:val="24"/>
                <w:color w:val="auto"/>
              </w:rPr>
            </w:pPr>
          </w:p>
        </w:tc>
        <w:tc>
          <w:tcPr>
            <w:tcW w:w="1740" w:type="dxa"/>
            <w:vAlign w:val="bottom"/>
            <w:tcBorders>
              <w:bottom w:val="single" w:sz="8" w:color="D2EDF0"/>
            </w:tcBorders>
            <w:shd w:val="clear" w:color="auto" w:fill="D2EDF0"/>
          </w:tcPr>
          <w:p>
            <w:pPr>
              <w:ind w:left="40"/>
              <w:spacing w:after="0"/>
              <w:rPr>
                <w:sz w:val="20"/>
                <w:szCs w:val="20"/>
                <w:color w:val="auto"/>
              </w:rPr>
            </w:pPr>
            <w:r>
              <w:rPr>
                <w:rFonts w:ascii="Arial" w:cs="Arial" w:eastAsia="Arial" w:hAnsi="Arial"/>
                <w:sz w:val="20"/>
                <w:szCs w:val="20"/>
                <w:color w:val="auto"/>
              </w:rPr>
              <w:t>Full Year</w:t>
            </w:r>
          </w:p>
        </w:tc>
        <w:tc>
          <w:tcPr>
            <w:tcW w:w="80" w:type="dxa"/>
            <w:vAlign w:val="bottom"/>
            <w:tcBorders>
              <w:bottom w:val="single" w:sz="8" w:color="D2EDF0"/>
            </w:tcBorders>
            <w:shd w:val="clear" w:color="auto" w:fill="D2EDF0"/>
          </w:tcPr>
          <w:p>
            <w:pPr>
              <w:spacing w:after="0"/>
              <w:rPr>
                <w:sz w:val="24"/>
                <w:szCs w:val="24"/>
                <w:color w:val="auto"/>
              </w:rPr>
            </w:pPr>
          </w:p>
        </w:tc>
        <w:tc>
          <w:tcPr>
            <w:tcW w:w="200" w:type="dxa"/>
            <w:vAlign w:val="bottom"/>
            <w:tcBorders>
              <w:bottom w:val="single" w:sz="8" w:color="auto"/>
            </w:tcBorders>
            <w:shd w:val="clear" w:color="auto" w:fill="D2EDF0"/>
          </w:tcPr>
          <w:p>
            <w:pPr>
              <w:spacing w:after="0"/>
              <w:rPr>
                <w:sz w:val="24"/>
                <w:szCs w:val="24"/>
                <w:color w:val="auto"/>
              </w:rPr>
            </w:pPr>
          </w:p>
        </w:tc>
        <w:tc>
          <w:tcPr>
            <w:tcW w:w="154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97,400</w:t>
            </w:r>
          </w:p>
        </w:tc>
        <w:tc>
          <w:tcPr>
            <w:tcW w:w="60" w:type="dxa"/>
            <w:vAlign w:val="bottom"/>
            <w:tcBorders>
              <w:bottom w:val="single" w:sz="8" w:color="D2EDF0"/>
            </w:tcBorders>
            <w:shd w:val="clear" w:color="auto" w:fill="D2EDF0"/>
          </w:tcPr>
          <w:p>
            <w:pPr>
              <w:spacing w:after="0"/>
              <w:rPr>
                <w:sz w:val="24"/>
                <w:szCs w:val="24"/>
                <w:color w:val="auto"/>
              </w:rPr>
            </w:pPr>
          </w:p>
        </w:tc>
        <w:tc>
          <w:tcPr>
            <w:tcW w:w="174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101.1 %</w:t>
            </w:r>
          </w:p>
        </w:tc>
        <w:tc>
          <w:tcPr>
            <w:tcW w:w="80" w:type="dxa"/>
            <w:vAlign w:val="bottom"/>
            <w:tcBorders>
              <w:bottom w:val="single" w:sz="8" w:color="D2EDF0"/>
            </w:tcBorders>
            <w:shd w:val="clear" w:color="auto" w:fill="D2EDF0"/>
          </w:tcPr>
          <w:p>
            <w:pPr>
              <w:spacing w:after="0"/>
              <w:rPr>
                <w:sz w:val="24"/>
                <w:szCs w:val="24"/>
                <w:color w:val="auto"/>
              </w:rPr>
            </w:pPr>
          </w:p>
        </w:tc>
        <w:tc>
          <w:tcPr>
            <w:tcW w:w="220" w:type="dxa"/>
            <w:vAlign w:val="bottom"/>
            <w:tcBorders>
              <w:bottom w:val="single" w:sz="8" w:color="auto"/>
            </w:tcBorders>
            <w:shd w:val="clear" w:color="auto" w:fill="D2EDF0"/>
          </w:tcPr>
          <w:p>
            <w:pPr>
              <w:spacing w:after="0"/>
              <w:rPr>
                <w:sz w:val="24"/>
                <w:szCs w:val="24"/>
                <w:color w:val="auto"/>
              </w:rPr>
            </w:pPr>
          </w:p>
        </w:tc>
        <w:tc>
          <w:tcPr>
            <w:tcW w:w="152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98,471</w:t>
            </w: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ind w:left="280"/>
              <w:spacing w:after="0"/>
              <w:rPr>
                <w:sz w:val="20"/>
                <w:szCs w:val="20"/>
                <w:color w:val="auto"/>
              </w:rPr>
            </w:pPr>
            <w:r>
              <w:rPr>
                <w:rFonts w:ascii="Arial" w:cs="Arial" w:eastAsia="Arial" w:hAnsi="Arial"/>
                <w:sz w:val="20"/>
                <w:szCs w:val="20"/>
                <w:color w:val="auto"/>
              </w:rPr>
              <w:t>Total 2022</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487,000</w:t>
            </w:r>
          </w:p>
        </w:tc>
        <w:tc>
          <w:tcPr>
            <w:tcW w:w="1800" w:type="dxa"/>
            <w:vAlign w:val="bottom"/>
            <w:gridSpan w:val="2"/>
          </w:tcPr>
          <w:p>
            <w:pPr>
              <w:jc w:val="right"/>
              <w:spacing w:after="0"/>
              <w:rPr>
                <w:sz w:val="20"/>
                <w:szCs w:val="20"/>
                <w:color w:val="auto"/>
              </w:rPr>
            </w:pPr>
            <w:r>
              <w:rPr>
                <w:rFonts w:ascii="Arial" w:cs="Arial" w:eastAsia="Arial" w:hAnsi="Arial"/>
                <w:sz w:val="20"/>
                <w:szCs w:val="20"/>
                <w:color w:val="auto"/>
              </w:rPr>
              <w:t>102.8 %</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500,636</w:t>
            </w:r>
          </w:p>
        </w:tc>
        <w:tc>
          <w:tcPr>
            <w:tcW w:w="0" w:type="dxa"/>
            <w:vAlign w:val="bottom"/>
          </w:tcPr>
          <w:p>
            <w:pPr>
              <w:spacing w:after="0"/>
              <w:rPr>
                <w:sz w:val="1"/>
                <w:szCs w:val="1"/>
                <w:color w:val="auto"/>
              </w:rPr>
            </w:pPr>
          </w:p>
        </w:tc>
      </w:tr>
      <w:tr>
        <w:trPr>
          <w:trHeight w:val="304"/>
        </w:trPr>
        <w:tc>
          <w:tcPr>
            <w:tcW w:w="174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174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1540" w:type="dxa"/>
            <w:vAlign w:val="bottom"/>
            <w:shd w:val="clear" w:color="auto" w:fill="D2EDF0"/>
          </w:tcPr>
          <w:p>
            <w:pPr>
              <w:spacing w:after="0"/>
              <w:rPr>
                <w:sz w:val="24"/>
                <w:szCs w:val="24"/>
                <w:color w:val="auto"/>
              </w:rPr>
            </w:pPr>
          </w:p>
        </w:tc>
        <w:tc>
          <w:tcPr>
            <w:tcW w:w="60" w:type="dxa"/>
            <w:vAlign w:val="bottom"/>
            <w:shd w:val="clear" w:color="auto" w:fill="D2EDF0"/>
          </w:tcPr>
          <w:p>
            <w:pPr>
              <w:spacing w:after="0"/>
              <w:rPr>
                <w:sz w:val="24"/>
                <w:szCs w:val="24"/>
                <w:color w:val="auto"/>
              </w:rPr>
            </w:pPr>
          </w:p>
        </w:tc>
        <w:tc>
          <w:tcPr>
            <w:tcW w:w="174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220" w:type="dxa"/>
            <w:vAlign w:val="bottom"/>
            <w:shd w:val="clear" w:color="auto" w:fill="D2EDF0"/>
          </w:tcPr>
          <w:p>
            <w:pPr>
              <w:spacing w:after="0"/>
              <w:rPr>
                <w:sz w:val="24"/>
                <w:szCs w:val="24"/>
                <w:color w:val="auto"/>
              </w:rPr>
            </w:pPr>
          </w:p>
        </w:tc>
        <w:tc>
          <w:tcPr>
            <w:tcW w:w="1520" w:type="dxa"/>
            <w:vAlign w:val="bottom"/>
            <w:shd w:val="clear" w:color="auto" w:fill="D2EDF0"/>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740" w:type="dxa"/>
            <w:vAlign w:val="bottom"/>
          </w:tcPr>
          <w:p>
            <w:pPr>
              <w:ind w:left="60"/>
              <w:spacing w:after="0"/>
              <w:rPr>
                <w:sz w:val="20"/>
                <w:szCs w:val="20"/>
                <w:color w:val="auto"/>
              </w:rPr>
            </w:pPr>
            <w:r>
              <w:rPr>
                <w:rFonts w:ascii="Arial" w:cs="Arial" w:eastAsia="Arial" w:hAnsi="Arial"/>
                <w:sz w:val="20"/>
                <w:szCs w:val="20"/>
                <w:color w:val="auto"/>
              </w:rPr>
              <w:t>Mr. Vintz</w:t>
            </w:r>
          </w:p>
        </w:tc>
        <w:tc>
          <w:tcPr>
            <w:tcW w:w="80" w:type="dxa"/>
            <w:vAlign w:val="bottom"/>
          </w:tcPr>
          <w:p>
            <w:pPr>
              <w:spacing w:after="0"/>
              <w:rPr>
                <w:sz w:val="24"/>
                <w:szCs w:val="24"/>
                <w:color w:val="auto"/>
              </w:rPr>
            </w:pPr>
          </w:p>
        </w:tc>
        <w:tc>
          <w:tcPr>
            <w:tcW w:w="1740" w:type="dxa"/>
            <w:vAlign w:val="bottom"/>
          </w:tcPr>
          <w:p>
            <w:pPr>
              <w:ind w:left="40"/>
              <w:spacing w:after="0"/>
              <w:rPr>
                <w:sz w:val="20"/>
                <w:szCs w:val="20"/>
                <w:color w:val="auto"/>
              </w:rPr>
            </w:pPr>
            <w:r>
              <w:rPr>
                <w:rFonts w:ascii="Arial" w:cs="Arial" w:eastAsia="Arial" w:hAnsi="Arial"/>
                <w:sz w:val="20"/>
                <w:szCs w:val="20"/>
                <w:color w:val="auto"/>
              </w:rPr>
              <w:t>First Quarter</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72,450</w:t>
            </w:r>
          </w:p>
        </w:tc>
        <w:tc>
          <w:tcPr>
            <w:tcW w:w="1800" w:type="dxa"/>
            <w:vAlign w:val="bottom"/>
            <w:gridSpan w:val="2"/>
          </w:tcPr>
          <w:p>
            <w:pPr>
              <w:jc w:val="right"/>
              <w:spacing w:after="0"/>
              <w:rPr>
                <w:sz w:val="20"/>
                <w:szCs w:val="20"/>
                <w:color w:val="auto"/>
              </w:rPr>
            </w:pPr>
            <w:r>
              <w:rPr>
                <w:rFonts w:ascii="Arial" w:cs="Arial" w:eastAsia="Arial" w:hAnsi="Arial"/>
                <w:sz w:val="20"/>
                <w:szCs w:val="20"/>
                <w:color w:val="auto"/>
              </w:rPr>
              <w:t>99.2 %</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71,870</w:t>
            </w:r>
          </w:p>
        </w:tc>
        <w:tc>
          <w:tcPr>
            <w:tcW w:w="0" w:type="dxa"/>
            <w:vAlign w:val="bottom"/>
          </w:tcPr>
          <w:p>
            <w:pPr>
              <w:spacing w:after="0"/>
              <w:rPr>
                <w:sz w:val="1"/>
                <w:szCs w:val="1"/>
                <w:color w:val="auto"/>
              </w:rPr>
            </w:pPr>
          </w:p>
        </w:tc>
      </w:tr>
      <w:tr>
        <w:trPr>
          <w:trHeight w:val="304"/>
        </w:trPr>
        <w:tc>
          <w:tcPr>
            <w:tcW w:w="174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1740" w:type="dxa"/>
            <w:vAlign w:val="bottom"/>
            <w:shd w:val="clear" w:color="auto" w:fill="D2EDF0"/>
          </w:tcPr>
          <w:p>
            <w:pPr>
              <w:ind w:left="40"/>
              <w:spacing w:after="0"/>
              <w:rPr>
                <w:sz w:val="20"/>
                <w:szCs w:val="20"/>
                <w:color w:val="auto"/>
              </w:rPr>
            </w:pPr>
            <w:r>
              <w:rPr>
                <w:rFonts w:ascii="Arial" w:cs="Arial" w:eastAsia="Arial" w:hAnsi="Arial"/>
                <w:sz w:val="20"/>
                <w:szCs w:val="20"/>
                <w:color w:val="auto"/>
              </w:rPr>
              <w:t>Second Quarter</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15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72,450</w:t>
            </w:r>
          </w:p>
        </w:tc>
        <w:tc>
          <w:tcPr>
            <w:tcW w:w="180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106.7 %</w:t>
            </w:r>
          </w:p>
        </w:tc>
        <w:tc>
          <w:tcPr>
            <w:tcW w:w="80" w:type="dxa"/>
            <w:vAlign w:val="bottom"/>
            <w:shd w:val="clear" w:color="auto" w:fill="D2EDF0"/>
          </w:tcPr>
          <w:p>
            <w:pPr>
              <w:spacing w:after="0"/>
              <w:rPr>
                <w:sz w:val="24"/>
                <w:szCs w:val="24"/>
                <w:color w:val="auto"/>
              </w:rPr>
            </w:pPr>
          </w:p>
        </w:tc>
        <w:tc>
          <w:tcPr>
            <w:tcW w:w="220" w:type="dxa"/>
            <w:vAlign w:val="bottom"/>
            <w:shd w:val="clear" w:color="auto" w:fill="D2EDF0"/>
          </w:tcPr>
          <w:p>
            <w:pPr>
              <w:spacing w:after="0"/>
              <w:rPr>
                <w:sz w:val="24"/>
                <w:szCs w:val="24"/>
                <w:color w:val="auto"/>
              </w:rPr>
            </w:pPr>
          </w:p>
        </w:tc>
        <w:tc>
          <w:tcPr>
            <w:tcW w:w="15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77,304</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ind w:left="40"/>
              <w:spacing w:after="0"/>
              <w:rPr>
                <w:sz w:val="20"/>
                <w:szCs w:val="20"/>
                <w:color w:val="auto"/>
              </w:rPr>
            </w:pPr>
            <w:r>
              <w:rPr>
                <w:rFonts w:ascii="Arial" w:cs="Arial" w:eastAsia="Arial" w:hAnsi="Arial"/>
                <w:sz w:val="20"/>
                <w:szCs w:val="20"/>
                <w:color w:val="auto"/>
              </w:rPr>
              <w:t>Third Quarter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72,450</w:t>
            </w:r>
          </w:p>
        </w:tc>
        <w:tc>
          <w:tcPr>
            <w:tcW w:w="1800" w:type="dxa"/>
            <w:vAlign w:val="bottom"/>
            <w:gridSpan w:val="2"/>
          </w:tcPr>
          <w:p>
            <w:pPr>
              <w:jc w:val="right"/>
              <w:spacing w:after="0"/>
              <w:rPr>
                <w:sz w:val="20"/>
                <w:szCs w:val="20"/>
                <w:color w:val="auto"/>
              </w:rPr>
            </w:pPr>
            <w:r>
              <w:rPr>
                <w:rFonts w:ascii="Arial" w:cs="Arial" w:eastAsia="Arial" w:hAnsi="Arial"/>
                <w:sz w:val="20"/>
                <w:szCs w:val="20"/>
                <w:color w:val="auto"/>
              </w:rPr>
              <w:t>107.1 %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77,594</w:t>
            </w:r>
          </w:p>
        </w:tc>
        <w:tc>
          <w:tcPr>
            <w:tcW w:w="0" w:type="dxa"/>
            <w:vAlign w:val="bottom"/>
          </w:tcPr>
          <w:p>
            <w:pPr>
              <w:spacing w:after="0"/>
              <w:rPr>
                <w:sz w:val="1"/>
                <w:szCs w:val="1"/>
                <w:color w:val="auto"/>
              </w:rPr>
            </w:pPr>
          </w:p>
        </w:tc>
      </w:tr>
      <w:tr>
        <w:trPr>
          <w:trHeight w:val="304"/>
        </w:trPr>
        <w:tc>
          <w:tcPr>
            <w:tcW w:w="174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1740" w:type="dxa"/>
            <w:vAlign w:val="bottom"/>
            <w:shd w:val="clear" w:color="auto" w:fill="D2EDF0"/>
          </w:tcPr>
          <w:p>
            <w:pPr>
              <w:ind w:left="40"/>
              <w:spacing w:after="0"/>
              <w:rPr>
                <w:sz w:val="20"/>
                <w:szCs w:val="20"/>
                <w:color w:val="auto"/>
              </w:rPr>
            </w:pPr>
            <w:r>
              <w:rPr>
                <w:rFonts w:ascii="Arial" w:cs="Arial" w:eastAsia="Arial" w:hAnsi="Arial"/>
                <w:sz w:val="20"/>
                <w:szCs w:val="20"/>
                <w:color w:val="auto"/>
              </w:rPr>
              <w:t>Fourth Quarter</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15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72,450</w:t>
            </w:r>
          </w:p>
        </w:tc>
        <w:tc>
          <w:tcPr>
            <w:tcW w:w="180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99.9 %</w:t>
            </w:r>
          </w:p>
        </w:tc>
        <w:tc>
          <w:tcPr>
            <w:tcW w:w="80" w:type="dxa"/>
            <w:vAlign w:val="bottom"/>
            <w:shd w:val="clear" w:color="auto" w:fill="D2EDF0"/>
          </w:tcPr>
          <w:p>
            <w:pPr>
              <w:spacing w:after="0"/>
              <w:rPr>
                <w:sz w:val="24"/>
                <w:szCs w:val="24"/>
                <w:color w:val="auto"/>
              </w:rPr>
            </w:pPr>
          </w:p>
        </w:tc>
        <w:tc>
          <w:tcPr>
            <w:tcW w:w="220" w:type="dxa"/>
            <w:vAlign w:val="bottom"/>
            <w:shd w:val="clear" w:color="auto" w:fill="D2EDF0"/>
          </w:tcPr>
          <w:p>
            <w:pPr>
              <w:spacing w:after="0"/>
              <w:rPr>
                <w:sz w:val="24"/>
                <w:szCs w:val="24"/>
                <w:color w:val="auto"/>
              </w:rPr>
            </w:pPr>
          </w:p>
        </w:tc>
        <w:tc>
          <w:tcPr>
            <w:tcW w:w="15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72,378</w:t>
            </w:r>
          </w:p>
        </w:tc>
        <w:tc>
          <w:tcPr>
            <w:tcW w:w="0" w:type="dxa"/>
            <w:vAlign w:val="bottom"/>
          </w:tcPr>
          <w:p>
            <w:pPr>
              <w:spacing w:after="0"/>
              <w:rPr>
                <w:sz w:val="1"/>
                <w:szCs w:val="1"/>
                <w:color w:val="auto"/>
              </w:rPr>
            </w:pPr>
          </w:p>
        </w:tc>
      </w:tr>
      <w:tr>
        <w:trPr>
          <w:trHeight w:val="290"/>
        </w:trPr>
        <w:tc>
          <w:tcPr>
            <w:tcW w:w="1740" w:type="dxa"/>
            <w:vAlign w:val="bottom"/>
            <w:tcBorders>
              <w:bottom w:val="single" w:sz="8" w:color="D2EDF0"/>
            </w:tcBorders>
          </w:tcPr>
          <w:p>
            <w:pPr>
              <w:spacing w:after="0"/>
              <w:rPr>
                <w:sz w:val="24"/>
                <w:szCs w:val="24"/>
                <w:color w:val="auto"/>
              </w:rPr>
            </w:pPr>
          </w:p>
        </w:tc>
        <w:tc>
          <w:tcPr>
            <w:tcW w:w="80" w:type="dxa"/>
            <w:vAlign w:val="bottom"/>
            <w:tcBorders>
              <w:bottom w:val="single" w:sz="8" w:color="D2EDF0"/>
            </w:tcBorders>
          </w:tcPr>
          <w:p>
            <w:pPr>
              <w:spacing w:after="0"/>
              <w:rPr>
                <w:sz w:val="24"/>
                <w:szCs w:val="24"/>
                <w:color w:val="auto"/>
              </w:rPr>
            </w:pPr>
          </w:p>
        </w:tc>
        <w:tc>
          <w:tcPr>
            <w:tcW w:w="1740" w:type="dxa"/>
            <w:vAlign w:val="bottom"/>
            <w:tcBorders>
              <w:bottom w:val="single" w:sz="8" w:color="D2EDF0"/>
            </w:tcBorders>
          </w:tcPr>
          <w:p>
            <w:pPr>
              <w:ind w:left="40"/>
              <w:spacing w:after="0"/>
              <w:rPr>
                <w:sz w:val="20"/>
                <w:szCs w:val="20"/>
                <w:color w:val="auto"/>
              </w:rPr>
            </w:pPr>
            <w:r>
              <w:rPr>
                <w:rFonts w:ascii="Arial" w:cs="Arial" w:eastAsia="Arial" w:hAnsi="Arial"/>
                <w:sz w:val="20"/>
                <w:szCs w:val="20"/>
                <w:color w:val="auto"/>
              </w:rPr>
              <w:t>Full Year</w:t>
            </w:r>
          </w:p>
        </w:tc>
        <w:tc>
          <w:tcPr>
            <w:tcW w:w="80" w:type="dxa"/>
            <w:vAlign w:val="bottom"/>
            <w:tcBorders>
              <w:bottom w:val="single" w:sz="8" w:color="D2EDF0"/>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72,450</w:t>
            </w:r>
          </w:p>
        </w:tc>
        <w:tc>
          <w:tcPr>
            <w:tcW w:w="60" w:type="dxa"/>
            <w:vAlign w:val="bottom"/>
            <w:tcBorders>
              <w:bottom w:val="single" w:sz="8" w:color="D2EDF0"/>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101.1 %</w:t>
            </w:r>
          </w:p>
        </w:tc>
        <w:tc>
          <w:tcPr>
            <w:tcW w:w="80" w:type="dxa"/>
            <w:vAlign w:val="bottom"/>
            <w:tcBorders>
              <w:bottom w:val="single" w:sz="8" w:color="D2EDF0"/>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73,247</w:t>
            </w:r>
          </w:p>
        </w:tc>
        <w:tc>
          <w:tcPr>
            <w:tcW w:w="0" w:type="dxa"/>
            <w:vAlign w:val="bottom"/>
          </w:tcPr>
          <w:p>
            <w:pPr>
              <w:spacing w:after="0"/>
              <w:rPr>
                <w:sz w:val="1"/>
                <w:szCs w:val="1"/>
                <w:color w:val="auto"/>
              </w:rPr>
            </w:pPr>
          </w:p>
        </w:tc>
      </w:tr>
      <w:tr>
        <w:trPr>
          <w:trHeight w:val="290"/>
        </w:trPr>
        <w:tc>
          <w:tcPr>
            <w:tcW w:w="174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1740" w:type="dxa"/>
            <w:vAlign w:val="bottom"/>
            <w:shd w:val="clear" w:color="auto" w:fill="D2EDF0"/>
          </w:tcPr>
          <w:p>
            <w:pPr>
              <w:ind w:left="280"/>
              <w:spacing w:after="0"/>
              <w:rPr>
                <w:sz w:val="20"/>
                <w:szCs w:val="20"/>
                <w:color w:val="auto"/>
              </w:rPr>
            </w:pPr>
            <w:r>
              <w:rPr>
                <w:rFonts w:ascii="Arial" w:cs="Arial" w:eastAsia="Arial" w:hAnsi="Arial"/>
                <w:sz w:val="20"/>
                <w:szCs w:val="20"/>
                <w:color w:val="auto"/>
              </w:rPr>
              <w:t>Total 2022</w:t>
            </w:r>
          </w:p>
        </w:tc>
        <w:tc>
          <w:tcPr>
            <w:tcW w:w="2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5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362,250</w:t>
            </w:r>
          </w:p>
        </w:tc>
        <w:tc>
          <w:tcPr>
            <w:tcW w:w="180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102.8 %</w:t>
            </w:r>
          </w:p>
        </w:tc>
        <w:tc>
          <w:tcPr>
            <w:tcW w:w="30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5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372,393</w:t>
            </w:r>
          </w:p>
        </w:tc>
        <w:tc>
          <w:tcPr>
            <w:tcW w:w="0" w:type="dxa"/>
            <w:vAlign w:val="bottom"/>
          </w:tcPr>
          <w:p>
            <w:pPr>
              <w:spacing w:after="0"/>
              <w:rPr>
                <w:sz w:val="1"/>
                <w:szCs w:val="1"/>
                <w:color w:val="auto"/>
              </w:rPr>
            </w:pPr>
          </w:p>
        </w:tc>
      </w:tr>
      <w:tr>
        <w:trPr>
          <w:trHeight w:val="300"/>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740" w:type="dxa"/>
            <w:vAlign w:val="bottom"/>
            <w:shd w:val="clear" w:color="auto" w:fill="D2EDF0"/>
          </w:tcPr>
          <w:p>
            <w:pPr>
              <w:ind w:left="60"/>
              <w:spacing w:after="0"/>
              <w:rPr>
                <w:sz w:val="20"/>
                <w:szCs w:val="20"/>
                <w:color w:val="auto"/>
              </w:rPr>
            </w:pPr>
            <w:r>
              <w:rPr>
                <w:rFonts w:ascii="Arial" w:cs="Arial" w:eastAsia="Arial" w:hAnsi="Arial"/>
                <w:sz w:val="20"/>
                <w:szCs w:val="20"/>
                <w:color w:val="auto"/>
              </w:rPr>
              <w:t>Mr. Riddick</w:t>
            </w:r>
          </w:p>
        </w:tc>
        <w:tc>
          <w:tcPr>
            <w:tcW w:w="80" w:type="dxa"/>
            <w:vAlign w:val="bottom"/>
            <w:shd w:val="clear" w:color="auto" w:fill="D2EDF0"/>
          </w:tcPr>
          <w:p>
            <w:pPr>
              <w:spacing w:after="0"/>
              <w:rPr>
                <w:sz w:val="24"/>
                <w:szCs w:val="24"/>
                <w:color w:val="auto"/>
              </w:rPr>
            </w:pPr>
          </w:p>
        </w:tc>
        <w:tc>
          <w:tcPr>
            <w:tcW w:w="1740" w:type="dxa"/>
            <w:vAlign w:val="bottom"/>
            <w:shd w:val="clear" w:color="auto" w:fill="D2EDF0"/>
          </w:tcPr>
          <w:p>
            <w:pPr>
              <w:ind w:left="40"/>
              <w:spacing w:after="0"/>
              <w:rPr>
                <w:sz w:val="20"/>
                <w:szCs w:val="20"/>
                <w:color w:val="auto"/>
              </w:rPr>
            </w:pPr>
            <w:r>
              <w:rPr>
                <w:rFonts w:ascii="Arial" w:cs="Arial" w:eastAsia="Arial" w:hAnsi="Arial"/>
                <w:sz w:val="20"/>
                <w:szCs w:val="20"/>
                <w:color w:val="auto"/>
              </w:rPr>
              <w:t>First Quarter</w:t>
            </w:r>
          </w:p>
        </w:tc>
        <w:tc>
          <w:tcPr>
            <w:tcW w:w="2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5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37,300</w:t>
            </w:r>
          </w:p>
        </w:tc>
        <w:tc>
          <w:tcPr>
            <w:tcW w:w="180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99.2 %</w:t>
            </w:r>
          </w:p>
        </w:tc>
        <w:tc>
          <w:tcPr>
            <w:tcW w:w="30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5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37,002</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ind w:left="40"/>
              <w:spacing w:after="0"/>
              <w:rPr>
                <w:sz w:val="20"/>
                <w:szCs w:val="20"/>
                <w:color w:val="auto"/>
              </w:rPr>
            </w:pPr>
            <w:r>
              <w:rPr>
                <w:rFonts w:ascii="Arial" w:cs="Arial" w:eastAsia="Arial" w:hAnsi="Arial"/>
                <w:sz w:val="20"/>
                <w:szCs w:val="20"/>
                <w:color w:val="auto"/>
              </w:rPr>
              <w:t>Second Quarter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37,300</w:t>
            </w:r>
          </w:p>
        </w:tc>
        <w:tc>
          <w:tcPr>
            <w:tcW w:w="1800" w:type="dxa"/>
            <w:vAlign w:val="bottom"/>
            <w:gridSpan w:val="2"/>
          </w:tcPr>
          <w:p>
            <w:pPr>
              <w:jc w:val="right"/>
              <w:spacing w:after="0"/>
              <w:rPr>
                <w:sz w:val="20"/>
                <w:szCs w:val="20"/>
                <w:color w:val="auto"/>
              </w:rPr>
            </w:pPr>
            <w:r>
              <w:rPr>
                <w:rFonts w:ascii="Arial" w:cs="Arial" w:eastAsia="Arial" w:hAnsi="Arial"/>
                <w:sz w:val="20"/>
                <w:szCs w:val="20"/>
                <w:color w:val="auto"/>
              </w:rPr>
              <w:t>106.7 %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39,799</w:t>
            </w:r>
          </w:p>
        </w:tc>
        <w:tc>
          <w:tcPr>
            <w:tcW w:w="0" w:type="dxa"/>
            <w:vAlign w:val="bottom"/>
          </w:tcPr>
          <w:p>
            <w:pPr>
              <w:spacing w:after="0"/>
              <w:rPr>
                <w:sz w:val="1"/>
                <w:szCs w:val="1"/>
                <w:color w:val="auto"/>
              </w:rPr>
            </w:pPr>
          </w:p>
        </w:tc>
      </w:tr>
      <w:tr>
        <w:trPr>
          <w:trHeight w:val="304"/>
        </w:trPr>
        <w:tc>
          <w:tcPr>
            <w:tcW w:w="174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1740" w:type="dxa"/>
            <w:vAlign w:val="bottom"/>
            <w:shd w:val="clear" w:color="auto" w:fill="D2EDF0"/>
          </w:tcPr>
          <w:p>
            <w:pPr>
              <w:ind w:left="40"/>
              <w:spacing w:after="0"/>
              <w:rPr>
                <w:sz w:val="20"/>
                <w:szCs w:val="20"/>
                <w:color w:val="auto"/>
              </w:rPr>
            </w:pPr>
            <w:r>
              <w:rPr>
                <w:rFonts w:ascii="Arial" w:cs="Arial" w:eastAsia="Arial" w:hAnsi="Arial"/>
                <w:sz w:val="20"/>
                <w:szCs w:val="20"/>
                <w:color w:val="auto"/>
              </w:rPr>
              <w:t>Third Quarter</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15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37,300</w:t>
            </w:r>
          </w:p>
        </w:tc>
        <w:tc>
          <w:tcPr>
            <w:tcW w:w="180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107.1 %</w:t>
            </w:r>
          </w:p>
        </w:tc>
        <w:tc>
          <w:tcPr>
            <w:tcW w:w="80" w:type="dxa"/>
            <w:vAlign w:val="bottom"/>
            <w:shd w:val="clear" w:color="auto" w:fill="D2EDF0"/>
          </w:tcPr>
          <w:p>
            <w:pPr>
              <w:spacing w:after="0"/>
              <w:rPr>
                <w:sz w:val="24"/>
                <w:szCs w:val="24"/>
                <w:color w:val="auto"/>
              </w:rPr>
            </w:pPr>
          </w:p>
        </w:tc>
        <w:tc>
          <w:tcPr>
            <w:tcW w:w="220" w:type="dxa"/>
            <w:vAlign w:val="bottom"/>
            <w:shd w:val="clear" w:color="auto" w:fill="D2EDF0"/>
          </w:tcPr>
          <w:p>
            <w:pPr>
              <w:spacing w:after="0"/>
              <w:rPr>
                <w:sz w:val="24"/>
                <w:szCs w:val="24"/>
                <w:color w:val="auto"/>
              </w:rPr>
            </w:pPr>
          </w:p>
        </w:tc>
        <w:tc>
          <w:tcPr>
            <w:tcW w:w="15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39,948</w:t>
            </w:r>
          </w:p>
        </w:tc>
        <w:tc>
          <w:tcPr>
            <w:tcW w:w="0" w:type="dxa"/>
            <w:vAlign w:val="bottom"/>
          </w:tcPr>
          <w:p>
            <w:pPr>
              <w:spacing w:after="0"/>
              <w:rPr>
                <w:sz w:val="1"/>
                <w:szCs w:val="1"/>
                <w:color w:val="auto"/>
              </w:rPr>
            </w:pPr>
          </w:p>
        </w:tc>
      </w:tr>
      <w:tr>
        <w:trPr>
          <w:trHeight w:val="300"/>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ind w:left="40"/>
              <w:spacing w:after="0"/>
              <w:rPr>
                <w:sz w:val="20"/>
                <w:szCs w:val="20"/>
                <w:color w:val="auto"/>
              </w:rPr>
            </w:pPr>
            <w:r>
              <w:rPr>
                <w:rFonts w:ascii="Arial" w:cs="Arial" w:eastAsia="Arial" w:hAnsi="Arial"/>
                <w:sz w:val="20"/>
                <w:szCs w:val="20"/>
                <w:color w:val="auto"/>
              </w:rPr>
              <w:t>Fourth Quarter</w:t>
            </w:r>
            <w:r>
              <w:rPr>
                <w:rFonts w:ascii="Arial" w:cs="Arial" w:eastAsia="Arial" w:hAnsi="Arial"/>
                <w:sz w:val="26"/>
                <w:szCs w:val="26"/>
                <w:color w:val="auto"/>
                <w:vertAlign w:val="superscript"/>
              </w:rPr>
              <w:t>(1)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37,300</w:t>
            </w:r>
          </w:p>
        </w:tc>
        <w:tc>
          <w:tcPr>
            <w:tcW w:w="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0"/>
        </w:trPr>
        <w:tc>
          <w:tcPr>
            <w:tcW w:w="1740" w:type="dxa"/>
            <w:vAlign w:val="bottom"/>
            <w:tcBorders>
              <w:bottom w:val="single" w:sz="8" w:color="D2EDF0"/>
            </w:tcBorders>
            <w:shd w:val="clear" w:color="auto" w:fill="D2EDF0"/>
          </w:tcPr>
          <w:p>
            <w:pPr>
              <w:spacing w:after="0"/>
              <w:rPr>
                <w:sz w:val="24"/>
                <w:szCs w:val="24"/>
                <w:color w:val="auto"/>
              </w:rPr>
            </w:pPr>
          </w:p>
        </w:tc>
        <w:tc>
          <w:tcPr>
            <w:tcW w:w="80" w:type="dxa"/>
            <w:vAlign w:val="bottom"/>
            <w:tcBorders>
              <w:bottom w:val="single" w:sz="8" w:color="D2EDF0"/>
            </w:tcBorders>
            <w:shd w:val="clear" w:color="auto" w:fill="D2EDF0"/>
          </w:tcPr>
          <w:p>
            <w:pPr>
              <w:spacing w:after="0"/>
              <w:rPr>
                <w:sz w:val="24"/>
                <w:szCs w:val="24"/>
                <w:color w:val="auto"/>
              </w:rPr>
            </w:pPr>
          </w:p>
        </w:tc>
        <w:tc>
          <w:tcPr>
            <w:tcW w:w="1740" w:type="dxa"/>
            <w:vAlign w:val="bottom"/>
            <w:tcBorders>
              <w:bottom w:val="single" w:sz="8" w:color="D2EDF0"/>
            </w:tcBorders>
            <w:shd w:val="clear" w:color="auto" w:fill="D2EDF0"/>
          </w:tcPr>
          <w:p>
            <w:pPr>
              <w:ind w:left="40"/>
              <w:spacing w:after="0" w:line="290" w:lineRule="exact"/>
              <w:rPr>
                <w:sz w:val="20"/>
                <w:szCs w:val="20"/>
                <w:color w:val="auto"/>
              </w:rPr>
            </w:pPr>
            <w:r>
              <w:rPr>
                <w:rFonts w:ascii="Arial" w:cs="Arial" w:eastAsia="Arial" w:hAnsi="Arial"/>
                <w:sz w:val="20"/>
                <w:szCs w:val="20"/>
                <w:color w:val="auto"/>
              </w:rPr>
              <w:t>Full Year</w:t>
            </w:r>
            <w:r>
              <w:rPr>
                <w:rFonts w:ascii="Arial" w:cs="Arial" w:eastAsia="Arial" w:hAnsi="Arial"/>
                <w:sz w:val="26"/>
                <w:szCs w:val="26"/>
                <w:color w:val="auto"/>
                <w:vertAlign w:val="superscript"/>
              </w:rPr>
              <w:t>(1)</w:t>
            </w:r>
          </w:p>
        </w:tc>
        <w:tc>
          <w:tcPr>
            <w:tcW w:w="80" w:type="dxa"/>
            <w:vAlign w:val="bottom"/>
            <w:tcBorders>
              <w:bottom w:val="single" w:sz="8" w:color="D2EDF0"/>
            </w:tcBorders>
            <w:shd w:val="clear" w:color="auto" w:fill="D2EDF0"/>
          </w:tcPr>
          <w:p>
            <w:pPr>
              <w:spacing w:after="0"/>
              <w:rPr>
                <w:sz w:val="24"/>
                <w:szCs w:val="24"/>
                <w:color w:val="auto"/>
              </w:rPr>
            </w:pPr>
          </w:p>
        </w:tc>
        <w:tc>
          <w:tcPr>
            <w:tcW w:w="200" w:type="dxa"/>
            <w:vAlign w:val="bottom"/>
            <w:tcBorders>
              <w:bottom w:val="single" w:sz="8" w:color="auto"/>
            </w:tcBorders>
            <w:shd w:val="clear" w:color="auto" w:fill="D2EDF0"/>
          </w:tcPr>
          <w:p>
            <w:pPr>
              <w:spacing w:after="0"/>
              <w:rPr>
                <w:sz w:val="24"/>
                <w:szCs w:val="24"/>
                <w:color w:val="auto"/>
              </w:rPr>
            </w:pPr>
          </w:p>
        </w:tc>
        <w:tc>
          <w:tcPr>
            <w:tcW w:w="154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37,300</w:t>
            </w:r>
          </w:p>
        </w:tc>
        <w:tc>
          <w:tcPr>
            <w:tcW w:w="60" w:type="dxa"/>
            <w:vAlign w:val="bottom"/>
            <w:tcBorders>
              <w:bottom w:val="single" w:sz="8" w:color="D2EDF0"/>
            </w:tcBorders>
            <w:shd w:val="clear" w:color="auto" w:fill="D2EDF0"/>
          </w:tcPr>
          <w:p>
            <w:pPr>
              <w:spacing w:after="0"/>
              <w:rPr>
                <w:sz w:val="24"/>
                <w:szCs w:val="24"/>
                <w:color w:val="auto"/>
              </w:rPr>
            </w:pPr>
          </w:p>
        </w:tc>
        <w:tc>
          <w:tcPr>
            <w:tcW w:w="174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 %</w:t>
            </w:r>
          </w:p>
        </w:tc>
        <w:tc>
          <w:tcPr>
            <w:tcW w:w="80" w:type="dxa"/>
            <w:vAlign w:val="bottom"/>
            <w:tcBorders>
              <w:bottom w:val="single" w:sz="8" w:color="D2EDF0"/>
            </w:tcBorders>
            <w:shd w:val="clear" w:color="auto" w:fill="D2EDF0"/>
          </w:tcPr>
          <w:p>
            <w:pPr>
              <w:spacing w:after="0"/>
              <w:rPr>
                <w:sz w:val="24"/>
                <w:szCs w:val="24"/>
                <w:color w:val="auto"/>
              </w:rPr>
            </w:pPr>
          </w:p>
        </w:tc>
        <w:tc>
          <w:tcPr>
            <w:tcW w:w="220" w:type="dxa"/>
            <w:vAlign w:val="bottom"/>
            <w:tcBorders>
              <w:bottom w:val="single" w:sz="8" w:color="auto"/>
            </w:tcBorders>
            <w:shd w:val="clear" w:color="auto" w:fill="D2EDF0"/>
          </w:tcPr>
          <w:p>
            <w:pPr>
              <w:spacing w:after="0"/>
              <w:rPr>
                <w:sz w:val="24"/>
                <w:szCs w:val="24"/>
                <w:color w:val="auto"/>
              </w:rPr>
            </w:pPr>
          </w:p>
        </w:tc>
        <w:tc>
          <w:tcPr>
            <w:tcW w:w="152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6"/>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ind w:left="280"/>
              <w:spacing w:after="0"/>
              <w:rPr>
                <w:sz w:val="20"/>
                <w:szCs w:val="20"/>
                <w:color w:val="auto"/>
              </w:rPr>
            </w:pPr>
            <w:r>
              <w:rPr>
                <w:rFonts w:ascii="Arial" w:cs="Arial" w:eastAsia="Arial" w:hAnsi="Arial"/>
                <w:sz w:val="20"/>
                <w:szCs w:val="20"/>
                <w:color w:val="auto"/>
              </w:rPr>
              <w:t>Total 2022</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186,500</w:t>
            </w: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116,749</w:t>
            </w:r>
          </w:p>
        </w:tc>
        <w:tc>
          <w:tcPr>
            <w:tcW w:w="0" w:type="dxa"/>
            <w:vAlign w:val="bottom"/>
          </w:tcPr>
          <w:p>
            <w:pPr>
              <w:spacing w:after="0"/>
              <w:rPr>
                <w:sz w:val="1"/>
                <w:szCs w:val="1"/>
                <w:color w:val="auto"/>
              </w:rPr>
            </w:pPr>
          </w:p>
        </w:tc>
      </w:tr>
      <w:tr>
        <w:trPr>
          <w:trHeight w:val="304"/>
        </w:trPr>
        <w:tc>
          <w:tcPr>
            <w:tcW w:w="174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174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1540" w:type="dxa"/>
            <w:vAlign w:val="bottom"/>
            <w:shd w:val="clear" w:color="auto" w:fill="D2EDF0"/>
          </w:tcPr>
          <w:p>
            <w:pPr>
              <w:spacing w:after="0"/>
              <w:rPr>
                <w:sz w:val="24"/>
                <w:szCs w:val="24"/>
                <w:color w:val="auto"/>
              </w:rPr>
            </w:pPr>
          </w:p>
        </w:tc>
        <w:tc>
          <w:tcPr>
            <w:tcW w:w="60" w:type="dxa"/>
            <w:vAlign w:val="bottom"/>
            <w:shd w:val="clear" w:color="auto" w:fill="D2EDF0"/>
          </w:tcPr>
          <w:p>
            <w:pPr>
              <w:spacing w:after="0"/>
              <w:rPr>
                <w:sz w:val="24"/>
                <w:szCs w:val="24"/>
                <w:color w:val="auto"/>
              </w:rPr>
            </w:pPr>
          </w:p>
        </w:tc>
        <w:tc>
          <w:tcPr>
            <w:tcW w:w="174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220" w:type="dxa"/>
            <w:vAlign w:val="bottom"/>
            <w:shd w:val="clear" w:color="auto" w:fill="D2EDF0"/>
          </w:tcPr>
          <w:p>
            <w:pPr>
              <w:spacing w:after="0"/>
              <w:rPr>
                <w:sz w:val="24"/>
                <w:szCs w:val="24"/>
                <w:color w:val="auto"/>
              </w:rPr>
            </w:pPr>
          </w:p>
        </w:tc>
        <w:tc>
          <w:tcPr>
            <w:tcW w:w="1520" w:type="dxa"/>
            <w:vAlign w:val="bottom"/>
            <w:shd w:val="clear" w:color="auto" w:fill="D2EDF0"/>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740" w:type="dxa"/>
            <w:vAlign w:val="bottom"/>
          </w:tcPr>
          <w:p>
            <w:pPr>
              <w:ind w:left="60"/>
              <w:spacing w:after="0"/>
              <w:rPr>
                <w:sz w:val="20"/>
                <w:szCs w:val="20"/>
                <w:color w:val="auto"/>
              </w:rPr>
            </w:pPr>
            <w:r>
              <w:rPr>
                <w:rFonts w:ascii="Arial" w:cs="Arial" w:eastAsia="Arial" w:hAnsi="Arial"/>
                <w:sz w:val="20"/>
                <w:szCs w:val="20"/>
                <w:color w:val="auto"/>
              </w:rPr>
              <w:t>Mr. Thurmond</w:t>
            </w:r>
          </w:p>
        </w:tc>
        <w:tc>
          <w:tcPr>
            <w:tcW w:w="80" w:type="dxa"/>
            <w:vAlign w:val="bottom"/>
          </w:tcPr>
          <w:p>
            <w:pPr>
              <w:spacing w:after="0"/>
              <w:rPr>
                <w:sz w:val="24"/>
                <w:szCs w:val="24"/>
                <w:color w:val="auto"/>
              </w:rPr>
            </w:pPr>
          </w:p>
        </w:tc>
        <w:tc>
          <w:tcPr>
            <w:tcW w:w="1740" w:type="dxa"/>
            <w:vAlign w:val="bottom"/>
          </w:tcPr>
          <w:p>
            <w:pPr>
              <w:ind w:left="40"/>
              <w:spacing w:after="0"/>
              <w:rPr>
                <w:sz w:val="20"/>
                <w:szCs w:val="20"/>
                <w:color w:val="auto"/>
              </w:rPr>
            </w:pPr>
            <w:r>
              <w:rPr>
                <w:rFonts w:ascii="Arial" w:cs="Arial" w:eastAsia="Arial" w:hAnsi="Arial"/>
                <w:sz w:val="20"/>
                <w:szCs w:val="20"/>
                <w:color w:val="auto"/>
              </w:rPr>
              <w:t>First Quarter</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40" w:type="dxa"/>
            <w:vAlign w:val="bottom"/>
          </w:tcPr>
          <w:p>
            <w:pPr>
              <w:jc w:val="right"/>
              <w:spacing w:after="0"/>
              <w:rPr>
                <w:sz w:val="20"/>
                <w:szCs w:val="20"/>
                <w:color w:val="auto"/>
              </w:rPr>
            </w:pPr>
            <w:r>
              <w:rPr>
                <w:rFonts w:ascii="Arial" w:cs="Arial" w:eastAsia="Arial" w:hAnsi="Arial"/>
                <w:sz w:val="20"/>
                <w:szCs w:val="20"/>
                <w:color w:val="auto"/>
              </w:rPr>
              <w:t>72,450</w:t>
            </w:r>
          </w:p>
        </w:tc>
        <w:tc>
          <w:tcPr>
            <w:tcW w:w="1800" w:type="dxa"/>
            <w:vAlign w:val="bottom"/>
            <w:gridSpan w:val="2"/>
          </w:tcPr>
          <w:p>
            <w:pPr>
              <w:jc w:val="right"/>
              <w:spacing w:after="0"/>
              <w:rPr>
                <w:sz w:val="20"/>
                <w:szCs w:val="20"/>
                <w:color w:val="auto"/>
              </w:rPr>
            </w:pPr>
            <w:r>
              <w:rPr>
                <w:rFonts w:ascii="Arial" w:cs="Arial" w:eastAsia="Arial" w:hAnsi="Arial"/>
                <w:sz w:val="20"/>
                <w:szCs w:val="20"/>
                <w:color w:val="auto"/>
              </w:rPr>
              <w:t>99.2 %</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71,870</w:t>
            </w:r>
          </w:p>
        </w:tc>
        <w:tc>
          <w:tcPr>
            <w:tcW w:w="0" w:type="dxa"/>
            <w:vAlign w:val="bottom"/>
          </w:tcPr>
          <w:p>
            <w:pPr>
              <w:spacing w:after="0"/>
              <w:rPr>
                <w:sz w:val="1"/>
                <w:szCs w:val="1"/>
                <w:color w:val="auto"/>
              </w:rPr>
            </w:pPr>
          </w:p>
        </w:tc>
      </w:tr>
      <w:tr>
        <w:trPr>
          <w:trHeight w:val="304"/>
        </w:trPr>
        <w:tc>
          <w:tcPr>
            <w:tcW w:w="174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1740" w:type="dxa"/>
            <w:vAlign w:val="bottom"/>
            <w:shd w:val="clear" w:color="auto" w:fill="D2EDF0"/>
          </w:tcPr>
          <w:p>
            <w:pPr>
              <w:ind w:left="40"/>
              <w:spacing w:after="0"/>
              <w:rPr>
                <w:sz w:val="20"/>
                <w:szCs w:val="20"/>
                <w:color w:val="auto"/>
              </w:rPr>
            </w:pPr>
            <w:r>
              <w:rPr>
                <w:rFonts w:ascii="Arial" w:cs="Arial" w:eastAsia="Arial" w:hAnsi="Arial"/>
                <w:sz w:val="20"/>
                <w:szCs w:val="20"/>
                <w:color w:val="auto"/>
              </w:rPr>
              <w:t>Second Quarter</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15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72,450</w:t>
            </w:r>
          </w:p>
        </w:tc>
        <w:tc>
          <w:tcPr>
            <w:tcW w:w="180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106.7 %</w:t>
            </w:r>
          </w:p>
        </w:tc>
        <w:tc>
          <w:tcPr>
            <w:tcW w:w="80" w:type="dxa"/>
            <w:vAlign w:val="bottom"/>
            <w:shd w:val="clear" w:color="auto" w:fill="D2EDF0"/>
          </w:tcPr>
          <w:p>
            <w:pPr>
              <w:spacing w:after="0"/>
              <w:rPr>
                <w:sz w:val="24"/>
                <w:szCs w:val="24"/>
                <w:color w:val="auto"/>
              </w:rPr>
            </w:pPr>
          </w:p>
        </w:tc>
        <w:tc>
          <w:tcPr>
            <w:tcW w:w="220" w:type="dxa"/>
            <w:vAlign w:val="bottom"/>
            <w:shd w:val="clear" w:color="auto" w:fill="D2EDF0"/>
          </w:tcPr>
          <w:p>
            <w:pPr>
              <w:spacing w:after="0"/>
              <w:rPr>
                <w:sz w:val="24"/>
                <w:szCs w:val="24"/>
                <w:color w:val="auto"/>
              </w:rPr>
            </w:pPr>
          </w:p>
        </w:tc>
        <w:tc>
          <w:tcPr>
            <w:tcW w:w="15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77,304</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ind w:left="40"/>
              <w:spacing w:after="0"/>
              <w:rPr>
                <w:sz w:val="20"/>
                <w:szCs w:val="20"/>
                <w:color w:val="auto"/>
              </w:rPr>
            </w:pPr>
            <w:r>
              <w:rPr>
                <w:rFonts w:ascii="Arial" w:cs="Arial" w:eastAsia="Arial" w:hAnsi="Arial"/>
                <w:sz w:val="20"/>
                <w:szCs w:val="20"/>
                <w:color w:val="auto"/>
              </w:rPr>
              <w:t>Third Quarter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0"/>
                <w:szCs w:val="20"/>
                <w:color w:val="auto"/>
              </w:rPr>
              <w:t>72,450</w:t>
            </w:r>
          </w:p>
        </w:tc>
        <w:tc>
          <w:tcPr>
            <w:tcW w:w="1800" w:type="dxa"/>
            <w:vAlign w:val="bottom"/>
            <w:gridSpan w:val="2"/>
          </w:tcPr>
          <w:p>
            <w:pPr>
              <w:jc w:val="right"/>
              <w:spacing w:after="0"/>
              <w:rPr>
                <w:sz w:val="20"/>
                <w:szCs w:val="20"/>
                <w:color w:val="auto"/>
              </w:rPr>
            </w:pPr>
            <w:r>
              <w:rPr>
                <w:rFonts w:ascii="Arial" w:cs="Arial" w:eastAsia="Arial" w:hAnsi="Arial"/>
                <w:sz w:val="20"/>
                <w:szCs w:val="20"/>
                <w:color w:val="auto"/>
              </w:rPr>
              <w:t>107.1 %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77,594</w:t>
            </w:r>
          </w:p>
        </w:tc>
        <w:tc>
          <w:tcPr>
            <w:tcW w:w="0" w:type="dxa"/>
            <w:vAlign w:val="bottom"/>
          </w:tcPr>
          <w:p>
            <w:pPr>
              <w:spacing w:after="0"/>
              <w:rPr>
                <w:sz w:val="1"/>
                <w:szCs w:val="1"/>
                <w:color w:val="auto"/>
              </w:rPr>
            </w:pPr>
          </w:p>
        </w:tc>
      </w:tr>
      <w:tr>
        <w:trPr>
          <w:trHeight w:val="304"/>
        </w:trPr>
        <w:tc>
          <w:tcPr>
            <w:tcW w:w="174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1740" w:type="dxa"/>
            <w:vAlign w:val="bottom"/>
            <w:shd w:val="clear" w:color="auto" w:fill="D2EDF0"/>
          </w:tcPr>
          <w:p>
            <w:pPr>
              <w:ind w:left="40"/>
              <w:spacing w:after="0"/>
              <w:rPr>
                <w:sz w:val="20"/>
                <w:szCs w:val="20"/>
                <w:color w:val="auto"/>
              </w:rPr>
            </w:pPr>
            <w:r>
              <w:rPr>
                <w:rFonts w:ascii="Arial" w:cs="Arial" w:eastAsia="Arial" w:hAnsi="Arial"/>
                <w:sz w:val="20"/>
                <w:szCs w:val="20"/>
                <w:color w:val="auto"/>
              </w:rPr>
              <w:t>Fourth Quarter</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15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72,450</w:t>
            </w:r>
          </w:p>
        </w:tc>
        <w:tc>
          <w:tcPr>
            <w:tcW w:w="180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99.9 %</w:t>
            </w:r>
          </w:p>
        </w:tc>
        <w:tc>
          <w:tcPr>
            <w:tcW w:w="80" w:type="dxa"/>
            <w:vAlign w:val="bottom"/>
            <w:shd w:val="clear" w:color="auto" w:fill="D2EDF0"/>
          </w:tcPr>
          <w:p>
            <w:pPr>
              <w:spacing w:after="0"/>
              <w:rPr>
                <w:sz w:val="24"/>
                <w:szCs w:val="24"/>
                <w:color w:val="auto"/>
              </w:rPr>
            </w:pPr>
          </w:p>
        </w:tc>
        <w:tc>
          <w:tcPr>
            <w:tcW w:w="220" w:type="dxa"/>
            <w:vAlign w:val="bottom"/>
            <w:shd w:val="clear" w:color="auto" w:fill="D2EDF0"/>
          </w:tcPr>
          <w:p>
            <w:pPr>
              <w:spacing w:after="0"/>
              <w:rPr>
                <w:sz w:val="24"/>
                <w:szCs w:val="24"/>
                <w:color w:val="auto"/>
              </w:rPr>
            </w:pPr>
          </w:p>
        </w:tc>
        <w:tc>
          <w:tcPr>
            <w:tcW w:w="15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72,378</w:t>
            </w:r>
          </w:p>
        </w:tc>
        <w:tc>
          <w:tcPr>
            <w:tcW w:w="0" w:type="dxa"/>
            <w:vAlign w:val="bottom"/>
          </w:tcPr>
          <w:p>
            <w:pPr>
              <w:spacing w:after="0"/>
              <w:rPr>
                <w:sz w:val="1"/>
                <w:szCs w:val="1"/>
                <w:color w:val="auto"/>
              </w:rPr>
            </w:pPr>
          </w:p>
        </w:tc>
      </w:tr>
      <w:tr>
        <w:trPr>
          <w:trHeight w:val="290"/>
        </w:trPr>
        <w:tc>
          <w:tcPr>
            <w:tcW w:w="1740" w:type="dxa"/>
            <w:vAlign w:val="bottom"/>
            <w:tcBorders>
              <w:bottom w:val="single" w:sz="8" w:color="D2EDF0"/>
            </w:tcBorders>
          </w:tcPr>
          <w:p>
            <w:pPr>
              <w:spacing w:after="0"/>
              <w:rPr>
                <w:sz w:val="24"/>
                <w:szCs w:val="24"/>
                <w:color w:val="auto"/>
              </w:rPr>
            </w:pPr>
          </w:p>
        </w:tc>
        <w:tc>
          <w:tcPr>
            <w:tcW w:w="80" w:type="dxa"/>
            <w:vAlign w:val="bottom"/>
            <w:tcBorders>
              <w:bottom w:val="single" w:sz="8" w:color="D2EDF0"/>
            </w:tcBorders>
          </w:tcPr>
          <w:p>
            <w:pPr>
              <w:spacing w:after="0"/>
              <w:rPr>
                <w:sz w:val="24"/>
                <w:szCs w:val="24"/>
                <w:color w:val="auto"/>
              </w:rPr>
            </w:pPr>
          </w:p>
        </w:tc>
        <w:tc>
          <w:tcPr>
            <w:tcW w:w="1740" w:type="dxa"/>
            <w:vAlign w:val="bottom"/>
            <w:tcBorders>
              <w:bottom w:val="single" w:sz="8" w:color="D2EDF0"/>
            </w:tcBorders>
          </w:tcPr>
          <w:p>
            <w:pPr>
              <w:ind w:left="40"/>
              <w:spacing w:after="0"/>
              <w:rPr>
                <w:sz w:val="20"/>
                <w:szCs w:val="20"/>
                <w:color w:val="auto"/>
              </w:rPr>
            </w:pPr>
            <w:r>
              <w:rPr>
                <w:rFonts w:ascii="Arial" w:cs="Arial" w:eastAsia="Arial" w:hAnsi="Arial"/>
                <w:sz w:val="20"/>
                <w:szCs w:val="20"/>
                <w:color w:val="auto"/>
              </w:rPr>
              <w:t>Full Year</w:t>
            </w:r>
          </w:p>
        </w:tc>
        <w:tc>
          <w:tcPr>
            <w:tcW w:w="80" w:type="dxa"/>
            <w:vAlign w:val="bottom"/>
            <w:tcBorders>
              <w:bottom w:val="single" w:sz="8" w:color="D2EDF0"/>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72,450</w:t>
            </w:r>
          </w:p>
        </w:tc>
        <w:tc>
          <w:tcPr>
            <w:tcW w:w="60" w:type="dxa"/>
            <w:vAlign w:val="bottom"/>
            <w:tcBorders>
              <w:bottom w:val="single" w:sz="8" w:color="D2EDF0"/>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101.1 %</w:t>
            </w:r>
          </w:p>
        </w:tc>
        <w:tc>
          <w:tcPr>
            <w:tcW w:w="80" w:type="dxa"/>
            <w:vAlign w:val="bottom"/>
            <w:tcBorders>
              <w:bottom w:val="single" w:sz="8" w:color="D2EDF0"/>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73,247</w:t>
            </w:r>
          </w:p>
        </w:tc>
        <w:tc>
          <w:tcPr>
            <w:tcW w:w="0" w:type="dxa"/>
            <w:vAlign w:val="bottom"/>
          </w:tcPr>
          <w:p>
            <w:pPr>
              <w:spacing w:after="0"/>
              <w:rPr>
                <w:sz w:val="1"/>
                <w:szCs w:val="1"/>
                <w:color w:val="auto"/>
              </w:rPr>
            </w:pPr>
          </w:p>
        </w:tc>
      </w:tr>
      <w:tr>
        <w:trPr>
          <w:trHeight w:val="290"/>
        </w:trPr>
        <w:tc>
          <w:tcPr>
            <w:tcW w:w="174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1740" w:type="dxa"/>
            <w:vAlign w:val="bottom"/>
            <w:shd w:val="clear" w:color="auto" w:fill="D2EDF0"/>
          </w:tcPr>
          <w:p>
            <w:pPr>
              <w:ind w:left="280"/>
              <w:spacing w:after="0"/>
              <w:rPr>
                <w:sz w:val="20"/>
                <w:szCs w:val="20"/>
                <w:color w:val="auto"/>
              </w:rPr>
            </w:pPr>
            <w:r>
              <w:rPr>
                <w:rFonts w:ascii="Arial" w:cs="Arial" w:eastAsia="Arial" w:hAnsi="Arial"/>
                <w:sz w:val="20"/>
                <w:szCs w:val="20"/>
                <w:color w:val="auto"/>
              </w:rPr>
              <w:t>Total 2022</w:t>
            </w:r>
          </w:p>
        </w:tc>
        <w:tc>
          <w:tcPr>
            <w:tcW w:w="2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5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362,250</w:t>
            </w:r>
          </w:p>
        </w:tc>
        <w:tc>
          <w:tcPr>
            <w:tcW w:w="180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102.8 %</w:t>
            </w:r>
          </w:p>
        </w:tc>
        <w:tc>
          <w:tcPr>
            <w:tcW w:w="30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5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372,393</w:t>
            </w:r>
          </w:p>
        </w:tc>
        <w:tc>
          <w:tcPr>
            <w:tcW w:w="0" w:type="dxa"/>
            <w:vAlign w:val="bottom"/>
          </w:tcPr>
          <w:p>
            <w:pPr>
              <w:spacing w:after="0"/>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_____</w:t>
      </w:r>
    </w:p>
    <w:p>
      <w:pPr>
        <w:ind w:right="320"/>
        <w:spacing w:after="0" w:line="287" w:lineRule="auto"/>
        <w:tabs>
          <w:tab w:leader="none" w:pos="7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Mr. Riddick did not receive his fourth quarter and full year bonuses due to his retirement in October 2022.</w:t>
      </w:r>
    </w:p>
    <w:p>
      <w:pPr>
        <w:spacing w:after="0" w:line="170" w:lineRule="exact"/>
        <w:rPr>
          <w:sz w:val="20"/>
          <w:szCs w:val="20"/>
          <w:color w:val="auto"/>
        </w:rPr>
      </w:pPr>
    </w:p>
    <w:p>
      <w:pPr>
        <w:ind w:right="360" w:firstLine="360"/>
        <w:spacing w:after="0" w:line="287" w:lineRule="auto"/>
        <w:rPr>
          <w:sz w:val="20"/>
          <w:szCs w:val="20"/>
          <w:color w:val="auto"/>
        </w:rPr>
      </w:pPr>
      <w:r>
        <w:rPr>
          <w:rFonts w:ascii="Arial" w:cs="Arial" w:eastAsia="Arial" w:hAnsi="Arial"/>
          <w:sz w:val="20"/>
          <w:szCs w:val="20"/>
          <w:color w:val="auto"/>
        </w:rPr>
        <w:t>The cash bonus payments made to our Named Executive Officers for 2022 are set forth in the “</w:t>
      </w:r>
      <w:r>
        <w:rPr>
          <w:rFonts w:ascii="Arial" w:cs="Arial" w:eastAsia="Arial" w:hAnsi="Arial"/>
          <w:sz w:val="20"/>
          <w:szCs w:val="20"/>
          <w:i w:val="1"/>
          <w:iCs w:val="1"/>
          <w:color w:val="auto"/>
        </w:rPr>
        <w:t>Summary Compensation Table</w:t>
      </w:r>
      <w:r>
        <w:rPr>
          <w:rFonts w:ascii="Arial" w:cs="Arial" w:eastAsia="Arial" w:hAnsi="Arial"/>
          <w:sz w:val="20"/>
          <w:szCs w:val="20"/>
          <w:color w:val="auto"/>
        </w:rPr>
        <w:t>” below.</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Long-Term Incentive Compensation</w:t>
      </w:r>
    </w:p>
    <w:p>
      <w:pPr>
        <w:spacing w:after="0" w:line="249" w:lineRule="exact"/>
        <w:rPr>
          <w:sz w:val="20"/>
          <w:szCs w:val="20"/>
          <w:color w:val="auto"/>
        </w:rPr>
      </w:pPr>
    </w:p>
    <w:p>
      <w:pPr>
        <w:ind w:right="380" w:firstLine="360"/>
        <w:spacing w:after="0" w:line="289" w:lineRule="auto"/>
        <w:rPr>
          <w:sz w:val="20"/>
          <w:szCs w:val="20"/>
          <w:color w:val="auto"/>
        </w:rPr>
      </w:pPr>
      <w:r>
        <w:rPr>
          <w:rFonts w:ascii="Arial" w:cs="Arial" w:eastAsia="Arial" w:hAnsi="Arial"/>
          <w:sz w:val="19"/>
          <w:szCs w:val="19"/>
          <w:color w:val="auto"/>
        </w:rPr>
        <w:t>In February 2022, as part of its annual compensation review the Compensation Committee determined to change its equity grant program for our Named Executive Officers to include PSUs, with an initial award mix consisting of approximately 75% RSUs and 25% PSUs (based on target</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880" w:h="15480" w:orient="portrait"/>
          <w:cols w:equalWidth="0" w:num="1">
            <w:col w:w="9000"/>
          </w:cols>
          <w:pgMar w:left="1440" w:top="1204" w:right="1440" w:bottom="0" w:gutter="0" w:footer="0" w:header="0"/>
          <w:type w:val="continuous"/>
        </w:sectPr>
      </w:pPr>
    </w:p>
    <w:bookmarkStart w:id="57" w:name="page58"/>
    <w:bookmarkEnd w:id="57"/>
    <w:p>
      <w:pPr>
        <w:ind w:right="100"/>
        <w:spacing w:after="0" w:line="256" w:lineRule="auto"/>
        <w:rPr>
          <w:sz w:val="20"/>
          <w:szCs w:val="20"/>
          <w:color w:val="auto"/>
        </w:rPr>
      </w:pPr>
      <w:r>
        <w:rPr>
          <w:rFonts w:ascii="Arial" w:cs="Arial" w:eastAsia="Arial" w:hAnsi="Arial"/>
          <w:sz w:val="20"/>
          <w:szCs w:val="20"/>
          <w:color w:val="auto"/>
        </w:rPr>
        <w:t>grant date values). Accordingly, each of our Named Executive Officers received annual 2022 long-term equity grants consisting of a mix of RSUs and PSUs. Each RSU and PSU granted represents a contingent right to receive one share of our common stock for each unit that ultimately vests. Based upon a review of competitive market practice and the incentive power of these awards, in February 2022, the Compensation Committee granted RSU and PSU awards to our Named Executive Officers in amounts that it considered to be consistent with our compensation philosophy and its desired market competitiveness as follows for each Named Executive Officer:</w:t>
      </w:r>
    </w:p>
    <w:tbl>
      <w:tblPr>
        <w:tblLayout w:type="fixed"/>
        <w:tblInd w:w="0" w:type="dxa"/>
        <w:tblCellMar>
          <w:top w:w="0" w:type="dxa"/>
          <w:left w:w="0" w:type="dxa"/>
          <w:bottom w:w="0" w:type="dxa"/>
          <w:right w:w="0" w:type="dxa"/>
        </w:tblCellMar>
      </w:tblPr>
      <w:tr>
        <w:trPr>
          <w:trHeight w:val="206"/>
        </w:trPr>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Restricted</w:t>
            </w:r>
          </w:p>
        </w:tc>
        <w:tc>
          <w:tcPr>
            <w:tcW w:w="60" w:type="dxa"/>
            <w:vAlign w:val="bottom"/>
          </w:tcPr>
          <w:p>
            <w:pPr>
              <w:spacing w:after="0"/>
              <w:rPr>
                <w:sz w:val="17"/>
                <w:szCs w:val="17"/>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Performance</w:t>
            </w:r>
          </w:p>
        </w:tc>
        <w:tc>
          <w:tcPr>
            <w:tcW w:w="60" w:type="dxa"/>
            <w:vAlign w:val="bottom"/>
          </w:tcPr>
          <w:p>
            <w:pPr>
              <w:spacing w:after="0"/>
              <w:rPr>
                <w:sz w:val="17"/>
                <w:szCs w:val="17"/>
                <w:color w:val="auto"/>
              </w:rPr>
            </w:pPr>
          </w:p>
        </w:tc>
        <w:tc>
          <w:tcPr>
            <w:tcW w:w="122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99"/>
              </w:rPr>
              <w:t>Performance</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Restricted</w:t>
            </w:r>
          </w:p>
        </w:tc>
        <w:tc>
          <w:tcPr>
            <w:tcW w:w="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Stock Unit</w:t>
            </w: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Named</w:t>
            </w:r>
          </w:p>
        </w:tc>
        <w:tc>
          <w:tcPr>
            <w:tcW w:w="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Stock Unit</w:t>
            </w:r>
          </w:p>
        </w:tc>
        <w:tc>
          <w:tcPr>
            <w:tcW w:w="6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8"/>
              </w:rPr>
              <w:t>Stock Unit</w:t>
            </w:r>
          </w:p>
        </w:tc>
        <w:tc>
          <w:tcPr>
            <w:tcW w:w="60" w:type="dxa"/>
            <w:vAlign w:val="bottom"/>
          </w:tcPr>
          <w:p>
            <w:pPr>
              <w:spacing w:after="0"/>
              <w:rPr>
                <w:sz w:val="15"/>
                <w:szCs w:val="15"/>
                <w:color w:val="auto"/>
              </w:rPr>
            </w:pPr>
          </w:p>
        </w:tc>
        <w:tc>
          <w:tcPr>
            <w:tcW w:w="122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8"/>
              </w:rPr>
              <w:t>Award</w:t>
            </w:r>
          </w:p>
        </w:tc>
        <w:tc>
          <w:tcPr>
            <w:tcW w:w="6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Total Grant</w:t>
            </w:r>
          </w:p>
        </w:tc>
        <w:tc>
          <w:tcPr>
            <w:tcW w:w="6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Year-</w:t>
            </w:r>
          </w:p>
        </w:tc>
        <w:tc>
          <w:tcPr>
            <w:tcW w:w="0" w:type="dxa"/>
            <w:vAlign w:val="bottom"/>
          </w:tcPr>
          <w:p>
            <w:pPr>
              <w:spacing w:after="0"/>
              <w:rPr>
                <w:sz w:val="1"/>
                <w:szCs w:val="1"/>
                <w:color w:val="auto"/>
              </w:rPr>
            </w:pPr>
          </w:p>
        </w:tc>
      </w:tr>
      <w:tr>
        <w:trPr>
          <w:trHeight w:val="180"/>
        </w:trPr>
        <w:tc>
          <w:tcPr>
            <w:tcW w:w="13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8"/>
              </w:rPr>
              <w:t>Stock Unit</w:t>
            </w:r>
          </w:p>
        </w:tc>
        <w:tc>
          <w:tcPr>
            <w:tcW w:w="8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8"/>
              </w:rPr>
              <w:t>Award</w:t>
            </w:r>
          </w:p>
        </w:tc>
        <w:tc>
          <w:tcPr>
            <w:tcW w:w="6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Award</w:t>
            </w:r>
          </w:p>
        </w:tc>
        <w:tc>
          <w:tcPr>
            <w:tcW w:w="60" w:type="dxa"/>
            <w:vAlign w:val="bottom"/>
          </w:tcPr>
          <w:p>
            <w:pPr>
              <w:spacing w:after="0"/>
              <w:rPr>
                <w:sz w:val="15"/>
                <w:szCs w:val="15"/>
                <w:color w:val="auto"/>
              </w:rPr>
            </w:pPr>
          </w:p>
        </w:tc>
        <w:tc>
          <w:tcPr>
            <w:tcW w:w="122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(target grant</w:t>
            </w:r>
          </w:p>
        </w:tc>
        <w:tc>
          <w:tcPr>
            <w:tcW w:w="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8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Executive</w:t>
            </w:r>
          </w:p>
        </w:tc>
        <w:tc>
          <w:tcPr>
            <w:tcW w:w="8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Award</w:t>
            </w:r>
          </w:p>
        </w:tc>
        <w:tc>
          <w:tcPr>
            <w:tcW w:w="8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(grant date</w:t>
            </w:r>
          </w:p>
        </w:tc>
        <w:tc>
          <w:tcPr>
            <w:tcW w:w="6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(target</w:t>
            </w:r>
          </w:p>
        </w:tc>
        <w:tc>
          <w:tcPr>
            <w:tcW w:w="60" w:type="dxa"/>
            <w:vAlign w:val="bottom"/>
          </w:tcPr>
          <w:p>
            <w:pPr>
              <w:spacing w:after="0"/>
              <w:rPr>
                <w:sz w:val="15"/>
                <w:szCs w:val="15"/>
                <w:color w:val="auto"/>
              </w:rPr>
            </w:pPr>
          </w:p>
        </w:tc>
        <w:tc>
          <w:tcPr>
            <w:tcW w:w="122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date fair</w:t>
            </w:r>
          </w:p>
        </w:tc>
        <w:tc>
          <w:tcPr>
            <w:tcW w:w="6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8"/>
              </w:rPr>
              <w:t>Date Fair</w:t>
            </w:r>
          </w:p>
        </w:tc>
        <w:tc>
          <w:tcPr>
            <w:tcW w:w="6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over-Year</w:t>
            </w:r>
          </w:p>
        </w:tc>
        <w:tc>
          <w:tcPr>
            <w:tcW w:w="0" w:type="dxa"/>
            <w:vAlign w:val="bottom"/>
          </w:tcPr>
          <w:p>
            <w:pPr>
              <w:spacing w:after="0"/>
              <w:rPr>
                <w:sz w:val="1"/>
                <w:szCs w:val="1"/>
                <w:color w:val="auto"/>
              </w:rPr>
            </w:pPr>
          </w:p>
        </w:tc>
      </w:tr>
      <w:tr>
        <w:trPr>
          <w:trHeight w:val="238"/>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Officer</w:t>
            </w:r>
          </w:p>
        </w:tc>
        <w:tc>
          <w:tcPr>
            <w:tcW w:w="80" w:type="dxa"/>
            <w:vAlign w:val="bottom"/>
            <w:tcBorders>
              <w:bottom w:val="single" w:sz="8" w:color="D2EDF0"/>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tcBorders>
              <w:bottom w:val="single" w:sz="8" w:color="D2EDF0"/>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fair value)</w:t>
            </w:r>
          </w:p>
        </w:tc>
        <w:tc>
          <w:tcPr>
            <w:tcW w:w="60" w:type="dxa"/>
            <w:vAlign w:val="bottom"/>
            <w:tcBorders>
              <w:bottom w:val="single" w:sz="8" w:color="D2EDF0"/>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shares)</w:t>
            </w:r>
          </w:p>
        </w:tc>
        <w:tc>
          <w:tcPr>
            <w:tcW w:w="60" w:type="dxa"/>
            <w:vAlign w:val="bottom"/>
            <w:tcBorders>
              <w:bottom w:val="single" w:sz="8" w:color="D2EDF0"/>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value)</w:t>
            </w:r>
          </w:p>
        </w:tc>
        <w:tc>
          <w:tcPr>
            <w:tcW w:w="60" w:type="dxa"/>
            <w:vAlign w:val="bottom"/>
            <w:tcBorders>
              <w:bottom w:val="single" w:sz="8" w:color="D2EDF0"/>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Value</w:t>
            </w:r>
          </w:p>
        </w:tc>
        <w:tc>
          <w:tcPr>
            <w:tcW w:w="60" w:type="dxa"/>
            <w:vAlign w:val="bottom"/>
            <w:tcBorders>
              <w:bottom w:val="single" w:sz="8" w:color="D2EDF0"/>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275"/>
        </w:trPr>
        <w:tc>
          <w:tcPr>
            <w:tcW w:w="1380" w:type="dxa"/>
            <w:vAlign w:val="bottom"/>
            <w:shd w:val="clear" w:color="auto" w:fill="D2EDF0"/>
          </w:tcPr>
          <w:p>
            <w:pPr>
              <w:ind w:left="60"/>
              <w:spacing w:after="0"/>
              <w:rPr>
                <w:sz w:val="20"/>
                <w:szCs w:val="20"/>
                <w:color w:val="auto"/>
              </w:rPr>
            </w:pPr>
            <w:r>
              <w:rPr>
                <w:rFonts w:ascii="Arial" w:cs="Arial" w:eastAsia="Arial" w:hAnsi="Arial"/>
                <w:sz w:val="20"/>
                <w:szCs w:val="20"/>
                <w:color w:val="auto"/>
              </w:rPr>
              <w:t>Mr. Yoran</w:t>
            </w:r>
          </w:p>
        </w:tc>
        <w:tc>
          <w:tcPr>
            <w:tcW w:w="1280" w:type="dxa"/>
            <w:vAlign w:val="bottom"/>
            <w:gridSpan w:val="2"/>
            <w:shd w:val="clear" w:color="auto" w:fill="D2EDF0"/>
          </w:tcPr>
          <w:p>
            <w:pPr>
              <w:jc w:val="center"/>
              <w:ind w:left="20"/>
              <w:spacing w:after="0"/>
              <w:rPr>
                <w:sz w:val="20"/>
                <w:szCs w:val="20"/>
                <w:color w:val="auto"/>
              </w:rPr>
            </w:pPr>
            <w:r>
              <w:rPr>
                <w:rFonts w:ascii="Arial" w:cs="Arial" w:eastAsia="Arial" w:hAnsi="Arial"/>
                <w:sz w:val="20"/>
                <w:szCs w:val="20"/>
                <w:color w:val="auto"/>
                <w:w w:val="99"/>
              </w:rPr>
              <w:t>150,100</w:t>
            </w:r>
          </w:p>
        </w:tc>
        <w:tc>
          <w:tcPr>
            <w:tcW w:w="1280" w:type="dxa"/>
            <w:vAlign w:val="bottom"/>
            <w:gridSpan w:val="2"/>
            <w:shd w:val="clear" w:color="auto" w:fill="D2EDF0"/>
          </w:tcPr>
          <w:p>
            <w:pPr>
              <w:jc w:val="right"/>
              <w:ind w:right="10"/>
              <w:spacing w:after="0"/>
              <w:rPr>
                <w:sz w:val="20"/>
                <w:szCs w:val="20"/>
                <w:color w:val="auto"/>
              </w:rPr>
            </w:pPr>
            <w:r>
              <w:rPr>
                <w:rFonts w:ascii="Arial" w:cs="Arial" w:eastAsia="Arial" w:hAnsi="Arial"/>
                <w:sz w:val="20"/>
                <w:szCs w:val="20"/>
                <w:color w:val="auto"/>
              </w:rPr>
              <w:t>$ 6,749,997</w:t>
            </w:r>
          </w:p>
        </w:tc>
        <w:tc>
          <w:tcPr>
            <w:tcW w:w="1260" w:type="dxa"/>
            <w:vAlign w:val="bottom"/>
            <w:gridSpan w:val="2"/>
            <w:shd w:val="clear" w:color="auto" w:fill="D2EDF0"/>
          </w:tcPr>
          <w:p>
            <w:pPr>
              <w:jc w:val="center"/>
              <w:spacing w:after="0"/>
              <w:rPr>
                <w:sz w:val="20"/>
                <w:szCs w:val="20"/>
                <w:color w:val="auto"/>
              </w:rPr>
            </w:pPr>
            <w:r>
              <w:rPr>
                <w:rFonts w:ascii="Arial" w:cs="Arial" w:eastAsia="Arial" w:hAnsi="Arial"/>
                <w:sz w:val="20"/>
                <w:szCs w:val="20"/>
                <w:color w:val="auto"/>
                <w:w w:val="98"/>
              </w:rPr>
              <w:t>50,033</w:t>
            </w:r>
          </w:p>
        </w:tc>
        <w:tc>
          <w:tcPr>
            <w:tcW w:w="12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$ 2,249,984</w:t>
            </w:r>
          </w:p>
        </w:tc>
        <w:tc>
          <w:tcPr>
            <w:tcW w:w="126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$ 8,999,981</w:t>
            </w:r>
          </w:p>
        </w:tc>
        <w:tc>
          <w:tcPr>
            <w:tcW w:w="126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20.0 %</w:t>
            </w:r>
          </w:p>
        </w:tc>
        <w:tc>
          <w:tcPr>
            <w:tcW w:w="0" w:type="dxa"/>
            <w:vAlign w:val="bottom"/>
          </w:tcPr>
          <w:p>
            <w:pPr>
              <w:spacing w:after="0"/>
              <w:rPr>
                <w:sz w:val="1"/>
                <w:szCs w:val="1"/>
                <w:color w:val="auto"/>
              </w:rPr>
            </w:pPr>
          </w:p>
        </w:tc>
      </w:tr>
      <w:tr>
        <w:trPr>
          <w:trHeight w:val="281"/>
        </w:trPr>
        <w:tc>
          <w:tcPr>
            <w:tcW w:w="1380" w:type="dxa"/>
            <w:vAlign w:val="bottom"/>
          </w:tcPr>
          <w:p>
            <w:pPr>
              <w:ind w:left="60"/>
              <w:spacing w:after="0"/>
              <w:rPr>
                <w:sz w:val="20"/>
                <w:szCs w:val="20"/>
                <w:color w:val="auto"/>
              </w:rPr>
            </w:pPr>
            <w:r>
              <w:rPr>
                <w:rFonts w:ascii="Arial" w:cs="Arial" w:eastAsia="Arial" w:hAnsi="Arial"/>
                <w:sz w:val="20"/>
                <w:szCs w:val="20"/>
                <w:color w:val="auto"/>
              </w:rPr>
              <w:t>Mr. Vintz</w:t>
            </w:r>
          </w:p>
        </w:tc>
        <w:tc>
          <w:tcPr>
            <w:tcW w:w="1280" w:type="dxa"/>
            <w:vAlign w:val="bottom"/>
            <w:gridSpan w:val="2"/>
          </w:tcPr>
          <w:p>
            <w:pPr>
              <w:jc w:val="center"/>
              <w:spacing w:after="0"/>
              <w:rPr>
                <w:sz w:val="20"/>
                <w:szCs w:val="20"/>
                <w:color w:val="auto"/>
              </w:rPr>
            </w:pPr>
            <w:r>
              <w:rPr>
                <w:rFonts w:ascii="Arial" w:cs="Arial" w:eastAsia="Arial" w:hAnsi="Arial"/>
                <w:sz w:val="20"/>
                <w:szCs w:val="20"/>
                <w:color w:val="auto"/>
              </w:rPr>
              <w:t>85,056</w:t>
            </w:r>
          </w:p>
        </w:tc>
        <w:tc>
          <w:tcPr>
            <w:tcW w:w="1280" w:type="dxa"/>
            <w:vAlign w:val="bottom"/>
            <w:gridSpan w:val="2"/>
          </w:tcPr>
          <w:p>
            <w:pPr>
              <w:jc w:val="right"/>
              <w:ind w:right="10"/>
              <w:spacing w:after="0"/>
              <w:rPr>
                <w:sz w:val="20"/>
                <w:szCs w:val="20"/>
                <w:color w:val="auto"/>
              </w:rPr>
            </w:pPr>
            <w:r>
              <w:rPr>
                <w:rFonts w:ascii="Arial" w:cs="Arial" w:eastAsia="Arial" w:hAnsi="Arial"/>
                <w:sz w:val="20"/>
                <w:szCs w:val="20"/>
                <w:color w:val="auto"/>
              </w:rPr>
              <w:t>3,824,968</w:t>
            </w:r>
          </w:p>
        </w:tc>
        <w:tc>
          <w:tcPr>
            <w:tcW w:w="1260" w:type="dxa"/>
            <w:vAlign w:val="bottom"/>
            <w:gridSpan w:val="2"/>
          </w:tcPr>
          <w:p>
            <w:pPr>
              <w:jc w:val="center"/>
              <w:spacing w:after="0"/>
              <w:rPr>
                <w:sz w:val="20"/>
                <w:szCs w:val="20"/>
                <w:color w:val="auto"/>
              </w:rPr>
            </w:pPr>
            <w:r>
              <w:rPr>
                <w:rFonts w:ascii="Arial" w:cs="Arial" w:eastAsia="Arial" w:hAnsi="Arial"/>
                <w:sz w:val="20"/>
                <w:szCs w:val="20"/>
                <w:color w:val="auto"/>
                <w:w w:val="98"/>
              </w:rPr>
              <w:t>28,352</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1,274,990</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5,099,958</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24.4 %</w:t>
            </w:r>
          </w:p>
        </w:tc>
        <w:tc>
          <w:tcPr>
            <w:tcW w:w="0" w:type="dxa"/>
            <w:vAlign w:val="bottom"/>
          </w:tcPr>
          <w:p>
            <w:pPr>
              <w:spacing w:after="0"/>
              <w:rPr>
                <w:sz w:val="1"/>
                <w:szCs w:val="1"/>
                <w:color w:val="auto"/>
              </w:rPr>
            </w:pPr>
          </w:p>
        </w:tc>
      </w:tr>
      <w:tr>
        <w:trPr>
          <w:trHeight w:val="289"/>
        </w:trPr>
        <w:tc>
          <w:tcPr>
            <w:tcW w:w="1380" w:type="dxa"/>
            <w:vAlign w:val="bottom"/>
            <w:shd w:val="clear" w:color="auto" w:fill="D2EDF0"/>
          </w:tcPr>
          <w:p>
            <w:pPr>
              <w:ind w:left="60"/>
              <w:spacing w:after="0" w:line="288" w:lineRule="exact"/>
              <w:rPr>
                <w:sz w:val="20"/>
                <w:szCs w:val="20"/>
                <w:color w:val="auto"/>
              </w:rPr>
            </w:pPr>
            <w:r>
              <w:rPr>
                <w:rFonts w:ascii="Arial" w:cs="Arial" w:eastAsia="Arial" w:hAnsi="Arial"/>
                <w:sz w:val="20"/>
                <w:szCs w:val="20"/>
                <w:color w:val="auto"/>
              </w:rPr>
              <w:t>Mr. Riddick</w:t>
            </w:r>
            <w:r>
              <w:rPr>
                <w:rFonts w:ascii="Arial" w:cs="Arial" w:eastAsia="Arial" w:hAnsi="Arial"/>
                <w:sz w:val="26"/>
                <w:szCs w:val="26"/>
                <w:color w:val="auto"/>
                <w:vertAlign w:val="superscript"/>
              </w:rPr>
              <w:t>(1)</w:t>
            </w:r>
          </w:p>
        </w:tc>
        <w:tc>
          <w:tcPr>
            <w:tcW w:w="1280" w:type="dxa"/>
            <w:vAlign w:val="bottom"/>
            <w:gridSpan w:val="2"/>
            <w:shd w:val="clear" w:color="auto" w:fill="D2EDF0"/>
          </w:tcPr>
          <w:p>
            <w:pPr>
              <w:jc w:val="center"/>
              <w:spacing w:after="0"/>
              <w:rPr>
                <w:sz w:val="20"/>
                <w:szCs w:val="20"/>
                <w:color w:val="auto"/>
              </w:rPr>
            </w:pPr>
            <w:r>
              <w:rPr>
                <w:rFonts w:ascii="Arial" w:cs="Arial" w:eastAsia="Arial" w:hAnsi="Arial"/>
                <w:sz w:val="20"/>
                <w:szCs w:val="20"/>
                <w:color w:val="auto"/>
              </w:rPr>
              <w:t>41,694</w:t>
            </w:r>
          </w:p>
        </w:tc>
        <w:tc>
          <w:tcPr>
            <w:tcW w:w="1280" w:type="dxa"/>
            <w:vAlign w:val="bottom"/>
            <w:gridSpan w:val="2"/>
            <w:shd w:val="clear" w:color="auto" w:fill="D2EDF0"/>
          </w:tcPr>
          <w:p>
            <w:pPr>
              <w:jc w:val="right"/>
              <w:ind w:right="10"/>
              <w:spacing w:after="0"/>
              <w:rPr>
                <w:sz w:val="20"/>
                <w:szCs w:val="20"/>
                <w:color w:val="auto"/>
              </w:rPr>
            </w:pPr>
            <w:r>
              <w:rPr>
                <w:rFonts w:ascii="Arial" w:cs="Arial" w:eastAsia="Arial" w:hAnsi="Arial"/>
                <w:sz w:val="20"/>
                <w:szCs w:val="20"/>
                <w:color w:val="auto"/>
              </w:rPr>
              <w:t>1,874,979</w:t>
            </w:r>
          </w:p>
        </w:tc>
        <w:tc>
          <w:tcPr>
            <w:tcW w:w="1260" w:type="dxa"/>
            <w:vAlign w:val="bottom"/>
            <w:gridSpan w:val="2"/>
            <w:shd w:val="clear" w:color="auto" w:fill="D2EDF0"/>
          </w:tcPr>
          <w:p>
            <w:pPr>
              <w:jc w:val="center"/>
              <w:spacing w:after="0"/>
              <w:rPr>
                <w:sz w:val="20"/>
                <w:szCs w:val="20"/>
                <w:color w:val="auto"/>
              </w:rPr>
            </w:pPr>
            <w:r>
              <w:rPr>
                <w:rFonts w:ascii="Arial" w:cs="Arial" w:eastAsia="Arial" w:hAnsi="Arial"/>
                <w:sz w:val="20"/>
                <w:szCs w:val="20"/>
                <w:color w:val="auto"/>
                <w:w w:val="98"/>
              </w:rPr>
              <w:t>13,898</w:t>
            </w:r>
          </w:p>
        </w:tc>
        <w:tc>
          <w:tcPr>
            <w:tcW w:w="12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624,993</w:t>
            </w:r>
          </w:p>
        </w:tc>
        <w:tc>
          <w:tcPr>
            <w:tcW w:w="126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2,499,972</w:t>
            </w:r>
          </w:p>
        </w:tc>
        <w:tc>
          <w:tcPr>
            <w:tcW w:w="126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13.6 %</w:t>
            </w:r>
          </w:p>
        </w:tc>
        <w:tc>
          <w:tcPr>
            <w:tcW w:w="0" w:type="dxa"/>
            <w:vAlign w:val="bottom"/>
          </w:tcPr>
          <w:p>
            <w:pPr>
              <w:spacing w:after="0"/>
              <w:rPr>
                <w:sz w:val="1"/>
                <w:szCs w:val="1"/>
                <w:color w:val="auto"/>
              </w:rPr>
            </w:pPr>
          </w:p>
        </w:tc>
      </w:tr>
      <w:tr>
        <w:trPr>
          <w:trHeight w:val="277"/>
        </w:trPr>
        <w:tc>
          <w:tcPr>
            <w:tcW w:w="1380" w:type="dxa"/>
            <w:vAlign w:val="bottom"/>
          </w:tcPr>
          <w:p>
            <w:pPr>
              <w:ind w:left="60"/>
              <w:spacing w:after="0"/>
              <w:rPr>
                <w:sz w:val="20"/>
                <w:szCs w:val="20"/>
                <w:color w:val="auto"/>
              </w:rPr>
            </w:pPr>
            <w:r>
              <w:rPr>
                <w:rFonts w:ascii="Arial" w:cs="Arial" w:eastAsia="Arial" w:hAnsi="Arial"/>
                <w:sz w:val="20"/>
                <w:szCs w:val="20"/>
                <w:color w:val="auto"/>
              </w:rPr>
              <w:t>Mr. Thurmond</w:t>
            </w:r>
          </w:p>
        </w:tc>
        <w:tc>
          <w:tcPr>
            <w:tcW w:w="1280" w:type="dxa"/>
            <w:vAlign w:val="bottom"/>
            <w:gridSpan w:val="2"/>
          </w:tcPr>
          <w:p>
            <w:pPr>
              <w:jc w:val="center"/>
              <w:spacing w:after="0"/>
              <w:rPr>
                <w:sz w:val="20"/>
                <w:szCs w:val="20"/>
                <w:color w:val="auto"/>
              </w:rPr>
            </w:pPr>
            <w:r>
              <w:rPr>
                <w:rFonts w:ascii="Arial" w:cs="Arial" w:eastAsia="Arial" w:hAnsi="Arial"/>
                <w:sz w:val="20"/>
                <w:szCs w:val="20"/>
                <w:color w:val="auto"/>
              </w:rPr>
              <w:t>61,708</w:t>
            </w:r>
          </w:p>
        </w:tc>
        <w:tc>
          <w:tcPr>
            <w:tcW w:w="1280" w:type="dxa"/>
            <w:vAlign w:val="bottom"/>
            <w:gridSpan w:val="2"/>
          </w:tcPr>
          <w:p>
            <w:pPr>
              <w:jc w:val="right"/>
              <w:ind w:right="10"/>
              <w:spacing w:after="0"/>
              <w:rPr>
                <w:sz w:val="20"/>
                <w:szCs w:val="20"/>
                <w:color w:val="auto"/>
              </w:rPr>
            </w:pPr>
            <w:r>
              <w:rPr>
                <w:rFonts w:ascii="Arial" w:cs="Arial" w:eastAsia="Arial" w:hAnsi="Arial"/>
                <w:sz w:val="20"/>
                <w:szCs w:val="20"/>
                <w:color w:val="auto"/>
              </w:rPr>
              <w:t>2,775,009</w:t>
            </w:r>
          </w:p>
        </w:tc>
        <w:tc>
          <w:tcPr>
            <w:tcW w:w="1260" w:type="dxa"/>
            <w:vAlign w:val="bottom"/>
            <w:gridSpan w:val="2"/>
          </w:tcPr>
          <w:p>
            <w:pPr>
              <w:jc w:val="center"/>
              <w:spacing w:after="0"/>
              <w:rPr>
                <w:sz w:val="20"/>
                <w:szCs w:val="20"/>
                <w:color w:val="auto"/>
              </w:rPr>
            </w:pPr>
            <w:r>
              <w:rPr>
                <w:rFonts w:ascii="Arial" w:cs="Arial" w:eastAsia="Arial" w:hAnsi="Arial"/>
                <w:sz w:val="20"/>
                <w:szCs w:val="20"/>
                <w:color w:val="auto"/>
                <w:w w:val="98"/>
              </w:rPr>
              <w:t>20,569</w:t>
            </w:r>
          </w:p>
        </w:tc>
        <w:tc>
          <w:tcPr>
            <w:tcW w:w="1280" w:type="dxa"/>
            <w:vAlign w:val="bottom"/>
            <w:gridSpan w:val="2"/>
          </w:tcPr>
          <w:p>
            <w:pPr>
              <w:jc w:val="right"/>
              <w:spacing w:after="0"/>
              <w:rPr>
                <w:sz w:val="20"/>
                <w:szCs w:val="20"/>
                <w:color w:val="auto"/>
              </w:rPr>
            </w:pPr>
            <w:r>
              <w:rPr>
                <w:rFonts w:ascii="Arial" w:cs="Arial" w:eastAsia="Arial" w:hAnsi="Arial"/>
                <w:sz w:val="20"/>
                <w:szCs w:val="20"/>
                <w:color w:val="auto"/>
              </w:rPr>
              <w:t>924,988</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3,699,997</w:t>
            </w:r>
          </w:p>
        </w:tc>
        <w:tc>
          <w:tcPr>
            <w:tcW w:w="1260" w:type="dxa"/>
            <w:vAlign w:val="bottom"/>
            <w:gridSpan w:val="2"/>
          </w:tcPr>
          <w:p>
            <w:pPr>
              <w:jc w:val="right"/>
              <w:spacing w:after="0"/>
              <w:rPr>
                <w:sz w:val="20"/>
                <w:szCs w:val="20"/>
                <w:color w:val="auto"/>
              </w:rPr>
            </w:pPr>
            <w:r>
              <w:rPr>
                <w:rFonts w:ascii="Arial" w:cs="Arial" w:eastAsia="Arial" w:hAnsi="Arial"/>
                <w:sz w:val="20"/>
                <w:szCs w:val="20"/>
                <w:color w:val="auto"/>
              </w:rPr>
              <w:t>15.6 %</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_____</w:t>
      </w:r>
    </w:p>
    <w:p>
      <w:pPr>
        <w:ind w:right="640"/>
        <w:spacing w:after="0" w:line="287" w:lineRule="auto"/>
        <w:tabs>
          <w:tab w:leader="none" w:pos="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Mr. Riddick forfeited all RSUs and PSUs awarded to him in 2022 in connection with his retirement.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2022 RSU Awards</w:t>
      </w:r>
    </w:p>
    <w:p>
      <w:pPr>
        <w:spacing w:after="0" w:line="248" w:lineRule="exact"/>
        <w:rPr>
          <w:sz w:val="20"/>
          <w:szCs w:val="20"/>
          <w:color w:val="auto"/>
        </w:rPr>
      </w:pPr>
    </w:p>
    <w:p>
      <w:pPr>
        <w:ind w:right="60" w:firstLine="360"/>
        <w:spacing w:after="0" w:line="245" w:lineRule="auto"/>
        <w:rPr>
          <w:sz w:val="20"/>
          <w:szCs w:val="20"/>
          <w:color w:val="auto"/>
        </w:rPr>
      </w:pPr>
      <w:r>
        <w:rPr>
          <w:rFonts w:ascii="Arial" w:cs="Arial" w:eastAsia="Arial" w:hAnsi="Arial"/>
          <w:sz w:val="20"/>
          <w:szCs w:val="20"/>
          <w:color w:val="auto"/>
        </w:rPr>
        <w:t>RSU awards serve as an incentive that is aligned with the long-term interests of our stockholders because their value increases (or decreases) with any change in the value of the underlying shares. Further, RSUs serve our retention objectives because they are subject to a multi-year vesting requirement based on continued service. The RSU awards granted to our Named Executive Officers vest over a four-year period, with 25% of the total number of units subject to the award vesting on the first anniversary of February 23, 2022, the vesting commencement date, and 1/16</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total number of units subject to the award vesting in quarterly installments over the following three years, contingent upon the Named Executive Officer’s continued employment by us through each applicable vesting date.</w:t>
      </w:r>
    </w:p>
    <w:p>
      <w:pPr>
        <w:spacing w:after="0" w:line="218"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2022 PSU Awards</w:t>
      </w:r>
    </w:p>
    <w:p>
      <w:pPr>
        <w:spacing w:after="0" w:line="248" w:lineRule="exact"/>
        <w:rPr>
          <w:sz w:val="20"/>
          <w:szCs w:val="20"/>
          <w:color w:val="auto"/>
        </w:rPr>
      </w:pPr>
    </w:p>
    <w:p>
      <w:pPr>
        <w:ind w:right="20" w:firstLine="360"/>
        <w:spacing w:after="0" w:line="255" w:lineRule="auto"/>
        <w:rPr>
          <w:sz w:val="20"/>
          <w:szCs w:val="20"/>
          <w:color w:val="auto"/>
        </w:rPr>
      </w:pPr>
      <w:r>
        <w:rPr>
          <w:rFonts w:ascii="Arial" w:cs="Arial" w:eastAsia="Arial" w:hAnsi="Arial"/>
          <w:sz w:val="20"/>
          <w:szCs w:val="20"/>
          <w:color w:val="auto"/>
        </w:rPr>
        <w:t>For 2022, the Compensation Committee decided to introduce PSUs, representing 25% of the equity award mix (based on target grant date values), to strengthen the Company's pay for performance philosophy and in light of stockholder and institutional investor feedback. Because PSUs are only earned upon achievement of key performance goals that drive our business and our stockholder value, the Compensation Committee believes that these awards increase the alignment between the interests of our executive officers and stockholders. In future years and over time, the Compensation Committee intends to gradually shift the mix of equity awards granted to Named Executive Officers to include a higher proportion of performance-based incentives.</w:t>
      </w:r>
    </w:p>
    <w:p>
      <w:pPr>
        <w:spacing w:after="0" w:line="205" w:lineRule="exact"/>
        <w:rPr>
          <w:sz w:val="20"/>
          <w:szCs w:val="20"/>
          <w:color w:val="auto"/>
        </w:rPr>
      </w:pPr>
    </w:p>
    <w:p>
      <w:pPr>
        <w:ind w:right="140" w:firstLine="360"/>
        <w:spacing w:after="0" w:line="255" w:lineRule="auto"/>
        <w:rPr>
          <w:sz w:val="20"/>
          <w:szCs w:val="20"/>
          <w:color w:val="auto"/>
        </w:rPr>
      </w:pPr>
      <w:r>
        <w:rPr>
          <w:rFonts w:ascii="Arial" w:cs="Arial" w:eastAsia="Arial" w:hAnsi="Arial"/>
          <w:sz w:val="20"/>
          <w:szCs w:val="20"/>
          <w:color w:val="auto"/>
        </w:rPr>
        <w:t>The PSU awards were subject to the achievement of (i) pre-established target levels for global bookings (weighted 33.33%) and revenue + unlevered free cash flow (weighted 66.67%) during the one-year performance period beginning on January 1, 2022, and (ii) a service-based vesting requirement, with 25% of the total number of PSUs deemed to be eligible to vest by the Compensation Committee vesting on the first anniversary of February 23, 2022, and the remainder vesting quarterly over the following three years, subject to the Named Executive Officer's continuous service through each applicable vesting date. The vesting of the PSUs may accelerate upon certain change in control events.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880" w:h="15480" w:orient="portrait"/>
          <w:cols w:equalWidth="0" w:num="1">
            <w:col w:w="9000"/>
          </w:cols>
          <w:pgMar w:left="1440" w:top="1204" w:right="1440" w:bottom="0" w:gutter="0" w:footer="0" w:header="0"/>
          <w:type w:val="continuous"/>
        </w:sectPr>
      </w:pPr>
    </w:p>
    <w:bookmarkStart w:id="58" w:name="page59"/>
    <w:bookmarkEnd w:id="58"/>
    <w:p>
      <w:pPr>
        <w:ind w:right="180" w:firstLine="360"/>
        <w:spacing w:after="0" w:line="280" w:lineRule="auto"/>
        <w:rPr>
          <w:sz w:val="20"/>
          <w:szCs w:val="20"/>
          <w:color w:val="auto"/>
        </w:rPr>
      </w:pPr>
      <w:r>
        <w:rPr>
          <w:rFonts w:ascii="Arial" w:cs="Arial" w:eastAsia="Arial" w:hAnsi="Arial"/>
          <w:sz w:val="19"/>
          <w:szCs w:val="19"/>
          <w:color w:val="auto"/>
        </w:rPr>
        <w:t>For purposes of the PSU awards, global bookings, revenue and unlevered free cash flow have the same definitions set forth above under “Cash Bonuses.” The Compensation Committee selected these performance measures based on its belief that they were the best indicators of our successful execution of our annual operating plan and our ability to enhance long-term value creation.</w:t>
      </w:r>
    </w:p>
    <w:p>
      <w:pPr>
        <w:spacing w:after="0" w:line="180" w:lineRule="exact"/>
        <w:rPr>
          <w:sz w:val="20"/>
          <w:szCs w:val="20"/>
          <w:color w:val="auto"/>
        </w:rPr>
      </w:pPr>
    </w:p>
    <w:p>
      <w:pPr>
        <w:ind w:right="60" w:firstLine="360"/>
        <w:spacing w:after="0" w:line="280" w:lineRule="auto"/>
        <w:rPr>
          <w:sz w:val="20"/>
          <w:szCs w:val="20"/>
          <w:color w:val="auto"/>
        </w:rPr>
      </w:pPr>
      <w:r>
        <w:rPr>
          <w:rFonts w:ascii="Arial" w:cs="Arial" w:eastAsia="Arial" w:hAnsi="Arial"/>
          <w:sz w:val="19"/>
          <w:szCs w:val="19"/>
          <w:color w:val="auto"/>
        </w:rPr>
        <w:t>The number of units (and, correspondingly, the number of shares) that could be earned under the PSU awards ranged from 0% to 200% of the target number of PSUs granted, subject to the service-based vesting requirement described above. The levels of performance required to earn the target number of PSUs was approved by the Compensation Committee at the time of grant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ind w:left="100"/>
              <w:spacing w:after="0"/>
              <w:rPr>
                <w:sz w:val="20"/>
                <w:szCs w:val="20"/>
                <w:color w:val="auto"/>
              </w:rPr>
            </w:pPr>
            <w:r>
              <w:rPr>
                <w:rFonts w:ascii="Arial" w:cs="Arial" w:eastAsia="Arial" w:hAnsi="Arial"/>
                <w:sz w:val="18"/>
                <w:szCs w:val="18"/>
                <w:b w:val="1"/>
                <w:bCs w:val="1"/>
                <w:color w:val="auto"/>
              </w:rPr>
              <w:t>Global Bookings and Revenue +</w:t>
            </w:r>
          </w:p>
        </w:tc>
        <w:tc>
          <w:tcPr>
            <w:tcW w:w="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40" w:type="dxa"/>
            <w:vAlign w:val="bottom"/>
            <w:vMerge w:val="restart"/>
          </w:tcPr>
          <w:p>
            <w:pPr>
              <w:jc w:val="right"/>
              <w:ind w:right="502"/>
              <w:spacing w:after="0"/>
              <w:rPr>
                <w:sz w:val="20"/>
                <w:szCs w:val="20"/>
                <w:color w:val="auto"/>
              </w:rPr>
            </w:pPr>
            <w:r>
              <w:rPr>
                <w:rFonts w:ascii="Arial" w:cs="Arial" w:eastAsia="Arial" w:hAnsi="Arial"/>
                <w:sz w:val="18"/>
                <w:szCs w:val="18"/>
                <w:b w:val="1"/>
                <w:bCs w:val="1"/>
                <w:color w:val="auto"/>
              </w:rPr>
              <w:t>Payout Percentage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40"/>
        </w:trPr>
        <w:tc>
          <w:tcPr>
            <w:tcW w:w="2940" w:type="dxa"/>
            <w:vAlign w:val="bottom"/>
          </w:tcPr>
          <w:p>
            <w:pPr>
              <w:ind w:left="340"/>
              <w:spacing w:after="0"/>
              <w:rPr>
                <w:sz w:val="20"/>
                <w:szCs w:val="20"/>
                <w:color w:val="auto"/>
              </w:rPr>
            </w:pPr>
            <w:r>
              <w:rPr>
                <w:rFonts w:ascii="Arial" w:cs="Arial" w:eastAsia="Arial" w:hAnsi="Arial"/>
                <w:sz w:val="18"/>
                <w:szCs w:val="18"/>
                <w:b w:val="1"/>
                <w:bCs w:val="1"/>
                <w:color w:val="auto"/>
              </w:rPr>
              <w:t>Unlevered Free Cash Flow</w:t>
            </w:r>
          </w:p>
        </w:tc>
        <w:tc>
          <w:tcPr>
            <w:tcW w:w="80" w:type="dxa"/>
            <w:vAlign w:val="bottom"/>
          </w:tcPr>
          <w:p>
            <w:pPr>
              <w:spacing w:after="0"/>
              <w:rPr>
                <w:sz w:val="20"/>
                <w:szCs w:val="20"/>
                <w:color w:val="auto"/>
              </w:rPr>
            </w:pPr>
          </w:p>
        </w:tc>
        <w:tc>
          <w:tcPr>
            <w:tcW w:w="3020" w:type="dxa"/>
            <w:vAlign w:val="bottom"/>
            <w:gridSpan w:val="2"/>
          </w:tcPr>
          <w:p>
            <w:pPr>
              <w:ind w:left="400"/>
              <w:spacing w:after="0"/>
              <w:rPr>
                <w:sz w:val="20"/>
                <w:szCs w:val="20"/>
                <w:color w:val="auto"/>
              </w:rPr>
            </w:pPr>
            <w:r>
              <w:rPr>
                <w:rFonts w:ascii="Arial" w:cs="Arial" w:eastAsia="Arial" w:hAnsi="Arial"/>
                <w:sz w:val="18"/>
                <w:szCs w:val="18"/>
                <w:b w:val="1"/>
                <w:bCs w:val="1"/>
                <w:color w:val="auto"/>
              </w:rPr>
              <w:t>Achievement Percentage</w:t>
            </w:r>
          </w:p>
        </w:tc>
        <w:tc>
          <w:tcPr>
            <w:tcW w:w="2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40" w:type="dxa"/>
            <w:vAlign w:val="bottom"/>
            <w:tcBorders>
              <w:top w:val="single" w:sz="8" w:color="auto"/>
              <w:bottom w:val="single" w:sz="8" w:color="D2EDF0"/>
            </w:tcBorders>
            <w:shd w:val="clear" w:color="auto" w:fill="D2EDF0"/>
          </w:tcPr>
          <w:p>
            <w:pPr>
              <w:ind w:left="60"/>
              <w:spacing w:after="0"/>
              <w:rPr>
                <w:sz w:val="20"/>
                <w:szCs w:val="20"/>
                <w:color w:val="auto"/>
              </w:rPr>
            </w:pPr>
            <w:r>
              <w:rPr>
                <w:rFonts w:ascii="Arial" w:cs="Arial" w:eastAsia="Arial" w:hAnsi="Arial"/>
                <w:sz w:val="20"/>
                <w:szCs w:val="20"/>
                <w:color w:val="auto"/>
              </w:rPr>
              <w:t>Maximum</w:t>
            </w:r>
          </w:p>
        </w:tc>
        <w:tc>
          <w:tcPr>
            <w:tcW w:w="80" w:type="dxa"/>
            <w:vAlign w:val="bottom"/>
            <w:tcBorders>
              <w:top w:val="single" w:sz="8" w:color="D2EDF0"/>
              <w:bottom w:val="single" w:sz="8" w:color="D2EDF0"/>
            </w:tcBorders>
            <w:shd w:val="clear" w:color="auto" w:fill="D2EDF0"/>
          </w:tcPr>
          <w:p>
            <w:pPr>
              <w:spacing w:after="0"/>
              <w:rPr>
                <w:sz w:val="23"/>
                <w:szCs w:val="23"/>
                <w:color w:val="auto"/>
              </w:rPr>
            </w:pPr>
          </w:p>
        </w:tc>
        <w:tc>
          <w:tcPr>
            <w:tcW w:w="2940" w:type="dxa"/>
            <w:vAlign w:val="bottom"/>
            <w:tcBorders>
              <w:top w:val="single" w:sz="8" w:color="auto"/>
              <w:bottom w:val="single" w:sz="8" w:color="D2EDF0"/>
            </w:tcBorders>
            <w:shd w:val="clear" w:color="auto" w:fill="D2EDF0"/>
          </w:tcPr>
          <w:p>
            <w:pPr>
              <w:jc w:val="right"/>
              <w:spacing w:after="0"/>
              <w:rPr>
                <w:sz w:val="20"/>
                <w:szCs w:val="20"/>
                <w:color w:val="auto"/>
              </w:rPr>
            </w:pPr>
            <w:r>
              <w:rPr>
                <w:rFonts w:ascii="Arial" w:cs="Arial" w:eastAsia="Arial" w:hAnsi="Arial"/>
                <w:sz w:val="20"/>
                <w:szCs w:val="20"/>
                <w:color w:val="auto"/>
              </w:rPr>
              <w:t>125.0%</w:t>
            </w:r>
          </w:p>
        </w:tc>
        <w:tc>
          <w:tcPr>
            <w:tcW w:w="80" w:type="dxa"/>
            <w:vAlign w:val="bottom"/>
            <w:tcBorders>
              <w:top w:val="single" w:sz="8" w:color="D2EDF0"/>
              <w:bottom w:val="single" w:sz="8" w:color="D2EDF0"/>
            </w:tcBorders>
            <w:shd w:val="clear" w:color="auto" w:fill="D2EDF0"/>
          </w:tcPr>
          <w:p>
            <w:pPr>
              <w:spacing w:after="0"/>
              <w:rPr>
                <w:sz w:val="23"/>
                <w:szCs w:val="23"/>
                <w:color w:val="auto"/>
              </w:rPr>
            </w:pPr>
          </w:p>
        </w:tc>
        <w:tc>
          <w:tcPr>
            <w:tcW w:w="29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200%</w:t>
            </w:r>
          </w:p>
        </w:tc>
        <w:tc>
          <w:tcPr>
            <w:tcW w:w="0" w:type="dxa"/>
            <w:vAlign w:val="bottom"/>
          </w:tcPr>
          <w:p>
            <w:pPr>
              <w:spacing w:after="0"/>
              <w:rPr>
                <w:sz w:val="1"/>
                <w:szCs w:val="1"/>
                <w:color w:val="auto"/>
              </w:rPr>
            </w:pPr>
          </w:p>
        </w:tc>
      </w:tr>
      <w:tr>
        <w:trPr>
          <w:trHeight w:val="265"/>
        </w:trPr>
        <w:tc>
          <w:tcPr>
            <w:tcW w:w="2940" w:type="dxa"/>
            <w:vAlign w:val="bottom"/>
          </w:tcPr>
          <w:p>
            <w:pPr>
              <w:ind w:left="60"/>
              <w:spacing w:after="0"/>
              <w:rPr>
                <w:sz w:val="20"/>
                <w:szCs w:val="20"/>
                <w:color w:val="auto"/>
              </w:rPr>
            </w:pPr>
            <w:r>
              <w:rPr>
                <w:rFonts w:ascii="Arial" w:cs="Arial" w:eastAsia="Arial" w:hAnsi="Arial"/>
                <w:sz w:val="20"/>
                <w:szCs w:val="20"/>
                <w:color w:val="auto"/>
              </w:rPr>
              <w:t>Target</w:t>
            </w:r>
          </w:p>
        </w:tc>
        <w:tc>
          <w:tcPr>
            <w:tcW w:w="3020" w:type="dxa"/>
            <w:vAlign w:val="bottom"/>
            <w:gridSpan w:val="2"/>
          </w:tcPr>
          <w:p>
            <w:pPr>
              <w:jc w:val="right"/>
              <w:spacing w:after="0"/>
              <w:rPr>
                <w:sz w:val="20"/>
                <w:szCs w:val="20"/>
                <w:color w:val="auto"/>
              </w:rPr>
            </w:pPr>
            <w:r>
              <w:rPr>
                <w:rFonts w:ascii="Arial" w:cs="Arial" w:eastAsia="Arial" w:hAnsi="Arial"/>
                <w:sz w:val="20"/>
                <w:szCs w:val="20"/>
                <w:color w:val="auto"/>
              </w:rPr>
              <w:t>100.0%</w:t>
            </w:r>
          </w:p>
        </w:tc>
        <w:tc>
          <w:tcPr>
            <w:tcW w:w="80" w:type="dxa"/>
            <w:vAlign w:val="bottom"/>
          </w:tcPr>
          <w:p>
            <w:pPr>
              <w:spacing w:after="0"/>
              <w:rPr>
                <w:sz w:val="23"/>
                <w:szCs w:val="23"/>
                <w:color w:val="auto"/>
              </w:rPr>
            </w:pPr>
          </w:p>
        </w:tc>
        <w:tc>
          <w:tcPr>
            <w:tcW w:w="294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35"/>
        </w:trPr>
        <w:tc>
          <w:tcPr>
            <w:tcW w:w="2940" w:type="dxa"/>
            <w:vAlign w:val="bottom"/>
            <w:vMerge w:val="restart"/>
          </w:tcPr>
          <w:p>
            <w:pPr>
              <w:ind w:left="60"/>
              <w:spacing w:after="0"/>
              <w:rPr>
                <w:sz w:val="20"/>
                <w:szCs w:val="20"/>
                <w:color w:val="auto"/>
              </w:rPr>
            </w:pPr>
            <w:r>
              <w:rPr>
                <w:rFonts w:ascii="Arial" w:cs="Arial" w:eastAsia="Arial" w:hAnsi="Arial"/>
                <w:sz w:val="20"/>
                <w:szCs w:val="20"/>
                <w:color w:val="auto"/>
              </w:rPr>
              <w:t>Threshold</w:t>
            </w:r>
          </w:p>
        </w:tc>
        <w:tc>
          <w:tcPr>
            <w:tcW w:w="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0"/>
        </w:trPr>
        <w:tc>
          <w:tcPr>
            <w:tcW w:w="2940" w:type="dxa"/>
            <w:vAlign w:val="bottom"/>
            <w:vMerge w:val="continue"/>
          </w:tcPr>
          <w:p>
            <w:pPr>
              <w:spacing w:after="0"/>
              <w:rPr>
                <w:sz w:val="24"/>
                <w:szCs w:val="24"/>
                <w:color w:val="auto"/>
              </w:rPr>
            </w:pPr>
          </w:p>
        </w:tc>
        <w:tc>
          <w:tcPr>
            <w:tcW w:w="3020" w:type="dxa"/>
            <w:vAlign w:val="bottom"/>
            <w:tcBorders>
              <w:bottom w:val="single" w:sz="8" w:color="D2EDF0"/>
            </w:tcBorders>
            <w:gridSpan w:val="2"/>
            <w:shd w:val="clear" w:color="auto" w:fill="D2EDF0"/>
          </w:tcPr>
          <w:p>
            <w:pPr>
              <w:jc w:val="right"/>
              <w:spacing w:after="0"/>
              <w:rPr>
                <w:sz w:val="20"/>
                <w:szCs w:val="20"/>
                <w:color w:val="auto"/>
              </w:rPr>
            </w:pPr>
            <w:r>
              <w:rPr>
                <w:rFonts w:ascii="Arial" w:cs="Arial" w:eastAsia="Arial" w:hAnsi="Arial"/>
                <w:sz w:val="20"/>
                <w:szCs w:val="20"/>
                <w:color w:val="auto"/>
              </w:rPr>
              <w:t>75.0%</w:t>
            </w:r>
          </w:p>
        </w:tc>
        <w:tc>
          <w:tcPr>
            <w:tcW w:w="80" w:type="dxa"/>
            <w:vAlign w:val="bottom"/>
            <w:tcBorders>
              <w:bottom w:val="single" w:sz="8" w:color="D2EDF0"/>
            </w:tcBorders>
            <w:shd w:val="clear" w:color="auto" w:fill="D2EDF0"/>
          </w:tcPr>
          <w:p>
            <w:pPr>
              <w:spacing w:after="0"/>
              <w:rPr>
                <w:sz w:val="24"/>
                <w:szCs w:val="24"/>
                <w:color w:val="auto"/>
              </w:rPr>
            </w:pPr>
          </w:p>
        </w:tc>
        <w:tc>
          <w:tcPr>
            <w:tcW w:w="2940" w:type="dxa"/>
            <w:vAlign w:val="bottom"/>
            <w:tcBorders>
              <w:bottom w:val="single" w:sz="8" w:color="D2EDF0"/>
            </w:tcBorders>
            <w:shd w:val="clear" w:color="auto" w:fill="D2EDF0"/>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65"/>
        </w:trPr>
        <w:tc>
          <w:tcPr>
            <w:tcW w:w="2940" w:type="dxa"/>
            <w:vAlign w:val="bottom"/>
          </w:tcPr>
          <w:p>
            <w:pPr>
              <w:ind w:left="60"/>
              <w:spacing w:after="0"/>
              <w:rPr>
                <w:sz w:val="20"/>
                <w:szCs w:val="20"/>
                <w:color w:val="auto"/>
              </w:rPr>
            </w:pPr>
            <w:r>
              <w:rPr>
                <w:rFonts w:ascii="Arial" w:cs="Arial" w:eastAsia="Arial" w:hAnsi="Arial"/>
                <w:sz w:val="20"/>
                <w:szCs w:val="20"/>
                <w:color w:val="auto"/>
              </w:rPr>
              <w:t>&lt;Threshold</w:t>
            </w:r>
          </w:p>
        </w:tc>
        <w:tc>
          <w:tcPr>
            <w:tcW w:w="3020" w:type="dxa"/>
            <w:vAlign w:val="bottom"/>
            <w:gridSpan w:val="2"/>
          </w:tcPr>
          <w:p>
            <w:pPr>
              <w:jc w:val="right"/>
              <w:spacing w:after="0"/>
              <w:rPr>
                <w:sz w:val="20"/>
                <w:szCs w:val="20"/>
                <w:color w:val="auto"/>
              </w:rPr>
            </w:pPr>
            <w:r>
              <w:rPr>
                <w:rFonts w:ascii="Arial" w:cs="Arial" w:eastAsia="Arial" w:hAnsi="Arial"/>
                <w:sz w:val="20"/>
                <w:szCs w:val="20"/>
                <w:color w:val="auto"/>
              </w:rPr>
              <w:t>&lt;75.0%</w:t>
            </w:r>
          </w:p>
        </w:tc>
        <w:tc>
          <w:tcPr>
            <w:tcW w:w="80" w:type="dxa"/>
            <w:vAlign w:val="bottom"/>
          </w:tcPr>
          <w:p>
            <w:pPr>
              <w:spacing w:after="0"/>
              <w:rPr>
                <w:sz w:val="23"/>
                <w:szCs w:val="23"/>
                <w:color w:val="auto"/>
              </w:rPr>
            </w:pPr>
          </w:p>
        </w:tc>
        <w:tc>
          <w:tcPr>
            <w:tcW w:w="2940" w:type="dxa"/>
            <w:vAlign w:val="bottom"/>
          </w:tcPr>
          <w:p>
            <w:pPr>
              <w:jc w:val="right"/>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-751840</wp:posOffset>
            </wp:positionV>
            <wp:extent cx="5721350" cy="596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21350" cy="59690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___</w:t>
      </w:r>
    </w:p>
    <w:p>
      <w:pPr>
        <w:ind w:right="260"/>
        <w:spacing w:after="0" w:line="268" w:lineRule="auto"/>
        <w:tabs>
          <w:tab w:leader="none" w:pos="7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In the event of actual performance between the threshold and target, or between the target and maximum, performance levels, the payout percentage would be calculated between each designated segment on a linear basis.</w:t>
      </w:r>
    </w:p>
    <w:p>
      <w:pPr>
        <w:spacing w:after="0" w:line="190" w:lineRule="exact"/>
        <w:rPr>
          <w:sz w:val="20"/>
          <w:szCs w:val="20"/>
          <w:color w:val="auto"/>
        </w:rPr>
      </w:pPr>
    </w:p>
    <w:p>
      <w:pPr>
        <w:ind w:right="440" w:firstLine="360"/>
        <w:spacing w:after="0" w:line="276" w:lineRule="auto"/>
        <w:rPr>
          <w:sz w:val="20"/>
          <w:szCs w:val="20"/>
          <w:color w:val="auto"/>
        </w:rPr>
      </w:pPr>
      <w:r>
        <w:rPr>
          <w:rFonts w:ascii="Arial" w:cs="Arial" w:eastAsia="Arial" w:hAnsi="Arial"/>
          <w:sz w:val="19"/>
          <w:szCs w:val="19"/>
          <w:color w:val="auto"/>
        </w:rPr>
        <w:t>The threshold performance level for each corporate performance measure was the minimum performance level that had to be achieved before the performance-vesting condition would be satisfied with respect to any PSUs. If the threshold performance level was not achieved, then no PSUs would become eligible to vest with respect to that measure. The Compensation Committee viewed these performance levels as challenging, but achievable with maximum effort.</w:t>
      </w:r>
    </w:p>
    <w:p>
      <w:pPr>
        <w:spacing w:after="0" w:line="184" w:lineRule="exact"/>
        <w:rPr>
          <w:sz w:val="20"/>
          <w:szCs w:val="20"/>
          <w:color w:val="auto"/>
        </w:rPr>
      </w:pPr>
    </w:p>
    <w:p>
      <w:pPr>
        <w:jc w:val="both"/>
        <w:ind w:right="680" w:firstLine="360"/>
        <w:spacing w:after="0" w:line="268" w:lineRule="auto"/>
        <w:rPr>
          <w:sz w:val="20"/>
          <w:szCs w:val="20"/>
          <w:color w:val="auto"/>
        </w:rPr>
      </w:pPr>
      <w:r>
        <w:rPr>
          <w:rFonts w:ascii="Arial" w:cs="Arial" w:eastAsia="Arial" w:hAnsi="Arial"/>
          <w:sz w:val="20"/>
          <w:szCs w:val="20"/>
          <w:color w:val="auto"/>
        </w:rPr>
        <w:t>In February 2023, the Compensation Committee determined that, for 2022, our corporate performance measures were achieved as follows, resulting in an aggregate weighted payment percentage of 106.0% with respect to the PSUs:</w:t>
      </w:r>
    </w:p>
    <w:p>
      <w:pPr>
        <w:spacing w:after="0" w:line="2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60" w:type="dxa"/>
            <w:vAlign w:val="bottom"/>
          </w:tcPr>
          <w:p>
            <w:pPr>
              <w:ind w:left="280"/>
              <w:spacing w:after="0"/>
              <w:rPr>
                <w:sz w:val="20"/>
                <w:szCs w:val="20"/>
                <w:color w:val="auto"/>
              </w:rPr>
            </w:pPr>
            <w:r>
              <w:rPr>
                <w:rFonts w:ascii="Arial" w:cs="Arial" w:eastAsia="Arial" w:hAnsi="Arial"/>
                <w:sz w:val="18"/>
                <w:szCs w:val="18"/>
                <w:b w:val="1"/>
                <w:bCs w:val="1"/>
                <w:color w:val="auto"/>
              </w:rPr>
              <w:t>Percentage of</w:t>
            </w: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jc w:val="center"/>
              <w:ind w:left="170"/>
              <w:spacing w:after="0"/>
              <w:rPr>
                <w:sz w:val="20"/>
                <w:szCs w:val="20"/>
                <w:color w:val="auto"/>
              </w:rPr>
            </w:pPr>
            <w:r>
              <w:rPr>
                <w:rFonts w:ascii="Arial" w:cs="Arial" w:eastAsia="Arial" w:hAnsi="Arial"/>
                <w:sz w:val="18"/>
                <w:szCs w:val="18"/>
                <w:b w:val="1"/>
                <w:bCs w:val="1"/>
                <w:color w:val="auto"/>
                <w:w w:val="98"/>
              </w:rPr>
              <w:t>Weighted</w:t>
            </w:r>
          </w:p>
        </w:tc>
      </w:tr>
      <w:tr>
        <w:trPr>
          <w:trHeight w:val="198"/>
        </w:trPr>
        <w:tc>
          <w:tcPr>
            <w:tcW w:w="2140" w:type="dxa"/>
            <w:vAlign w:val="bottom"/>
          </w:tcPr>
          <w:p>
            <w:pPr>
              <w:spacing w:after="0" w:line="198" w:lineRule="exact"/>
              <w:rPr>
                <w:sz w:val="20"/>
                <w:szCs w:val="20"/>
                <w:color w:val="auto"/>
              </w:rPr>
            </w:pPr>
            <w:r>
              <w:rPr>
                <w:rFonts w:ascii="Arial" w:cs="Arial" w:eastAsia="Arial" w:hAnsi="Arial"/>
                <w:sz w:val="18"/>
                <w:szCs w:val="18"/>
                <w:b w:val="1"/>
                <w:bCs w:val="1"/>
                <w:color w:val="auto"/>
              </w:rPr>
              <w:t>Corporate Performance</w:t>
            </w:r>
          </w:p>
        </w:tc>
        <w:tc>
          <w:tcPr>
            <w:tcW w:w="1360" w:type="dxa"/>
            <w:vAlign w:val="bottom"/>
          </w:tcPr>
          <w:p>
            <w:pPr>
              <w:ind w:left="140"/>
              <w:spacing w:after="0" w:line="198" w:lineRule="exact"/>
              <w:rPr>
                <w:sz w:val="20"/>
                <w:szCs w:val="20"/>
                <w:color w:val="auto"/>
              </w:rPr>
            </w:pPr>
            <w:r>
              <w:rPr>
                <w:rFonts w:ascii="Arial" w:cs="Arial" w:eastAsia="Arial" w:hAnsi="Arial"/>
                <w:sz w:val="18"/>
                <w:szCs w:val="18"/>
                <w:b w:val="1"/>
                <w:bCs w:val="1"/>
                <w:color w:val="auto"/>
              </w:rPr>
              <w:t>Measure</w:t>
            </w:r>
          </w:p>
        </w:tc>
        <w:tc>
          <w:tcPr>
            <w:tcW w:w="186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Target Measure</w:t>
            </w:r>
          </w:p>
        </w:tc>
        <w:tc>
          <w:tcPr>
            <w:tcW w:w="1320" w:type="dxa"/>
            <w:vAlign w:val="bottom"/>
          </w:tcPr>
          <w:p>
            <w:pPr>
              <w:ind w:left="260"/>
              <w:spacing w:after="0" w:line="198" w:lineRule="exact"/>
              <w:rPr>
                <w:sz w:val="20"/>
                <w:szCs w:val="20"/>
                <w:color w:val="auto"/>
              </w:rPr>
            </w:pPr>
            <w:r>
              <w:rPr>
                <w:rFonts w:ascii="Arial" w:cs="Arial" w:eastAsia="Arial" w:hAnsi="Arial"/>
                <w:sz w:val="18"/>
                <w:szCs w:val="18"/>
                <w:b w:val="1"/>
                <w:bCs w:val="1"/>
                <w:color w:val="auto"/>
              </w:rPr>
              <w:t>Payment</w:t>
            </w:r>
          </w:p>
        </w:tc>
        <w:tc>
          <w:tcPr>
            <w:tcW w:w="940" w:type="dxa"/>
            <w:vAlign w:val="bottom"/>
          </w:tcPr>
          <w:p>
            <w:pPr>
              <w:ind w:left="80"/>
              <w:spacing w:after="0" w:line="198" w:lineRule="exact"/>
              <w:rPr>
                <w:sz w:val="20"/>
                <w:szCs w:val="20"/>
                <w:color w:val="auto"/>
              </w:rPr>
            </w:pPr>
            <w:r>
              <w:rPr>
                <w:rFonts w:ascii="Arial" w:cs="Arial" w:eastAsia="Arial" w:hAnsi="Arial"/>
                <w:sz w:val="18"/>
                <w:szCs w:val="18"/>
                <w:b w:val="1"/>
                <w:bCs w:val="1"/>
                <w:color w:val="auto"/>
              </w:rPr>
              <w:t>Plan</w:t>
            </w:r>
          </w:p>
        </w:tc>
        <w:tc>
          <w:tcPr>
            <w:tcW w:w="1220" w:type="dxa"/>
            <w:vAlign w:val="bottom"/>
          </w:tcPr>
          <w:p>
            <w:pPr>
              <w:jc w:val="center"/>
              <w:ind w:left="170"/>
              <w:spacing w:after="0" w:line="198" w:lineRule="exact"/>
              <w:rPr>
                <w:sz w:val="20"/>
                <w:szCs w:val="20"/>
                <w:color w:val="auto"/>
              </w:rPr>
            </w:pPr>
            <w:r>
              <w:rPr>
                <w:rFonts w:ascii="Arial" w:cs="Arial" w:eastAsia="Arial" w:hAnsi="Arial"/>
                <w:sz w:val="18"/>
                <w:szCs w:val="18"/>
                <w:b w:val="1"/>
                <w:bCs w:val="1"/>
                <w:color w:val="auto"/>
              </w:rPr>
              <w:t>Payment</w:t>
            </w:r>
          </w:p>
        </w:tc>
      </w:tr>
      <w:tr>
        <w:trPr>
          <w:trHeight w:val="257"/>
        </w:trPr>
        <w:tc>
          <w:tcPr>
            <w:tcW w:w="2140" w:type="dxa"/>
            <w:vAlign w:val="bottom"/>
          </w:tcPr>
          <w:p>
            <w:pPr>
              <w:spacing w:after="0"/>
              <w:rPr>
                <w:sz w:val="20"/>
                <w:szCs w:val="20"/>
                <w:color w:val="auto"/>
              </w:rPr>
            </w:pPr>
            <w:r>
              <w:rPr>
                <w:rFonts w:ascii="Arial" w:cs="Arial" w:eastAsia="Arial" w:hAnsi="Arial"/>
                <w:sz w:val="18"/>
                <w:szCs w:val="18"/>
                <w:b w:val="1"/>
                <w:bCs w:val="1"/>
                <w:color w:val="auto"/>
              </w:rPr>
              <w:t>Measure</w:t>
            </w:r>
          </w:p>
        </w:tc>
        <w:tc>
          <w:tcPr>
            <w:tcW w:w="1360" w:type="dxa"/>
            <w:vAlign w:val="bottom"/>
          </w:tcPr>
          <w:p>
            <w:pPr>
              <w:ind w:left="140"/>
              <w:spacing w:after="0" w:line="257" w:lineRule="exact"/>
              <w:rPr>
                <w:sz w:val="20"/>
                <w:szCs w:val="20"/>
                <w:color w:val="auto"/>
              </w:rPr>
            </w:pPr>
            <w:r>
              <w:rPr>
                <w:rFonts w:ascii="Arial" w:cs="Arial" w:eastAsia="Arial" w:hAnsi="Arial"/>
                <w:sz w:val="18"/>
                <w:szCs w:val="18"/>
                <w:b w:val="1"/>
                <w:bCs w:val="1"/>
                <w:color w:val="auto"/>
              </w:rPr>
              <w:t>Achieved</w:t>
            </w:r>
            <w:r>
              <w:rPr>
                <w:rFonts w:ascii="Arial" w:cs="Arial" w:eastAsia="Arial" w:hAnsi="Arial"/>
                <w:sz w:val="23"/>
                <w:szCs w:val="23"/>
                <w:b w:val="1"/>
                <w:bCs w:val="1"/>
                <w:color w:val="auto"/>
                <w:vertAlign w:val="superscript"/>
              </w:rPr>
              <w:t>(1)</w:t>
            </w:r>
          </w:p>
        </w:tc>
        <w:tc>
          <w:tcPr>
            <w:tcW w:w="1860" w:type="dxa"/>
            <w:vAlign w:val="bottom"/>
          </w:tcPr>
          <w:p>
            <w:pPr>
              <w:ind w:left="280"/>
              <w:spacing w:after="0" w:line="257" w:lineRule="exact"/>
              <w:rPr>
                <w:sz w:val="20"/>
                <w:szCs w:val="20"/>
                <w:color w:val="auto"/>
              </w:rPr>
            </w:pPr>
            <w:r>
              <w:rPr>
                <w:rFonts w:ascii="Arial" w:cs="Arial" w:eastAsia="Arial" w:hAnsi="Arial"/>
                <w:sz w:val="18"/>
                <w:szCs w:val="18"/>
                <w:b w:val="1"/>
                <w:bCs w:val="1"/>
                <w:color w:val="auto"/>
              </w:rPr>
              <w:t xml:space="preserve">Achieved </w:t>
            </w:r>
            <w:r>
              <w:rPr>
                <w:rFonts w:ascii="Arial" w:cs="Arial" w:eastAsia="Arial" w:hAnsi="Arial"/>
                <w:sz w:val="23"/>
                <w:szCs w:val="23"/>
                <w:b w:val="1"/>
                <w:bCs w:val="1"/>
                <w:color w:val="auto"/>
                <w:vertAlign w:val="superscript"/>
              </w:rPr>
              <w:t>(2)</w:t>
            </w:r>
          </w:p>
        </w:tc>
        <w:tc>
          <w:tcPr>
            <w:tcW w:w="1320" w:type="dxa"/>
            <w:vAlign w:val="bottom"/>
          </w:tcPr>
          <w:p>
            <w:pPr>
              <w:ind w:left="260"/>
              <w:spacing w:after="0"/>
              <w:rPr>
                <w:sz w:val="20"/>
                <w:szCs w:val="20"/>
                <w:color w:val="auto"/>
              </w:rPr>
            </w:pPr>
            <w:r>
              <w:rPr>
                <w:rFonts w:ascii="Arial" w:cs="Arial" w:eastAsia="Arial" w:hAnsi="Arial"/>
                <w:sz w:val="18"/>
                <w:szCs w:val="18"/>
                <w:b w:val="1"/>
                <w:bCs w:val="1"/>
                <w:color w:val="auto"/>
              </w:rPr>
              <w:t>Percentage</w:t>
            </w:r>
          </w:p>
        </w:tc>
        <w:tc>
          <w:tcPr>
            <w:tcW w:w="940" w:type="dxa"/>
            <w:vAlign w:val="bottom"/>
          </w:tcPr>
          <w:p>
            <w:pPr>
              <w:ind w:left="80"/>
              <w:spacing w:after="0"/>
              <w:rPr>
                <w:sz w:val="20"/>
                <w:szCs w:val="20"/>
                <w:color w:val="auto"/>
              </w:rPr>
            </w:pPr>
            <w:r>
              <w:rPr>
                <w:rFonts w:ascii="Arial" w:cs="Arial" w:eastAsia="Arial" w:hAnsi="Arial"/>
                <w:sz w:val="18"/>
                <w:szCs w:val="18"/>
                <w:b w:val="1"/>
                <w:bCs w:val="1"/>
                <w:color w:val="auto"/>
              </w:rPr>
              <w:t>Weight</w:t>
            </w:r>
          </w:p>
        </w:tc>
        <w:tc>
          <w:tcPr>
            <w:tcW w:w="1220" w:type="dxa"/>
            <w:vAlign w:val="bottom"/>
          </w:tcPr>
          <w:p>
            <w:pPr>
              <w:jc w:val="center"/>
              <w:ind w:left="170"/>
              <w:spacing w:after="0"/>
              <w:rPr>
                <w:sz w:val="20"/>
                <w:szCs w:val="20"/>
                <w:color w:val="auto"/>
              </w:rPr>
            </w:pPr>
            <w:r>
              <w:rPr>
                <w:rFonts w:ascii="Arial" w:cs="Arial" w:eastAsia="Arial" w:hAnsi="Arial"/>
                <w:sz w:val="18"/>
                <w:szCs w:val="18"/>
                <w:b w:val="1"/>
                <w:bCs w:val="1"/>
                <w:color w:val="auto"/>
                <w:w w:val="98"/>
              </w:rPr>
              <w:t>Percentage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80" w:type="dxa"/>
            <w:vAlign w:val="bottom"/>
            <w:tcBorders>
              <w:top w:val="single" w:sz="8" w:color="auto"/>
            </w:tcBorders>
          </w:tcPr>
          <w:p>
            <w:pPr>
              <w:ind w:left="60"/>
              <w:spacing w:after="0" w:line="188" w:lineRule="exact"/>
              <w:rPr>
                <w:sz w:val="20"/>
                <w:szCs w:val="20"/>
                <w:color w:val="auto"/>
              </w:rPr>
            </w:pPr>
            <w:r>
              <w:rPr>
                <w:rFonts w:ascii="Arial" w:cs="Arial" w:eastAsia="Arial" w:hAnsi="Arial"/>
                <w:sz w:val="20"/>
                <w:szCs w:val="20"/>
                <w:color w:val="auto"/>
              </w:rPr>
              <w:t>Revenue + Unlevered</w:t>
            </w:r>
          </w:p>
        </w:tc>
        <w:tc>
          <w:tcPr>
            <w:tcW w:w="1500" w:type="dxa"/>
            <w:vAlign w:val="bottom"/>
            <w:tcBorders>
              <w:top w:val="single" w:sz="8" w:color="auto"/>
            </w:tcBorders>
          </w:tcPr>
          <w:p>
            <w:pPr>
              <w:jc w:val="right"/>
              <w:ind w:right="58"/>
              <w:spacing w:after="0" w:line="188" w:lineRule="exact"/>
              <w:rPr>
                <w:sz w:val="20"/>
                <w:szCs w:val="20"/>
                <w:color w:val="auto"/>
              </w:rPr>
            </w:pPr>
            <w:r>
              <w:rPr>
                <w:rFonts w:ascii="Arial" w:cs="Arial" w:eastAsia="Arial" w:hAnsi="Arial"/>
                <w:sz w:val="20"/>
                <w:szCs w:val="20"/>
                <w:color w:val="auto"/>
              </w:rPr>
              <w:t>813,902</w:t>
            </w:r>
          </w:p>
        </w:tc>
        <w:tc>
          <w:tcPr>
            <w:tcW w:w="178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20"/>
                <w:szCs w:val="20"/>
                <w:color w:val="auto"/>
              </w:rPr>
              <w:t>102.6 %</w:t>
            </w:r>
          </w:p>
        </w:tc>
        <w:tc>
          <w:tcPr>
            <w:tcW w:w="60" w:type="dxa"/>
            <w:vAlign w:val="bottom"/>
          </w:tcPr>
          <w:p>
            <w:pPr>
              <w:spacing w:after="0"/>
              <w:rPr>
                <w:sz w:val="16"/>
                <w:szCs w:val="16"/>
                <w:color w:val="auto"/>
              </w:rPr>
            </w:pPr>
          </w:p>
        </w:tc>
        <w:tc>
          <w:tcPr>
            <w:tcW w:w="108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20"/>
                <w:szCs w:val="20"/>
                <w:color w:val="auto"/>
              </w:rPr>
              <w:t>110.5 %</w:t>
            </w:r>
          </w:p>
        </w:tc>
        <w:tc>
          <w:tcPr>
            <w:tcW w:w="60" w:type="dxa"/>
            <w:vAlign w:val="bottom"/>
          </w:tcPr>
          <w:p>
            <w:pPr>
              <w:spacing w:after="0"/>
              <w:rPr>
                <w:sz w:val="16"/>
                <w:szCs w:val="16"/>
                <w:color w:val="auto"/>
              </w:rPr>
            </w:pPr>
          </w:p>
        </w:tc>
        <w:tc>
          <w:tcPr>
            <w:tcW w:w="102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20"/>
                <w:szCs w:val="20"/>
                <w:color w:val="auto"/>
              </w:rPr>
              <w:t>66.67%</w:t>
            </w:r>
          </w:p>
        </w:tc>
        <w:tc>
          <w:tcPr>
            <w:tcW w:w="60" w:type="dxa"/>
            <w:vAlign w:val="bottom"/>
          </w:tcPr>
          <w:p>
            <w:pPr>
              <w:spacing w:after="0"/>
              <w:rPr>
                <w:sz w:val="16"/>
                <w:szCs w:val="16"/>
                <w:color w:val="auto"/>
              </w:rPr>
            </w:pPr>
          </w:p>
        </w:tc>
        <w:tc>
          <w:tcPr>
            <w:tcW w:w="116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20"/>
                <w:szCs w:val="20"/>
                <w:color w:val="auto"/>
              </w:rPr>
              <w:t>73.7 %</w:t>
            </w:r>
          </w:p>
        </w:tc>
        <w:tc>
          <w:tcPr>
            <w:tcW w:w="0" w:type="dxa"/>
            <w:vAlign w:val="bottom"/>
          </w:tcPr>
          <w:p>
            <w:pPr>
              <w:spacing w:after="0"/>
              <w:rPr>
                <w:sz w:val="1"/>
                <w:szCs w:val="1"/>
                <w:color w:val="auto"/>
              </w:rPr>
            </w:pPr>
          </w:p>
        </w:tc>
      </w:tr>
      <w:tr>
        <w:trPr>
          <w:trHeight w:val="273"/>
        </w:trPr>
        <w:tc>
          <w:tcPr>
            <w:tcW w:w="2280" w:type="dxa"/>
            <w:vAlign w:val="bottom"/>
          </w:tcPr>
          <w:p>
            <w:pPr>
              <w:ind w:left="60"/>
              <w:spacing w:after="0"/>
              <w:rPr>
                <w:sz w:val="20"/>
                <w:szCs w:val="20"/>
                <w:color w:val="auto"/>
              </w:rPr>
            </w:pPr>
            <w:r>
              <w:rPr>
                <w:rFonts w:ascii="Arial" w:cs="Arial" w:eastAsia="Arial" w:hAnsi="Arial"/>
                <w:sz w:val="20"/>
                <w:szCs w:val="20"/>
                <w:color w:val="auto"/>
              </w:rPr>
              <w:t>Free Cash Flow</w:t>
            </w:r>
          </w:p>
        </w:tc>
        <w:tc>
          <w:tcPr>
            <w:tcW w:w="15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2280" w:type="dxa"/>
            <w:vAlign w:val="bottom"/>
            <w:tcBorders>
              <w:right w:val="single" w:sz="8" w:color="D2EDF0"/>
            </w:tcBorders>
            <w:vMerge w:val="restart"/>
          </w:tcPr>
          <w:p>
            <w:pPr>
              <w:ind w:left="60"/>
              <w:spacing w:after="0"/>
              <w:rPr>
                <w:sz w:val="20"/>
                <w:szCs w:val="20"/>
                <w:color w:val="auto"/>
              </w:rPr>
            </w:pPr>
            <w:r>
              <w:rPr>
                <w:rFonts w:ascii="Arial" w:cs="Arial" w:eastAsia="Arial" w:hAnsi="Arial"/>
                <w:sz w:val="20"/>
                <w:szCs w:val="20"/>
                <w:color w:val="auto"/>
              </w:rPr>
              <w:t>Bookings</w:t>
            </w:r>
          </w:p>
        </w:tc>
        <w:tc>
          <w:tcPr>
            <w:tcW w:w="1500" w:type="dxa"/>
            <w:vAlign w:val="bottom"/>
            <w:tcBorders>
              <w:right w:val="single" w:sz="8" w:color="D2EDF0"/>
            </w:tcBorders>
            <w:shd w:val="clear" w:color="auto" w:fill="D2EDF0"/>
          </w:tcPr>
          <w:p>
            <w:pPr>
              <w:jc w:val="right"/>
              <w:ind w:right="38"/>
              <w:spacing w:after="0"/>
              <w:rPr>
                <w:sz w:val="20"/>
                <w:szCs w:val="20"/>
                <w:color w:val="auto"/>
              </w:rPr>
            </w:pPr>
            <w:r>
              <w:rPr>
                <w:rFonts w:ascii="Arial" w:cs="Arial" w:eastAsia="Arial" w:hAnsi="Arial"/>
                <w:sz w:val="13"/>
                <w:szCs w:val="13"/>
                <w:color w:val="auto"/>
              </w:rPr>
              <w:t>(3)</w:t>
            </w:r>
          </w:p>
        </w:tc>
        <w:tc>
          <w:tcPr>
            <w:tcW w:w="1780" w:type="dxa"/>
            <w:vAlign w:val="bottom"/>
            <w:vMerge w:val="restart"/>
          </w:tcPr>
          <w:p>
            <w:pPr>
              <w:jc w:val="right"/>
              <w:spacing w:after="0"/>
              <w:rPr>
                <w:sz w:val="20"/>
                <w:szCs w:val="20"/>
                <w:color w:val="auto"/>
              </w:rPr>
            </w:pPr>
            <w:r>
              <w:rPr>
                <w:rFonts w:ascii="Arial" w:cs="Arial" w:eastAsia="Arial" w:hAnsi="Arial"/>
                <w:sz w:val="20"/>
                <w:szCs w:val="20"/>
                <w:color w:val="auto"/>
              </w:rPr>
              <w:t>98.5 %</w:t>
            </w:r>
          </w:p>
        </w:tc>
        <w:tc>
          <w:tcPr>
            <w:tcW w:w="1140" w:type="dxa"/>
            <w:vAlign w:val="bottom"/>
            <w:gridSpan w:val="2"/>
            <w:vMerge w:val="restart"/>
          </w:tcPr>
          <w:p>
            <w:pPr>
              <w:jc w:val="right"/>
              <w:spacing w:after="0"/>
              <w:rPr>
                <w:sz w:val="20"/>
                <w:szCs w:val="20"/>
                <w:color w:val="auto"/>
              </w:rPr>
            </w:pPr>
            <w:r>
              <w:rPr>
                <w:rFonts w:ascii="Arial" w:cs="Arial" w:eastAsia="Arial" w:hAnsi="Arial"/>
                <w:sz w:val="20"/>
                <w:szCs w:val="20"/>
                <w:color w:val="auto"/>
              </w:rPr>
              <w:t>97.0 %</w:t>
            </w:r>
          </w:p>
        </w:tc>
        <w:tc>
          <w:tcPr>
            <w:tcW w:w="1080" w:type="dxa"/>
            <w:vAlign w:val="bottom"/>
            <w:gridSpan w:val="2"/>
            <w:vMerge w:val="restart"/>
          </w:tcPr>
          <w:p>
            <w:pPr>
              <w:jc w:val="right"/>
              <w:spacing w:after="0"/>
              <w:rPr>
                <w:sz w:val="20"/>
                <w:szCs w:val="20"/>
                <w:color w:val="auto"/>
              </w:rPr>
            </w:pPr>
            <w:r>
              <w:rPr>
                <w:rFonts w:ascii="Arial" w:cs="Arial" w:eastAsia="Arial" w:hAnsi="Arial"/>
                <w:sz w:val="20"/>
                <w:szCs w:val="20"/>
                <w:color w:val="auto"/>
              </w:rPr>
              <w:t>33.33%</w:t>
            </w:r>
          </w:p>
        </w:tc>
        <w:tc>
          <w:tcPr>
            <w:tcW w:w="60" w:type="dxa"/>
            <w:vAlign w:val="bottom"/>
          </w:tcPr>
          <w:p>
            <w:pPr>
              <w:spacing w:after="0"/>
              <w:rPr>
                <w:sz w:val="15"/>
                <w:szCs w:val="15"/>
                <w:color w:val="auto"/>
              </w:rPr>
            </w:pPr>
          </w:p>
        </w:tc>
        <w:tc>
          <w:tcPr>
            <w:tcW w:w="116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32.3 %</w:t>
            </w:r>
          </w:p>
        </w:tc>
        <w:tc>
          <w:tcPr>
            <w:tcW w:w="0" w:type="dxa"/>
            <w:vAlign w:val="bottom"/>
          </w:tcPr>
          <w:p>
            <w:pPr>
              <w:spacing w:after="0"/>
              <w:rPr>
                <w:sz w:val="1"/>
                <w:szCs w:val="1"/>
                <w:color w:val="auto"/>
              </w:rPr>
            </w:pPr>
          </w:p>
        </w:tc>
      </w:tr>
      <w:tr>
        <w:trPr>
          <w:trHeight w:val="102"/>
        </w:trPr>
        <w:tc>
          <w:tcPr>
            <w:tcW w:w="2280" w:type="dxa"/>
            <w:vAlign w:val="bottom"/>
            <w:tcBorders>
              <w:right w:val="single" w:sz="8" w:color="D2EDF0"/>
            </w:tcBorders>
            <w:vMerge w:val="continue"/>
          </w:tcPr>
          <w:p>
            <w:pPr>
              <w:spacing w:after="0"/>
              <w:rPr>
                <w:sz w:val="8"/>
                <w:szCs w:val="8"/>
                <w:color w:val="auto"/>
              </w:rPr>
            </w:pPr>
          </w:p>
        </w:tc>
        <w:tc>
          <w:tcPr>
            <w:tcW w:w="1500" w:type="dxa"/>
            <w:vAlign w:val="bottom"/>
            <w:tcBorders>
              <w:bottom w:val="single" w:sz="8" w:color="D2EDF0"/>
              <w:right w:val="single" w:sz="8" w:color="D2EDF0"/>
            </w:tcBorders>
            <w:shd w:val="clear" w:color="auto" w:fill="D2EDF0"/>
          </w:tcPr>
          <w:p>
            <w:pPr>
              <w:spacing w:after="0"/>
              <w:rPr>
                <w:sz w:val="8"/>
                <w:szCs w:val="8"/>
                <w:color w:val="auto"/>
              </w:rPr>
            </w:pPr>
          </w:p>
        </w:tc>
        <w:tc>
          <w:tcPr>
            <w:tcW w:w="178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bottom w:val="single" w:sz="8" w:color="auto"/>
            </w:tcBorders>
            <w:vMerge w:val="continue"/>
            <w:shd w:val="clear" w:color="auto" w:fill="D2EDF0"/>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2280" w:type="dxa"/>
            <w:vAlign w:val="bottom"/>
          </w:tcPr>
          <w:p>
            <w:pPr>
              <w:ind w:left="60"/>
              <w:spacing w:after="0"/>
              <w:rPr>
                <w:sz w:val="20"/>
                <w:szCs w:val="20"/>
                <w:color w:val="auto"/>
              </w:rPr>
            </w:pPr>
            <w:r>
              <w:rPr>
                <w:rFonts w:ascii="Arial" w:cs="Arial" w:eastAsia="Arial" w:hAnsi="Arial"/>
                <w:sz w:val="20"/>
                <w:szCs w:val="20"/>
                <w:b w:val="1"/>
                <w:bCs w:val="1"/>
                <w:color w:val="auto"/>
              </w:rPr>
              <w:t>Total</w:t>
            </w:r>
          </w:p>
        </w:tc>
        <w:tc>
          <w:tcPr>
            <w:tcW w:w="15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106.0 %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-367665</wp:posOffset>
            </wp:positionV>
            <wp:extent cx="4997450" cy="2063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7450" cy="20637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44" w:lineRule="exact"/>
        <w:rPr>
          <w:sz w:val="20"/>
          <w:szCs w:val="20"/>
          <w:color w:val="auto"/>
        </w:rPr>
      </w:pPr>
    </w:p>
    <w:p>
      <w:pPr>
        <w:ind w:right="500"/>
        <w:spacing w:after="0" w:line="287" w:lineRule="auto"/>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actual performance levels for each performance metric includes the effect of certain acquisitions that occurred during the period.</w:t>
      </w:r>
    </w:p>
    <w:p>
      <w:pPr>
        <w:spacing w:after="0" w:line="169" w:lineRule="exact"/>
        <w:rPr>
          <w:rFonts w:ascii="Arial" w:cs="Arial" w:eastAsia="Arial" w:hAnsi="Arial"/>
          <w:sz w:val="20"/>
          <w:szCs w:val="20"/>
          <w:color w:val="auto"/>
        </w:rPr>
      </w:pPr>
    </w:p>
    <w:p>
      <w:pPr>
        <w:ind w:right="220"/>
        <w:spacing w:after="0" w:line="287" w:lineRule="auto"/>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target performance levels were not adjusted to include the effect of certain acquisitions that occurred during the period.</w:t>
      </w:r>
    </w:p>
    <w:p>
      <w:pPr>
        <w:spacing w:after="0" w:line="169" w:lineRule="exact"/>
        <w:rPr>
          <w:rFonts w:ascii="Arial" w:cs="Arial" w:eastAsia="Arial" w:hAnsi="Arial"/>
          <w:sz w:val="20"/>
          <w:szCs w:val="20"/>
          <w:color w:val="auto"/>
        </w:rPr>
      </w:pPr>
    </w:p>
    <w:p>
      <w:pPr>
        <w:ind w:right="260"/>
        <w:spacing w:after="0" w:line="257" w:lineRule="auto"/>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We have chosen not to disclose the target performance level for our bookings performance measure as such information is proprietary in nature, the disclosure of which could result in competitive harm to the Company. For 2022, the Board of Directors considered the target performance achievement levels for the booking performance measure to be challenging but achievable with significant effort requiring circumstances to align as projected. The bookings performance attainment reflected a 22.4% increase over our actual bookings results from 2021.</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880" w:h="15480" w:orient="portrait"/>
          <w:cols w:equalWidth="0" w:num="1">
            <w:col w:w="9000"/>
          </w:cols>
          <w:pgMar w:left="1440" w:top="1204" w:right="1440" w:bottom="0" w:gutter="0" w:footer="0" w:header="0"/>
          <w:type w:val="continuous"/>
        </w:sectPr>
      </w:pPr>
    </w:p>
    <w:bookmarkStart w:id="59" w:name="page60"/>
    <w:bookmarkEnd w:id="59"/>
    <w:p>
      <w:pPr>
        <w:ind w:left="360"/>
        <w:spacing w:after="0"/>
        <w:rPr>
          <w:sz w:val="20"/>
          <w:szCs w:val="20"/>
          <w:color w:val="auto"/>
        </w:rPr>
      </w:pPr>
      <w:r>
        <w:rPr>
          <w:rFonts w:ascii="Arial" w:cs="Arial" w:eastAsia="Arial" w:hAnsi="Arial"/>
          <w:sz w:val="20"/>
          <w:szCs w:val="20"/>
          <w:color w:val="auto"/>
        </w:rPr>
        <w:t>Accordingly, the number of PSUs that were earned by the Named Executive Officers are: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36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Named Executive Officer</w:t>
            </w:r>
          </w:p>
        </w:tc>
        <w:tc>
          <w:tcPr>
            <w:tcW w:w="60" w:type="dxa"/>
            <w:vAlign w:val="bottom"/>
            <w:tcBorders>
              <w:bottom w:val="single" w:sz="8" w:color="D2EDF0"/>
            </w:tcBorders>
          </w:tcPr>
          <w:p>
            <w:pPr>
              <w:spacing w:after="0"/>
              <w:rPr>
                <w:sz w:val="20"/>
                <w:szCs w:val="20"/>
                <w:color w:val="auto"/>
              </w:rPr>
            </w:pPr>
          </w:p>
        </w:tc>
        <w:tc>
          <w:tcPr>
            <w:tcW w:w="5580" w:type="dxa"/>
            <w:vAlign w:val="bottom"/>
            <w:tcBorders>
              <w:bottom w:val="single" w:sz="8" w:color="auto"/>
            </w:tcBorders>
          </w:tcPr>
          <w:p>
            <w:pPr>
              <w:jc w:val="right"/>
              <w:ind w:right="745"/>
              <w:spacing w:after="0"/>
              <w:rPr>
                <w:sz w:val="20"/>
                <w:szCs w:val="20"/>
                <w:color w:val="auto"/>
              </w:rPr>
            </w:pPr>
            <w:r>
              <w:rPr>
                <w:rFonts w:ascii="Arial" w:cs="Arial" w:eastAsia="Arial" w:hAnsi="Arial"/>
                <w:sz w:val="18"/>
                <w:szCs w:val="18"/>
                <w:b w:val="1"/>
                <w:bCs w:val="1"/>
                <w:color w:val="auto"/>
              </w:rPr>
              <w:t>Number of 2022 PSUs Eligible to Service-Vest</w:t>
            </w:r>
          </w:p>
        </w:tc>
      </w:tr>
      <w:tr>
        <w:trPr>
          <w:trHeight w:val="275"/>
        </w:trPr>
        <w:tc>
          <w:tcPr>
            <w:tcW w:w="3360" w:type="dxa"/>
            <w:vAlign w:val="bottom"/>
            <w:shd w:val="clear" w:color="auto" w:fill="D2EDF0"/>
          </w:tcPr>
          <w:p>
            <w:pPr>
              <w:ind w:left="60"/>
              <w:spacing w:after="0"/>
              <w:rPr>
                <w:sz w:val="20"/>
                <w:szCs w:val="20"/>
                <w:color w:val="auto"/>
              </w:rPr>
            </w:pPr>
            <w:r>
              <w:rPr>
                <w:rFonts w:ascii="Arial" w:cs="Arial" w:eastAsia="Arial" w:hAnsi="Arial"/>
                <w:sz w:val="20"/>
                <w:szCs w:val="20"/>
                <w:color w:val="auto"/>
              </w:rPr>
              <w:t>Mr. Yoran</w:t>
            </w:r>
          </w:p>
        </w:tc>
        <w:tc>
          <w:tcPr>
            <w:tcW w:w="564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53,034</w:t>
            </w:r>
          </w:p>
        </w:tc>
      </w:tr>
      <w:tr>
        <w:trPr>
          <w:trHeight w:val="281"/>
        </w:trPr>
        <w:tc>
          <w:tcPr>
            <w:tcW w:w="3360" w:type="dxa"/>
            <w:vAlign w:val="bottom"/>
          </w:tcPr>
          <w:p>
            <w:pPr>
              <w:ind w:left="60"/>
              <w:spacing w:after="0"/>
              <w:rPr>
                <w:sz w:val="20"/>
                <w:szCs w:val="20"/>
                <w:color w:val="auto"/>
              </w:rPr>
            </w:pPr>
            <w:r>
              <w:rPr>
                <w:rFonts w:ascii="Arial" w:cs="Arial" w:eastAsia="Arial" w:hAnsi="Arial"/>
                <w:sz w:val="20"/>
                <w:szCs w:val="20"/>
                <w:color w:val="auto"/>
              </w:rPr>
              <w:t>Mr. Vintz</w:t>
            </w:r>
          </w:p>
        </w:tc>
        <w:tc>
          <w:tcPr>
            <w:tcW w:w="5640" w:type="dxa"/>
            <w:vAlign w:val="bottom"/>
            <w:gridSpan w:val="2"/>
          </w:tcPr>
          <w:p>
            <w:pPr>
              <w:jc w:val="right"/>
              <w:spacing w:after="0"/>
              <w:rPr>
                <w:sz w:val="20"/>
                <w:szCs w:val="20"/>
                <w:color w:val="auto"/>
              </w:rPr>
            </w:pPr>
            <w:r>
              <w:rPr>
                <w:rFonts w:ascii="Arial" w:cs="Arial" w:eastAsia="Arial" w:hAnsi="Arial"/>
                <w:sz w:val="20"/>
                <w:szCs w:val="20"/>
                <w:color w:val="auto"/>
              </w:rPr>
              <w:t>30,053</w:t>
            </w:r>
          </w:p>
        </w:tc>
      </w:tr>
      <w:tr>
        <w:trPr>
          <w:trHeight w:val="289"/>
        </w:trPr>
        <w:tc>
          <w:tcPr>
            <w:tcW w:w="3360" w:type="dxa"/>
            <w:vAlign w:val="bottom"/>
            <w:shd w:val="clear" w:color="auto" w:fill="D2EDF0"/>
          </w:tcPr>
          <w:p>
            <w:pPr>
              <w:ind w:left="60"/>
              <w:spacing w:after="0" w:line="288" w:lineRule="exact"/>
              <w:rPr>
                <w:sz w:val="20"/>
                <w:szCs w:val="20"/>
                <w:color w:val="auto"/>
              </w:rPr>
            </w:pPr>
            <w:r>
              <w:rPr>
                <w:rFonts w:ascii="Arial" w:cs="Arial" w:eastAsia="Arial" w:hAnsi="Arial"/>
                <w:sz w:val="20"/>
                <w:szCs w:val="20"/>
                <w:color w:val="auto"/>
              </w:rPr>
              <w:t>Mr. Riddick</w:t>
            </w:r>
            <w:r>
              <w:rPr>
                <w:rFonts w:ascii="Arial" w:cs="Arial" w:eastAsia="Arial" w:hAnsi="Arial"/>
                <w:sz w:val="26"/>
                <w:szCs w:val="26"/>
                <w:color w:val="auto"/>
                <w:vertAlign w:val="superscript"/>
              </w:rPr>
              <w:t>(1)</w:t>
            </w:r>
          </w:p>
        </w:tc>
        <w:tc>
          <w:tcPr>
            <w:tcW w:w="60" w:type="dxa"/>
            <w:vAlign w:val="bottom"/>
            <w:shd w:val="clear" w:color="auto" w:fill="D2EDF0"/>
          </w:tcPr>
          <w:p>
            <w:pPr>
              <w:spacing w:after="0"/>
              <w:rPr>
                <w:sz w:val="24"/>
                <w:szCs w:val="24"/>
                <w:color w:val="auto"/>
              </w:rPr>
            </w:pPr>
          </w:p>
        </w:tc>
        <w:tc>
          <w:tcPr>
            <w:tcW w:w="55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r>
      <w:tr>
        <w:trPr>
          <w:trHeight w:val="277"/>
        </w:trPr>
        <w:tc>
          <w:tcPr>
            <w:tcW w:w="3360" w:type="dxa"/>
            <w:vAlign w:val="bottom"/>
          </w:tcPr>
          <w:p>
            <w:pPr>
              <w:ind w:left="60"/>
              <w:spacing w:after="0"/>
              <w:rPr>
                <w:sz w:val="20"/>
                <w:szCs w:val="20"/>
                <w:color w:val="auto"/>
              </w:rPr>
            </w:pPr>
            <w:r>
              <w:rPr>
                <w:rFonts w:ascii="Arial" w:cs="Arial" w:eastAsia="Arial" w:hAnsi="Arial"/>
                <w:sz w:val="20"/>
                <w:szCs w:val="20"/>
                <w:color w:val="auto"/>
              </w:rPr>
              <w:t>Mr. Thurmond</w:t>
            </w:r>
          </w:p>
        </w:tc>
        <w:tc>
          <w:tcPr>
            <w:tcW w:w="5640" w:type="dxa"/>
            <w:vAlign w:val="bottom"/>
            <w:gridSpan w:val="2"/>
          </w:tcPr>
          <w:p>
            <w:pPr>
              <w:jc w:val="right"/>
              <w:spacing w:after="0"/>
              <w:rPr>
                <w:sz w:val="20"/>
                <w:szCs w:val="20"/>
                <w:color w:val="auto"/>
              </w:rPr>
            </w:pPr>
            <w:r>
              <w:rPr>
                <w:rFonts w:ascii="Arial" w:cs="Arial" w:eastAsia="Arial" w:hAnsi="Arial"/>
                <w:sz w:val="20"/>
                <w:szCs w:val="20"/>
                <w:color w:val="auto"/>
              </w:rPr>
              <w:t>21,803</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44" w:lineRule="exact"/>
        <w:rPr>
          <w:sz w:val="20"/>
          <w:szCs w:val="20"/>
          <w:color w:val="auto"/>
        </w:rPr>
      </w:pPr>
    </w:p>
    <w:p>
      <w:pPr>
        <w:ind w:right="100"/>
        <w:spacing w:after="0" w:line="287" w:lineRule="auto"/>
        <w:tabs>
          <w:tab w:leader="none" w:pos="7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As noted above, Mr. Riddick forfeited all PSUs awarded to him in 2022 in connection with his retirement.</w:t>
      </w:r>
    </w:p>
    <w:p>
      <w:pPr>
        <w:spacing w:after="0" w:line="170" w:lineRule="exact"/>
        <w:rPr>
          <w:sz w:val="20"/>
          <w:szCs w:val="20"/>
          <w:color w:val="auto"/>
        </w:rPr>
      </w:pPr>
    </w:p>
    <w:p>
      <w:pPr>
        <w:ind w:right="960" w:firstLine="360"/>
        <w:spacing w:after="0" w:line="287" w:lineRule="auto"/>
        <w:rPr>
          <w:sz w:val="20"/>
          <w:szCs w:val="20"/>
          <w:color w:val="auto"/>
        </w:rPr>
      </w:pPr>
      <w:r>
        <w:rPr>
          <w:rFonts w:ascii="Arial" w:cs="Arial" w:eastAsia="Arial" w:hAnsi="Arial"/>
          <w:sz w:val="20"/>
          <w:szCs w:val="20"/>
          <w:color w:val="auto"/>
        </w:rPr>
        <w:t>The equity awards granted to our Named Executive Officers in 2022 are set forth in the “</w:t>
      </w:r>
      <w:r>
        <w:rPr>
          <w:rFonts w:ascii="Arial" w:cs="Arial" w:eastAsia="Arial" w:hAnsi="Arial"/>
          <w:sz w:val="20"/>
          <w:szCs w:val="20"/>
          <w:i w:val="1"/>
          <w:iCs w:val="1"/>
          <w:color w:val="auto"/>
        </w:rPr>
        <w:t>Summary Compensation Table</w:t>
      </w:r>
      <w:r>
        <w:rPr>
          <w:rFonts w:ascii="Arial" w:cs="Arial" w:eastAsia="Arial" w:hAnsi="Arial"/>
          <w:sz w:val="20"/>
          <w:szCs w:val="20"/>
          <w:color w:val="auto"/>
        </w:rPr>
        <w:t>” and the “</w:t>
      </w:r>
      <w:r>
        <w:rPr>
          <w:rFonts w:ascii="Arial" w:cs="Arial" w:eastAsia="Arial" w:hAnsi="Arial"/>
          <w:sz w:val="20"/>
          <w:szCs w:val="20"/>
          <w:i w:val="1"/>
          <w:iCs w:val="1"/>
          <w:color w:val="auto"/>
        </w:rPr>
        <w:t>Grants of Plan-Based Awards Table</w:t>
      </w:r>
      <w:r>
        <w:rPr>
          <w:rFonts w:ascii="Arial" w:cs="Arial" w:eastAsia="Arial" w:hAnsi="Arial"/>
          <w:sz w:val="20"/>
          <w:szCs w:val="20"/>
          <w:color w:val="auto"/>
        </w:rPr>
        <w:t>” below.</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Health and Welfare, Retirement and ESPP Benefits</w:t>
      </w:r>
    </w:p>
    <w:p>
      <w:pPr>
        <w:spacing w:after="0" w:line="249" w:lineRule="exact"/>
        <w:rPr>
          <w:sz w:val="20"/>
          <w:szCs w:val="20"/>
          <w:color w:val="auto"/>
        </w:rPr>
      </w:pPr>
    </w:p>
    <w:p>
      <w:pPr>
        <w:ind w:right="80" w:firstLine="360"/>
        <w:spacing w:after="0" w:line="257" w:lineRule="auto"/>
        <w:rPr>
          <w:sz w:val="20"/>
          <w:szCs w:val="20"/>
          <w:color w:val="auto"/>
        </w:rPr>
      </w:pPr>
      <w:r>
        <w:rPr>
          <w:rFonts w:ascii="Arial" w:cs="Arial" w:eastAsia="Arial" w:hAnsi="Arial"/>
          <w:sz w:val="20"/>
          <w:szCs w:val="20"/>
          <w:color w:val="auto"/>
        </w:rPr>
        <w:t>Our Named Executive Officers are eligible to receive the same health and welfare benefits that are generally available to all full-time, salaried employees, subject to the satisfaction of certain eligibility requirements, including medical, dental, and vision insurance, business travel insurance, an employee assistance program, health and dependent care flexible spending accounts, basic life insurance, accidental death and dismemberment insurance, short-term and long-term disability insurance, commuter benefits, and reimbursement for mobile phone coverage.</w:t>
      </w:r>
    </w:p>
    <w:p>
      <w:pPr>
        <w:spacing w:after="0" w:line="202" w:lineRule="exact"/>
        <w:rPr>
          <w:sz w:val="20"/>
          <w:szCs w:val="20"/>
          <w:color w:val="auto"/>
        </w:rPr>
      </w:pPr>
    </w:p>
    <w:p>
      <w:pPr>
        <w:ind w:right="40" w:firstLine="360"/>
        <w:spacing w:after="0" w:line="259" w:lineRule="auto"/>
        <w:rPr>
          <w:sz w:val="20"/>
          <w:szCs w:val="20"/>
          <w:color w:val="auto"/>
        </w:rPr>
      </w:pPr>
      <w:r>
        <w:rPr>
          <w:rFonts w:ascii="Arial" w:cs="Arial" w:eastAsia="Arial" w:hAnsi="Arial"/>
          <w:sz w:val="20"/>
          <w:szCs w:val="20"/>
          <w:color w:val="auto"/>
        </w:rPr>
        <w:t>Our Named Executive Officers are also eligible to participate in our 401(k) retirement plan (the “Section 401(k) Plan”) that provides eligible employees with an opportunity to save for retirement on a tax-advantaged basis. For 2022, during each pay period, we made matching contributions to all participating employees for each $1.00 of an employee’s contribution, up to a maximum of 4% of the employee’s eligible earnings, subject to annual limitations.</w:t>
      </w:r>
    </w:p>
    <w:p>
      <w:pPr>
        <w:spacing w:after="0" w:line="199" w:lineRule="exact"/>
        <w:rPr>
          <w:sz w:val="20"/>
          <w:szCs w:val="20"/>
          <w:color w:val="auto"/>
        </w:rPr>
      </w:pPr>
    </w:p>
    <w:p>
      <w:pPr>
        <w:ind w:right="100" w:firstLine="360"/>
        <w:spacing w:after="0" w:line="253" w:lineRule="auto"/>
        <w:rPr>
          <w:sz w:val="20"/>
          <w:szCs w:val="20"/>
          <w:color w:val="auto"/>
        </w:rPr>
      </w:pPr>
      <w:r>
        <w:rPr>
          <w:rFonts w:ascii="Arial" w:cs="Arial" w:eastAsia="Arial" w:hAnsi="Arial"/>
          <w:sz w:val="20"/>
          <w:szCs w:val="20"/>
          <w:color w:val="auto"/>
        </w:rPr>
        <w:t>We provide additional long-term equity incentives through the 2018 Employee Stock Purchase Plan (the “ESPP”), which became effective in connection with our initial public offering in July 2018. The ESPP is intended to qualify as an “employee stock purchase plan” within the meaning of Section 423 of the Code. Generally, all of our regular employees (including our Named Executive Officers during their employment with us) may participate in the ESPP and may contribute, normally through payroll deductions, up to 15% of their earnings for the purchase of our common stock. The ESPP is implemented through a series of offerings of purchase rights to eligible employees. Each offering will have one or more purchase dates on which our common stock will be purchased for employees participating in the offering. Unless otherwise determined by our Compensation Committee, shares are purchased for accounts of employees participating in the ESPP at a price per share equal to the lower of (a) 85% of the fair market value of our common stock on the first date of an offering or (b) 85% of the fair market value of our common stock on the date of purchase.</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Perquisites and Other Personal Benefits</w:t>
      </w:r>
    </w:p>
    <w:p>
      <w:pPr>
        <w:spacing w:after="0" w:line="249" w:lineRule="exact"/>
        <w:rPr>
          <w:sz w:val="20"/>
          <w:szCs w:val="20"/>
          <w:color w:val="auto"/>
        </w:rPr>
      </w:pPr>
    </w:p>
    <w:p>
      <w:pPr>
        <w:ind w:right="80" w:firstLine="360"/>
        <w:spacing w:after="0" w:line="256" w:lineRule="auto"/>
        <w:rPr>
          <w:sz w:val="20"/>
          <w:szCs w:val="20"/>
          <w:color w:val="auto"/>
        </w:rPr>
      </w:pPr>
      <w:r>
        <w:rPr>
          <w:rFonts w:ascii="Arial" w:cs="Arial" w:eastAsia="Arial" w:hAnsi="Arial"/>
          <w:sz w:val="20"/>
          <w:szCs w:val="20"/>
          <w:color w:val="auto"/>
        </w:rPr>
        <w:t>Currently, we do not view perquisites or other personal benefits as a significant component of our executive compensation program. Accordingly, we do not offer perquisites or other personal benefits to our Named Executive Officers, apart from those generally made available to our employees or in situations where we believe it is appropriate to assist an individual in the performance of his or her duties, to make him or her more efficient and effective, and for recruitment and retention purposes. During 2022, none of our Named Executive Officers received perquisites or other personal benefits that were, in the aggregate, $10,000 or more for each individual.</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880" w:h="15480" w:orient="portrait"/>
          <w:cols w:equalWidth="0" w:num="1">
            <w:col w:w="9000"/>
          </w:cols>
          <w:pgMar w:left="1440" w:top="1204" w:right="1440" w:bottom="0" w:gutter="0" w:footer="0" w:header="0"/>
          <w:type w:val="continuous"/>
        </w:sectPr>
      </w:pPr>
    </w:p>
    <w:bookmarkStart w:id="60" w:name="page61"/>
    <w:bookmarkEnd w:id="60"/>
    <w:p>
      <w:pPr>
        <w:spacing w:after="0"/>
        <w:rPr>
          <w:sz w:val="20"/>
          <w:szCs w:val="20"/>
          <w:color w:val="auto"/>
        </w:rPr>
      </w:pPr>
      <w:r>
        <w:rPr>
          <w:rFonts w:ascii="Arial" w:cs="Arial" w:eastAsia="Arial" w:hAnsi="Arial"/>
          <w:sz w:val="20"/>
          <w:szCs w:val="20"/>
          <w:b w:val="1"/>
          <w:bCs w:val="1"/>
          <w:color w:val="auto"/>
        </w:rPr>
        <w:t>Compensation-Setting Process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Role of Compensation Committee</w:t>
      </w:r>
    </w:p>
    <w:p>
      <w:pPr>
        <w:spacing w:after="0" w:line="249" w:lineRule="exact"/>
        <w:rPr>
          <w:sz w:val="20"/>
          <w:szCs w:val="20"/>
          <w:color w:val="auto"/>
        </w:rPr>
      </w:pPr>
    </w:p>
    <w:p>
      <w:pPr>
        <w:ind w:right="40" w:firstLine="360"/>
        <w:spacing w:after="0" w:line="254" w:lineRule="auto"/>
        <w:rPr>
          <w:sz w:val="20"/>
          <w:szCs w:val="20"/>
          <w:color w:val="auto"/>
        </w:rPr>
      </w:pPr>
      <w:r>
        <w:rPr>
          <w:rFonts w:ascii="Arial" w:cs="Arial" w:eastAsia="Arial" w:hAnsi="Arial"/>
          <w:sz w:val="20"/>
          <w:szCs w:val="20"/>
          <w:color w:val="auto"/>
        </w:rPr>
        <w:t>The Compensation Committee discharges the responsibilities of our Board of Directors relating to the compensation of our Named Executive Officers, including by overseeing our compensation and benefits policies generally, and overseeing and evaluating the compensation plans, policies, and practices applicable to our CEO and other Named Executive Officers. In so doing, the Compensation Committee reviews our Named Executive Officers’ base salary levels, cash bonus targets, and long-term incentive compensation of our Named Executive Officers and all related performance criteria at the beginning of each year, or more frequently as warranted. Compensation adjustments to base salary are generally effective on March 1 and changes to target bonus amounts are generally effective at the beginning of the year. The Compensation Committee also makes compensation recommendations for the non-employee members of our Board of Directors to our full Board of Directors for their review and approval.</w:t>
      </w:r>
    </w:p>
    <w:p>
      <w:pPr>
        <w:spacing w:after="0" w:line="203" w:lineRule="exact"/>
        <w:rPr>
          <w:sz w:val="20"/>
          <w:szCs w:val="20"/>
          <w:color w:val="auto"/>
        </w:rPr>
      </w:pPr>
    </w:p>
    <w:p>
      <w:pPr>
        <w:ind w:firstLine="360"/>
        <w:spacing w:after="0" w:line="287" w:lineRule="auto"/>
        <w:rPr>
          <w:sz w:val="20"/>
          <w:szCs w:val="20"/>
          <w:color w:val="auto"/>
        </w:rPr>
      </w:pPr>
      <w:r>
        <w:rPr>
          <w:rFonts w:ascii="Arial" w:cs="Arial" w:eastAsia="Arial" w:hAnsi="Arial"/>
          <w:sz w:val="20"/>
          <w:szCs w:val="20"/>
          <w:color w:val="auto"/>
        </w:rPr>
        <w:t>The Compensation Committee retains a compensation consultant (as described below) to provide support in its review and assessment of our executive compensation program.</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Factors Used in Determining Executive Compensation</w:t>
      </w:r>
    </w:p>
    <w:p>
      <w:pPr>
        <w:spacing w:after="0" w:line="249" w:lineRule="exact"/>
        <w:rPr>
          <w:sz w:val="20"/>
          <w:szCs w:val="20"/>
          <w:color w:val="auto"/>
        </w:rPr>
      </w:pPr>
    </w:p>
    <w:p>
      <w:pPr>
        <w:ind w:right="40" w:firstLine="360"/>
        <w:spacing w:after="0" w:line="262" w:lineRule="auto"/>
        <w:rPr>
          <w:sz w:val="20"/>
          <w:szCs w:val="20"/>
          <w:color w:val="auto"/>
        </w:rPr>
      </w:pPr>
      <w:r>
        <w:rPr>
          <w:rFonts w:ascii="Arial" w:cs="Arial" w:eastAsia="Arial" w:hAnsi="Arial"/>
          <w:sz w:val="20"/>
          <w:szCs w:val="20"/>
          <w:color w:val="auto"/>
        </w:rPr>
        <w:t>In making decisions about the compensation of our Named Executive Officers, the members of the Compensation Committee do not establish a specific target or benchmark against our peers for each executive and instead take a holistic approach, relying primarily on their general experience and consideration of various factors, including the following:</w:t>
      </w:r>
    </w:p>
    <w:p>
      <w:pPr>
        <w:spacing w:after="0" w:line="30" w:lineRule="exact"/>
        <w:rPr>
          <w:sz w:val="20"/>
          <w:szCs w:val="20"/>
          <w:color w:val="auto"/>
        </w:rPr>
      </w:pPr>
    </w:p>
    <w:p>
      <w:pPr>
        <w:ind w:left="720" w:hanging="360"/>
        <w:spacing w:after="0"/>
        <w:tabs>
          <w:tab w:leader="none" w:pos="720" w:val="left"/>
        </w:tabs>
        <w:numPr>
          <w:ilvl w:val="0"/>
          <w:numId w:val="46"/>
        </w:numPr>
        <w:rPr>
          <w:rFonts w:ascii="Arial" w:cs="Arial" w:eastAsia="Arial" w:hAnsi="Arial"/>
          <w:sz w:val="22"/>
          <w:szCs w:val="22"/>
          <w:color w:val="auto"/>
        </w:rPr>
      </w:pPr>
      <w:r>
        <w:rPr>
          <w:rFonts w:ascii="Arial" w:cs="Arial" w:eastAsia="Arial" w:hAnsi="Arial"/>
          <w:sz w:val="20"/>
          <w:szCs w:val="20"/>
          <w:color w:val="auto"/>
        </w:rPr>
        <w:t>our executive compensation program objectives;</w:t>
      </w:r>
    </w:p>
    <w:p>
      <w:pPr>
        <w:spacing w:after="0" w:line="11" w:lineRule="exact"/>
        <w:rPr>
          <w:rFonts w:ascii="Arial" w:cs="Arial" w:eastAsia="Arial" w:hAnsi="Arial"/>
          <w:sz w:val="22"/>
          <w:szCs w:val="22"/>
          <w:color w:val="auto"/>
        </w:rPr>
      </w:pPr>
    </w:p>
    <w:p>
      <w:pPr>
        <w:ind w:left="720" w:right="20" w:hanging="360"/>
        <w:spacing w:after="0" w:line="262" w:lineRule="auto"/>
        <w:tabs>
          <w:tab w:leader="none" w:pos="720" w:val="left"/>
        </w:tabs>
        <w:numPr>
          <w:ilvl w:val="0"/>
          <w:numId w:val="46"/>
        </w:numPr>
        <w:rPr>
          <w:rFonts w:ascii="Arial" w:cs="Arial" w:eastAsia="Arial" w:hAnsi="Arial"/>
          <w:sz w:val="22"/>
          <w:szCs w:val="22"/>
          <w:color w:val="auto"/>
        </w:rPr>
      </w:pPr>
      <w:r>
        <w:rPr>
          <w:rFonts w:ascii="Arial" w:cs="Arial" w:eastAsia="Arial" w:hAnsi="Arial"/>
          <w:sz w:val="20"/>
          <w:szCs w:val="20"/>
          <w:color w:val="auto"/>
        </w:rPr>
        <w:t>our performance against the financial, operational, and strategic objectives established by the Compensation Committee and our Board of Directors;</w:t>
      </w:r>
    </w:p>
    <w:p>
      <w:pPr>
        <w:ind w:left="720" w:right="200" w:hanging="360"/>
        <w:spacing w:after="0" w:line="266" w:lineRule="auto"/>
        <w:tabs>
          <w:tab w:leader="none" w:pos="720" w:val="left"/>
        </w:tabs>
        <w:numPr>
          <w:ilvl w:val="0"/>
          <w:numId w:val="46"/>
        </w:numPr>
        <w:rPr>
          <w:rFonts w:ascii="Arial" w:cs="Arial" w:eastAsia="Arial" w:hAnsi="Arial"/>
          <w:sz w:val="22"/>
          <w:szCs w:val="22"/>
          <w:color w:val="auto"/>
        </w:rPr>
      </w:pPr>
      <w:r>
        <w:rPr>
          <w:rFonts w:ascii="Arial" w:cs="Arial" w:eastAsia="Arial" w:hAnsi="Arial"/>
          <w:sz w:val="20"/>
          <w:szCs w:val="20"/>
          <w:color w:val="auto"/>
        </w:rPr>
        <w:t>each individual Named Executive Officer’s knowledge, skills, experience, qualifications, and tenure relative to other similarly situated executives at the companies in our compensation peer group;</w:t>
      </w:r>
    </w:p>
    <w:p>
      <w:pPr>
        <w:spacing w:after="0" w:line="1" w:lineRule="exact"/>
        <w:rPr>
          <w:rFonts w:ascii="Arial" w:cs="Arial" w:eastAsia="Arial" w:hAnsi="Arial"/>
          <w:sz w:val="22"/>
          <w:szCs w:val="22"/>
          <w:color w:val="auto"/>
        </w:rPr>
      </w:pPr>
    </w:p>
    <w:p>
      <w:pPr>
        <w:ind w:left="720" w:right="460" w:hanging="360"/>
        <w:spacing w:after="0" w:line="262" w:lineRule="auto"/>
        <w:tabs>
          <w:tab w:leader="none" w:pos="720" w:val="left"/>
        </w:tabs>
        <w:numPr>
          <w:ilvl w:val="0"/>
          <w:numId w:val="46"/>
        </w:numPr>
        <w:rPr>
          <w:rFonts w:ascii="Arial" w:cs="Arial" w:eastAsia="Arial" w:hAnsi="Arial"/>
          <w:sz w:val="22"/>
          <w:szCs w:val="22"/>
          <w:color w:val="auto"/>
        </w:rPr>
      </w:pPr>
      <w:r>
        <w:rPr>
          <w:rFonts w:ascii="Arial" w:cs="Arial" w:eastAsia="Arial" w:hAnsi="Arial"/>
          <w:sz w:val="20"/>
          <w:szCs w:val="20"/>
          <w:color w:val="auto"/>
        </w:rPr>
        <w:t>the scope of each Named Executive Officer’s role and responsibilities compared to other similarly situated executives at the companies in our compensation peer group;</w:t>
      </w:r>
    </w:p>
    <w:p>
      <w:pPr>
        <w:ind w:left="720" w:right="360" w:hanging="360"/>
        <w:spacing w:after="0" w:line="280" w:lineRule="auto"/>
        <w:tabs>
          <w:tab w:leader="none" w:pos="720" w:val="left"/>
        </w:tabs>
        <w:numPr>
          <w:ilvl w:val="0"/>
          <w:numId w:val="46"/>
        </w:numPr>
        <w:rPr>
          <w:rFonts w:ascii="Arial" w:cs="Arial" w:eastAsia="Arial" w:hAnsi="Arial"/>
          <w:sz w:val="21"/>
          <w:szCs w:val="21"/>
          <w:color w:val="auto"/>
        </w:rPr>
      </w:pPr>
      <w:r>
        <w:rPr>
          <w:rFonts w:ascii="Arial" w:cs="Arial" w:eastAsia="Arial" w:hAnsi="Arial"/>
          <w:sz w:val="19"/>
          <w:szCs w:val="19"/>
          <w:color w:val="auto"/>
        </w:rPr>
        <w:t>the prior performance of each individual Named Executive Officer, based on a subjective assessment of his or her contributions to our overall performance, ability to lead his or her business unit or function, and work as part of a team, all of which reflect our core values;</w:t>
      </w:r>
    </w:p>
    <w:p>
      <w:pPr>
        <w:ind w:left="720" w:right="700" w:hanging="360"/>
        <w:spacing w:after="0" w:line="255" w:lineRule="auto"/>
        <w:tabs>
          <w:tab w:leader="none" w:pos="720" w:val="left"/>
        </w:tabs>
        <w:numPr>
          <w:ilvl w:val="0"/>
          <w:numId w:val="46"/>
        </w:numPr>
        <w:rPr>
          <w:rFonts w:ascii="Arial" w:cs="Arial" w:eastAsia="Arial" w:hAnsi="Arial"/>
          <w:sz w:val="22"/>
          <w:szCs w:val="22"/>
          <w:color w:val="auto"/>
        </w:rPr>
      </w:pPr>
      <w:r>
        <w:rPr>
          <w:rFonts w:ascii="Arial" w:cs="Arial" w:eastAsia="Arial" w:hAnsi="Arial"/>
          <w:sz w:val="20"/>
          <w:szCs w:val="20"/>
          <w:color w:val="auto"/>
        </w:rPr>
        <w:t>the potential of each individual Named Executive Officer to contribute to our long-term financial, operational, and strategic objectives;</w:t>
      </w:r>
    </w:p>
    <w:p>
      <w:pPr>
        <w:ind w:left="720" w:right="60" w:hanging="360"/>
        <w:spacing w:after="0" w:line="257" w:lineRule="auto"/>
        <w:tabs>
          <w:tab w:leader="none" w:pos="72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value of each Named Executive Officer's target total direct compensation opportunity (the sum of base salary, cash bonus opportunity and equity awards);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46"/>
        </w:numPr>
        <w:rPr>
          <w:rFonts w:ascii="Arial" w:cs="Arial" w:eastAsia="Arial" w:hAnsi="Arial"/>
          <w:sz w:val="22"/>
          <w:szCs w:val="22"/>
          <w:color w:val="auto"/>
        </w:rPr>
      </w:pPr>
      <w:r>
        <w:rPr>
          <w:rFonts w:ascii="Arial" w:cs="Arial" w:eastAsia="Arial" w:hAnsi="Arial"/>
          <w:sz w:val="20"/>
          <w:szCs w:val="20"/>
          <w:color w:val="auto"/>
        </w:rPr>
        <w:t>our financial performance relative to our peers;</w:t>
      </w:r>
    </w:p>
    <w:p>
      <w:pPr>
        <w:spacing w:after="0" w:line="11" w:lineRule="exact"/>
        <w:rPr>
          <w:rFonts w:ascii="Arial" w:cs="Arial" w:eastAsia="Arial" w:hAnsi="Arial"/>
          <w:sz w:val="22"/>
          <w:szCs w:val="22"/>
          <w:color w:val="auto"/>
        </w:rPr>
      </w:pPr>
    </w:p>
    <w:p>
      <w:pPr>
        <w:ind w:left="720" w:right="120" w:hanging="360"/>
        <w:spacing w:after="0" w:line="266" w:lineRule="auto"/>
        <w:tabs>
          <w:tab w:leader="none" w:pos="720" w:val="left"/>
        </w:tabs>
        <w:numPr>
          <w:ilvl w:val="0"/>
          <w:numId w:val="46"/>
        </w:numPr>
        <w:rPr>
          <w:rFonts w:ascii="Arial" w:cs="Arial" w:eastAsia="Arial" w:hAnsi="Arial"/>
          <w:sz w:val="22"/>
          <w:szCs w:val="22"/>
          <w:color w:val="auto"/>
        </w:rPr>
      </w:pPr>
      <w:r>
        <w:rPr>
          <w:rFonts w:ascii="Arial" w:cs="Arial" w:eastAsia="Arial" w:hAnsi="Arial"/>
          <w:sz w:val="20"/>
          <w:szCs w:val="20"/>
          <w:color w:val="auto"/>
        </w:rPr>
        <w:t>the compensation practices of our compensation peer group and the positioning of each Named Executive Officer’s compensation in a ranking of peer company compensation levels based on an analysis of competitive market data; and</w:t>
      </w:r>
    </w:p>
    <w:p>
      <w:pPr>
        <w:spacing w:after="0" w:line="1" w:lineRule="exact"/>
        <w:rPr>
          <w:rFonts w:ascii="Arial" w:cs="Arial" w:eastAsia="Arial" w:hAnsi="Arial"/>
          <w:sz w:val="22"/>
          <w:szCs w:val="22"/>
          <w:color w:val="auto"/>
        </w:rPr>
      </w:pPr>
    </w:p>
    <w:p>
      <w:pPr>
        <w:ind w:left="720" w:right="140" w:hanging="360"/>
        <w:spacing w:after="0" w:line="288" w:lineRule="auto"/>
        <w:tabs>
          <w:tab w:leader="none" w:pos="720" w:val="left"/>
        </w:tabs>
        <w:numPr>
          <w:ilvl w:val="0"/>
          <w:numId w:val="46"/>
        </w:numPr>
        <w:rPr>
          <w:rFonts w:ascii="Arial" w:cs="Arial" w:eastAsia="Arial" w:hAnsi="Arial"/>
          <w:sz w:val="22"/>
          <w:szCs w:val="22"/>
          <w:color w:val="auto"/>
        </w:rPr>
      </w:pPr>
      <w:r>
        <w:rPr>
          <w:rFonts w:ascii="Arial" w:cs="Arial" w:eastAsia="Arial" w:hAnsi="Arial"/>
          <w:sz w:val="20"/>
          <w:szCs w:val="20"/>
          <w:color w:val="auto"/>
        </w:rPr>
        <w:t>the recommendations of our CEO with respect to the compensation of our Named Executive Officers (except with respect to his own compensation).</w:t>
      </w:r>
    </w:p>
    <w:p>
      <w:pPr>
        <w:spacing w:after="0" w:line="174" w:lineRule="exact"/>
        <w:rPr>
          <w:sz w:val="20"/>
          <w:szCs w:val="20"/>
          <w:color w:val="auto"/>
        </w:rPr>
      </w:pPr>
    </w:p>
    <w:p>
      <w:pPr>
        <w:ind w:right="40" w:firstLine="360"/>
        <w:spacing w:after="0" w:line="289" w:lineRule="auto"/>
        <w:rPr>
          <w:sz w:val="20"/>
          <w:szCs w:val="20"/>
          <w:color w:val="auto"/>
        </w:rPr>
      </w:pPr>
      <w:r>
        <w:rPr>
          <w:rFonts w:ascii="Arial" w:cs="Arial" w:eastAsia="Arial" w:hAnsi="Arial"/>
          <w:sz w:val="19"/>
          <w:szCs w:val="19"/>
          <w:color w:val="auto"/>
        </w:rPr>
        <w:t>The Compensation Committee does not weigh these factors in any predetermined manner or formulaically, nor is any single factor determinative in setting compensation levels or making compensation decisions. In addition, we have not adopted any formal policies or employed guidelines</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880" w:h="15480" w:orient="portrait"/>
          <w:cols w:equalWidth="0" w:num="1">
            <w:col w:w="9000"/>
          </w:cols>
          <w:pgMar w:left="1440" w:top="1203" w:right="1440" w:bottom="0" w:gutter="0" w:footer="0" w:header="0"/>
          <w:type w:val="continuous"/>
        </w:sectPr>
      </w:pPr>
    </w:p>
    <w:bookmarkStart w:id="61" w:name="page62"/>
    <w:bookmarkEnd w:id="61"/>
    <w:p>
      <w:pPr>
        <w:ind w:right="300"/>
        <w:spacing w:after="0" w:line="259" w:lineRule="auto"/>
        <w:rPr>
          <w:sz w:val="20"/>
          <w:szCs w:val="20"/>
          <w:color w:val="auto"/>
        </w:rPr>
      </w:pPr>
      <w:r>
        <w:rPr>
          <w:rFonts w:ascii="Arial" w:cs="Arial" w:eastAsia="Arial" w:hAnsi="Arial"/>
          <w:sz w:val="20"/>
          <w:szCs w:val="20"/>
          <w:color w:val="auto"/>
        </w:rPr>
        <w:t>for allocating compensation between current and long-term compensation, between cash and non-cash compensation, or among different forms of non-cash compensation. Instead, the members of the Compensation Committee consider the above and other information in light of their individual experience, knowledge of the Company, knowledge of the competitive market, knowledge of each Named Executive Officer, and business judgment in making their decisions.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Role of Management</w:t>
      </w:r>
    </w:p>
    <w:p>
      <w:pPr>
        <w:spacing w:after="0" w:line="249" w:lineRule="exact"/>
        <w:rPr>
          <w:sz w:val="20"/>
          <w:szCs w:val="20"/>
          <w:color w:val="auto"/>
        </w:rPr>
      </w:pPr>
    </w:p>
    <w:p>
      <w:pPr>
        <w:ind w:right="580" w:firstLine="360"/>
        <w:spacing w:after="0" w:line="268" w:lineRule="auto"/>
        <w:rPr>
          <w:sz w:val="20"/>
          <w:szCs w:val="20"/>
          <w:color w:val="auto"/>
        </w:rPr>
      </w:pPr>
      <w:r>
        <w:rPr>
          <w:rFonts w:ascii="Arial" w:cs="Arial" w:eastAsia="Arial" w:hAnsi="Arial"/>
          <w:sz w:val="20"/>
          <w:szCs w:val="20"/>
          <w:color w:val="auto"/>
        </w:rPr>
        <w:t>In discharging its responsibilities, the Compensation Committee works with members of our management who provide information on corporate and individual performance, market compensation data, and other compensation related matters.</w:t>
      </w:r>
    </w:p>
    <w:p>
      <w:pPr>
        <w:spacing w:after="0" w:line="190" w:lineRule="exact"/>
        <w:rPr>
          <w:sz w:val="20"/>
          <w:szCs w:val="20"/>
          <w:color w:val="auto"/>
        </w:rPr>
      </w:pPr>
    </w:p>
    <w:p>
      <w:pPr>
        <w:ind w:right="60" w:firstLine="360"/>
        <w:spacing w:after="0" w:line="257" w:lineRule="auto"/>
        <w:rPr>
          <w:sz w:val="20"/>
          <w:szCs w:val="20"/>
          <w:color w:val="auto"/>
        </w:rPr>
      </w:pPr>
      <w:r>
        <w:rPr>
          <w:rFonts w:ascii="Arial" w:cs="Arial" w:eastAsia="Arial" w:hAnsi="Arial"/>
          <w:sz w:val="20"/>
          <w:szCs w:val="20"/>
          <w:color w:val="auto"/>
        </w:rPr>
        <w:t>In addition, our Compensation Committee seeks the CEO's input with respect to possible adjustments to annual cash compensation, long-term incentive compensation opportunities and other compensation-related matters for our non-CEO Named Executive Officers based on his evaluation of such Named Executive Officers’ performance for the prior year. Our CEO also attends meetings of our Board of Directors and the Compensation Committee at which executive compensation matters are addressed, but is not present during discussions involving his own compensation.</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Role of Compensation Consultant</w:t>
      </w:r>
    </w:p>
    <w:p>
      <w:pPr>
        <w:spacing w:after="0" w:line="249" w:lineRule="exact"/>
        <w:rPr>
          <w:sz w:val="20"/>
          <w:szCs w:val="20"/>
          <w:color w:val="auto"/>
        </w:rPr>
      </w:pPr>
    </w:p>
    <w:p>
      <w:pPr>
        <w:ind w:firstLine="360"/>
        <w:spacing w:after="0" w:line="238" w:lineRule="auto"/>
        <w:rPr>
          <w:sz w:val="20"/>
          <w:szCs w:val="20"/>
          <w:color w:val="auto"/>
        </w:rPr>
      </w:pPr>
      <w:r>
        <w:rPr>
          <w:rFonts w:ascii="Arial" w:cs="Arial" w:eastAsia="Arial" w:hAnsi="Arial"/>
          <w:sz w:val="20"/>
          <w:szCs w:val="20"/>
          <w:color w:val="auto"/>
        </w:rPr>
        <w:t>The Compensation Committee has retained an independent compensation consultant, Compensia, to advise on executive compensation matters, including competitive market pay practices for our Named Executive Officers, and to assist with the data analysis and development of the compensation peer group. During 2022, Compensia attended the meetings of the Compensation Committee (both with and without management present) as requested and provided various services to assist the committee in carrying out its duties. Under this engagement, Compensia reported directly to the Compensation Committee chair and also coordinated with our management for data collection, job matching for our executives and feedback on PSU design and compensation decisions. In 2022, Compensia did not provide any other services to us other than those done on behalf of the Compensation Committee.</w:t>
      </w:r>
    </w:p>
    <w:p>
      <w:pPr>
        <w:spacing w:after="0" w:line="199" w:lineRule="exact"/>
        <w:rPr>
          <w:sz w:val="20"/>
          <w:szCs w:val="20"/>
          <w:color w:val="auto"/>
        </w:rPr>
      </w:pPr>
    </w:p>
    <w:p>
      <w:pPr>
        <w:ind w:right="40" w:firstLine="360"/>
        <w:spacing w:after="0" w:line="259" w:lineRule="auto"/>
        <w:rPr>
          <w:sz w:val="20"/>
          <w:szCs w:val="20"/>
          <w:color w:val="auto"/>
        </w:rPr>
      </w:pPr>
      <w:r>
        <w:rPr>
          <w:rFonts w:ascii="Arial" w:cs="Arial" w:eastAsia="Arial" w:hAnsi="Arial"/>
          <w:sz w:val="20"/>
          <w:szCs w:val="20"/>
          <w:color w:val="auto"/>
        </w:rPr>
        <w:t>In 2022, the Compensation Committee evaluated the independence of Compensia and, based on this review, determined that no conflict of interest was raised as a result of the work performed by Compensia. In reaching this conclusion, the Compensation Committee considered applicable SEC rules and regulations and the corresponding Nasdaq independence factors regarding compensation advisor independence.</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Risk Management</w:t>
      </w:r>
    </w:p>
    <w:p>
      <w:pPr>
        <w:spacing w:after="0" w:line="249" w:lineRule="exact"/>
        <w:rPr>
          <w:sz w:val="20"/>
          <w:szCs w:val="20"/>
          <w:color w:val="auto"/>
        </w:rPr>
      </w:pPr>
    </w:p>
    <w:p>
      <w:pPr>
        <w:ind w:right="180" w:firstLine="360"/>
        <w:spacing w:after="0" w:line="242" w:lineRule="auto"/>
        <w:rPr>
          <w:sz w:val="20"/>
          <w:szCs w:val="20"/>
          <w:color w:val="auto"/>
        </w:rPr>
      </w:pPr>
      <w:r>
        <w:rPr>
          <w:rFonts w:ascii="Arial" w:cs="Arial" w:eastAsia="Arial" w:hAnsi="Arial"/>
          <w:sz w:val="20"/>
          <w:szCs w:val="20"/>
          <w:color w:val="auto"/>
        </w:rPr>
        <w:t>Each year, with the help of our independent compensation consultant, our Compensation Committee reviews whether our compensation policies and practices encourage executives or other employees to take unnecessary or unreasonable risks that could threaten the long-term value of the Company, or that are reasonably likely to have a material adverse effect. The Compensation Committee believes that our practices adequately manage this risk in so far as it:</w:t>
      </w:r>
    </w:p>
    <w:p>
      <w:pPr>
        <w:spacing w:after="0" w:line="208" w:lineRule="exact"/>
        <w:rPr>
          <w:sz w:val="20"/>
          <w:szCs w:val="20"/>
          <w:color w:val="auto"/>
        </w:rPr>
      </w:pPr>
    </w:p>
    <w:p>
      <w:pPr>
        <w:ind w:left="720" w:hanging="360"/>
        <w:spacing w:after="0"/>
        <w:tabs>
          <w:tab w:leader="none" w:pos="720" w:val="left"/>
        </w:tabs>
        <w:numPr>
          <w:ilvl w:val="0"/>
          <w:numId w:val="47"/>
        </w:numPr>
        <w:rPr>
          <w:rFonts w:ascii="Arial" w:cs="Arial" w:eastAsia="Arial" w:hAnsi="Arial"/>
          <w:sz w:val="22"/>
          <w:szCs w:val="22"/>
          <w:color w:val="auto"/>
        </w:rPr>
      </w:pPr>
      <w:r>
        <w:rPr>
          <w:rFonts w:ascii="Arial" w:cs="Arial" w:eastAsia="Arial" w:hAnsi="Arial"/>
          <w:sz w:val="20"/>
          <w:szCs w:val="20"/>
          <w:color w:val="auto"/>
        </w:rPr>
        <w:t>adopts an appropriate pay philosophy,</w:t>
      </w:r>
    </w:p>
    <w:p>
      <w:pPr>
        <w:ind w:left="720" w:hanging="360"/>
        <w:spacing w:after="0" w:line="233" w:lineRule="auto"/>
        <w:tabs>
          <w:tab w:leader="none" w:pos="720" w:val="left"/>
        </w:tabs>
        <w:numPr>
          <w:ilvl w:val="0"/>
          <w:numId w:val="47"/>
        </w:numPr>
        <w:rPr>
          <w:rFonts w:ascii="Arial" w:cs="Arial" w:eastAsia="Arial" w:hAnsi="Arial"/>
          <w:sz w:val="22"/>
          <w:szCs w:val="22"/>
          <w:color w:val="auto"/>
        </w:rPr>
      </w:pPr>
      <w:r>
        <w:rPr>
          <w:rFonts w:ascii="Arial" w:cs="Arial" w:eastAsia="Arial" w:hAnsi="Arial"/>
          <w:sz w:val="20"/>
          <w:szCs w:val="20"/>
          <w:color w:val="auto"/>
        </w:rPr>
        <w:t>uses an appropriate, objectively selected peer group to support decision-making,</w:t>
      </w:r>
    </w:p>
    <w:p>
      <w:pPr>
        <w:ind w:left="720" w:hanging="360"/>
        <w:spacing w:after="0" w:line="233" w:lineRule="auto"/>
        <w:tabs>
          <w:tab w:leader="none" w:pos="720" w:val="left"/>
        </w:tabs>
        <w:numPr>
          <w:ilvl w:val="0"/>
          <w:numId w:val="47"/>
        </w:numPr>
        <w:rPr>
          <w:rFonts w:ascii="Arial" w:cs="Arial" w:eastAsia="Arial" w:hAnsi="Arial"/>
          <w:sz w:val="22"/>
          <w:szCs w:val="22"/>
          <w:color w:val="auto"/>
        </w:rPr>
      </w:pPr>
      <w:r>
        <w:rPr>
          <w:rFonts w:ascii="Arial" w:cs="Arial" w:eastAsia="Arial" w:hAnsi="Arial"/>
          <w:sz w:val="20"/>
          <w:szCs w:val="20"/>
          <w:color w:val="auto"/>
        </w:rPr>
        <w:t>reflects risk-mitigating design and governance practices in key areas,</w:t>
      </w:r>
    </w:p>
    <w:p>
      <w:pPr>
        <w:ind w:left="720" w:hanging="360"/>
        <w:spacing w:after="0" w:line="233" w:lineRule="auto"/>
        <w:tabs>
          <w:tab w:leader="none" w:pos="720" w:val="left"/>
        </w:tabs>
        <w:numPr>
          <w:ilvl w:val="0"/>
          <w:numId w:val="47"/>
        </w:numPr>
        <w:rPr>
          <w:rFonts w:ascii="Arial" w:cs="Arial" w:eastAsia="Arial" w:hAnsi="Arial"/>
          <w:sz w:val="22"/>
          <w:szCs w:val="22"/>
          <w:color w:val="auto"/>
        </w:rPr>
      </w:pPr>
      <w:r>
        <w:rPr>
          <w:rFonts w:ascii="Arial" w:cs="Arial" w:eastAsia="Arial" w:hAnsi="Arial"/>
          <w:sz w:val="20"/>
          <w:szCs w:val="20"/>
          <w:color w:val="auto"/>
        </w:rPr>
        <w:t>incentivizes execution on our business strategy,</w:t>
      </w:r>
    </w:p>
    <w:p>
      <w:pPr>
        <w:ind w:left="720" w:right="1180" w:hanging="360"/>
        <w:spacing w:after="0" w:line="269" w:lineRule="auto"/>
        <w:tabs>
          <w:tab w:leader="none" w:pos="720" w:val="left"/>
        </w:tabs>
        <w:numPr>
          <w:ilvl w:val="0"/>
          <w:numId w:val="47"/>
        </w:numPr>
        <w:rPr>
          <w:rFonts w:ascii="Arial" w:cs="Arial" w:eastAsia="Arial" w:hAnsi="Arial"/>
          <w:sz w:val="22"/>
          <w:szCs w:val="22"/>
          <w:color w:val="auto"/>
        </w:rPr>
      </w:pPr>
      <w:r>
        <w:rPr>
          <w:rFonts w:ascii="Arial" w:cs="Arial" w:eastAsia="Arial" w:hAnsi="Arial"/>
          <w:sz w:val="20"/>
          <w:szCs w:val="20"/>
          <w:color w:val="auto"/>
        </w:rPr>
        <w:t>is appropriately balanced, with potential for reward based on long-term company performance, and</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880" w:h="15480" w:orient="portrait"/>
          <w:cols w:equalWidth="0" w:num="1">
            <w:col w:w="9000"/>
          </w:cols>
          <w:pgMar w:left="1440" w:top="1204" w:right="1440" w:bottom="0" w:gutter="0" w:footer="0" w:header="0"/>
          <w:type w:val="continuous"/>
        </w:sectPr>
      </w:pPr>
    </w:p>
    <w:bookmarkStart w:id="62" w:name="page63"/>
    <w:bookmarkEnd w:id="62"/>
    <w:p>
      <w:pPr>
        <w:ind w:left="720" w:right="320" w:hanging="360"/>
        <w:spacing w:after="0" w:line="269" w:lineRule="auto"/>
        <w:tabs>
          <w:tab w:leader="none" w:pos="720" w:val="left"/>
        </w:tabs>
        <w:numPr>
          <w:ilvl w:val="0"/>
          <w:numId w:val="48"/>
        </w:numPr>
        <w:rPr>
          <w:rFonts w:ascii="Arial" w:cs="Arial" w:eastAsia="Arial" w:hAnsi="Arial"/>
          <w:sz w:val="22"/>
          <w:szCs w:val="22"/>
          <w:color w:val="auto"/>
        </w:rPr>
      </w:pPr>
      <w:r>
        <w:rPr>
          <w:rFonts w:ascii="Arial" w:cs="Arial" w:eastAsia="Arial" w:hAnsi="Arial"/>
          <w:sz w:val="20"/>
          <w:szCs w:val="20"/>
          <w:color w:val="auto"/>
        </w:rPr>
        <w:t>reviews actual pay delivery from performance-based incentives to confirm the rigor of goal setting and the alignment with performance.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Competitive Positioning</w:t>
      </w:r>
    </w:p>
    <w:p>
      <w:pPr>
        <w:spacing w:after="0" w:line="249" w:lineRule="exact"/>
        <w:rPr>
          <w:sz w:val="20"/>
          <w:szCs w:val="20"/>
          <w:color w:val="auto"/>
        </w:rPr>
      </w:pPr>
    </w:p>
    <w:p>
      <w:pPr>
        <w:ind w:right="40" w:firstLine="360"/>
        <w:spacing w:after="0" w:line="257" w:lineRule="auto"/>
        <w:rPr>
          <w:sz w:val="20"/>
          <w:szCs w:val="20"/>
          <w:color w:val="auto"/>
        </w:rPr>
      </w:pPr>
      <w:r>
        <w:rPr>
          <w:rFonts w:ascii="Arial" w:cs="Arial" w:eastAsia="Arial" w:hAnsi="Arial"/>
          <w:sz w:val="20"/>
          <w:szCs w:val="20"/>
          <w:color w:val="auto"/>
        </w:rPr>
        <w:t>For purposes of assessing our executive compensation against the competitive market, the Compensation Committee reviews and considers the compensation levels and practices of a select group of peer companies as well as data drawn from the Radford Global Technology Survey. The Compensation Committee reviews our compensation peer group at least annually with the assistance of Compensia and makes adjustments to its composition if warranted, taking into account changes in both our business and the businesses of the companies in the peer group.</w:t>
      </w:r>
    </w:p>
    <w:p>
      <w:pPr>
        <w:spacing w:after="0" w:line="202" w:lineRule="exact"/>
        <w:rPr>
          <w:sz w:val="20"/>
          <w:szCs w:val="20"/>
          <w:color w:val="auto"/>
        </w:rPr>
      </w:pPr>
    </w:p>
    <w:p>
      <w:pPr>
        <w:ind w:right="40" w:firstLine="360"/>
        <w:spacing w:after="0" w:line="268" w:lineRule="auto"/>
        <w:rPr>
          <w:sz w:val="20"/>
          <w:szCs w:val="20"/>
          <w:color w:val="auto"/>
        </w:rPr>
      </w:pPr>
      <w:r>
        <w:rPr>
          <w:rFonts w:ascii="Arial" w:cs="Arial" w:eastAsia="Arial" w:hAnsi="Arial"/>
          <w:sz w:val="20"/>
          <w:szCs w:val="20"/>
          <w:color w:val="auto"/>
        </w:rPr>
        <w:t>When reviewing the peer group in July 2021, Compensia and the Compensation Committee used the following criteria to identify companies reasonably similar to us in terms of revenue, market capitalization, and industry focus:</w:t>
      </w:r>
    </w:p>
    <w:p>
      <w:pPr>
        <w:spacing w:after="0" w:line="24" w:lineRule="exact"/>
        <w:rPr>
          <w:sz w:val="20"/>
          <w:szCs w:val="20"/>
          <w:color w:val="auto"/>
        </w:rPr>
      </w:pPr>
    </w:p>
    <w:p>
      <w:pPr>
        <w:ind w:left="720" w:right="160" w:hanging="360"/>
        <w:spacing w:after="0" w:line="282" w:lineRule="auto"/>
        <w:tabs>
          <w:tab w:leader="none" w:pos="720" w:val="left"/>
        </w:tabs>
        <w:numPr>
          <w:ilvl w:val="0"/>
          <w:numId w:val="49"/>
        </w:numPr>
        <w:rPr>
          <w:rFonts w:ascii="Arial" w:cs="Arial" w:eastAsia="Arial" w:hAnsi="Arial"/>
          <w:sz w:val="22"/>
          <w:szCs w:val="22"/>
          <w:color w:val="auto"/>
        </w:rPr>
      </w:pPr>
      <w:r>
        <w:rPr>
          <w:rFonts w:ascii="Arial" w:cs="Arial" w:eastAsia="Arial" w:hAnsi="Arial"/>
          <w:sz w:val="20"/>
          <w:szCs w:val="20"/>
          <w:color w:val="auto"/>
        </w:rPr>
        <w:t>publicly traded companies headquartered in the United States and traded on a major United States stock exchange;</w:t>
      </w:r>
    </w:p>
    <w:p>
      <w:pPr>
        <w:spacing w:after="0" w:line="20" w:lineRule="exact"/>
        <w:rPr>
          <w:rFonts w:ascii="Arial" w:cs="Arial" w:eastAsia="Arial" w:hAnsi="Arial"/>
          <w:sz w:val="22"/>
          <w:szCs w:val="22"/>
          <w:color w:val="auto"/>
        </w:rPr>
      </w:pPr>
    </w:p>
    <w:p>
      <w:pPr>
        <w:ind w:left="720" w:hanging="360"/>
        <w:spacing w:after="0"/>
        <w:tabs>
          <w:tab w:leader="none" w:pos="720" w:val="left"/>
        </w:tabs>
        <w:numPr>
          <w:ilvl w:val="0"/>
          <w:numId w:val="49"/>
        </w:numPr>
        <w:rPr>
          <w:rFonts w:ascii="Arial" w:cs="Arial" w:eastAsia="Arial" w:hAnsi="Arial"/>
          <w:sz w:val="22"/>
          <w:szCs w:val="22"/>
          <w:color w:val="auto"/>
        </w:rPr>
      </w:pPr>
      <w:r>
        <w:rPr>
          <w:rFonts w:ascii="Arial" w:cs="Arial" w:eastAsia="Arial" w:hAnsi="Arial"/>
          <w:sz w:val="20"/>
          <w:szCs w:val="20"/>
          <w:color w:val="auto"/>
        </w:rPr>
        <w:t>companies in the information technology industry;</w:t>
      </w:r>
    </w:p>
    <w:p>
      <w:pPr>
        <w:spacing w:after="0" w:line="71" w:lineRule="exact"/>
        <w:rPr>
          <w:rFonts w:ascii="Arial" w:cs="Arial" w:eastAsia="Arial" w:hAnsi="Arial"/>
          <w:sz w:val="22"/>
          <w:szCs w:val="22"/>
          <w:color w:val="auto"/>
        </w:rPr>
      </w:pPr>
    </w:p>
    <w:p>
      <w:pPr>
        <w:ind w:left="720" w:right="380" w:hanging="360"/>
        <w:spacing w:after="0" w:line="279" w:lineRule="auto"/>
        <w:tabs>
          <w:tab w:leader="none" w:pos="720" w:val="left"/>
        </w:tabs>
        <w:numPr>
          <w:ilvl w:val="0"/>
          <w:numId w:val="49"/>
        </w:numPr>
        <w:rPr>
          <w:rFonts w:ascii="Arial" w:cs="Arial" w:eastAsia="Arial" w:hAnsi="Arial"/>
          <w:sz w:val="22"/>
          <w:szCs w:val="22"/>
          <w:color w:val="auto"/>
        </w:rPr>
      </w:pPr>
      <w:r>
        <w:rPr>
          <w:rFonts w:ascii="Arial" w:cs="Arial" w:eastAsia="Arial" w:hAnsi="Arial"/>
          <w:sz w:val="20"/>
          <w:szCs w:val="20"/>
          <w:color w:val="auto"/>
        </w:rPr>
        <w:t>companies with similar revenues - within a range of approximately 0.33x to approximately 3.0x of our last four quarters' revenue of approximately $460 million (approximately $150 million to $1.4 billion)</w:t>
      </w:r>
    </w:p>
    <w:p>
      <w:pPr>
        <w:spacing w:after="0" w:line="23" w:lineRule="exact"/>
        <w:rPr>
          <w:rFonts w:ascii="Arial" w:cs="Arial" w:eastAsia="Arial" w:hAnsi="Arial"/>
          <w:sz w:val="22"/>
          <w:szCs w:val="22"/>
          <w:color w:val="auto"/>
        </w:rPr>
      </w:pPr>
    </w:p>
    <w:p>
      <w:pPr>
        <w:ind w:left="720" w:right="580" w:hanging="360"/>
        <w:spacing w:after="0" w:line="279" w:lineRule="auto"/>
        <w:tabs>
          <w:tab w:leader="none" w:pos="720" w:val="left"/>
        </w:tabs>
        <w:numPr>
          <w:ilvl w:val="0"/>
          <w:numId w:val="49"/>
        </w:numPr>
        <w:rPr>
          <w:rFonts w:ascii="Arial" w:cs="Arial" w:eastAsia="Arial" w:hAnsi="Arial"/>
          <w:sz w:val="22"/>
          <w:szCs w:val="22"/>
          <w:color w:val="auto"/>
        </w:rPr>
      </w:pPr>
      <w:r>
        <w:rPr>
          <w:rFonts w:ascii="Arial" w:cs="Arial" w:eastAsia="Arial" w:hAnsi="Arial"/>
          <w:sz w:val="20"/>
          <w:szCs w:val="20"/>
          <w:color w:val="auto"/>
        </w:rPr>
        <w:t>companies with similar market capitalizations - within a range of approximately 0.33x to approximately 3.0x of our then market capitalization of approximately $4.5 billion (approximately $1.5 billion to approximately $13.5 billion);</w:t>
      </w:r>
    </w:p>
    <w:p>
      <w:pPr>
        <w:spacing w:after="0" w:line="23" w:lineRule="exact"/>
        <w:rPr>
          <w:rFonts w:ascii="Arial" w:cs="Arial" w:eastAsia="Arial" w:hAnsi="Arial"/>
          <w:sz w:val="22"/>
          <w:szCs w:val="22"/>
          <w:color w:val="auto"/>
        </w:rPr>
      </w:pPr>
    </w:p>
    <w:p>
      <w:pPr>
        <w:ind w:left="720" w:hanging="360"/>
        <w:spacing w:after="0"/>
        <w:tabs>
          <w:tab w:leader="none" w:pos="720" w:val="left"/>
        </w:tabs>
        <w:numPr>
          <w:ilvl w:val="0"/>
          <w:numId w:val="49"/>
        </w:numPr>
        <w:rPr>
          <w:rFonts w:ascii="Arial" w:cs="Arial" w:eastAsia="Arial" w:hAnsi="Arial"/>
          <w:sz w:val="22"/>
          <w:szCs w:val="22"/>
          <w:color w:val="auto"/>
        </w:rPr>
      </w:pPr>
      <w:r>
        <w:rPr>
          <w:rFonts w:ascii="Arial" w:cs="Arial" w:eastAsia="Arial" w:hAnsi="Arial"/>
          <w:sz w:val="20"/>
          <w:szCs w:val="20"/>
          <w:color w:val="auto"/>
        </w:rPr>
        <w:t>companies in the Internet/network security software sector; and</w:t>
      </w:r>
    </w:p>
    <w:p>
      <w:pPr>
        <w:spacing w:after="0" w:line="71" w:lineRule="exact"/>
        <w:rPr>
          <w:rFonts w:ascii="Arial" w:cs="Arial" w:eastAsia="Arial" w:hAnsi="Arial"/>
          <w:sz w:val="22"/>
          <w:szCs w:val="22"/>
          <w:color w:val="auto"/>
        </w:rPr>
      </w:pPr>
    </w:p>
    <w:p>
      <w:pPr>
        <w:ind w:left="720" w:hanging="360"/>
        <w:spacing w:after="0"/>
        <w:tabs>
          <w:tab w:leader="none" w:pos="720" w:val="left"/>
        </w:tabs>
        <w:numPr>
          <w:ilvl w:val="0"/>
          <w:numId w:val="49"/>
        </w:numPr>
        <w:rPr>
          <w:rFonts w:ascii="Arial" w:cs="Arial" w:eastAsia="Arial" w:hAnsi="Arial"/>
          <w:sz w:val="22"/>
          <w:szCs w:val="22"/>
          <w:color w:val="auto"/>
        </w:rPr>
      </w:pPr>
      <w:r>
        <w:rPr>
          <w:rFonts w:ascii="Arial" w:cs="Arial" w:eastAsia="Arial" w:hAnsi="Arial"/>
          <w:sz w:val="20"/>
          <w:szCs w:val="20"/>
          <w:color w:val="auto"/>
        </w:rPr>
        <w:t>companies with revenue growth generally greater than 20%.</w:t>
      </w:r>
    </w:p>
    <w:p>
      <w:pPr>
        <w:spacing w:after="0" w:line="237" w:lineRule="exact"/>
        <w:rPr>
          <w:sz w:val="20"/>
          <w:szCs w:val="20"/>
          <w:color w:val="auto"/>
        </w:rPr>
      </w:pPr>
    </w:p>
    <w:p>
      <w:pPr>
        <w:ind w:firstLine="360"/>
        <w:spacing w:after="0" w:line="287" w:lineRule="auto"/>
        <w:rPr>
          <w:sz w:val="20"/>
          <w:szCs w:val="20"/>
          <w:color w:val="auto"/>
        </w:rPr>
      </w:pPr>
      <w:r>
        <w:rPr>
          <w:rFonts w:ascii="Arial" w:cs="Arial" w:eastAsia="Arial" w:hAnsi="Arial"/>
          <w:sz w:val="20"/>
          <w:szCs w:val="20"/>
          <w:color w:val="auto"/>
        </w:rPr>
        <w:t>The Compensation Committee approved a compensation peer group for use in 2022 consisting of the following companies:</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65"/>
        </w:trPr>
        <w:tc>
          <w:tcPr>
            <w:tcW w:w="2760" w:type="dxa"/>
            <w:vAlign w:val="bottom"/>
          </w:tcPr>
          <w:p>
            <w:pPr>
              <w:spacing w:after="0"/>
              <w:rPr>
                <w:sz w:val="20"/>
                <w:szCs w:val="20"/>
                <w:color w:val="auto"/>
              </w:rPr>
            </w:pPr>
            <w:r>
              <w:rPr>
                <w:rFonts w:ascii="Arial" w:cs="Arial" w:eastAsia="Arial" w:hAnsi="Arial"/>
                <w:sz w:val="20"/>
                <w:szCs w:val="20"/>
                <w:color w:val="auto"/>
              </w:rPr>
              <w:t>Anaplan (PLAN)</w:t>
            </w:r>
          </w:p>
        </w:tc>
        <w:tc>
          <w:tcPr>
            <w:tcW w:w="3000" w:type="dxa"/>
            <w:vAlign w:val="bottom"/>
          </w:tcPr>
          <w:p>
            <w:pPr>
              <w:ind w:left="240"/>
              <w:spacing w:after="0"/>
              <w:rPr>
                <w:sz w:val="20"/>
                <w:szCs w:val="20"/>
                <w:color w:val="auto"/>
              </w:rPr>
            </w:pPr>
            <w:r>
              <w:rPr>
                <w:rFonts w:ascii="Arial" w:cs="Arial" w:eastAsia="Arial" w:hAnsi="Arial"/>
                <w:sz w:val="20"/>
                <w:szCs w:val="20"/>
                <w:color w:val="auto"/>
              </w:rPr>
              <w:t>Five9 (FIVN)</w:t>
            </w:r>
          </w:p>
        </w:tc>
        <w:tc>
          <w:tcPr>
            <w:tcW w:w="2840" w:type="dxa"/>
            <w:vAlign w:val="bottom"/>
          </w:tcPr>
          <w:p>
            <w:pPr>
              <w:ind w:left="240"/>
              <w:spacing w:after="0"/>
              <w:rPr>
                <w:sz w:val="20"/>
                <w:szCs w:val="20"/>
                <w:color w:val="auto"/>
              </w:rPr>
            </w:pPr>
            <w:r>
              <w:rPr>
                <w:rFonts w:ascii="Arial" w:cs="Arial" w:eastAsia="Arial" w:hAnsi="Arial"/>
                <w:sz w:val="20"/>
                <w:szCs w:val="20"/>
                <w:color w:val="auto"/>
              </w:rPr>
              <w:t>Q2 Holdings (QTWO)</w:t>
            </w:r>
          </w:p>
        </w:tc>
        <w:tc>
          <w:tcPr>
            <w:tcW w:w="0" w:type="dxa"/>
            <w:vAlign w:val="bottom"/>
          </w:tcPr>
          <w:p>
            <w:pPr>
              <w:spacing w:after="0"/>
              <w:rPr>
                <w:sz w:val="1"/>
                <w:szCs w:val="1"/>
                <w:color w:val="auto"/>
              </w:rPr>
            </w:pPr>
          </w:p>
        </w:tc>
      </w:tr>
      <w:tr>
        <w:trPr>
          <w:trHeight w:val="300"/>
        </w:trPr>
        <w:tc>
          <w:tcPr>
            <w:tcW w:w="2760" w:type="dxa"/>
            <w:vAlign w:val="bottom"/>
          </w:tcPr>
          <w:p>
            <w:pPr>
              <w:spacing w:after="0"/>
              <w:rPr>
                <w:sz w:val="20"/>
                <w:szCs w:val="20"/>
                <w:color w:val="auto"/>
              </w:rPr>
            </w:pPr>
            <w:r>
              <w:rPr>
                <w:rFonts w:ascii="Arial" w:cs="Arial" w:eastAsia="Arial" w:hAnsi="Arial"/>
                <w:sz w:val="20"/>
                <w:szCs w:val="20"/>
                <w:color w:val="auto"/>
              </w:rPr>
              <w:t>Blackbaud (BLKB)</w:t>
            </w:r>
          </w:p>
        </w:tc>
        <w:tc>
          <w:tcPr>
            <w:tcW w:w="3000" w:type="dxa"/>
            <w:vAlign w:val="bottom"/>
          </w:tcPr>
          <w:p>
            <w:pPr>
              <w:ind w:left="240"/>
              <w:spacing w:after="0"/>
              <w:rPr>
                <w:sz w:val="20"/>
                <w:szCs w:val="20"/>
                <w:color w:val="auto"/>
              </w:rPr>
            </w:pPr>
            <w:r>
              <w:rPr>
                <w:rFonts w:ascii="Arial" w:cs="Arial" w:eastAsia="Arial" w:hAnsi="Arial"/>
                <w:sz w:val="20"/>
                <w:szCs w:val="20"/>
                <w:color w:val="auto"/>
              </w:rPr>
              <w:t>Guidewire Software (GWRE)</w:t>
            </w:r>
          </w:p>
        </w:tc>
        <w:tc>
          <w:tcPr>
            <w:tcW w:w="2840" w:type="dxa"/>
            <w:vAlign w:val="bottom"/>
          </w:tcPr>
          <w:p>
            <w:pPr>
              <w:ind w:left="240"/>
              <w:spacing w:after="0"/>
              <w:rPr>
                <w:sz w:val="20"/>
                <w:szCs w:val="20"/>
                <w:color w:val="auto"/>
              </w:rPr>
            </w:pPr>
            <w:r>
              <w:rPr>
                <w:rFonts w:ascii="Arial" w:cs="Arial" w:eastAsia="Arial" w:hAnsi="Arial"/>
                <w:sz w:val="20"/>
                <w:szCs w:val="20"/>
                <w:color w:val="auto"/>
              </w:rPr>
              <w:t>Qualys (QLYS)</w:t>
            </w:r>
          </w:p>
        </w:tc>
        <w:tc>
          <w:tcPr>
            <w:tcW w:w="0" w:type="dxa"/>
            <w:vAlign w:val="bottom"/>
          </w:tcPr>
          <w:p>
            <w:pPr>
              <w:spacing w:after="0"/>
              <w:rPr>
                <w:sz w:val="1"/>
                <w:szCs w:val="1"/>
                <w:color w:val="auto"/>
              </w:rPr>
            </w:pPr>
          </w:p>
        </w:tc>
      </w:tr>
      <w:tr>
        <w:trPr>
          <w:trHeight w:val="300"/>
        </w:trPr>
        <w:tc>
          <w:tcPr>
            <w:tcW w:w="2760" w:type="dxa"/>
            <w:vAlign w:val="bottom"/>
          </w:tcPr>
          <w:p>
            <w:pPr>
              <w:spacing w:after="0"/>
              <w:rPr>
                <w:sz w:val="20"/>
                <w:szCs w:val="20"/>
                <w:color w:val="auto"/>
              </w:rPr>
            </w:pPr>
            <w:r>
              <w:rPr>
                <w:rFonts w:ascii="Arial" w:cs="Arial" w:eastAsia="Arial" w:hAnsi="Arial"/>
                <w:sz w:val="20"/>
                <w:szCs w:val="20"/>
                <w:color w:val="auto"/>
              </w:rPr>
              <w:t>Blackline (BL)</w:t>
            </w:r>
          </w:p>
        </w:tc>
        <w:tc>
          <w:tcPr>
            <w:tcW w:w="3000" w:type="dxa"/>
            <w:vAlign w:val="bottom"/>
          </w:tcPr>
          <w:p>
            <w:pPr>
              <w:ind w:left="240"/>
              <w:spacing w:after="0"/>
              <w:rPr>
                <w:sz w:val="20"/>
                <w:szCs w:val="20"/>
                <w:color w:val="auto"/>
              </w:rPr>
            </w:pPr>
            <w:r>
              <w:rPr>
                <w:rFonts w:ascii="Arial" w:cs="Arial" w:eastAsia="Arial" w:hAnsi="Arial"/>
                <w:sz w:val="20"/>
                <w:szCs w:val="20"/>
                <w:color w:val="auto"/>
              </w:rPr>
              <w:t>Mandiant (MNDT)</w:t>
            </w:r>
          </w:p>
        </w:tc>
        <w:tc>
          <w:tcPr>
            <w:tcW w:w="2840" w:type="dxa"/>
            <w:vAlign w:val="bottom"/>
          </w:tcPr>
          <w:p>
            <w:pPr>
              <w:ind w:left="240"/>
              <w:spacing w:after="0"/>
              <w:rPr>
                <w:sz w:val="20"/>
                <w:szCs w:val="20"/>
                <w:color w:val="auto"/>
              </w:rPr>
            </w:pPr>
            <w:r>
              <w:rPr>
                <w:rFonts w:ascii="Arial" w:cs="Arial" w:eastAsia="Arial" w:hAnsi="Arial"/>
                <w:sz w:val="20"/>
                <w:szCs w:val="20"/>
                <w:color w:val="auto"/>
              </w:rPr>
              <w:t>Rapid7 (RPD)</w:t>
            </w:r>
          </w:p>
        </w:tc>
        <w:tc>
          <w:tcPr>
            <w:tcW w:w="0" w:type="dxa"/>
            <w:vAlign w:val="bottom"/>
          </w:tcPr>
          <w:p>
            <w:pPr>
              <w:spacing w:after="0"/>
              <w:rPr>
                <w:sz w:val="1"/>
                <w:szCs w:val="1"/>
                <w:color w:val="auto"/>
              </w:rPr>
            </w:pPr>
          </w:p>
        </w:tc>
      </w:tr>
      <w:tr>
        <w:trPr>
          <w:trHeight w:val="300"/>
        </w:trPr>
        <w:tc>
          <w:tcPr>
            <w:tcW w:w="2760" w:type="dxa"/>
            <w:vAlign w:val="bottom"/>
          </w:tcPr>
          <w:p>
            <w:pPr>
              <w:spacing w:after="0"/>
              <w:rPr>
                <w:sz w:val="20"/>
                <w:szCs w:val="20"/>
                <w:color w:val="auto"/>
              </w:rPr>
            </w:pPr>
            <w:r>
              <w:rPr>
                <w:rFonts w:ascii="Arial" w:cs="Arial" w:eastAsia="Arial" w:hAnsi="Arial"/>
                <w:sz w:val="20"/>
                <w:szCs w:val="20"/>
                <w:color w:val="auto"/>
              </w:rPr>
              <w:t>Box (BOX)</w:t>
            </w:r>
          </w:p>
        </w:tc>
        <w:tc>
          <w:tcPr>
            <w:tcW w:w="3000" w:type="dxa"/>
            <w:vAlign w:val="bottom"/>
          </w:tcPr>
          <w:p>
            <w:pPr>
              <w:ind w:left="240"/>
              <w:spacing w:after="0"/>
              <w:rPr>
                <w:sz w:val="20"/>
                <w:szCs w:val="20"/>
                <w:color w:val="auto"/>
              </w:rPr>
            </w:pPr>
            <w:r>
              <w:rPr>
                <w:rFonts w:ascii="Arial" w:cs="Arial" w:eastAsia="Arial" w:hAnsi="Arial"/>
                <w:sz w:val="20"/>
                <w:szCs w:val="20"/>
                <w:color w:val="auto"/>
              </w:rPr>
              <w:t>Momentive Global (MNTV)</w:t>
            </w:r>
          </w:p>
        </w:tc>
        <w:tc>
          <w:tcPr>
            <w:tcW w:w="2840" w:type="dxa"/>
            <w:vAlign w:val="bottom"/>
          </w:tcPr>
          <w:p>
            <w:pPr>
              <w:ind w:left="240"/>
              <w:spacing w:after="0"/>
              <w:rPr>
                <w:sz w:val="20"/>
                <w:szCs w:val="20"/>
                <w:color w:val="auto"/>
              </w:rPr>
            </w:pPr>
            <w:r>
              <w:rPr>
                <w:rFonts w:ascii="Arial" w:cs="Arial" w:eastAsia="Arial" w:hAnsi="Arial"/>
                <w:sz w:val="20"/>
                <w:szCs w:val="20"/>
                <w:color w:val="auto"/>
                <w:w w:val="97"/>
              </w:rPr>
              <w:t>Sailpoint Technologies (SAIL)</w:t>
            </w:r>
          </w:p>
        </w:tc>
        <w:tc>
          <w:tcPr>
            <w:tcW w:w="0" w:type="dxa"/>
            <w:vAlign w:val="bottom"/>
          </w:tcPr>
          <w:p>
            <w:pPr>
              <w:spacing w:after="0"/>
              <w:rPr>
                <w:sz w:val="1"/>
                <w:szCs w:val="1"/>
                <w:color w:val="auto"/>
              </w:rPr>
            </w:pPr>
          </w:p>
        </w:tc>
      </w:tr>
      <w:tr>
        <w:trPr>
          <w:trHeight w:val="300"/>
        </w:trPr>
        <w:tc>
          <w:tcPr>
            <w:tcW w:w="2760" w:type="dxa"/>
            <w:vAlign w:val="bottom"/>
          </w:tcPr>
          <w:p>
            <w:pPr>
              <w:spacing w:after="0"/>
              <w:rPr>
                <w:sz w:val="20"/>
                <w:szCs w:val="20"/>
                <w:color w:val="auto"/>
              </w:rPr>
            </w:pPr>
            <w:r>
              <w:rPr>
                <w:rFonts w:ascii="Arial" w:cs="Arial" w:eastAsia="Arial" w:hAnsi="Arial"/>
                <w:sz w:val="20"/>
                <w:szCs w:val="20"/>
                <w:color w:val="auto"/>
              </w:rPr>
              <w:t>Commvault Systems (CVLT)</w:t>
            </w:r>
          </w:p>
        </w:tc>
        <w:tc>
          <w:tcPr>
            <w:tcW w:w="3000" w:type="dxa"/>
            <w:vAlign w:val="bottom"/>
          </w:tcPr>
          <w:p>
            <w:pPr>
              <w:ind w:left="240"/>
              <w:spacing w:after="0"/>
              <w:rPr>
                <w:sz w:val="20"/>
                <w:szCs w:val="20"/>
                <w:color w:val="auto"/>
              </w:rPr>
            </w:pPr>
            <w:r>
              <w:rPr>
                <w:rFonts w:ascii="Arial" w:cs="Arial" w:eastAsia="Arial" w:hAnsi="Arial"/>
                <w:sz w:val="20"/>
                <w:szCs w:val="20"/>
                <w:color w:val="auto"/>
              </w:rPr>
              <w:t>New Relic (NEWR)</w:t>
            </w:r>
          </w:p>
        </w:tc>
        <w:tc>
          <w:tcPr>
            <w:tcW w:w="2840" w:type="dxa"/>
            <w:vAlign w:val="bottom"/>
          </w:tcPr>
          <w:p>
            <w:pPr>
              <w:ind w:left="240"/>
              <w:spacing w:after="0"/>
              <w:rPr>
                <w:sz w:val="20"/>
                <w:szCs w:val="20"/>
                <w:color w:val="auto"/>
              </w:rPr>
            </w:pPr>
            <w:r>
              <w:rPr>
                <w:rFonts w:ascii="Arial" w:cs="Arial" w:eastAsia="Arial" w:hAnsi="Arial"/>
                <w:sz w:val="20"/>
                <w:szCs w:val="20"/>
                <w:color w:val="auto"/>
              </w:rPr>
              <w:t>Varonis Systems (VRNS)</w:t>
            </w:r>
          </w:p>
        </w:tc>
        <w:tc>
          <w:tcPr>
            <w:tcW w:w="0" w:type="dxa"/>
            <w:vAlign w:val="bottom"/>
          </w:tcPr>
          <w:p>
            <w:pPr>
              <w:spacing w:after="0"/>
              <w:rPr>
                <w:sz w:val="1"/>
                <w:szCs w:val="1"/>
                <w:color w:val="auto"/>
              </w:rPr>
            </w:pPr>
          </w:p>
        </w:tc>
      </w:tr>
      <w:tr>
        <w:trPr>
          <w:trHeight w:val="216"/>
        </w:trPr>
        <w:tc>
          <w:tcPr>
            <w:tcW w:w="2760" w:type="dxa"/>
            <w:vAlign w:val="bottom"/>
          </w:tcPr>
          <w:p>
            <w:pPr>
              <w:spacing w:after="0" w:line="216" w:lineRule="exact"/>
              <w:rPr>
                <w:sz w:val="20"/>
                <w:szCs w:val="20"/>
                <w:color w:val="auto"/>
              </w:rPr>
            </w:pPr>
            <w:r>
              <w:rPr>
                <w:rFonts w:ascii="Arial" w:cs="Arial" w:eastAsia="Arial" w:hAnsi="Arial"/>
                <w:sz w:val="20"/>
                <w:szCs w:val="20"/>
                <w:color w:val="auto"/>
              </w:rPr>
              <w:t>Cornerstone OnDemand</w:t>
            </w:r>
          </w:p>
        </w:tc>
        <w:tc>
          <w:tcPr>
            <w:tcW w:w="3000" w:type="dxa"/>
            <w:vAlign w:val="bottom"/>
            <w:vMerge w:val="restart"/>
          </w:tcPr>
          <w:p>
            <w:pPr>
              <w:ind w:left="240"/>
              <w:spacing w:after="0"/>
              <w:rPr>
                <w:sz w:val="20"/>
                <w:szCs w:val="20"/>
                <w:color w:val="auto"/>
              </w:rPr>
            </w:pPr>
            <w:r>
              <w:rPr>
                <w:rFonts w:ascii="Arial" w:cs="Arial" w:eastAsia="Arial" w:hAnsi="Arial"/>
                <w:sz w:val="20"/>
                <w:szCs w:val="20"/>
                <w:color w:val="auto"/>
              </w:rPr>
              <w:t>Paylocity Holding (PCTY)</w:t>
            </w:r>
          </w:p>
        </w:tc>
        <w:tc>
          <w:tcPr>
            <w:tcW w:w="2840" w:type="dxa"/>
            <w:vAlign w:val="bottom"/>
            <w:vMerge w:val="restart"/>
          </w:tcPr>
          <w:p>
            <w:pPr>
              <w:ind w:left="240"/>
              <w:spacing w:after="0"/>
              <w:rPr>
                <w:sz w:val="20"/>
                <w:szCs w:val="20"/>
                <w:color w:val="auto"/>
              </w:rPr>
            </w:pPr>
            <w:r>
              <w:rPr>
                <w:rFonts w:ascii="Arial" w:cs="Arial" w:eastAsia="Arial" w:hAnsi="Arial"/>
                <w:sz w:val="20"/>
                <w:szCs w:val="20"/>
                <w:color w:val="auto"/>
              </w:rPr>
              <w:t>Zendesk (ZEN)</w:t>
            </w:r>
          </w:p>
        </w:tc>
        <w:tc>
          <w:tcPr>
            <w:tcW w:w="0" w:type="dxa"/>
            <w:vAlign w:val="bottom"/>
          </w:tcPr>
          <w:p>
            <w:pPr>
              <w:spacing w:after="0"/>
              <w:rPr>
                <w:sz w:val="1"/>
                <w:szCs w:val="1"/>
                <w:color w:val="auto"/>
              </w:rPr>
            </w:pPr>
          </w:p>
        </w:tc>
      </w:tr>
      <w:tr>
        <w:trPr>
          <w:trHeight w:val="265"/>
        </w:trPr>
        <w:tc>
          <w:tcPr>
            <w:tcW w:w="2760" w:type="dxa"/>
            <w:vAlign w:val="bottom"/>
          </w:tcPr>
          <w:p>
            <w:pPr>
              <w:spacing w:after="0"/>
              <w:rPr>
                <w:sz w:val="20"/>
                <w:szCs w:val="20"/>
                <w:color w:val="auto"/>
              </w:rPr>
            </w:pPr>
            <w:r>
              <w:rPr>
                <w:rFonts w:ascii="Arial" w:cs="Arial" w:eastAsia="Arial" w:hAnsi="Arial"/>
                <w:sz w:val="20"/>
                <w:szCs w:val="20"/>
                <w:color w:val="auto"/>
              </w:rPr>
              <w:t>(CSOD)</w:t>
            </w:r>
          </w:p>
        </w:tc>
        <w:tc>
          <w:tcPr>
            <w:tcW w:w="3000" w:type="dxa"/>
            <w:vAlign w:val="bottom"/>
            <w:vMerge w:val="continue"/>
          </w:tcPr>
          <w:p>
            <w:pPr>
              <w:spacing w:after="0"/>
              <w:rPr>
                <w:sz w:val="23"/>
                <w:szCs w:val="23"/>
                <w:color w:val="auto"/>
              </w:rPr>
            </w:pPr>
          </w:p>
        </w:tc>
        <w:tc>
          <w:tcPr>
            <w:tcW w:w="28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2760" w:type="dxa"/>
            <w:vAlign w:val="bottom"/>
          </w:tcPr>
          <w:p>
            <w:pPr>
              <w:spacing w:after="0"/>
              <w:rPr>
                <w:sz w:val="20"/>
                <w:szCs w:val="20"/>
                <w:color w:val="auto"/>
              </w:rPr>
            </w:pPr>
            <w:r>
              <w:rPr>
                <w:rFonts w:ascii="Arial" w:cs="Arial" w:eastAsia="Arial" w:hAnsi="Arial"/>
                <w:sz w:val="20"/>
                <w:szCs w:val="20"/>
                <w:color w:val="auto"/>
              </w:rPr>
              <w:t>Elastic N.V. (ESTC)</w:t>
            </w:r>
          </w:p>
        </w:tc>
        <w:tc>
          <w:tcPr>
            <w:tcW w:w="30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000"/>
          </w:cols>
          <w:pgMar w:left="1440" w:top="12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880" w:h="15480" w:orient="portrait"/>
          <w:cols w:equalWidth="0" w:num="1">
            <w:col w:w="9000"/>
          </w:cols>
          <w:pgMar w:left="1440" w:top="1218" w:right="1440" w:bottom="0" w:gutter="0" w:footer="0" w:header="0"/>
          <w:type w:val="continuous"/>
        </w:sectPr>
      </w:pPr>
    </w:p>
    <w:bookmarkStart w:id="63" w:name="page64"/>
    <w:bookmarkEnd w:id="63"/>
    <w:p>
      <w:pPr>
        <w:ind w:right="440"/>
        <w:spacing w:after="0" w:line="287" w:lineRule="auto"/>
        <w:rPr>
          <w:sz w:val="20"/>
          <w:szCs w:val="20"/>
          <w:color w:val="auto"/>
        </w:rPr>
      </w:pPr>
      <w:r>
        <w:rPr>
          <w:rFonts w:ascii="Arial" w:cs="Arial" w:eastAsia="Arial" w:hAnsi="Arial"/>
          <w:sz w:val="20"/>
          <w:szCs w:val="20"/>
          <w:color w:val="auto"/>
        </w:rPr>
        <w:t>market practice. Mr. Thurmond entered into a substantially similar employment agreement as our other Named Executive Officers upon joining the Company in 2020.</w:t>
      </w:r>
    </w:p>
    <w:p>
      <w:pPr>
        <w:spacing w:after="0" w:line="170" w:lineRule="exact"/>
        <w:rPr>
          <w:sz w:val="20"/>
          <w:szCs w:val="20"/>
          <w:color w:val="auto"/>
        </w:rPr>
      </w:pPr>
    </w:p>
    <w:p>
      <w:pPr>
        <w:ind w:right="140" w:firstLine="360"/>
        <w:spacing w:after="0" w:line="287" w:lineRule="auto"/>
        <w:rPr>
          <w:sz w:val="20"/>
          <w:szCs w:val="20"/>
          <w:color w:val="auto"/>
        </w:rPr>
      </w:pPr>
      <w:r>
        <w:rPr>
          <w:rFonts w:ascii="Arial" w:cs="Arial" w:eastAsia="Arial" w:hAnsi="Arial"/>
          <w:sz w:val="20"/>
          <w:szCs w:val="20"/>
          <w:color w:val="auto"/>
        </w:rPr>
        <w:t>For detailed descriptions of the amended and restated employment agreements with our Named Executive Officers, see “</w:t>
      </w:r>
      <w:r>
        <w:rPr>
          <w:rFonts w:ascii="Arial" w:cs="Arial" w:eastAsia="Arial" w:hAnsi="Arial"/>
          <w:sz w:val="20"/>
          <w:szCs w:val="20"/>
          <w:i w:val="1"/>
          <w:iCs w:val="1"/>
          <w:color w:val="auto"/>
        </w:rPr>
        <w:t>Potential Payments upon Termination or Change in Control</w:t>
      </w:r>
      <w:r>
        <w:rPr>
          <w:rFonts w:ascii="Arial" w:cs="Arial" w:eastAsia="Arial" w:hAnsi="Arial"/>
          <w:sz w:val="20"/>
          <w:szCs w:val="20"/>
          <w:color w:val="auto"/>
        </w:rPr>
        <w:t>” below.</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Post-Employment Compensation</w:t>
      </w:r>
    </w:p>
    <w:p>
      <w:pPr>
        <w:spacing w:after="0" w:line="251" w:lineRule="exact"/>
        <w:rPr>
          <w:sz w:val="20"/>
          <w:szCs w:val="20"/>
          <w:color w:val="auto"/>
        </w:rPr>
      </w:pPr>
    </w:p>
    <w:p>
      <w:pPr>
        <w:ind w:right="240" w:firstLine="360"/>
        <w:spacing w:after="0" w:line="257" w:lineRule="auto"/>
        <w:rPr>
          <w:sz w:val="20"/>
          <w:szCs w:val="20"/>
          <w:color w:val="auto"/>
        </w:rPr>
      </w:pPr>
      <w:r>
        <w:rPr>
          <w:rFonts w:ascii="Arial" w:cs="Arial" w:eastAsia="Arial" w:hAnsi="Arial"/>
          <w:sz w:val="20"/>
          <w:szCs w:val="20"/>
          <w:color w:val="auto"/>
        </w:rPr>
        <w:t>Under their amended and restated employment agreements, our Named Executive Officers are eligible for certain benefits in the event of their termination of employment by virtue of death or disability and in the event of an involuntary termination of employment, including an involuntary termination of employment in connection with a change in control of the Company. We believe that these benefits are representative of market practice and therefore are necessary to motivate and retain our Named Executive Officers.</w:t>
      </w:r>
    </w:p>
    <w:p>
      <w:pPr>
        <w:spacing w:after="0" w:line="202" w:lineRule="exact"/>
        <w:rPr>
          <w:sz w:val="20"/>
          <w:szCs w:val="20"/>
          <w:color w:val="auto"/>
        </w:rPr>
      </w:pPr>
    </w:p>
    <w:p>
      <w:pPr>
        <w:ind w:right="40" w:firstLine="360"/>
        <w:spacing w:after="0" w:line="255" w:lineRule="auto"/>
        <w:rPr>
          <w:sz w:val="20"/>
          <w:szCs w:val="20"/>
          <w:color w:val="auto"/>
        </w:rPr>
      </w:pPr>
      <w:r>
        <w:rPr>
          <w:rFonts w:ascii="Arial" w:cs="Arial" w:eastAsia="Arial" w:hAnsi="Arial"/>
          <w:sz w:val="20"/>
          <w:szCs w:val="20"/>
          <w:color w:val="auto"/>
        </w:rPr>
        <w:t>These arrangements provide reasonable compensation to the Named Executive Officer if he or she leaves our employ under certain circumstances to facilitate his or her transition to new employment. Further, in some instances we seek to mitigate any potential employer liability and avoid future disputes or litigation by requiring a departing Named Executive Officer to execute and deliver an effective general release of claims in favor of the Company in a form acceptable to us as a condition to receiving post-employment compensation payments or benefits. We also believe that these arrangements help maintain the continued focus and dedication of our Named Executive Officers to their assigned duties to maximize stockholder value if there is a potential transaction that could involve a change in control of the Company.</w:t>
      </w:r>
    </w:p>
    <w:p>
      <w:pPr>
        <w:spacing w:after="0" w:line="201" w:lineRule="exact"/>
        <w:rPr>
          <w:sz w:val="20"/>
          <w:szCs w:val="20"/>
          <w:color w:val="auto"/>
        </w:rPr>
      </w:pPr>
    </w:p>
    <w:p>
      <w:pPr>
        <w:ind w:right="140" w:firstLine="360"/>
        <w:spacing w:after="0" w:line="256" w:lineRule="auto"/>
        <w:rPr>
          <w:sz w:val="20"/>
          <w:szCs w:val="20"/>
          <w:color w:val="auto"/>
        </w:rPr>
      </w:pPr>
      <w:r>
        <w:rPr>
          <w:rFonts w:ascii="Arial" w:cs="Arial" w:eastAsia="Arial" w:hAnsi="Arial"/>
          <w:sz w:val="20"/>
          <w:szCs w:val="20"/>
          <w:color w:val="auto"/>
        </w:rPr>
        <w:t>Under the amended and restated employment agreements, all payments and benefits in the event of a change in control of the Company are payable only if there is a subsequent loss of employment by a Named Executive Officer (a so-called “double-trigger” arrangement). In the case of the acceleration of vesting of outstanding equity awards, we use this double-trigger arrangement to protect against the loss of retention value following a change in control of the Company and to avoid windfalls, both of which could occur if vesting of either equity or cash-based awards accelerated automatically as a result of the transaction.</w:t>
      </w:r>
    </w:p>
    <w:p>
      <w:pPr>
        <w:spacing w:after="0" w:line="203" w:lineRule="exact"/>
        <w:rPr>
          <w:sz w:val="20"/>
          <w:szCs w:val="20"/>
          <w:color w:val="auto"/>
        </w:rPr>
      </w:pPr>
    </w:p>
    <w:p>
      <w:pPr>
        <w:ind w:right="40" w:firstLine="360"/>
        <w:spacing w:after="0" w:line="287" w:lineRule="auto"/>
        <w:rPr>
          <w:sz w:val="20"/>
          <w:szCs w:val="20"/>
          <w:color w:val="auto"/>
        </w:rPr>
      </w:pPr>
      <w:r>
        <w:rPr>
          <w:rFonts w:ascii="Arial" w:cs="Arial" w:eastAsia="Arial" w:hAnsi="Arial"/>
          <w:sz w:val="20"/>
          <w:szCs w:val="20"/>
          <w:color w:val="auto"/>
        </w:rPr>
        <w:t>We do not use excise tax payments (or “gross-ups”) relating to a change in control of the Company and have no such obligations in place with respect to any of our Named Executive Officers.</w:t>
      </w:r>
    </w:p>
    <w:p>
      <w:pPr>
        <w:spacing w:after="0" w:line="170" w:lineRule="exact"/>
        <w:rPr>
          <w:sz w:val="20"/>
          <w:szCs w:val="20"/>
          <w:color w:val="auto"/>
        </w:rPr>
      </w:pPr>
    </w:p>
    <w:p>
      <w:pPr>
        <w:ind w:right="20" w:firstLine="360"/>
        <w:spacing w:after="0" w:line="257" w:lineRule="auto"/>
        <w:rPr>
          <w:sz w:val="20"/>
          <w:szCs w:val="20"/>
          <w:color w:val="auto"/>
        </w:rPr>
      </w:pPr>
      <w:r>
        <w:rPr>
          <w:rFonts w:ascii="Arial" w:cs="Arial" w:eastAsia="Arial" w:hAnsi="Arial"/>
          <w:sz w:val="20"/>
          <w:szCs w:val="20"/>
          <w:color w:val="auto"/>
        </w:rPr>
        <w:t>We believe that having in place reasonable and competitive post-employment compensation arrangements, including in the event of a change in control of the Company, are essential to attracting and retaining highly qualified executives. The Compensation Committee does not consider the specific amounts payable under the post-employment compensation arrangements when determining the annual compensation for our Named Executive Officers. We do believe, however, that these arrangements are necessary to offer compensation packages that are competitive.</w:t>
      </w:r>
    </w:p>
    <w:p>
      <w:pPr>
        <w:spacing w:after="0" w:line="202" w:lineRule="exact"/>
        <w:rPr>
          <w:sz w:val="20"/>
          <w:szCs w:val="20"/>
          <w:color w:val="auto"/>
        </w:rPr>
      </w:pPr>
    </w:p>
    <w:p>
      <w:pPr>
        <w:ind w:right="20" w:firstLine="360"/>
        <w:spacing w:after="0" w:line="268" w:lineRule="auto"/>
        <w:rPr>
          <w:sz w:val="20"/>
          <w:szCs w:val="20"/>
          <w:color w:val="auto"/>
        </w:rPr>
      </w:pPr>
      <w:r>
        <w:rPr>
          <w:rFonts w:ascii="Arial" w:cs="Arial" w:eastAsia="Arial" w:hAnsi="Arial"/>
          <w:sz w:val="20"/>
          <w:szCs w:val="20"/>
          <w:color w:val="auto"/>
        </w:rPr>
        <w:t>For detailed descriptions of the post-employment compensation arrangements with our Named Executive Officers, as well as an estimate of the potential payments and benefits payable under these arrangements, see “</w:t>
      </w:r>
      <w:r>
        <w:rPr>
          <w:rFonts w:ascii="Arial" w:cs="Arial" w:eastAsia="Arial" w:hAnsi="Arial"/>
          <w:sz w:val="20"/>
          <w:szCs w:val="20"/>
          <w:i w:val="1"/>
          <w:iCs w:val="1"/>
          <w:color w:val="auto"/>
        </w:rPr>
        <w:t>Potential Payments upon Termination or Change in Control</w:t>
      </w:r>
      <w:r>
        <w:rPr>
          <w:rFonts w:ascii="Arial" w:cs="Arial" w:eastAsia="Arial" w:hAnsi="Arial"/>
          <w:sz w:val="20"/>
          <w:szCs w:val="20"/>
          <w:color w:val="auto"/>
        </w:rPr>
        <w:t>” below.</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880" w:h="15480" w:orient="portrait"/>
          <w:cols w:equalWidth="0" w:num="1">
            <w:col w:w="9000"/>
          </w:cols>
          <w:pgMar w:left="1440" w:top="1204" w:right="1440" w:bottom="0" w:gutter="0" w:footer="0" w:header="0"/>
          <w:type w:val="continuous"/>
        </w:sectPr>
      </w:pPr>
    </w:p>
    <w:bookmarkStart w:id="64" w:name="page65"/>
    <w:bookmarkEnd w:id="64"/>
    <w:p>
      <w:pPr>
        <w:spacing w:after="0"/>
        <w:rPr>
          <w:sz w:val="20"/>
          <w:szCs w:val="20"/>
          <w:color w:val="auto"/>
        </w:rPr>
      </w:pPr>
      <w:r>
        <w:rPr>
          <w:rFonts w:ascii="Arial" w:cs="Arial" w:eastAsia="Arial" w:hAnsi="Arial"/>
          <w:sz w:val="20"/>
          <w:szCs w:val="20"/>
          <w:b w:val="1"/>
          <w:bCs w:val="1"/>
          <w:color w:val="auto"/>
        </w:rPr>
        <w:t>Other Compensation Policies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Hedging and Pledging Prohibitions</w:t>
      </w:r>
    </w:p>
    <w:p>
      <w:pPr>
        <w:spacing w:after="0" w:line="249" w:lineRule="exact"/>
        <w:rPr>
          <w:sz w:val="20"/>
          <w:szCs w:val="20"/>
          <w:color w:val="auto"/>
        </w:rPr>
      </w:pPr>
    </w:p>
    <w:p>
      <w:pPr>
        <w:ind w:right="100" w:firstLine="360"/>
        <w:spacing w:after="0" w:line="262" w:lineRule="auto"/>
        <w:rPr>
          <w:sz w:val="20"/>
          <w:szCs w:val="20"/>
          <w:color w:val="auto"/>
        </w:rPr>
      </w:pPr>
      <w:r>
        <w:rPr>
          <w:rFonts w:ascii="Arial" w:cs="Arial" w:eastAsia="Arial" w:hAnsi="Arial"/>
          <w:sz w:val="20"/>
          <w:szCs w:val="20"/>
          <w:color w:val="auto"/>
        </w:rPr>
        <w:t>Under our Insider Trading Policy, our employees (including officers), members of our Board of Directors, and consultants are prohibited from engaging in short sales, transactions in put or call options, hedging transactions, margin accounts, pledges, or other inherently speculative transactions with respect to our stock.</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Compensation Recoupment Policy</w:t>
      </w:r>
    </w:p>
    <w:p>
      <w:pPr>
        <w:spacing w:after="0" w:line="249" w:lineRule="exact"/>
        <w:rPr>
          <w:sz w:val="20"/>
          <w:szCs w:val="20"/>
          <w:color w:val="auto"/>
        </w:rPr>
      </w:pPr>
    </w:p>
    <w:p>
      <w:pPr>
        <w:ind w:right="260" w:firstLine="360"/>
        <w:spacing w:after="0" w:line="270" w:lineRule="auto"/>
        <w:rPr>
          <w:sz w:val="20"/>
          <w:szCs w:val="20"/>
          <w:color w:val="auto"/>
        </w:rPr>
      </w:pPr>
      <w:r>
        <w:rPr>
          <w:rFonts w:ascii="Arial" w:cs="Arial" w:eastAsia="Arial" w:hAnsi="Arial"/>
          <w:sz w:val="20"/>
          <w:szCs w:val="20"/>
          <w:color w:val="auto"/>
        </w:rPr>
        <w:t>In February 2022, our Board of Directors adopted a compensation recoupment (or “clawback”) policy. This policy permits the Compensation Committee, if it determines appropriate and subject to applicable laws, to seek reimbursement of incentive compensation if we are required to restate incorrect financial statements and the executive’s (including each Named Executive Officer’s) misconduct contributed to the noncompliance that results in the obligation to restate the financial statements. Under this policy, the Compensation Committee may seek recoupment of the following incentive compensation received during the three years preceding the date we are required to prepare the accounting restatement (but after adoption of the policy):</w:t>
      </w:r>
    </w:p>
    <w:p>
      <w:pPr>
        <w:spacing w:after="0" w:line="21" w:lineRule="exact"/>
        <w:rPr>
          <w:sz w:val="20"/>
          <w:szCs w:val="20"/>
          <w:color w:val="auto"/>
        </w:rPr>
      </w:pPr>
    </w:p>
    <w:p>
      <w:pPr>
        <w:ind w:left="720" w:right="160" w:hanging="360"/>
        <w:spacing w:after="0" w:line="279" w:lineRule="auto"/>
        <w:tabs>
          <w:tab w:leader="none" w:pos="720" w:val="left"/>
        </w:tabs>
        <w:numPr>
          <w:ilvl w:val="0"/>
          <w:numId w:val="50"/>
        </w:numPr>
        <w:rPr>
          <w:rFonts w:ascii="Arial" w:cs="Arial" w:eastAsia="Arial" w:hAnsi="Arial"/>
          <w:sz w:val="22"/>
          <w:szCs w:val="22"/>
          <w:color w:val="auto"/>
        </w:rPr>
      </w:pPr>
      <w:r>
        <w:rPr>
          <w:rFonts w:ascii="Arial" w:cs="Arial" w:eastAsia="Arial" w:hAnsi="Arial"/>
          <w:sz w:val="20"/>
          <w:szCs w:val="20"/>
          <w:color w:val="auto"/>
        </w:rPr>
        <w:t>the incremental portion of any cash incentive awards paid based on the financial statements that were subsequently restated in excess of the lower cash incentive awards that would have been paid had the financial statements been properly reported;</w:t>
      </w:r>
    </w:p>
    <w:p>
      <w:pPr>
        <w:spacing w:after="0" w:line="23" w:lineRule="exact"/>
        <w:rPr>
          <w:rFonts w:ascii="Arial" w:cs="Arial" w:eastAsia="Arial" w:hAnsi="Arial"/>
          <w:sz w:val="22"/>
          <w:szCs w:val="22"/>
          <w:color w:val="auto"/>
        </w:rPr>
      </w:pPr>
    </w:p>
    <w:p>
      <w:pPr>
        <w:ind w:left="720" w:right="60" w:hanging="360"/>
        <w:spacing w:after="0" w:line="279" w:lineRule="auto"/>
        <w:tabs>
          <w:tab w:leader="none" w:pos="720" w:val="left"/>
        </w:tabs>
        <w:numPr>
          <w:ilvl w:val="0"/>
          <w:numId w:val="50"/>
        </w:numPr>
        <w:rPr>
          <w:rFonts w:ascii="Arial" w:cs="Arial" w:eastAsia="Arial" w:hAnsi="Arial"/>
          <w:sz w:val="22"/>
          <w:szCs w:val="22"/>
          <w:color w:val="auto"/>
        </w:rPr>
      </w:pPr>
      <w:r>
        <w:rPr>
          <w:rFonts w:ascii="Arial" w:cs="Arial" w:eastAsia="Arial" w:hAnsi="Arial"/>
          <w:sz w:val="20"/>
          <w:szCs w:val="20"/>
          <w:color w:val="auto"/>
        </w:rPr>
        <w:t>the incremental portion of any equity incentive awards that were received based on the financial statements that were subsequently restated in excess of the portion that would have been earned had the financial statements been property reported; and</w:t>
      </w:r>
    </w:p>
    <w:p>
      <w:pPr>
        <w:spacing w:after="0" w:line="23" w:lineRule="exact"/>
        <w:rPr>
          <w:rFonts w:ascii="Arial" w:cs="Arial" w:eastAsia="Arial" w:hAnsi="Arial"/>
          <w:sz w:val="22"/>
          <w:szCs w:val="22"/>
          <w:color w:val="auto"/>
        </w:rPr>
      </w:pPr>
    </w:p>
    <w:p>
      <w:pPr>
        <w:ind w:left="720" w:right="20" w:hanging="360"/>
        <w:spacing w:after="0" w:line="276" w:lineRule="auto"/>
        <w:tabs>
          <w:tab w:leader="none" w:pos="720" w:val="left"/>
        </w:tabs>
        <w:numPr>
          <w:ilvl w:val="0"/>
          <w:numId w:val="50"/>
        </w:numPr>
        <w:rPr>
          <w:rFonts w:ascii="Arial" w:cs="Arial" w:eastAsia="Arial" w:hAnsi="Arial"/>
          <w:sz w:val="22"/>
          <w:szCs w:val="22"/>
          <w:color w:val="auto"/>
        </w:rPr>
      </w:pPr>
      <w:r>
        <w:rPr>
          <w:rFonts w:ascii="Arial" w:cs="Arial" w:eastAsia="Arial" w:hAnsi="Arial"/>
          <w:sz w:val="20"/>
          <w:szCs w:val="20"/>
          <w:color w:val="auto"/>
        </w:rPr>
        <w:t>if the executive sells any shares acquired pursuant to an equity incentive award after the release of earnings for any period with respect to which financial statements are subsequently restated but prior to the announcement of the restatement, the incremental value of the sales proceeds received form the executive’s sale of those shares over the aggregate sales proceeds the executive would have received from the sale at a price per share determined appropriate by the Compensation Committee in its discretion to reflect what our common stock price would have been if the restatement had occurred prior to the date of sale. Our stock incentive plans and executive employment agreements also provide for forfeiture of equity awards and severance if an executive is terminated for cause, including misconduct that results in reputational harm to the Company.</w:t>
      </w:r>
    </w:p>
    <w:p>
      <w:pPr>
        <w:spacing w:after="0" w:line="194" w:lineRule="exact"/>
        <w:rPr>
          <w:sz w:val="20"/>
          <w:szCs w:val="20"/>
          <w:color w:val="auto"/>
        </w:rPr>
      </w:pPr>
    </w:p>
    <w:p>
      <w:pPr>
        <w:ind w:right="280" w:firstLine="360"/>
        <w:spacing w:after="0" w:line="268" w:lineRule="auto"/>
        <w:rPr>
          <w:sz w:val="20"/>
          <w:szCs w:val="20"/>
          <w:color w:val="auto"/>
        </w:rPr>
      </w:pPr>
      <w:r>
        <w:rPr>
          <w:rFonts w:ascii="Arial" w:cs="Arial" w:eastAsia="Arial" w:hAnsi="Arial"/>
          <w:sz w:val="20"/>
          <w:szCs w:val="20"/>
          <w:color w:val="auto"/>
        </w:rPr>
        <w:t>We will review and conform our clawback policy as necessary to comply with the final rules adopted by the SEC pursuant to Section 954 of the Dodd-Frank Wall Street Reform and Consumer Protection Act and the final Nasdaq listing standards thereunder, once effective.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and Accounting Considerations</w:t>
      </w:r>
    </w:p>
    <w:p>
      <w:pPr>
        <w:spacing w:after="0" w:line="251" w:lineRule="exact"/>
        <w:rPr>
          <w:sz w:val="20"/>
          <w:szCs w:val="20"/>
          <w:color w:val="auto"/>
        </w:rPr>
      </w:pPr>
    </w:p>
    <w:p>
      <w:pPr>
        <w:ind w:right="780" w:firstLine="360"/>
        <w:spacing w:after="0" w:line="287" w:lineRule="auto"/>
        <w:rPr>
          <w:sz w:val="20"/>
          <w:szCs w:val="20"/>
          <w:color w:val="auto"/>
        </w:rPr>
      </w:pPr>
      <w:r>
        <w:rPr>
          <w:rFonts w:ascii="Arial" w:cs="Arial" w:eastAsia="Arial" w:hAnsi="Arial"/>
          <w:sz w:val="20"/>
          <w:szCs w:val="20"/>
          <w:color w:val="auto"/>
        </w:rPr>
        <w:t>The Compensation Committee takes the applicable tax and accounting requirements into consideration in designing and overseeing our executive compensation program.</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Deductibility of Executive Compensation</w:t>
      </w:r>
    </w:p>
    <w:p>
      <w:pPr>
        <w:spacing w:after="0" w:line="249" w:lineRule="exact"/>
        <w:rPr>
          <w:sz w:val="20"/>
          <w:szCs w:val="20"/>
          <w:color w:val="auto"/>
        </w:rPr>
      </w:pPr>
    </w:p>
    <w:p>
      <w:pPr>
        <w:ind w:right="360" w:firstLine="360"/>
        <w:spacing w:after="0" w:line="314" w:lineRule="auto"/>
        <w:rPr>
          <w:sz w:val="20"/>
          <w:szCs w:val="20"/>
          <w:color w:val="auto"/>
        </w:rPr>
      </w:pPr>
      <w:r>
        <w:rPr>
          <w:rFonts w:ascii="Arial" w:cs="Arial" w:eastAsia="Arial" w:hAnsi="Arial"/>
          <w:sz w:val="19"/>
          <w:szCs w:val="19"/>
          <w:color w:val="auto"/>
        </w:rPr>
        <w:t>In determining executive compensation, the Compensation Committee also considers, among other factors, the possible tax consequences to the company and to its executives. To maintain</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880" w:h="15480" w:orient="portrait"/>
          <w:cols w:equalWidth="0" w:num="1">
            <w:col w:w="9000"/>
          </w:cols>
          <w:pgMar w:left="1440" w:top="1203" w:right="1440" w:bottom="0" w:gutter="0" w:footer="0" w:header="0"/>
          <w:type w:val="continuous"/>
        </w:sectPr>
      </w:pPr>
    </w:p>
    <w:bookmarkStart w:id="65" w:name="page66"/>
    <w:bookmarkEnd w:id="65"/>
    <w:p>
      <w:pPr>
        <w:ind w:right="160"/>
        <w:spacing w:after="0" w:line="268" w:lineRule="auto"/>
        <w:rPr>
          <w:sz w:val="20"/>
          <w:szCs w:val="20"/>
          <w:color w:val="auto"/>
        </w:rPr>
      </w:pPr>
      <w:r>
        <w:rPr>
          <w:rFonts w:ascii="Arial" w:cs="Arial" w:eastAsia="Arial" w:hAnsi="Arial"/>
          <w:sz w:val="20"/>
          <w:szCs w:val="20"/>
          <w:color w:val="auto"/>
        </w:rPr>
        <w:t>maximum flexibility in designing compensation programs, the Compensation Committee, while considering company tax deductibility as one of its factors in determining compensation, will not limit compensation to those levels or types of compensation that are intended to be deductible.</w:t>
      </w:r>
    </w:p>
    <w:p>
      <w:pPr>
        <w:spacing w:after="0" w:line="190" w:lineRule="exact"/>
        <w:rPr>
          <w:sz w:val="20"/>
          <w:szCs w:val="20"/>
          <w:color w:val="auto"/>
        </w:rPr>
      </w:pPr>
    </w:p>
    <w:p>
      <w:pPr>
        <w:ind w:right="60" w:firstLine="360"/>
        <w:spacing w:after="0" w:line="259" w:lineRule="auto"/>
        <w:rPr>
          <w:sz w:val="20"/>
          <w:szCs w:val="20"/>
          <w:color w:val="auto"/>
        </w:rPr>
      </w:pPr>
      <w:r>
        <w:rPr>
          <w:rFonts w:ascii="Arial" w:cs="Arial" w:eastAsia="Arial" w:hAnsi="Arial"/>
          <w:sz w:val="20"/>
          <w:szCs w:val="20"/>
          <w:color w:val="auto"/>
        </w:rPr>
        <w:t>Under Section 162(m) of the Code (“Section 162(m)”), compensation paid to each of the Company’s “covered employees” that exceeds $1 million per taxable year is generally non-deductible unless the compensation qualifies for certain grandfathered exceptions (including the “performance-based compensation” exception) for certain compensation paid pursuant to a written binding contract in effect on November 2, 2017 and not materially modified on or after such date.</w:t>
      </w:r>
    </w:p>
    <w:p>
      <w:pPr>
        <w:spacing w:after="0" w:line="199" w:lineRule="exact"/>
        <w:rPr>
          <w:sz w:val="20"/>
          <w:szCs w:val="20"/>
          <w:color w:val="auto"/>
        </w:rPr>
      </w:pPr>
    </w:p>
    <w:p>
      <w:pPr>
        <w:ind w:right="40" w:firstLine="360"/>
        <w:spacing w:after="0" w:line="255" w:lineRule="auto"/>
        <w:rPr>
          <w:sz w:val="20"/>
          <w:szCs w:val="20"/>
          <w:color w:val="auto"/>
        </w:rPr>
      </w:pPr>
      <w:r>
        <w:rPr>
          <w:rFonts w:ascii="Arial" w:cs="Arial" w:eastAsia="Arial" w:hAnsi="Arial"/>
          <w:sz w:val="20"/>
          <w:szCs w:val="20"/>
          <w:color w:val="auto"/>
        </w:rPr>
        <w:t>Although the Compensation Committee will continue to consider tax implications as one factor in determining executive compensation, the Compensation Committee also looks at other factors in making its decisions and retains the flexibility to provide compensation for the Company’s named executive officers in a manner consistent with the goals of the Company’s executive compensation program and the best interests of the Company and its stockholders, which may include providing for compensation that is not deductible by the Company due to the deduction limit under Section 162(m). The Compensation Committee also retains the flexibility to modify compensation that was initially intended to be exempt from the deduction limit under Section 162(m) if it determines that such modifications are consistent with the Company’s business needs.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Accounting for Stock-Based Compensation</w:t>
      </w:r>
    </w:p>
    <w:p>
      <w:pPr>
        <w:spacing w:after="0" w:line="249" w:lineRule="exact"/>
        <w:rPr>
          <w:sz w:val="20"/>
          <w:szCs w:val="20"/>
          <w:color w:val="auto"/>
        </w:rPr>
      </w:pPr>
    </w:p>
    <w:p>
      <w:pPr>
        <w:ind w:right="200" w:firstLine="360"/>
        <w:spacing w:after="0" w:line="269" w:lineRule="auto"/>
        <w:rPr>
          <w:sz w:val="20"/>
          <w:szCs w:val="20"/>
          <w:color w:val="auto"/>
        </w:rPr>
      </w:pPr>
      <w:r>
        <w:rPr>
          <w:rFonts w:ascii="Arial" w:cs="Arial" w:eastAsia="Arial" w:hAnsi="Arial"/>
          <w:sz w:val="19"/>
          <w:szCs w:val="19"/>
          <w:color w:val="auto"/>
        </w:rPr>
        <w:t>The Compensation Committee takes accounting considerations into account in designing compensation plans and arrangements for our executives and other employees. Chief among these is Financial Accounting Standards Board Accounting Standards Codification Topic 718 (“ASC Topic 718”), the standard which governs the accounting treatment of certain stock-based compensation. Among other things, ASC Topic 718 requires us to record a compensation expense in our income statement for all equity awards granted to our executives and other employees. This compensation expense is based on the grant date “fair value” of the equity award and, in most cases, will be recognized ratably over the award’s requisite service period (which, generally, will correspond to the award’s vesting schedule). This compensation expense is also reported in the compensation tables below, even though recipients may never realize any value from their equity awards.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880" w:h="15480" w:orient="portrait"/>
          <w:cols w:equalWidth="0" w:num="1">
            <w:col w:w="9000"/>
          </w:cols>
          <w:pgMar w:left="1440" w:top="1204" w:right="1440" w:bottom="0" w:gutter="0" w:footer="0" w:header="0"/>
          <w:type w:val="continuous"/>
        </w:sectPr>
      </w:pPr>
    </w:p>
    <w:bookmarkStart w:id="66" w:name="page67"/>
    <w:bookmarkEnd w:id="66"/>
    <w:p>
      <w:pPr>
        <w:ind w:left="3100"/>
        <w:spacing w:after="0"/>
        <w:rPr>
          <w:sz w:val="20"/>
          <w:szCs w:val="20"/>
          <w:color w:val="auto"/>
        </w:rPr>
      </w:pPr>
      <w:r>
        <w:rPr>
          <w:rFonts w:ascii="Arial" w:cs="Arial" w:eastAsia="Arial" w:hAnsi="Arial"/>
          <w:sz w:val="20"/>
          <w:szCs w:val="20"/>
          <w:b w:val="1"/>
          <w:bCs w:val="1"/>
          <w:color w:val="auto"/>
        </w:rPr>
        <w:t>EXECUTIVE COMPENSATION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COMPENSATION TABLE</w:t>
      </w:r>
    </w:p>
    <w:p>
      <w:pPr>
        <w:spacing w:after="0" w:line="251" w:lineRule="exact"/>
        <w:rPr>
          <w:sz w:val="20"/>
          <w:szCs w:val="20"/>
          <w:color w:val="auto"/>
        </w:rPr>
      </w:pPr>
    </w:p>
    <w:p>
      <w:pPr>
        <w:ind w:right="100" w:firstLine="360"/>
        <w:spacing w:after="0" w:line="268" w:lineRule="auto"/>
        <w:rPr>
          <w:sz w:val="20"/>
          <w:szCs w:val="20"/>
          <w:color w:val="auto"/>
        </w:rPr>
      </w:pPr>
      <w:r>
        <w:rPr>
          <w:rFonts w:ascii="Arial" w:cs="Arial" w:eastAsia="Arial" w:hAnsi="Arial"/>
          <w:sz w:val="20"/>
          <w:szCs w:val="20"/>
          <w:color w:val="auto"/>
        </w:rPr>
        <w:t>The following table sets forth information regarding compensation awarded to, earned by and paid to our Named Executive Officers with respect to the years ended December 31, 2020, 2021 and 2022.</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6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Name and</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vMerge w:val="restart"/>
          </w:tcPr>
          <w:p>
            <w:pPr>
              <w:jc w:val="right"/>
              <w:ind w:right="260"/>
              <w:spacing w:after="0"/>
              <w:rPr>
                <w:sz w:val="20"/>
                <w:szCs w:val="20"/>
                <w:color w:val="auto"/>
              </w:rPr>
            </w:pPr>
            <w:r>
              <w:rPr>
                <w:rFonts w:ascii="Arial" w:cs="Arial" w:eastAsia="Arial" w:hAnsi="Arial"/>
                <w:sz w:val="16"/>
                <w:szCs w:val="16"/>
                <w:b w:val="1"/>
                <w:bCs w:val="1"/>
                <w:color w:val="auto"/>
              </w:rPr>
              <w:t>Stock</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100"/>
              <w:spacing w:after="0"/>
              <w:rPr>
                <w:sz w:val="20"/>
                <w:szCs w:val="20"/>
                <w:color w:val="auto"/>
              </w:rPr>
            </w:pPr>
            <w:r>
              <w:rPr>
                <w:rFonts w:ascii="Arial" w:cs="Arial" w:eastAsia="Arial" w:hAnsi="Arial"/>
                <w:sz w:val="16"/>
                <w:szCs w:val="16"/>
                <w:b w:val="1"/>
                <w:bCs w:val="1"/>
                <w:color w:val="auto"/>
              </w:rPr>
              <w:t>Non-Equity</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restart"/>
          </w:tcPr>
          <w:p>
            <w:pPr>
              <w:jc w:val="right"/>
              <w:ind w:right="340"/>
              <w:spacing w:after="0"/>
              <w:rPr>
                <w:sz w:val="20"/>
                <w:szCs w:val="20"/>
                <w:color w:val="auto"/>
              </w:rPr>
            </w:pPr>
            <w:r>
              <w:rPr>
                <w:rFonts w:ascii="Arial" w:cs="Arial" w:eastAsia="Arial" w:hAnsi="Arial"/>
                <w:sz w:val="16"/>
                <w:szCs w:val="16"/>
                <w:b w:val="1"/>
                <w:bCs w:val="1"/>
                <w:color w:val="auto"/>
              </w:rPr>
              <w:t>All Other</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640" w:type="dxa"/>
            <w:vAlign w:val="bottom"/>
            <w:gridSpan w:val="2"/>
            <w:vMerge w:val="continue"/>
          </w:tcPr>
          <w:p>
            <w:pPr>
              <w:spacing w:after="0"/>
              <w:rPr>
                <w:sz w:val="13"/>
                <w:szCs w:val="13"/>
                <w:color w:val="auto"/>
              </w:rPr>
            </w:pPr>
          </w:p>
        </w:tc>
        <w:tc>
          <w:tcPr>
            <w:tcW w:w="68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Year</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ind w:right="220"/>
              <w:spacing w:after="0"/>
              <w:rPr>
                <w:sz w:val="20"/>
                <w:szCs w:val="20"/>
                <w:color w:val="auto"/>
              </w:rPr>
            </w:pPr>
            <w:r>
              <w:rPr>
                <w:rFonts w:ascii="Arial" w:cs="Arial" w:eastAsia="Arial" w:hAnsi="Arial"/>
                <w:sz w:val="16"/>
                <w:szCs w:val="16"/>
                <w:b w:val="1"/>
                <w:bCs w:val="1"/>
                <w:color w:val="auto"/>
              </w:rPr>
              <w:t>Salary</w:t>
            </w:r>
          </w:p>
        </w:tc>
        <w:tc>
          <w:tcPr>
            <w:tcW w:w="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center"/>
              <w:ind w:right="100"/>
              <w:spacing w:after="0" w:line="160" w:lineRule="exact"/>
              <w:rPr>
                <w:sz w:val="20"/>
                <w:szCs w:val="20"/>
                <w:color w:val="auto"/>
              </w:rPr>
            </w:pPr>
            <w:r>
              <w:rPr>
                <w:rFonts w:ascii="Arial" w:cs="Arial" w:eastAsia="Arial" w:hAnsi="Arial"/>
                <w:sz w:val="16"/>
                <w:szCs w:val="16"/>
                <w:b w:val="1"/>
                <w:bCs w:val="1"/>
                <w:color w:val="auto"/>
                <w:w w:val="98"/>
              </w:rPr>
              <w:t>Incentive Plan</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000" w:type="dxa"/>
            <w:vAlign w:val="bottom"/>
            <w:vMerge w:val="restart"/>
          </w:tcPr>
          <w:p>
            <w:pPr>
              <w:jc w:val="right"/>
              <w:ind w:right="2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Principal Position</w:t>
            </w:r>
          </w:p>
        </w:tc>
        <w:tc>
          <w:tcPr>
            <w:tcW w:w="80" w:type="dxa"/>
            <w:vAlign w:val="bottom"/>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2EDF0"/>
            </w:tcBorders>
          </w:tcPr>
          <w:p>
            <w:pPr>
              <w:spacing w:after="0"/>
              <w:rPr>
                <w:sz w:val="18"/>
                <w:szCs w:val="18"/>
                <w:color w:val="auto"/>
              </w:rPr>
            </w:pPr>
          </w:p>
        </w:tc>
        <w:tc>
          <w:tcPr>
            <w:tcW w:w="1080" w:type="dxa"/>
            <w:vAlign w:val="bottom"/>
            <w:tcBorders>
              <w:bottom w:val="single" w:sz="8" w:color="auto"/>
            </w:tcBorders>
          </w:tcPr>
          <w:p>
            <w:pPr>
              <w:jc w:val="right"/>
              <w:ind w:right="120"/>
              <w:spacing w:after="0" w:line="213" w:lineRule="exact"/>
              <w:rPr>
                <w:sz w:val="20"/>
                <w:szCs w:val="20"/>
                <w:color w:val="auto"/>
              </w:rPr>
            </w:pPr>
            <w:r>
              <w:rPr>
                <w:rFonts w:ascii="Arial" w:cs="Arial" w:eastAsia="Arial" w:hAnsi="Arial"/>
                <w:sz w:val="16"/>
                <w:szCs w:val="16"/>
                <w:b w:val="1"/>
                <w:bCs w:val="1"/>
                <w:color w:val="auto"/>
              </w:rPr>
              <w:t>Awards</w:t>
            </w:r>
            <w:r>
              <w:rPr>
                <w:rFonts w:ascii="Arial" w:cs="Arial" w:eastAsia="Arial" w:hAnsi="Arial"/>
                <w:sz w:val="20"/>
                <w:szCs w:val="20"/>
                <w:b w:val="1"/>
                <w:bCs w:val="1"/>
                <w:color w:val="auto"/>
                <w:vertAlign w:val="superscript"/>
              </w:rPr>
              <w:t>(1)</w:t>
            </w:r>
          </w:p>
        </w:tc>
        <w:tc>
          <w:tcPr>
            <w:tcW w:w="300" w:type="dxa"/>
            <w:vAlign w:val="bottom"/>
          </w:tcPr>
          <w:p>
            <w:pPr>
              <w:spacing w:after="0"/>
              <w:rPr>
                <w:sz w:val="18"/>
                <w:szCs w:val="18"/>
                <w:color w:val="auto"/>
              </w:rPr>
            </w:pPr>
          </w:p>
        </w:tc>
        <w:tc>
          <w:tcPr>
            <w:tcW w:w="1500" w:type="dxa"/>
            <w:vAlign w:val="bottom"/>
            <w:tcBorders>
              <w:bottom w:val="single" w:sz="8" w:color="auto"/>
            </w:tcBorders>
            <w:gridSpan w:val="2"/>
          </w:tcPr>
          <w:p>
            <w:pPr>
              <w:jc w:val="center"/>
              <w:spacing w:after="0" w:line="213" w:lineRule="exact"/>
              <w:rPr>
                <w:sz w:val="20"/>
                <w:szCs w:val="20"/>
                <w:color w:val="auto"/>
              </w:rPr>
            </w:pPr>
            <w:r>
              <w:rPr>
                <w:rFonts w:ascii="Arial" w:cs="Arial" w:eastAsia="Arial" w:hAnsi="Arial"/>
                <w:sz w:val="16"/>
                <w:szCs w:val="16"/>
                <w:b w:val="1"/>
                <w:bCs w:val="1"/>
                <w:color w:val="auto"/>
                <w:w w:val="97"/>
              </w:rPr>
              <w:t>Compensation</w:t>
            </w:r>
            <w:r>
              <w:rPr>
                <w:rFonts w:ascii="Arial" w:cs="Arial" w:eastAsia="Arial" w:hAnsi="Arial"/>
                <w:sz w:val="20"/>
                <w:szCs w:val="20"/>
                <w:b w:val="1"/>
                <w:bCs w:val="1"/>
                <w:color w:val="auto"/>
                <w:w w:val="97"/>
                <w:vertAlign w:val="superscript"/>
              </w:rPr>
              <w:t>(2)</w:t>
            </w:r>
          </w:p>
        </w:tc>
        <w:tc>
          <w:tcPr>
            <w:tcW w:w="60" w:type="dxa"/>
            <w:vAlign w:val="bottom"/>
          </w:tcPr>
          <w:p>
            <w:pPr>
              <w:spacing w:after="0"/>
              <w:rPr>
                <w:sz w:val="18"/>
                <w:szCs w:val="18"/>
                <w:color w:val="auto"/>
              </w:rPr>
            </w:pPr>
          </w:p>
        </w:tc>
        <w:tc>
          <w:tcPr>
            <w:tcW w:w="1440" w:type="dxa"/>
            <w:vAlign w:val="bottom"/>
            <w:tcBorders>
              <w:bottom w:val="single" w:sz="8" w:color="auto"/>
            </w:tcBorders>
            <w:gridSpan w:val="2"/>
          </w:tcPr>
          <w:p>
            <w:pPr>
              <w:ind w:left="60"/>
              <w:spacing w:after="0" w:line="213" w:lineRule="exact"/>
              <w:rPr>
                <w:sz w:val="20"/>
                <w:szCs w:val="20"/>
                <w:color w:val="auto"/>
              </w:rPr>
            </w:pPr>
            <w:r>
              <w:rPr>
                <w:rFonts w:ascii="Arial" w:cs="Arial" w:eastAsia="Arial" w:hAnsi="Arial"/>
                <w:sz w:val="16"/>
                <w:szCs w:val="16"/>
                <w:b w:val="1"/>
                <w:bCs w:val="1"/>
                <w:color w:val="auto"/>
              </w:rPr>
              <w:t>Compensation</w:t>
            </w:r>
            <w:r>
              <w:rPr>
                <w:rFonts w:ascii="Arial" w:cs="Arial" w:eastAsia="Arial" w:hAnsi="Arial"/>
                <w:sz w:val="20"/>
                <w:szCs w:val="20"/>
                <w:b w:val="1"/>
                <w:bCs w:val="1"/>
                <w:color w:val="auto"/>
                <w:vertAlign w:val="superscript"/>
              </w:rPr>
              <w:t>(3)</w:t>
            </w: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560" w:type="dxa"/>
            <w:vAlign w:val="bottom"/>
          </w:tcPr>
          <w:p>
            <w:pPr>
              <w:ind w:left="60"/>
              <w:spacing w:after="0" w:line="159" w:lineRule="exact"/>
              <w:rPr>
                <w:sz w:val="20"/>
                <w:szCs w:val="20"/>
                <w:color w:val="auto"/>
              </w:rPr>
            </w:pPr>
            <w:r>
              <w:rPr>
                <w:rFonts w:ascii="Arial" w:cs="Arial" w:eastAsia="Arial" w:hAnsi="Arial"/>
                <w:sz w:val="14"/>
                <w:szCs w:val="14"/>
                <w:color w:val="auto"/>
              </w:rPr>
              <w:t>Amit Yoran</w:t>
            </w:r>
            <w:r>
              <w:rPr>
                <w:rFonts w:ascii="Arial" w:cs="Arial" w:eastAsia="Arial" w:hAnsi="Arial"/>
                <w:sz w:val="18"/>
                <w:szCs w:val="18"/>
                <w:color w:val="auto"/>
                <w:vertAlign w:val="superscript"/>
              </w:rPr>
              <w:t>(4)</w:t>
            </w:r>
          </w:p>
        </w:tc>
        <w:tc>
          <w:tcPr>
            <w:tcW w:w="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2022</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484,167</w:t>
            </w:r>
          </w:p>
        </w:tc>
        <w:tc>
          <w:tcPr>
            <w:tcW w:w="80" w:type="dxa"/>
            <w:vAlign w:val="bottom"/>
            <w:shd w:val="clear" w:color="auto" w:fill="D2EDF0"/>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  8,999,981</w:t>
            </w:r>
          </w:p>
        </w:tc>
        <w:tc>
          <w:tcPr>
            <w:tcW w:w="4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500,636</w:t>
            </w:r>
          </w:p>
        </w:tc>
        <w:tc>
          <w:tcPr>
            <w:tcW w:w="30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$ 9,984,784</w:t>
            </w:r>
          </w:p>
        </w:tc>
        <w:tc>
          <w:tcPr>
            <w:tcW w:w="0" w:type="dxa"/>
            <w:vAlign w:val="bottom"/>
          </w:tcPr>
          <w:p>
            <w:pPr>
              <w:spacing w:after="0"/>
              <w:rPr>
                <w:sz w:val="1"/>
                <w:szCs w:val="1"/>
                <w:color w:val="auto"/>
              </w:rPr>
            </w:pPr>
          </w:p>
        </w:tc>
      </w:tr>
      <w:tr>
        <w:trPr>
          <w:trHeight w:val="140"/>
        </w:trPr>
        <w:tc>
          <w:tcPr>
            <w:tcW w:w="1640" w:type="dxa"/>
            <w:vAlign w:val="bottom"/>
            <w:gridSpan w:val="2"/>
          </w:tcPr>
          <w:p>
            <w:pPr>
              <w:ind w:left="60"/>
              <w:spacing w:after="0" w:line="140" w:lineRule="exact"/>
              <w:rPr>
                <w:sz w:val="20"/>
                <w:szCs w:val="20"/>
                <w:color w:val="auto"/>
              </w:rPr>
            </w:pPr>
            <w:r>
              <w:rPr>
                <w:rFonts w:ascii="Arial" w:cs="Arial" w:eastAsia="Arial" w:hAnsi="Arial"/>
                <w:sz w:val="16"/>
                <w:szCs w:val="16"/>
                <w:color w:val="auto"/>
              </w:rPr>
              <w:t>Chief Executive</w:t>
            </w:r>
          </w:p>
        </w:tc>
        <w:tc>
          <w:tcPr>
            <w:tcW w:w="68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shd w:val="clear" w:color="auto" w:fill="D2EDF0"/>
          </w:tcPr>
          <w:p>
            <w:pPr>
              <w:spacing w:after="0"/>
              <w:rPr>
                <w:sz w:val="12"/>
                <w:szCs w:val="12"/>
                <w:color w:val="auto"/>
              </w:rPr>
            </w:pPr>
          </w:p>
        </w:tc>
        <w:tc>
          <w:tcPr>
            <w:tcW w:w="1080" w:type="dxa"/>
            <w:vAlign w:val="bottom"/>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640" w:type="dxa"/>
            <w:vAlign w:val="bottom"/>
            <w:gridSpan w:val="2"/>
          </w:tcPr>
          <w:p>
            <w:pPr>
              <w:ind w:left="60"/>
              <w:spacing w:after="0"/>
              <w:rPr>
                <w:sz w:val="20"/>
                <w:szCs w:val="20"/>
                <w:color w:val="auto"/>
              </w:rPr>
            </w:pPr>
            <w:r>
              <w:rPr>
                <w:rFonts w:ascii="Arial" w:cs="Arial" w:eastAsia="Arial" w:hAnsi="Arial"/>
                <w:sz w:val="16"/>
                <w:szCs w:val="16"/>
                <w:color w:val="auto"/>
              </w:rPr>
              <w:t>Officer and</w:t>
            </w:r>
          </w:p>
        </w:tc>
        <w:tc>
          <w:tcPr>
            <w:tcW w:w="680" w:type="dxa"/>
            <w:vAlign w:val="bottom"/>
          </w:tcPr>
          <w:p>
            <w:pPr>
              <w:jc w:val="right"/>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466,667</w:t>
            </w:r>
          </w:p>
        </w:tc>
        <w:tc>
          <w:tcPr>
            <w:tcW w:w="80" w:type="dxa"/>
            <w:vAlign w:val="bottom"/>
            <w:tcBorders>
              <w:top w:val="single" w:sz="8" w:color="D2EDF0"/>
            </w:tcBorders>
            <w:shd w:val="clear" w:color="auto" w:fill="D2EDF0"/>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7,499,972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513,992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Borders>
              <w:right w:val="single" w:sz="8" w:color="D2EDF0"/>
            </w:tcBorders>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8,480,631</w:t>
            </w:r>
          </w:p>
        </w:tc>
        <w:tc>
          <w:tcPr>
            <w:tcW w:w="0" w:type="dxa"/>
            <w:vAlign w:val="bottom"/>
          </w:tcPr>
          <w:p>
            <w:pPr>
              <w:spacing w:after="0"/>
              <w:rPr>
                <w:sz w:val="1"/>
                <w:szCs w:val="1"/>
                <w:color w:val="auto"/>
              </w:rPr>
            </w:pPr>
          </w:p>
        </w:tc>
      </w:tr>
      <w:tr>
        <w:trPr>
          <w:trHeight w:val="211"/>
        </w:trPr>
        <w:tc>
          <w:tcPr>
            <w:tcW w:w="1640" w:type="dxa"/>
            <w:vAlign w:val="bottom"/>
            <w:gridSpan w:val="2"/>
          </w:tcPr>
          <w:p>
            <w:pPr>
              <w:ind w:left="60"/>
              <w:spacing w:after="0"/>
              <w:rPr>
                <w:sz w:val="20"/>
                <w:szCs w:val="20"/>
                <w:color w:val="auto"/>
              </w:rPr>
            </w:pPr>
            <w:r>
              <w:rPr>
                <w:rFonts w:ascii="Arial" w:cs="Arial" w:eastAsia="Arial" w:hAnsi="Arial"/>
                <w:sz w:val="16"/>
                <w:szCs w:val="16"/>
                <w:color w:val="auto"/>
              </w:rPr>
              <w:t>Chairman</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441,667</w:t>
            </w:r>
          </w:p>
        </w:tc>
        <w:tc>
          <w:tcPr>
            <w:tcW w:w="80" w:type="dxa"/>
            <w:vAlign w:val="bottom"/>
            <w:shd w:val="clear" w:color="auto" w:fill="D2EDF0"/>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6,599,993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409,008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Borders>
              <w:right w:val="single" w:sz="8" w:color="D2EDF0"/>
            </w:tcBorders>
            <w:vMerge w:val="restart"/>
          </w:tcPr>
          <w:p>
            <w:pPr>
              <w:jc w:val="right"/>
              <w:ind w:right="60"/>
              <w:spacing w:after="0"/>
              <w:rPr>
                <w:sz w:val="20"/>
                <w:szCs w:val="20"/>
                <w:color w:val="auto"/>
              </w:rPr>
            </w:pPr>
            <w:r>
              <w:rPr>
                <w:rFonts w:ascii="Arial" w:cs="Arial" w:eastAsia="Arial" w:hAnsi="Arial"/>
                <w:sz w:val="16"/>
                <w:szCs w:val="16"/>
                <w:color w:val="auto"/>
              </w:rPr>
              <w:t>300</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7,450,968</w:t>
            </w:r>
          </w:p>
        </w:tc>
        <w:tc>
          <w:tcPr>
            <w:tcW w:w="0" w:type="dxa"/>
            <w:vAlign w:val="bottom"/>
          </w:tcPr>
          <w:p>
            <w:pPr>
              <w:spacing w:after="0"/>
              <w:rPr>
                <w:sz w:val="1"/>
                <w:szCs w:val="1"/>
                <w:color w:val="auto"/>
              </w:rPr>
            </w:pPr>
          </w:p>
        </w:tc>
      </w:tr>
      <w:tr>
        <w:trPr>
          <w:trHeight w:val="153"/>
        </w:trPr>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shd w:val="clear" w:color="auto" w:fill="D2EDF0"/>
          </w:tcPr>
          <w:p>
            <w:pPr>
              <w:spacing w:after="0"/>
              <w:rPr>
                <w:sz w:val="13"/>
                <w:szCs w:val="13"/>
                <w:color w:val="auto"/>
              </w:rPr>
            </w:pPr>
          </w:p>
        </w:tc>
        <w:tc>
          <w:tcPr>
            <w:tcW w:w="10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Borders>
              <w:right w:val="single" w:sz="8" w:color="D2EDF0"/>
            </w:tcBorders>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40" w:type="dxa"/>
            <w:vAlign w:val="bottom"/>
            <w:gridSpan w:val="2"/>
          </w:tcPr>
          <w:p>
            <w:pPr>
              <w:ind w:left="60"/>
              <w:spacing w:after="0" w:line="169" w:lineRule="exact"/>
              <w:rPr>
                <w:sz w:val="20"/>
                <w:szCs w:val="20"/>
                <w:color w:val="auto"/>
              </w:rPr>
            </w:pPr>
            <w:r>
              <w:rPr>
                <w:rFonts w:ascii="Arial" w:cs="Arial" w:eastAsia="Arial" w:hAnsi="Arial"/>
                <w:sz w:val="16"/>
                <w:szCs w:val="16"/>
                <w:color w:val="auto"/>
              </w:rPr>
              <w:t>Stephen A. Vintz</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2022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411,667</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5,099,958</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372,393</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ind w:right="60"/>
              <w:spacing w:after="0"/>
              <w:rPr>
                <w:sz w:val="20"/>
                <w:szCs w:val="20"/>
                <w:color w:val="auto"/>
              </w:rPr>
            </w:pPr>
            <w:r>
              <w:rPr>
                <w:rFonts w:ascii="Arial" w:cs="Arial" w:eastAsia="Arial" w:hAnsi="Arial"/>
                <w:sz w:val="16"/>
                <w:szCs w:val="16"/>
                <w:color w:val="auto"/>
              </w:rPr>
              <w:t>12,200</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5,896,218</w:t>
            </w:r>
          </w:p>
        </w:tc>
        <w:tc>
          <w:tcPr>
            <w:tcW w:w="0" w:type="dxa"/>
            <w:vAlign w:val="bottom"/>
          </w:tcPr>
          <w:p>
            <w:pPr>
              <w:spacing w:after="0"/>
              <w:rPr>
                <w:sz w:val="1"/>
                <w:szCs w:val="1"/>
                <w:color w:val="auto"/>
              </w:rPr>
            </w:pPr>
          </w:p>
        </w:tc>
      </w:tr>
      <w:tr>
        <w:trPr>
          <w:trHeight w:val="117"/>
        </w:trPr>
        <w:tc>
          <w:tcPr>
            <w:tcW w:w="1640" w:type="dxa"/>
            <w:vAlign w:val="bottom"/>
            <w:gridSpan w:val="2"/>
            <w:vMerge w:val="restart"/>
          </w:tcPr>
          <w:p>
            <w:pPr>
              <w:ind w:left="60"/>
              <w:spacing w:after="0" w:line="160" w:lineRule="exact"/>
              <w:rPr>
                <w:sz w:val="20"/>
                <w:szCs w:val="20"/>
                <w:color w:val="auto"/>
              </w:rPr>
            </w:pPr>
            <w:r>
              <w:rPr>
                <w:rFonts w:ascii="Arial" w:cs="Arial" w:eastAsia="Arial" w:hAnsi="Arial"/>
                <w:sz w:val="16"/>
                <w:szCs w:val="16"/>
                <w:color w:val="auto"/>
              </w:rPr>
              <w:t>Chief Financial</w:t>
            </w:r>
          </w:p>
        </w:tc>
        <w:tc>
          <w:tcPr>
            <w:tcW w:w="6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16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1640" w:type="dxa"/>
            <w:vAlign w:val="bottom"/>
            <w:gridSpan w:val="2"/>
          </w:tcPr>
          <w:p>
            <w:pPr>
              <w:ind w:left="60"/>
              <w:spacing w:after="0"/>
              <w:rPr>
                <w:sz w:val="20"/>
                <w:szCs w:val="20"/>
                <w:color w:val="auto"/>
              </w:rPr>
            </w:pPr>
            <w:r>
              <w:rPr>
                <w:rFonts w:ascii="Arial" w:cs="Arial" w:eastAsia="Arial" w:hAnsi="Arial"/>
                <w:sz w:val="16"/>
                <w:szCs w:val="16"/>
                <w:color w:val="auto"/>
              </w:rPr>
              <w:t>Officer</w:t>
            </w:r>
          </w:p>
        </w:tc>
        <w:tc>
          <w:tcPr>
            <w:tcW w:w="680" w:type="dxa"/>
            <w:vAlign w:val="bottom"/>
          </w:tcPr>
          <w:p>
            <w:pPr>
              <w:jc w:val="right"/>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395,833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4,099,975</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382,760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11,600</w:t>
            </w:r>
          </w:p>
        </w:tc>
        <w:tc>
          <w:tcPr>
            <w:tcW w:w="1000" w:type="dxa"/>
            <w:vAlign w:val="bottom"/>
          </w:tcPr>
          <w:p>
            <w:pPr>
              <w:jc w:val="right"/>
              <w:spacing w:after="0"/>
              <w:rPr>
                <w:sz w:val="20"/>
                <w:szCs w:val="20"/>
                <w:color w:val="auto"/>
              </w:rPr>
            </w:pPr>
            <w:r>
              <w:rPr>
                <w:rFonts w:ascii="Arial" w:cs="Arial" w:eastAsia="Arial" w:hAnsi="Arial"/>
                <w:sz w:val="16"/>
                <w:szCs w:val="16"/>
                <w:color w:val="auto"/>
              </w:rPr>
              <w:t>4,890,168</w:t>
            </w:r>
          </w:p>
        </w:tc>
        <w:tc>
          <w:tcPr>
            <w:tcW w:w="0" w:type="dxa"/>
            <w:vAlign w:val="bottom"/>
          </w:tcPr>
          <w:p>
            <w:pPr>
              <w:spacing w:after="0"/>
              <w:rPr>
                <w:sz w:val="1"/>
                <w:szCs w:val="1"/>
                <w:color w:val="auto"/>
              </w:rPr>
            </w:pPr>
          </w:p>
        </w:tc>
      </w:tr>
      <w:tr>
        <w:trPr>
          <w:trHeight w:val="315"/>
        </w:trPr>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370,833</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3,999,987</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295,394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11,742</w:t>
            </w:r>
          </w:p>
        </w:tc>
        <w:tc>
          <w:tcPr>
            <w:tcW w:w="1000" w:type="dxa"/>
            <w:vAlign w:val="bottom"/>
          </w:tcPr>
          <w:p>
            <w:pPr>
              <w:jc w:val="right"/>
              <w:spacing w:after="0"/>
              <w:rPr>
                <w:sz w:val="20"/>
                <w:szCs w:val="20"/>
                <w:color w:val="auto"/>
              </w:rPr>
            </w:pPr>
            <w:r>
              <w:rPr>
                <w:rFonts w:ascii="Arial" w:cs="Arial" w:eastAsia="Arial" w:hAnsi="Arial"/>
                <w:sz w:val="16"/>
                <w:szCs w:val="16"/>
                <w:color w:val="auto"/>
              </w:rPr>
              <w:t>4,677,956</w:t>
            </w:r>
          </w:p>
        </w:tc>
        <w:tc>
          <w:tcPr>
            <w:tcW w:w="0" w:type="dxa"/>
            <w:vAlign w:val="bottom"/>
          </w:tcPr>
          <w:p>
            <w:pPr>
              <w:spacing w:after="0"/>
              <w:rPr>
                <w:sz w:val="1"/>
                <w:szCs w:val="1"/>
                <w:color w:val="auto"/>
              </w:rPr>
            </w:pPr>
          </w:p>
        </w:tc>
      </w:tr>
      <w:tr>
        <w:trPr>
          <w:trHeight w:val="183"/>
        </w:trPr>
        <w:tc>
          <w:tcPr>
            <w:tcW w:w="1640" w:type="dxa"/>
            <w:vAlign w:val="bottom"/>
            <w:gridSpan w:val="2"/>
          </w:tcPr>
          <w:p>
            <w:pPr>
              <w:ind w:left="60"/>
              <w:spacing w:after="0" w:line="183" w:lineRule="exact"/>
              <w:rPr>
                <w:sz w:val="20"/>
                <w:szCs w:val="20"/>
                <w:color w:val="auto"/>
              </w:rPr>
            </w:pPr>
            <w:r>
              <w:rPr>
                <w:rFonts w:ascii="Arial" w:cs="Arial" w:eastAsia="Arial" w:hAnsi="Arial"/>
                <w:sz w:val="16"/>
                <w:szCs w:val="16"/>
                <w:color w:val="auto"/>
              </w:rPr>
              <w:t>Stephen A. Riddick</w:t>
            </w:r>
          </w:p>
        </w:tc>
        <w:tc>
          <w:tcPr>
            <w:tcW w:w="680" w:type="dxa"/>
            <w:vAlign w:val="bottom"/>
            <w:vMerge w:val="restart"/>
            <w:shd w:val="clear" w:color="auto" w:fill="D2EDF0"/>
          </w:tcPr>
          <w:p>
            <w:pPr>
              <w:jc w:val="right"/>
              <w:spacing w:after="0"/>
              <w:rPr>
                <w:sz w:val="20"/>
                <w:szCs w:val="20"/>
                <w:color w:val="auto"/>
              </w:rPr>
            </w:pPr>
            <w:r>
              <w:rPr>
                <w:rFonts w:ascii="Arial" w:cs="Arial" w:eastAsia="Arial" w:hAnsi="Arial"/>
                <w:sz w:val="16"/>
                <w:szCs w:val="16"/>
                <w:color w:val="auto"/>
              </w:rPr>
              <w:t>2022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293,125</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2,499,972</w:t>
            </w: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D2EDF0"/>
          </w:tcPr>
          <w:p>
            <w:pPr>
              <w:spacing w:after="0"/>
              <w:rPr>
                <w:sz w:val="15"/>
                <w:szCs w:val="15"/>
                <w:color w:val="auto"/>
              </w:rPr>
            </w:pPr>
          </w:p>
        </w:tc>
        <w:tc>
          <w:tcPr>
            <w:tcW w:w="1320" w:type="dxa"/>
            <w:vAlign w:val="bottom"/>
            <w:vMerge w:val="restart"/>
            <w:shd w:val="clear" w:color="auto" w:fill="D2EDF0"/>
          </w:tcPr>
          <w:p>
            <w:pPr>
              <w:jc w:val="right"/>
              <w:spacing w:after="0"/>
              <w:rPr>
                <w:sz w:val="20"/>
                <w:szCs w:val="20"/>
                <w:color w:val="auto"/>
              </w:rPr>
            </w:pPr>
            <w:r>
              <w:rPr>
                <w:rFonts w:ascii="Arial" w:cs="Arial" w:eastAsia="Arial" w:hAnsi="Arial"/>
                <w:sz w:val="16"/>
                <w:szCs w:val="16"/>
                <w:color w:val="auto"/>
              </w:rPr>
              <w:t>116,749</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ind w:right="60"/>
              <w:spacing w:after="0"/>
              <w:rPr>
                <w:sz w:val="20"/>
                <w:szCs w:val="20"/>
                <w:color w:val="auto"/>
              </w:rPr>
            </w:pPr>
            <w:r>
              <w:rPr>
                <w:rFonts w:ascii="Arial" w:cs="Arial" w:eastAsia="Arial" w:hAnsi="Arial"/>
                <w:sz w:val="16"/>
                <w:szCs w:val="16"/>
                <w:color w:val="auto"/>
              </w:rPr>
              <w:t>12,200</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2,922,046</w:t>
            </w:r>
          </w:p>
        </w:tc>
        <w:tc>
          <w:tcPr>
            <w:tcW w:w="0" w:type="dxa"/>
            <w:vAlign w:val="bottom"/>
          </w:tcPr>
          <w:p>
            <w:pPr>
              <w:spacing w:after="0"/>
              <w:rPr>
                <w:sz w:val="1"/>
                <w:szCs w:val="1"/>
                <w:color w:val="auto"/>
              </w:rPr>
            </w:pPr>
          </w:p>
        </w:tc>
      </w:tr>
      <w:tr>
        <w:trPr>
          <w:trHeight w:val="145"/>
        </w:trPr>
        <w:tc>
          <w:tcPr>
            <w:tcW w:w="1640" w:type="dxa"/>
            <w:vAlign w:val="bottom"/>
            <w:gridSpan w:val="2"/>
          </w:tcPr>
          <w:p>
            <w:pPr>
              <w:ind w:left="60"/>
              <w:spacing w:after="0" w:line="140" w:lineRule="exact"/>
              <w:rPr>
                <w:sz w:val="20"/>
                <w:szCs w:val="20"/>
                <w:color w:val="auto"/>
              </w:rPr>
            </w:pPr>
            <w:r>
              <w:rPr>
                <w:rFonts w:ascii="Arial" w:cs="Arial" w:eastAsia="Arial" w:hAnsi="Arial"/>
                <w:sz w:val="16"/>
                <w:szCs w:val="16"/>
                <w:color w:val="auto"/>
              </w:rPr>
              <w:t>Former General</w:t>
            </w:r>
          </w:p>
        </w:tc>
        <w:tc>
          <w:tcPr>
            <w:tcW w:w="680" w:type="dxa"/>
            <w:vAlign w:val="bottom"/>
            <w:tcBorders>
              <w:bottom w:val="single" w:sz="8" w:color="D2EDF0"/>
            </w:tcBorders>
            <w:vMerge w:val="continue"/>
            <w:shd w:val="clear" w:color="auto" w:fill="D2EDF0"/>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Borders>
              <w:bottom w:val="single" w:sz="8" w:color="D2EDF0"/>
            </w:tcBorders>
            <w:vMerge w:val="continue"/>
          </w:tcPr>
          <w:p>
            <w:pPr>
              <w:spacing w:after="0"/>
              <w:rPr>
                <w:sz w:val="12"/>
                <w:szCs w:val="12"/>
                <w:color w:val="auto"/>
              </w:rPr>
            </w:pPr>
          </w:p>
        </w:tc>
        <w:tc>
          <w:tcPr>
            <w:tcW w:w="180" w:type="dxa"/>
            <w:vAlign w:val="bottom"/>
            <w:shd w:val="clear" w:color="auto" w:fill="D2EDF0"/>
          </w:tcPr>
          <w:p>
            <w:pPr>
              <w:spacing w:after="0"/>
              <w:rPr>
                <w:sz w:val="12"/>
                <w:szCs w:val="12"/>
                <w:color w:val="auto"/>
              </w:rPr>
            </w:pPr>
          </w:p>
        </w:tc>
        <w:tc>
          <w:tcPr>
            <w:tcW w:w="1320" w:type="dxa"/>
            <w:vAlign w:val="bottom"/>
            <w:vMerge w:val="continue"/>
            <w:shd w:val="clear" w:color="auto" w:fill="D2EDF0"/>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640" w:type="dxa"/>
            <w:vAlign w:val="bottom"/>
            <w:gridSpan w:val="2"/>
          </w:tcPr>
          <w:p>
            <w:pPr>
              <w:ind w:left="60"/>
              <w:spacing w:after="0"/>
              <w:rPr>
                <w:sz w:val="20"/>
                <w:szCs w:val="20"/>
                <w:color w:val="auto"/>
              </w:rPr>
            </w:pPr>
            <w:r>
              <w:rPr>
                <w:rFonts w:ascii="Arial" w:cs="Arial" w:eastAsia="Arial" w:hAnsi="Arial"/>
                <w:sz w:val="16"/>
                <w:szCs w:val="16"/>
                <w:color w:val="auto"/>
              </w:rPr>
              <w:t>Counsel and</w:t>
            </w:r>
          </w:p>
        </w:tc>
        <w:tc>
          <w:tcPr>
            <w:tcW w:w="680" w:type="dxa"/>
            <w:vAlign w:val="bottom"/>
            <w:shd w:val="clear" w:color="auto" w:fill="D2EDF0"/>
          </w:tcPr>
          <w:p>
            <w:pPr>
              <w:jc w:val="right"/>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355,000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2,199,998</w:t>
            </w:r>
          </w:p>
        </w:tc>
        <w:tc>
          <w:tcPr>
            <w:tcW w:w="300" w:type="dxa"/>
            <w:vAlign w:val="bottom"/>
            <w:shd w:val="clear" w:color="auto" w:fill="D2EDF0"/>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196,849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11,600</w:t>
            </w:r>
          </w:p>
        </w:tc>
        <w:tc>
          <w:tcPr>
            <w:tcW w:w="1000" w:type="dxa"/>
            <w:vAlign w:val="bottom"/>
          </w:tcPr>
          <w:p>
            <w:pPr>
              <w:jc w:val="right"/>
              <w:spacing w:after="0"/>
              <w:rPr>
                <w:sz w:val="20"/>
                <w:szCs w:val="20"/>
                <w:color w:val="auto"/>
              </w:rPr>
            </w:pPr>
            <w:r>
              <w:rPr>
                <w:rFonts w:ascii="Arial" w:cs="Arial" w:eastAsia="Arial" w:hAnsi="Arial"/>
                <w:sz w:val="16"/>
                <w:szCs w:val="16"/>
                <w:color w:val="auto"/>
              </w:rPr>
              <w:t>2,763,447</w:t>
            </w:r>
          </w:p>
        </w:tc>
        <w:tc>
          <w:tcPr>
            <w:tcW w:w="0" w:type="dxa"/>
            <w:vAlign w:val="bottom"/>
          </w:tcPr>
          <w:p>
            <w:pPr>
              <w:spacing w:after="0"/>
              <w:rPr>
                <w:sz w:val="1"/>
                <w:szCs w:val="1"/>
                <w:color w:val="auto"/>
              </w:rPr>
            </w:pPr>
          </w:p>
        </w:tc>
      </w:tr>
      <w:tr>
        <w:trPr>
          <w:trHeight w:val="211"/>
        </w:trPr>
        <w:tc>
          <w:tcPr>
            <w:tcW w:w="1640" w:type="dxa"/>
            <w:vAlign w:val="bottom"/>
            <w:gridSpan w:val="2"/>
          </w:tcPr>
          <w:p>
            <w:pPr>
              <w:ind w:left="60"/>
              <w:spacing w:after="0"/>
              <w:rPr>
                <w:sz w:val="20"/>
                <w:szCs w:val="20"/>
                <w:color w:val="auto"/>
              </w:rPr>
            </w:pPr>
            <w:r>
              <w:rPr>
                <w:rFonts w:ascii="Arial" w:cs="Arial" w:eastAsia="Arial" w:hAnsi="Arial"/>
                <w:sz w:val="16"/>
                <w:szCs w:val="16"/>
                <w:color w:val="auto"/>
              </w:rPr>
              <w:t>Corporate Secretary</w:t>
            </w:r>
          </w:p>
        </w:tc>
        <w:tc>
          <w:tcPr>
            <w:tcW w:w="680" w:type="dxa"/>
            <w:vAlign w:val="bottom"/>
            <w:vMerge w:val="restart"/>
            <w:shd w:val="clear" w:color="auto" w:fill="D2EDF0"/>
          </w:tcPr>
          <w:p>
            <w:pPr>
              <w:jc w:val="right"/>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328,333</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1,799,998</w:t>
            </w:r>
          </w:p>
        </w:tc>
        <w:tc>
          <w:tcPr>
            <w:tcW w:w="300" w:type="dxa"/>
            <w:vAlign w:val="bottom"/>
            <w:shd w:val="clear" w:color="auto" w:fill="D2EDF0"/>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149,969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restart"/>
          </w:tcPr>
          <w:p>
            <w:pPr>
              <w:jc w:val="right"/>
              <w:ind w:right="60"/>
              <w:spacing w:after="0"/>
              <w:rPr>
                <w:sz w:val="20"/>
                <w:szCs w:val="20"/>
                <w:color w:val="auto"/>
              </w:rPr>
            </w:pPr>
            <w:r>
              <w:rPr>
                <w:rFonts w:ascii="Arial" w:cs="Arial" w:eastAsia="Arial" w:hAnsi="Arial"/>
                <w:sz w:val="16"/>
                <w:szCs w:val="16"/>
                <w:color w:val="auto"/>
              </w:rPr>
              <w:t>11,717</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2,290,017</w:t>
            </w:r>
          </w:p>
        </w:tc>
        <w:tc>
          <w:tcPr>
            <w:tcW w:w="0" w:type="dxa"/>
            <w:vAlign w:val="bottom"/>
          </w:tcPr>
          <w:p>
            <w:pPr>
              <w:spacing w:after="0"/>
              <w:rPr>
                <w:sz w:val="1"/>
                <w:szCs w:val="1"/>
                <w:color w:val="auto"/>
              </w:rPr>
            </w:pPr>
          </w:p>
        </w:tc>
      </w:tr>
      <w:tr>
        <w:trPr>
          <w:trHeight w:val="153"/>
        </w:trPr>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continue"/>
            <w:shd w:val="clear" w:color="auto" w:fill="D2EDF0"/>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300" w:type="dxa"/>
            <w:vAlign w:val="bottom"/>
            <w:shd w:val="clear" w:color="auto" w:fill="D2EDF0"/>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640" w:type="dxa"/>
            <w:vAlign w:val="bottom"/>
            <w:gridSpan w:val="2"/>
          </w:tcPr>
          <w:p>
            <w:pPr>
              <w:ind w:left="60"/>
              <w:spacing w:after="0" w:line="171" w:lineRule="exact"/>
              <w:rPr>
                <w:sz w:val="20"/>
                <w:szCs w:val="20"/>
                <w:color w:val="auto"/>
              </w:rPr>
            </w:pPr>
            <w:r>
              <w:rPr>
                <w:rFonts w:ascii="Arial" w:cs="Arial" w:eastAsia="Arial" w:hAnsi="Arial"/>
                <w:sz w:val="16"/>
                <w:szCs w:val="16"/>
                <w:color w:val="auto"/>
              </w:rPr>
              <w:t>Mark Thurmond</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40" w:type="dxa"/>
            <w:vAlign w:val="bottom"/>
            <w:gridSpan w:val="2"/>
          </w:tcPr>
          <w:p>
            <w:pPr>
              <w:ind w:left="60"/>
              <w:spacing w:after="0" w:line="160" w:lineRule="exact"/>
              <w:rPr>
                <w:sz w:val="20"/>
                <w:szCs w:val="20"/>
                <w:color w:val="auto"/>
              </w:rPr>
            </w:pPr>
            <w:r>
              <w:rPr>
                <w:rFonts w:ascii="Arial" w:cs="Arial" w:eastAsia="Arial" w:hAnsi="Arial"/>
                <w:sz w:val="16"/>
                <w:szCs w:val="16"/>
                <w:color w:val="auto"/>
              </w:rPr>
              <w:t>Chief Operating</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411,667</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3,699,997</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372,393</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ind w:right="60"/>
              <w:spacing w:after="0"/>
              <w:rPr>
                <w:sz w:val="20"/>
                <w:szCs w:val="20"/>
                <w:color w:val="auto"/>
              </w:rPr>
            </w:pPr>
            <w:r>
              <w:rPr>
                <w:rFonts w:ascii="Arial" w:cs="Arial" w:eastAsia="Arial" w:hAnsi="Arial"/>
                <w:sz w:val="16"/>
                <w:szCs w:val="16"/>
                <w:color w:val="auto"/>
              </w:rPr>
              <w:t>8,832</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4,492,889</w:t>
            </w:r>
          </w:p>
        </w:tc>
        <w:tc>
          <w:tcPr>
            <w:tcW w:w="0" w:type="dxa"/>
            <w:vAlign w:val="bottom"/>
          </w:tcPr>
          <w:p>
            <w:pPr>
              <w:spacing w:after="0"/>
              <w:rPr>
                <w:sz w:val="1"/>
                <w:szCs w:val="1"/>
                <w:color w:val="auto"/>
              </w:rPr>
            </w:pPr>
          </w:p>
        </w:tc>
      </w:tr>
      <w:tr>
        <w:trPr>
          <w:trHeight w:val="211"/>
        </w:trPr>
        <w:tc>
          <w:tcPr>
            <w:tcW w:w="1640" w:type="dxa"/>
            <w:vAlign w:val="bottom"/>
            <w:gridSpan w:val="2"/>
          </w:tcPr>
          <w:p>
            <w:pPr>
              <w:ind w:left="60"/>
              <w:spacing w:after="0"/>
              <w:rPr>
                <w:sz w:val="20"/>
                <w:szCs w:val="20"/>
                <w:color w:val="auto"/>
              </w:rPr>
            </w:pPr>
            <w:r>
              <w:rPr>
                <w:rFonts w:ascii="Arial" w:cs="Arial" w:eastAsia="Arial" w:hAnsi="Arial"/>
                <w:sz w:val="16"/>
                <w:szCs w:val="16"/>
                <w:color w:val="auto"/>
              </w:rPr>
              <w:t>Officer</w:t>
            </w: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-2080260</wp:posOffset>
            </wp:positionV>
            <wp:extent cx="5683250" cy="17494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83250" cy="174942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ind w:right="180"/>
        <w:spacing w:after="0" w:line="255" w:lineRule="auto"/>
        <w:tabs>
          <w:tab w:leader="none" w:pos="7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This column reflects the aggregate grant date fair value of RSUs and PSUs granted during the year measured pursuant to ASC Topic 718. This calculation assumes that the Named Executive Officer will perform the requisite service for the award to vest in full as required by SEC rules. The PSUs must satisfy both a performance-based requirement and a service-based requirement to vest. Accordingly, the grant date fair value of the PSUs is based upon reaching the target performance conditions on the grant date. Assuming maximum performance conditions are achieved, the total value of stock awards granted in 2022 to Messrs. Yoran, Vintz, Riddick and Thurmond would be $11,249,965, $6,374,947, $3,124,965 and $4,624,985, respectively.</w:t>
      </w:r>
    </w:p>
    <w:p>
      <w:pPr>
        <w:spacing w:after="0" w:line="205" w:lineRule="exact"/>
        <w:rPr>
          <w:sz w:val="20"/>
          <w:szCs w:val="20"/>
          <w:color w:val="auto"/>
        </w:rPr>
      </w:pPr>
    </w:p>
    <w:p>
      <w:pPr>
        <w:ind w:right="100" w:firstLine="720"/>
        <w:spacing w:after="0" w:line="259" w:lineRule="auto"/>
        <w:rPr>
          <w:sz w:val="20"/>
          <w:szCs w:val="20"/>
          <w:color w:val="auto"/>
        </w:rPr>
      </w:pPr>
      <w:r>
        <w:rPr>
          <w:rFonts w:ascii="Arial" w:cs="Arial" w:eastAsia="Arial" w:hAnsi="Arial"/>
          <w:sz w:val="20"/>
          <w:szCs w:val="20"/>
          <w:color w:val="auto"/>
        </w:rPr>
        <w:t>The amounts reported do not reflect the actual economic value that will be realized by the Named Executive Officer upon vesting of the RSU or PSU or the sale of common stock underlying such RSUs or PSUs. The assumptions we used in valuing RSUs and PSUs are described in Note 10 to our consolidated financial statements included in our Annual Report on Form 10-K for the year ended December 31, 2022.</w:t>
      </w:r>
    </w:p>
    <w:p>
      <w:pPr>
        <w:spacing w:after="0" w:line="199" w:lineRule="exact"/>
        <w:rPr>
          <w:sz w:val="20"/>
          <w:szCs w:val="20"/>
          <w:color w:val="auto"/>
        </w:rPr>
      </w:pPr>
    </w:p>
    <w:p>
      <w:pPr>
        <w:ind w:right="140"/>
        <w:spacing w:after="0" w:line="262"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These amounts reflect the cash awards paid under the short-term cash incentive bonus plan for performance during the applicable year. See the Compensation Discussion and Analysis for a more complete description of how the cash bonuses were determined for the year ended December 31, 2022.</w:t>
      </w:r>
    </w:p>
    <w:p>
      <w:pPr>
        <w:spacing w:after="0" w:line="195" w:lineRule="exact"/>
        <w:rPr>
          <w:rFonts w:ascii="Arial" w:cs="Arial" w:eastAsia="Arial" w:hAnsi="Arial"/>
          <w:sz w:val="20"/>
          <w:szCs w:val="20"/>
          <w:color w:val="auto"/>
        </w:rPr>
      </w:pPr>
    </w:p>
    <w:p>
      <w:pPr>
        <w:ind w:right="140"/>
        <w:spacing w:after="0" w:line="268"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These amounts include company matching contributions under our 401(k) Plan. Additionally, in 2020, all employees were granted a one-time remote work stipend of $300 due to the COVID-19 pandemic.</w:t>
      </w:r>
    </w:p>
    <w:p>
      <w:pPr>
        <w:spacing w:after="0" w:line="189" w:lineRule="exact"/>
        <w:rPr>
          <w:rFonts w:ascii="Arial" w:cs="Arial" w:eastAsia="Arial" w:hAnsi="Arial"/>
          <w:sz w:val="20"/>
          <w:szCs w:val="20"/>
          <w:color w:val="auto"/>
        </w:rPr>
      </w:pPr>
    </w:p>
    <w:p>
      <w:pPr>
        <w:ind w:right="480"/>
        <w:spacing w:after="0" w:line="287" w:lineRule="auto"/>
        <w:tabs>
          <w:tab w:leader="none" w:pos="720" w:val="left"/>
        </w:tabs>
        <w:numPr>
          <w:ilvl w:val="0"/>
          <w:numId w:val="52"/>
        </w:numPr>
        <w:rPr>
          <w:rFonts w:ascii="Arial" w:cs="Arial" w:eastAsia="Arial" w:hAnsi="Arial"/>
          <w:sz w:val="20"/>
          <w:szCs w:val="20"/>
          <w:color w:val="auto"/>
        </w:rPr>
      </w:pPr>
      <w:r>
        <w:rPr>
          <w:rFonts w:ascii="Arial" w:cs="Arial" w:eastAsia="Arial" w:hAnsi="Arial"/>
          <w:sz w:val="20"/>
          <w:szCs w:val="20"/>
          <w:color w:val="auto"/>
        </w:rPr>
        <w:t>Mr. Yoran is also a member of our Board of Directors but does not receive any additional compensation in his capacity as a director.</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880" w:h="15480" w:orient="portrait"/>
          <w:cols w:equalWidth="0" w:num="1">
            <w:col w:w="9000"/>
          </w:cols>
          <w:pgMar w:left="1440" w:top="1203" w:right="1440" w:bottom="0" w:gutter="0" w:footer="0" w:header="0"/>
          <w:type w:val="continuous"/>
        </w:sectPr>
      </w:pPr>
    </w:p>
    <w:bookmarkStart w:id="67" w:name="page68"/>
    <w:bookmarkEnd w:id="67"/>
    <w:p>
      <w:pPr>
        <w:ind w:right="120"/>
        <w:spacing w:after="0" w:line="268" w:lineRule="auto"/>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Mr. Riddick forfeited all RSUs and PSUs awarded to him in 2022 in connection with his retirement in October 2022 and, as a result, did not and will not receive any economic value from the canceled portion of the RSUs and of PSUs.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Grants of Plan-Based Awards</w:t>
      </w:r>
    </w:p>
    <w:p>
      <w:pPr>
        <w:spacing w:after="0" w:line="251" w:lineRule="exact"/>
        <w:rPr>
          <w:sz w:val="20"/>
          <w:szCs w:val="20"/>
          <w:color w:val="auto"/>
        </w:rPr>
      </w:pPr>
    </w:p>
    <w:p>
      <w:pPr>
        <w:ind w:right="40" w:firstLine="360"/>
        <w:spacing w:after="0" w:line="280" w:lineRule="auto"/>
        <w:rPr>
          <w:sz w:val="20"/>
          <w:szCs w:val="20"/>
          <w:color w:val="auto"/>
        </w:rPr>
      </w:pPr>
      <w:r>
        <w:rPr>
          <w:rFonts w:ascii="Arial" w:cs="Arial" w:eastAsia="Arial" w:hAnsi="Arial"/>
          <w:sz w:val="19"/>
          <w:szCs w:val="19"/>
          <w:color w:val="auto"/>
        </w:rPr>
        <w:t>The following table provides information on cash-based performance awards and restricted stock unit awards in 2022 to our Named Executive Officers. There can be no assurance that the Grant Date Fair Value, as listed in this table, of the Stock Awards will ever be realized. These Grant Date Fair Value amounts also are included in the “Stock Awards” column of the Summary Compensation Table.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00" w:type="dxa"/>
            <w:vAlign w:val="bottom"/>
            <w:gridSpan w:val="5"/>
          </w:tcPr>
          <w:p>
            <w:pPr>
              <w:jc w:val="center"/>
              <w:spacing w:after="0"/>
              <w:rPr>
                <w:sz w:val="20"/>
                <w:szCs w:val="20"/>
                <w:color w:val="auto"/>
              </w:rPr>
            </w:pPr>
            <w:r>
              <w:rPr>
                <w:rFonts w:ascii="Arial" w:cs="Arial" w:eastAsia="Arial" w:hAnsi="Arial"/>
                <w:sz w:val="14"/>
                <w:szCs w:val="14"/>
                <w:b w:val="1"/>
                <w:bCs w:val="1"/>
                <w:color w:val="auto"/>
              </w:rPr>
              <w:t>Estimated Future Payouts Under</w:t>
            </w:r>
          </w:p>
        </w:tc>
        <w:tc>
          <w:tcPr>
            <w:tcW w:w="60" w:type="dxa"/>
            <w:vAlign w:val="bottom"/>
          </w:tcPr>
          <w:p>
            <w:pPr>
              <w:spacing w:after="0"/>
              <w:rPr>
                <w:sz w:val="14"/>
                <w:szCs w:val="14"/>
                <w:color w:val="auto"/>
              </w:rPr>
            </w:pPr>
          </w:p>
        </w:tc>
        <w:tc>
          <w:tcPr>
            <w:tcW w:w="2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9"/>
              </w:rPr>
              <w:t>Estimated Future Payouts Under</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9"/>
              </w:rPr>
              <w:t>Non-Equity Incentive Plan Awards</w:t>
            </w:r>
          </w:p>
        </w:tc>
        <w:tc>
          <w:tcPr>
            <w:tcW w:w="60" w:type="dxa"/>
            <w:vAlign w:val="bottom"/>
          </w:tcPr>
          <w:p>
            <w:pPr>
              <w:spacing w:after="0"/>
              <w:rPr>
                <w:sz w:val="16"/>
                <w:szCs w:val="16"/>
                <w:color w:val="auto"/>
              </w:rPr>
            </w:pPr>
          </w:p>
        </w:tc>
        <w:tc>
          <w:tcPr>
            <w:tcW w:w="2400" w:type="dxa"/>
            <w:vAlign w:val="bottom"/>
            <w:tcBorders>
              <w:bottom w:val="single" w:sz="8" w:color="auto"/>
            </w:tcBorders>
            <w:gridSpan w:val="5"/>
          </w:tcPr>
          <w:p>
            <w:pPr>
              <w:jc w:val="center"/>
              <w:spacing w:after="0" w:line="189" w:lineRule="exact"/>
              <w:rPr>
                <w:sz w:val="20"/>
                <w:szCs w:val="20"/>
                <w:color w:val="auto"/>
              </w:rPr>
            </w:pPr>
            <w:r>
              <w:rPr>
                <w:rFonts w:ascii="Arial" w:cs="Arial" w:eastAsia="Arial" w:hAnsi="Arial"/>
                <w:sz w:val="14"/>
                <w:szCs w:val="14"/>
                <w:b w:val="1"/>
                <w:bCs w:val="1"/>
                <w:color w:val="auto"/>
                <w:w w:val="98"/>
              </w:rPr>
              <w:t>Equity Incentive Plan Awards</w:t>
            </w:r>
            <w:r>
              <w:rPr>
                <w:rFonts w:ascii="Arial" w:cs="Arial" w:eastAsia="Arial" w:hAnsi="Arial"/>
                <w:sz w:val="18"/>
                <w:szCs w:val="18"/>
                <w:b w:val="1"/>
                <w:bCs w:val="1"/>
                <w:color w:val="auto"/>
                <w:w w:val="98"/>
                <w:vertAlign w:val="superscript"/>
              </w:rPr>
              <w:t>(1)</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Awards:</w:t>
            </w:r>
          </w:p>
        </w:tc>
        <w:tc>
          <w:tcPr>
            <w:tcW w:w="6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9"/>
              </w:rPr>
              <w:t>Number of</w:t>
            </w:r>
          </w:p>
        </w:tc>
        <w:tc>
          <w:tcPr>
            <w:tcW w:w="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Threshold</w:t>
            </w:r>
          </w:p>
        </w:tc>
        <w:tc>
          <w:tcPr>
            <w:tcW w:w="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Target</w:t>
            </w: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Maximum</w:t>
            </w: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Threshold</w:t>
            </w:r>
          </w:p>
        </w:tc>
        <w:tc>
          <w:tcPr>
            <w:tcW w:w="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Target</w:t>
            </w:r>
          </w:p>
        </w:tc>
        <w:tc>
          <w:tcPr>
            <w:tcW w:w="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Maximum</w:t>
            </w:r>
          </w:p>
        </w:tc>
        <w:tc>
          <w:tcPr>
            <w:tcW w:w="80" w:type="dxa"/>
            <w:vAlign w:val="bottom"/>
          </w:tcPr>
          <w:p>
            <w:pPr>
              <w:spacing w:after="0"/>
              <w:rPr>
                <w:sz w:val="12"/>
                <w:szCs w:val="12"/>
                <w:color w:val="auto"/>
              </w:rPr>
            </w:pPr>
          </w:p>
        </w:tc>
        <w:tc>
          <w:tcPr>
            <w:tcW w:w="8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Shares of</w:t>
            </w:r>
          </w:p>
        </w:tc>
        <w:tc>
          <w:tcPr>
            <w:tcW w:w="6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9"/>
              </w:rPr>
              <w:t>Fair Value of</w:t>
            </w:r>
          </w:p>
        </w:tc>
        <w:tc>
          <w:tcPr>
            <w:tcW w:w="0" w:type="dxa"/>
            <w:vAlign w:val="bottom"/>
          </w:tcPr>
          <w:p>
            <w:pPr>
              <w:spacing w:after="0"/>
              <w:rPr>
                <w:sz w:val="1"/>
                <w:szCs w:val="1"/>
                <w:color w:val="auto"/>
              </w:rPr>
            </w:pPr>
          </w:p>
        </w:tc>
      </w:tr>
      <w:tr>
        <w:trPr>
          <w:trHeight w:val="140"/>
        </w:trPr>
        <w:tc>
          <w:tcPr>
            <w:tcW w:w="8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Name</w:t>
            </w:r>
          </w:p>
        </w:tc>
        <w:tc>
          <w:tcPr>
            <w:tcW w:w="80" w:type="dxa"/>
            <w:vAlign w:val="bottom"/>
            <w:vMerge w:val="restart"/>
          </w:tcPr>
          <w:p>
            <w:pPr>
              <w:spacing w:after="0"/>
              <w:rPr>
                <w:sz w:val="12"/>
                <w:szCs w:val="12"/>
                <w:color w:val="auto"/>
              </w:rPr>
            </w:pP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Grant Date</w:t>
            </w:r>
          </w:p>
        </w:tc>
        <w:tc>
          <w:tcPr>
            <w:tcW w:w="3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9"/>
              </w:rPr>
              <w:t>Stock or</w:t>
            </w:r>
          </w:p>
        </w:tc>
        <w:tc>
          <w:tcPr>
            <w:tcW w:w="60" w:type="dxa"/>
            <w:vAlign w:val="bottom"/>
          </w:tcPr>
          <w:p>
            <w:pPr>
              <w:spacing w:after="0"/>
              <w:rPr>
                <w:sz w:val="12"/>
                <w:szCs w:val="12"/>
                <w:color w:val="auto"/>
              </w:rPr>
            </w:pPr>
          </w:p>
        </w:tc>
        <w:tc>
          <w:tcPr>
            <w:tcW w:w="9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89"/>
        </w:trPr>
        <w:tc>
          <w:tcPr>
            <w:tcW w:w="8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6"/>
                <w:szCs w:val="16"/>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8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6"/>
              </w:rPr>
              <w:t>Units (#)</w:t>
            </w:r>
            <w:r>
              <w:rPr>
                <w:rFonts w:ascii="Arial" w:cs="Arial" w:eastAsia="Arial" w:hAnsi="Arial"/>
                <w:sz w:val="18"/>
                <w:szCs w:val="18"/>
                <w:b w:val="1"/>
                <w:bCs w:val="1"/>
                <w:color w:val="auto"/>
                <w:w w:val="96"/>
                <w:vertAlign w:val="superscript"/>
              </w:rPr>
              <w:t>(2)</w:t>
            </w:r>
          </w:p>
        </w:tc>
        <w:tc>
          <w:tcPr>
            <w:tcW w:w="60" w:type="dxa"/>
            <w:vAlign w:val="bottom"/>
          </w:tcPr>
          <w:p>
            <w:pPr>
              <w:spacing w:after="0"/>
              <w:rPr>
                <w:sz w:val="16"/>
                <w:szCs w:val="16"/>
                <w:color w:val="auto"/>
              </w:rPr>
            </w:pPr>
          </w:p>
        </w:tc>
        <w:tc>
          <w:tcPr>
            <w:tcW w:w="9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7"/>
              </w:rPr>
              <w:t>Awards ($)</w:t>
            </w:r>
            <w:r>
              <w:rPr>
                <w:rFonts w:ascii="Arial" w:cs="Arial" w:eastAsia="Arial" w:hAnsi="Arial"/>
                <w:sz w:val="18"/>
                <w:szCs w:val="18"/>
                <w:b w:val="1"/>
                <w:bCs w:val="1"/>
                <w:color w:val="auto"/>
                <w:w w:val="97"/>
                <w:vertAlign w:val="superscript"/>
              </w:rPr>
              <w:t>(3)</w:t>
            </w:r>
          </w:p>
        </w:tc>
        <w:tc>
          <w:tcPr>
            <w:tcW w:w="0" w:type="dxa"/>
            <w:vAlign w:val="bottom"/>
          </w:tcPr>
          <w:p>
            <w:pPr>
              <w:spacing w:after="0"/>
              <w:rPr>
                <w:sz w:val="1"/>
                <w:szCs w:val="1"/>
                <w:color w:val="auto"/>
              </w:rPr>
            </w:pPr>
          </w:p>
        </w:tc>
      </w:tr>
      <w:tr>
        <w:trPr>
          <w:trHeight w:val="171"/>
        </w:trPr>
        <w:tc>
          <w:tcPr>
            <w:tcW w:w="920" w:type="dxa"/>
            <w:vAlign w:val="bottom"/>
            <w:gridSpan w:val="2"/>
          </w:tcPr>
          <w:p>
            <w:pPr>
              <w:ind w:left="60"/>
              <w:spacing w:after="0" w:line="171" w:lineRule="exact"/>
              <w:rPr>
                <w:sz w:val="20"/>
                <w:szCs w:val="20"/>
                <w:color w:val="auto"/>
              </w:rPr>
            </w:pPr>
            <w:r>
              <w:rPr>
                <w:rFonts w:ascii="Arial" w:cs="Arial" w:eastAsia="Arial" w:hAnsi="Arial"/>
                <w:sz w:val="16"/>
                <w:szCs w:val="16"/>
                <w:color w:val="auto"/>
              </w:rPr>
              <w:t>Amit</w:t>
            </w:r>
          </w:p>
        </w:tc>
        <w:tc>
          <w:tcPr>
            <w:tcW w:w="820" w:type="dxa"/>
            <w:vAlign w:val="bottom"/>
            <w:vMerge w:val="restart"/>
            <w:shd w:val="clear" w:color="auto" w:fill="D2EDF0"/>
          </w:tcPr>
          <w:p>
            <w:pPr>
              <w:ind w:left="600"/>
              <w:spacing w:after="0"/>
              <w:rPr>
                <w:sz w:val="20"/>
                <w:szCs w:val="20"/>
                <w:color w:val="auto"/>
              </w:rPr>
            </w:pPr>
            <w:r>
              <w:rPr>
                <w:rFonts w:ascii="Arial" w:cs="Arial" w:eastAsia="Arial" w:hAnsi="Arial"/>
                <w:sz w:val="16"/>
                <w:szCs w:val="16"/>
                <w:color w:val="auto"/>
              </w:rPr>
              <w:t>(4)</w:t>
            </w:r>
          </w:p>
        </w:tc>
        <w:tc>
          <w:tcPr>
            <w:tcW w:w="1160" w:type="dxa"/>
            <w:vAlign w:val="bottom"/>
            <w:gridSpan w:val="2"/>
            <w:vMerge w:val="restart"/>
          </w:tcPr>
          <w:p>
            <w:pPr>
              <w:jc w:val="right"/>
              <w:ind w:right="10"/>
              <w:spacing w:after="0"/>
              <w:rPr>
                <w:sz w:val="20"/>
                <w:szCs w:val="20"/>
                <w:color w:val="auto"/>
              </w:rPr>
            </w:pPr>
            <w:r>
              <w:rPr>
                <w:rFonts w:ascii="Arial" w:cs="Arial" w:eastAsia="Arial" w:hAnsi="Arial"/>
                <w:sz w:val="16"/>
                <w:szCs w:val="16"/>
                <w:color w:val="auto"/>
              </w:rPr>
              <w:t>$304,375</w:t>
            </w:r>
          </w:p>
        </w:tc>
        <w:tc>
          <w:tcPr>
            <w:tcW w:w="860" w:type="dxa"/>
            <w:vAlign w:val="bottom"/>
            <w:gridSpan w:val="2"/>
            <w:vMerge w:val="restart"/>
          </w:tcPr>
          <w:p>
            <w:pPr>
              <w:jc w:val="right"/>
              <w:ind w:right="10"/>
              <w:spacing w:after="0"/>
              <w:rPr>
                <w:sz w:val="20"/>
                <w:szCs w:val="20"/>
                <w:color w:val="auto"/>
              </w:rPr>
            </w:pPr>
            <w:r>
              <w:rPr>
                <w:rFonts w:ascii="Arial" w:cs="Arial" w:eastAsia="Arial" w:hAnsi="Arial"/>
                <w:sz w:val="16"/>
                <w:szCs w:val="16"/>
                <w:color w:val="auto"/>
              </w:rPr>
              <w:t>$487,000</w:t>
            </w: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color w:val="auto"/>
              </w:rPr>
              <w:t>$974,000</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920" w:type="dxa"/>
            <w:vAlign w:val="bottom"/>
            <w:gridSpan w:val="2"/>
          </w:tcPr>
          <w:p>
            <w:pPr>
              <w:ind w:left="60"/>
              <w:spacing w:after="0"/>
              <w:rPr>
                <w:sz w:val="20"/>
                <w:szCs w:val="20"/>
                <w:color w:val="auto"/>
              </w:rPr>
            </w:pPr>
            <w:r>
              <w:rPr>
                <w:rFonts w:ascii="Arial" w:cs="Arial" w:eastAsia="Arial" w:hAnsi="Arial"/>
                <w:sz w:val="16"/>
                <w:szCs w:val="16"/>
                <w:color w:val="auto"/>
              </w:rPr>
              <w:t>Yoran</w:t>
            </w:r>
          </w:p>
        </w:tc>
        <w:tc>
          <w:tcPr>
            <w:tcW w:w="820" w:type="dxa"/>
            <w:vAlign w:val="bottom"/>
            <w:vMerge w:val="continue"/>
            <w:shd w:val="clear" w:color="auto" w:fill="D2EDF0"/>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6"/>
                <w:szCs w:val="16"/>
                <w:color w:val="auto"/>
              </w:rPr>
              <w:t>2/23/2022</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25,016</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50,033</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100,066</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150,100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$ 8,999,981</w:t>
            </w:r>
          </w:p>
        </w:tc>
        <w:tc>
          <w:tcPr>
            <w:tcW w:w="0" w:type="dxa"/>
            <w:vAlign w:val="bottom"/>
          </w:tcPr>
          <w:p>
            <w:pPr>
              <w:spacing w:after="0"/>
              <w:rPr>
                <w:sz w:val="1"/>
                <w:szCs w:val="1"/>
                <w:color w:val="auto"/>
              </w:rPr>
            </w:pPr>
          </w:p>
        </w:tc>
      </w:tr>
      <w:tr>
        <w:trPr>
          <w:trHeight w:val="195"/>
        </w:trPr>
        <w:tc>
          <w:tcPr>
            <w:tcW w:w="920" w:type="dxa"/>
            <w:vAlign w:val="bottom"/>
            <w:gridSpan w:val="2"/>
          </w:tcPr>
          <w:p>
            <w:pPr>
              <w:ind w:left="60"/>
              <w:spacing w:after="0"/>
              <w:rPr>
                <w:sz w:val="20"/>
                <w:szCs w:val="20"/>
                <w:color w:val="auto"/>
              </w:rPr>
            </w:pPr>
            <w:r>
              <w:rPr>
                <w:rFonts w:ascii="Arial" w:cs="Arial" w:eastAsia="Arial" w:hAnsi="Arial"/>
                <w:sz w:val="16"/>
                <w:szCs w:val="16"/>
                <w:color w:val="auto"/>
              </w:rPr>
              <w:t>Stephen</w:t>
            </w:r>
          </w:p>
        </w:tc>
        <w:tc>
          <w:tcPr>
            <w:tcW w:w="820" w:type="dxa"/>
            <w:vAlign w:val="bottom"/>
            <w:vMerge w:val="restart"/>
          </w:tcPr>
          <w:p>
            <w:pPr>
              <w:ind w:left="600"/>
              <w:spacing w:after="0"/>
              <w:rPr>
                <w:sz w:val="20"/>
                <w:szCs w:val="20"/>
                <w:color w:val="auto"/>
              </w:rPr>
            </w:pPr>
            <w:r>
              <w:rPr>
                <w:rFonts w:ascii="Arial" w:cs="Arial" w:eastAsia="Arial" w:hAnsi="Arial"/>
                <w:sz w:val="16"/>
                <w:szCs w:val="16"/>
                <w:color w:val="auto"/>
              </w:rPr>
              <w:t>(4)</w:t>
            </w:r>
          </w:p>
        </w:tc>
        <w:tc>
          <w:tcPr>
            <w:tcW w:w="1160" w:type="dxa"/>
            <w:vAlign w:val="bottom"/>
            <w:gridSpan w:val="2"/>
            <w:vMerge w:val="restart"/>
          </w:tcPr>
          <w:p>
            <w:pPr>
              <w:jc w:val="right"/>
              <w:ind w:right="10"/>
              <w:spacing w:after="0"/>
              <w:rPr>
                <w:sz w:val="20"/>
                <w:szCs w:val="20"/>
                <w:color w:val="auto"/>
              </w:rPr>
            </w:pPr>
            <w:r>
              <w:rPr>
                <w:rFonts w:ascii="Arial" w:cs="Arial" w:eastAsia="Arial" w:hAnsi="Arial"/>
                <w:sz w:val="16"/>
                <w:szCs w:val="16"/>
                <w:color w:val="auto"/>
              </w:rPr>
              <w:t>226,406</w:t>
            </w:r>
          </w:p>
        </w:tc>
        <w:tc>
          <w:tcPr>
            <w:tcW w:w="860" w:type="dxa"/>
            <w:vAlign w:val="bottom"/>
            <w:gridSpan w:val="2"/>
            <w:vMerge w:val="restart"/>
          </w:tcPr>
          <w:p>
            <w:pPr>
              <w:jc w:val="right"/>
              <w:ind w:right="10"/>
              <w:spacing w:after="0"/>
              <w:rPr>
                <w:sz w:val="20"/>
                <w:szCs w:val="20"/>
                <w:color w:val="auto"/>
              </w:rPr>
            </w:pPr>
            <w:r>
              <w:rPr>
                <w:rFonts w:ascii="Arial" w:cs="Arial" w:eastAsia="Arial" w:hAnsi="Arial"/>
                <w:sz w:val="16"/>
                <w:szCs w:val="16"/>
                <w:color w:val="auto"/>
              </w:rPr>
              <w:t>362,250</w:t>
            </w:r>
          </w:p>
        </w:tc>
        <w:tc>
          <w:tcPr>
            <w:tcW w:w="840" w:type="dxa"/>
            <w:vAlign w:val="bottom"/>
            <w:gridSpan w:val="2"/>
            <w:vMerge w:val="restart"/>
          </w:tcPr>
          <w:p>
            <w:pPr>
              <w:jc w:val="right"/>
              <w:ind w:right="10"/>
              <w:spacing w:after="0"/>
              <w:rPr>
                <w:sz w:val="20"/>
                <w:szCs w:val="20"/>
                <w:color w:val="auto"/>
              </w:rPr>
            </w:pPr>
            <w:r>
              <w:rPr>
                <w:rFonts w:ascii="Arial" w:cs="Arial" w:eastAsia="Arial" w:hAnsi="Arial"/>
                <w:sz w:val="16"/>
                <w:szCs w:val="16"/>
                <w:color w:val="auto"/>
              </w:rPr>
              <w:t>724,500</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920" w:type="dxa"/>
            <w:vAlign w:val="bottom"/>
            <w:gridSpan w:val="2"/>
          </w:tcPr>
          <w:p>
            <w:pPr>
              <w:ind w:left="60"/>
              <w:spacing w:after="0"/>
              <w:rPr>
                <w:sz w:val="20"/>
                <w:szCs w:val="20"/>
                <w:color w:val="auto"/>
              </w:rPr>
            </w:pPr>
            <w:r>
              <w:rPr>
                <w:rFonts w:ascii="Arial" w:cs="Arial" w:eastAsia="Arial" w:hAnsi="Arial"/>
                <w:sz w:val="16"/>
                <w:szCs w:val="16"/>
                <w:color w:val="auto"/>
              </w:rPr>
              <w:t>A. Vintz</w:t>
            </w:r>
          </w:p>
        </w:tc>
        <w:tc>
          <w:tcPr>
            <w:tcW w:w="82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6"/>
                <w:szCs w:val="16"/>
                <w:color w:val="auto"/>
              </w:rPr>
              <w:t>2/23/2022</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14,176</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28,352</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56,704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85,056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5,099,958</w:t>
            </w:r>
          </w:p>
        </w:tc>
        <w:tc>
          <w:tcPr>
            <w:tcW w:w="0" w:type="dxa"/>
            <w:vAlign w:val="bottom"/>
          </w:tcPr>
          <w:p>
            <w:pPr>
              <w:spacing w:after="0"/>
              <w:rPr>
                <w:sz w:val="1"/>
                <w:szCs w:val="1"/>
                <w:color w:val="auto"/>
              </w:rPr>
            </w:pPr>
          </w:p>
        </w:tc>
      </w:tr>
      <w:tr>
        <w:trPr>
          <w:trHeight w:val="188"/>
        </w:trPr>
        <w:tc>
          <w:tcPr>
            <w:tcW w:w="840" w:type="dxa"/>
            <w:vAlign w:val="bottom"/>
          </w:tcPr>
          <w:p>
            <w:pPr>
              <w:ind w:left="60"/>
              <w:spacing w:after="0"/>
              <w:rPr>
                <w:sz w:val="20"/>
                <w:szCs w:val="20"/>
                <w:color w:val="auto"/>
              </w:rPr>
            </w:pPr>
            <w:r>
              <w:rPr>
                <w:rFonts w:ascii="Arial" w:cs="Arial" w:eastAsia="Arial" w:hAnsi="Arial"/>
                <w:sz w:val="16"/>
                <w:szCs w:val="16"/>
                <w:color w:val="auto"/>
              </w:rPr>
              <w:t>Stephen</w:t>
            </w:r>
          </w:p>
        </w:tc>
        <w:tc>
          <w:tcPr>
            <w:tcW w:w="80" w:type="dxa"/>
            <w:vAlign w:val="bottom"/>
            <w:shd w:val="clear" w:color="auto" w:fill="D2EDF0"/>
          </w:tcPr>
          <w:p>
            <w:pPr>
              <w:spacing w:after="0"/>
              <w:rPr>
                <w:sz w:val="16"/>
                <w:szCs w:val="16"/>
                <w:color w:val="auto"/>
              </w:rPr>
            </w:pPr>
          </w:p>
        </w:tc>
        <w:tc>
          <w:tcPr>
            <w:tcW w:w="820" w:type="dxa"/>
            <w:vAlign w:val="bottom"/>
            <w:vMerge w:val="restart"/>
            <w:shd w:val="clear" w:color="auto" w:fill="D2EDF0"/>
          </w:tcPr>
          <w:p>
            <w:pPr>
              <w:ind w:left="600"/>
              <w:spacing w:after="0"/>
              <w:rPr>
                <w:sz w:val="20"/>
                <w:szCs w:val="20"/>
                <w:color w:val="auto"/>
              </w:rPr>
            </w:pPr>
            <w:r>
              <w:rPr>
                <w:rFonts w:ascii="Arial" w:cs="Arial" w:eastAsia="Arial" w:hAnsi="Arial"/>
                <w:sz w:val="16"/>
                <w:szCs w:val="16"/>
                <w:color w:val="auto"/>
              </w:rPr>
              <w:t>(4)</w:t>
            </w:r>
          </w:p>
        </w:tc>
        <w:tc>
          <w:tcPr>
            <w:tcW w:w="1160" w:type="dxa"/>
            <w:vAlign w:val="bottom"/>
            <w:gridSpan w:val="2"/>
            <w:vMerge w:val="restart"/>
            <w:shd w:val="clear" w:color="auto" w:fill="D2EDF0"/>
          </w:tcPr>
          <w:p>
            <w:pPr>
              <w:jc w:val="right"/>
              <w:ind w:right="10"/>
              <w:spacing w:after="0"/>
              <w:rPr>
                <w:sz w:val="20"/>
                <w:szCs w:val="20"/>
                <w:color w:val="auto"/>
              </w:rPr>
            </w:pPr>
            <w:r>
              <w:rPr>
                <w:rFonts w:ascii="Arial" w:cs="Arial" w:eastAsia="Arial" w:hAnsi="Arial"/>
                <w:sz w:val="16"/>
                <w:szCs w:val="16"/>
                <w:color w:val="auto"/>
              </w:rPr>
              <w:t>116,563</w:t>
            </w:r>
          </w:p>
        </w:tc>
        <w:tc>
          <w:tcPr>
            <w:tcW w:w="860" w:type="dxa"/>
            <w:vAlign w:val="bottom"/>
            <w:gridSpan w:val="2"/>
            <w:vMerge w:val="restart"/>
            <w:shd w:val="clear" w:color="auto" w:fill="D2EDF0"/>
          </w:tcPr>
          <w:p>
            <w:pPr>
              <w:jc w:val="right"/>
              <w:ind w:right="10"/>
              <w:spacing w:after="0"/>
              <w:rPr>
                <w:sz w:val="20"/>
                <w:szCs w:val="20"/>
                <w:color w:val="auto"/>
              </w:rPr>
            </w:pPr>
            <w:r>
              <w:rPr>
                <w:rFonts w:ascii="Arial" w:cs="Arial" w:eastAsia="Arial" w:hAnsi="Arial"/>
                <w:sz w:val="16"/>
                <w:szCs w:val="16"/>
                <w:color w:val="auto"/>
              </w:rPr>
              <w:t>186,500</w:t>
            </w:r>
          </w:p>
        </w:tc>
        <w:tc>
          <w:tcPr>
            <w:tcW w:w="840" w:type="dxa"/>
            <w:vAlign w:val="bottom"/>
            <w:gridSpan w:val="2"/>
            <w:vMerge w:val="restart"/>
          </w:tcPr>
          <w:p>
            <w:pPr>
              <w:jc w:val="right"/>
              <w:ind w:right="10"/>
              <w:spacing w:after="0"/>
              <w:rPr>
                <w:sz w:val="20"/>
                <w:szCs w:val="20"/>
                <w:color w:val="auto"/>
              </w:rPr>
            </w:pPr>
            <w:r>
              <w:rPr>
                <w:rFonts w:ascii="Arial" w:cs="Arial" w:eastAsia="Arial" w:hAnsi="Arial"/>
                <w:sz w:val="16"/>
                <w:szCs w:val="16"/>
                <w:color w:val="auto"/>
              </w:rPr>
              <w:t>373,000</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40" w:type="dxa"/>
            <w:vAlign w:val="bottom"/>
          </w:tcPr>
          <w:p>
            <w:pPr>
              <w:ind w:left="60"/>
              <w:spacing w:after="0"/>
              <w:rPr>
                <w:sz w:val="20"/>
                <w:szCs w:val="20"/>
                <w:color w:val="auto"/>
              </w:rPr>
            </w:pPr>
            <w:r>
              <w:rPr>
                <w:rFonts w:ascii="Arial" w:cs="Arial" w:eastAsia="Arial" w:hAnsi="Arial"/>
                <w:sz w:val="16"/>
                <w:szCs w:val="16"/>
                <w:color w:val="auto"/>
              </w:rPr>
              <w:t>A. Riddick</w:t>
            </w:r>
          </w:p>
        </w:tc>
        <w:tc>
          <w:tcPr>
            <w:tcW w:w="80" w:type="dxa"/>
            <w:vAlign w:val="bottom"/>
            <w:shd w:val="clear" w:color="auto" w:fill="D2EDF0"/>
          </w:tcPr>
          <w:p>
            <w:pPr>
              <w:spacing w:after="0"/>
              <w:rPr>
                <w:sz w:val="19"/>
                <w:szCs w:val="19"/>
                <w:color w:val="auto"/>
              </w:rPr>
            </w:pPr>
          </w:p>
        </w:tc>
        <w:tc>
          <w:tcPr>
            <w:tcW w:w="820" w:type="dxa"/>
            <w:vAlign w:val="bottom"/>
            <w:vMerge w:val="continue"/>
            <w:shd w:val="clear" w:color="auto" w:fill="D2EDF0"/>
          </w:tcPr>
          <w:p>
            <w:pPr>
              <w:spacing w:after="0"/>
              <w:rPr>
                <w:sz w:val="19"/>
                <w:szCs w:val="19"/>
                <w:color w:val="auto"/>
              </w:rPr>
            </w:pPr>
          </w:p>
        </w:tc>
        <w:tc>
          <w:tcPr>
            <w:tcW w:w="1160" w:type="dxa"/>
            <w:vAlign w:val="bottom"/>
            <w:gridSpan w:val="2"/>
            <w:vMerge w:val="continue"/>
            <w:shd w:val="clear" w:color="auto" w:fill="D2EDF0"/>
          </w:tcPr>
          <w:p>
            <w:pPr>
              <w:spacing w:after="0"/>
              <w:rPr>
                <w:sz w:val="19"/>
                <w:szCs w:val="19"/>
                <w:color w:val="auto"/>
              </w:rPr>
            </w:pPr>
          </w:p>
        </w:tc>
        <w:tc>
          <w:tcPr>
            <w:tcW w:w="860" w:type="dxa"/>
            <w:vAlign w:val="bottom"/>
            <w:gridSpan w:val="2"/>
            <w:vMerge w:val="continue"/>
            <w:shd w:val="clear" w:color="auto" w:fill="D2EDF0"/>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shd w:val="clear" w:color="auto" w:fill="D2EDF0"/>
          </w:tcPr>
          <w:p>
            <w:pPr>
              <w:ind w:left="60"/>
              <w:spacing w:after="0"/>
              <w:rPr>
                <w:sz w:val="20"/>
                <w:szCs w:val="20"/>
                <w:color w:val="auto"/>
              </w:rPr>
            </w:pPr>
            <w:r>
              <w:rPr>
                <w:rFonts w:ascii="Arial" w:cs="Arial" w:eastAsia="Arial" w:hAnsi="Arial"/>
                <w:sz w:val="16"/>
                <w:szCs w:val="16"/>
                <w:color w:val="auto"/>
              </w:rPr>
              <w:t>2/23/2022</w:t>
            </w:r>
          </w:p>
        </w:tc>
        <w:tc>
          <w:tcPr>
            <w:tcW w:w="36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6,949</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13,898</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27,796</w:t>
            </w:r>
          </w:p>
        </w:tc>
        <w:tc>
          <w:tcPr>
            <w:tcW w:w="920" w:type="dxa"/>
            <w:vAlign w:val="bottom"/>
            <w:gridSpan w:val="2"/>
            <w:shd w:val="clear" w:color="auto" w:fill="D2EDF0"/>
          </w:tcPr>
          <w:p>
            <w:pPr>
              <w:jc w:val="right"/>
              <w:spacing w:after="0"/>
              <w:rPr>
                <w:sz w:val="20"/>
                <w:szCs w:val="20"/>
                <w:color w:val="auto"/>
              </w:rPr>
            </w:pPr>
            <w:r>
              <w:rPr>
                <w:rFonts w:ascii="Arial" w:cs="Arial" w:eastAsia="Arial" w:hAnsi="Arial"/>
                <w:sz w:val="16"/>
                <w:szCs w:val="16"/>
                <w:color w:val="auto"/>
              </w:rPr>
              <w:t>41,694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2,499,972</w:t>
            </w:r>
          </w:p>
        </w:tc>
        <w:tc>
          <w:tcPr>
            <w:tcW w:w="0" w:type="dxa"/>
            <w:vAlign w:val="bottom"/>
          </w:tcPr>
          <w:p>
            <w:pPr>
              <w:spacing w:after="0"/>
              <w:rPr>
                <w:sz w:val="1"/>
                <w:szCs w:val="1"/>
                <w:color w:val="auto"/>
              </w:rPr>
            </w:pPr>
          </w:p>
        </w:tc>
      </w:tr>
      <w:tr>
        <w:trPr>
          <w:trHeight w:val="181"/>
        </w:trPr>
        <w:tc>
          <w:tcPr>
            <w:tcW w:w="920" w:type="dxa"/>
            <w:vAlign w:val="bottom"/>
            <w:gridSpan w:val="2"/>
          </w:tcPr>
          <w:p>
            <w:pPr>
              <w:ind w:left="60"/>
              <w:spacing w:after="0" w:line="181" w:lineRule="exact"/>
              <w:rPr>
                <w:sz w:val="20"/>
                <w:szCs w:val="20"/>
                <w:color w:val="auto"/>
              </w:rPr>
            </w:pPr>
            <w:r>
              <w:rPr>
                <w:rFonts w:ascii="Arial" w:cs="Arial" w:eastAsia="Arial" w:hAnsi="Arial"/>
                <w:sz w:val="16"/>
                <w:szCs w:val="16"/>
                <w:color w:val="auto"/>
              </w:rPr>
              <w:t>Mark</w:t>
            </w:r>
          </w:p>
        </w:tc>
        <w:tc>
          <w:tcPr>
            <w:tcW w:w="820" w:type="dxa"/>
            <w:vAlign w:val="bottom"/>
            <w:vMerge w:val="restart"/>
          </w:tcPr>
          <w:p>
            <w:pPr>
              <w:ind w:left="600"/>
              <w:spacing w:after="0"/>
              <w:rPr>
                <w:sz w:val="20"/>
                <w:szCs w:val="20"/>
                <w:color w:val="auto"/>
              </w:rPr>
            </w:pPr>
            <w:r>
              <w:rPr>
                <w:rFonts w:ascii="Arial" w:cs="Arial" w:eastAsia="Arial" w:hAnsi="Arial"/>
                <w:sz w:val="16"/>
                <w:szCs w:val="16"/>
                <w:color w:val="auto"/>
              </w:rPr>
              <w:t>(4)</w:t>
            </w:r>
          </w:p>
        </w:tc>
        <w:tc>
          <w:tcPr>
            <w:tcW w:w="1160" w:type="dxa"/>
            <w:vAlign w:val="bottom"/>
            <w:gridSpan w:val="2"/>
            <w:vMerge w:val="restart"/>
          </w:tcPr>
          <w:p>
            <w:pPr>
              <w:jc w:val="right"/>
              <w:ind w:right="10"/>
              <w:spacing w:after="0"/>
              <w:rPr>
                <w:sz w:val="20"/>
                <w:szCs w:val="20"/>
                <w:color w:val="auto"/>
              </w:rPr>
            </w:pPr>
            <w:r>
              <w:rPr>
                <w:rFonts w:ascii="Arial" w:cs="Arial" w:eastAsia="Arial" w:hAnsi="Arial"/>
                <w:sz w:val="16"/>
                <w:szCs w:val="16"/>
                <w:color w:val="auto"/>
              </w:rPr>
              <w:t>226,406</w:t>
            </w:r>
          </w:p>
        </w:tc>
        <w:tc>
          <w:tcPr>
            <w:tcW w:w="860" w:type="dxa"/>
            <w:vAlign w:val="bottom"/>
            <w:gridSpan w:val="2"/>
            <w:vMerge w:val="restart"/>
          </w:tcPr>
          <w:p>
            <w:pPr>
              <w:jc w:val="right"/>
              <w:ind w:right="10"/>
              <w:spacing w:after="0"/>
              <w:rPr>
                <w:sz w:val="20"/>
                <w:szCs w:val="20"/>
                <w:color w:val="auto"/>
              </w:rPr>
            </w:pPr>
            <w:r>
              <w:rPr>
                <w:rFonts w:ascii="Arial" w:cs="Arial" w:eastAsia="Arial" w:hAnsi="Arial"/>
                <w:sz w:val="16"/>
                <w:szCs w:val="16"/>
                <w:color w:val="auto"/>
              </w:rPr>
              <w:t>362,250</w:t>
            </w:r>
          </w:p>
        </w:tc>
        <w:tc>
          <w:tcPr>
            <w:tcW w:w="840" w:type="dxa"/>
            <w:vAlign w:val="bottom"/>
            <w:gridSpan w:val="2"/>
            <w:vMerge w:val="restart"/>
          </w:tcPr>
          <w:p>
            <w:pPr>
              <w:jc w:val="right"/>
              <w:ind w:right="10"/>
              <w:spacing w:after="0"/>
              <w:rPr>
                <w:sz w:val="20"/>
                <w:szCs w:val="20"/>
                <w:color w:val="auto"/>
              </w:rPr>
            </w:pPr>
            <w:r>
              <w:rPr>
                <w:rFonts w:ascii="Arial" w:cs="Arial" w:eastAsia="Arial" w:hAnsi="Arial"/>
                <w:sz w:val="16"/>
                <w:szCs w:val="16"/>
                <w:color w:val="auto"/>
              </w:rPr>
              <w:t>724,500</w:t>
            </w: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920" w:type="dxa"/>
            <w:vAlign w:val="bottom"/>
            <w:gridSpan w:val="2"/>
          </w:tcPr>
          <w:p>
            <w:pPr>
              <w:ind w:left="60"/>
              <w:spacing w:after="0"/>
              <w:rPr>
                <w:sz w:val="20"/>
                <w:szCs w:val="20"/>
                <w:color w:val="auto"/>
              </w:rPr>
            </w:pPr>
            <w:r>
              <w:rPr>
                <w:rFonts w:ascii="Arial" w:cs="Arial" w:eastAsia="Arial" w:hAnsi="Arial"/>
                <w:sz w:val="16"/>
                <w:szCs w:val="16"/>
                <w:color w:val="auto"/>
              </w:rPr>
              <w:t>Thurmond</w:t>
            </w:r>
          </w:p>
        </w:tc>
        <w:tc>
          <w:tcPr>
            <w:tcW w:w="82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6"/>
                <w:szCs w:val="16"/>
                <w:color w:val="auto"/>
              </w:rPr>
              <w:t>2/23/2022</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10,284</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20,569</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41,138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61,708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3,699,997</w:t>
            </w:r>
          </w:p>
        </w:tc>
        <w:tc>
          <w:tcPr>
            <w:tcW w:w="0" w:type="dxa"/>
            <w:vAlign w:val="bottom"/>
          </w:tcPr>
          <w:p>
            <w:pPr>
              <w:spacing w:after="0"/>
              <w:rPr>
                <w:sz w:val="1"/>
                <w:szCs w:val="1"/>
                <w:color w:val="auto"/>
              </w:rPr>
            </w:pPr>
          </w:p>
        </w:tc>
      </w:tr>
      <w:tr>
        <w:trPr>
          <w:trHeight w:val="202"/>
        </w:trPr>
        <w:tc>
          <w:tcPr>
            <w:tcW w:w="920" w:type="dxa"/>
            <w:vAlign w:val="bottom"/>
            <w:gridSpan w:val="2"/>
          </w:tcPr>
          <w:p>
            <w:pPr>
              <w:spacing w:after="0"/>
              <w:rPr>
                <w:sz w:val="20"/>
                <w:szCs w:val="20"/>
                <w:color w:val="auto"/>
              </w:rPr>
            </w:pPr>
            <w:r>
              <w:rPr>
                <w:rFonts w:ascii="Arial" w:cs="Arial" w:eastAsia="Arial" w:hAnsi="Arial"/>
                <w:sz w:val="12"/>
                <w:szCs w:val="12"/>
                <w:color w:val="auto"/>
              </w:rPr>
              <w:t>_____________</w:t>
            </w: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-2188845</wp:posOffset>
            </wp:positionV>
            <wp:extent cx="5740400" cy="1568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40400" cy="1568450"/>
                    </a:xfrm>
                    <a:prstGeom prst="rect">
                      <a:avLst/>
                    </a:prstGeom>
                    <a:noFill/>
                  </pic:spPr>
                </pic:pic>
              </a:graphicData>
            </a:graphic>
          </wp:anchor>
        </w:drawing>
      </w:r>
    </w:p>
    <w:p>
      <w:pPr>
        <w:ind w:right="60"/>
        <w:spacing w:after="0" w:line="254" w:lineRule="auto"/>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PSUs granted under our 2018 Equity Incentive Plan were subject to the achievement of (i) pre-established target levels for global bookings (weighted 33.33%) and revenue + unlevered free cash flow (weighted 66.67%) during the one-year performance period beginning on January 1, 2022, and (ii) a service-based vesting requirement, with 25% of the shares subject to the RSU award vesting on February 23, 2023, and the remainder continue to vest in equal quarterly installments over three years thereafter, in each case subject to the recipient’s continued service, and subject to accelerated vesting in specified circumstances. The amount shown reflect the share amounts, specifically the threshold, target and the maximum potential awards of PSUs granted. The material terms of the PSUs are further described in "Compensation Discussion &amp; Analysis-Compensation Elements-Long-Term Incentive Compensation".</w:t>
      </w:r>
    </w:p>
    <w:p>
      <w:pPr>
        <w:spacing w:after="0" w:line="206" w:lineRule="exact"/>
        <w:rPr>
          <w:rFonts w:ascii="Arial" w:cs="Arial" w:eastAsia="Arial" w:hAnsi="Arial"/>
          <w:sz w:val="20"/>
          <w:szCs w:val="20"/>
          <w:color w:val="auto"/>
        </w:rPr>
      </w:pPr>
    </w:p>
    <w:p>
      <w:pPr>
        <w:ind w:right="80"/>
        <w:spacing w:after="0" w:line="262" w:lineRule="auto"/>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RSUs granted under our 2018 Equity Incentive Plan vest 25% on February 23, 2023, and quarterly thereafter for the following three years. Each award is settled in shares of common stock on each vesting date, subject to the recipients continued service with the company through the applicable vesting date and subject to accelerated vesting in specified circumstances.</w:t>
      </w:r>
    </w:p>
    <w:p>
      <w:pPr>
        <w:spacing w:after="0" w:line="195" w:lineRule="exact"/>
        <w:rPr>
          <w:rFonts w:ascii="Arial" w:cs="Arial" w:eastAsia="Arial" w:hAnsi="Arial"/>
          <w:sz w:val="20"/>
          <w:szCs w:val="20"/>
          <w:color w:val="auto"/>
        </w:rPr>
      </w:pPr>
    </w:p>
    <w:p>
      <w:pPr>
        <w:ind w:right="100"/>
        <w:spacing w:after="0" w:line="287" w:lineRule="auto"/>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grant date fair value is computed in accordance with FASB ASC Topic 718 for PSUs and RSUs granted during the year.</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880" w:h="15480" w:orient="portrait"/>
          <w:cols w:equalWidth="0" w:num="1">
            <w:col w:w="9000"/>
          </w:cols>
          <w:pgMar w:left="1440" w:top="1204" w:right="1440" w:bottom="0" w:gutter="0" w:footer="0" w:header="0"/>
          <w:type w:val="continuous"/>
        </w:sectPr>
      </w:pPr>
    </w:p>
    <w:bookmarkStart w:id="68" w:name="page69"/>
    <w:bookmarkEnd w:id="68"/>
    <w:p>
      <w:pPr>
        <w:ind w:right="40"/>
        <w:spacing w:after="0" w:line="259" w:lineRule="auto"/>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These rows represent possible payouts pursuant to the short-term cash incentive bonus plan for 2022. For 2022, the short-term cash incentive bonus plan included a minimum threshold of 75% of each quarterly and annual short-term cash incentive bonus opportunity and are capped at 200% of the target amount. For more information about these payments, see the Compensation Discussion &amp; Analysis.</w:t>
      </w:r>
    </w:p>
    <w:p>
      <w:pPr>
        <w:spacing w:after="0" w:line="199" w:lineRule="exact"/>
        <w:rPr>
          <w:rFonts w:ascii="Arial" w:cs="Arial" w:eastAsia="Arial" w:hAnsi="Arial"/>
          <w:sz w:val="20"/>
          <w:szCs w:val="20"/>
          <w:color w:val="auto"/>
        </w:rPr>
      </w:pPr>
    </w:p>
    <w:p>
      <w:pPr>
        <w:ind w:right="640"/>
        <w:spacing w:after="0" w:line="287" w:lineRule="auto"/>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Mr. Riddick forfeited all RSUs and PSUs awarded to him in 2022 in connection with his retirement in October 2022.</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Outstanding Equity Awards</w:t>
      </w:r>
    </w:p>
    <w:p>
      <w:pPr>
        <w:spacing w:after="0" w:line="251" w:lineRule="exact"/>
        <w:rPr>
          <w:sz w:val="20"/>
          <w:szCs w:val="20"/>
          <w:color w:val="auto"/>
        </w:rPr>
      </w:pPr>
    </w:p>
    <w:p>
      <w:pPr>
        <w:ind w:right="160" w:firstLine="360"/>
        <w:spacing w:after="0" w:line="287" w:lineRule="auto"/>
        <w:rPr>
          <w:sz w:val="20"/>
          <w:szCs w:val="20"/>
          <w:color w:val="auto"/>
        </w:rPr>
      </w:pPr>
      <w:r>
        <w:rPr>
          <w:rFonts w:ascii="Arial" w:cs="Arial" w:eastAsia="Arial" w:hAnsi="Arial"/>
          <w:sz w:val="20"/>
          <w:szCs w:val="20"/>
          <w:color w:val="auto"/>
        </w:rPr>
        <w:t>The following table sets forth certain information about outstanding equity awards granted to our Named Executive Officers that remain outstanding as of December 31, 2022.</w:t>
      </w:r>
    </w:p>
    <w:p>
      <w:pPr>
        <w:spacing w:after="0" w:line="126" w:lineRule="exact"/>
        <w:rPr>
          <w:sz w:val="20"/>
          <w:szCs w:val="20"/>
          <w:color w:val="auto"/>
        </w:rPr>
      </w:pPr>
    </w:p>
    <w:p>
      <w:pPr>
        <w:ind w:left="2400"/>
        <w:spacing w:after="0"/>
        <w:tabs>
          <w:tab w:leader="none" w:pos="6600" w:val="left"/>
        </w:tabs>
        <w:rPr>
          <w:sz w:val="20"/>
          <w:szCs w:val="20"/>
          <w:color w:val="auto"/>
        </w:rPr>
      </w:pPr>
      <w:r>
        <w:rPr>
          <w:rFonts w:ascii="Arial" w:cs="Arial" w:eastAsia="Arial" w:hAnsi="Arial"/>
          <w:sz w:val="14"/>
          <w:szCs w:val="14"/>
          <w:b w:val="1"/>
          <w:bCs w:val="1"/>
          <w:color w:val="auto"/>
        </w:rPr>
        <w:t>Option Awards</w:t>
      </w:r>
      <w:r>
        <w:rPr>
          <w:rFonts w:ascii="Arial" w:cs="Arial" w:eastAsia="Arial" w:hAnsi="Arial"/>
          <w:sz w:val="18"/>
          <w:szCs w:val="18"/>
          <w:b w:val="1"/>
          <w:bCs w:val="1"/>
          <w:color w:val="auto"/>
          <w:vertAlign w:val="superscript"/>
        </w:rPr>
        <w:t>(1)</w:t>
      </w:r>
      <w:r>
        <w:rPr>
          <w:sz w:val="20"/>
          <w:szCs w:val="20"/>
          <w:color w:val="auto"/>
        </w:rPr>
        <w:tab/>
      </w:r>
      <w:r>
        <w:rPr>
          <w:rFonts w:ascii="Arial" w:cs="Arial" w:eastAsia="Arial" w:hAnsi="Arial"/>
          <w:sz w:val="13"/>
          <w:szCs w:val="13"/>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-635</wp:posOffset>
            </wp:positionV>
            <wp:extent cx="5181600" cy="12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8160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8"/>
              </w:rPr>
              <w:t>Equity</w:t>
            </w:r>
          </w:p>
        </w:tc>
        <w:tc>
          <w:tcPr>
            <w:tcW w:w="22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00"/>
        </w:trPr>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9"/>
              </w:rPr>
              <w:t>Number of</w:t>
            </w: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Incentive Plan</w:t>
            </w:r>
          </w:p>
        </w:tc>
        <w:tc>
          <w:tcPr>
            <w:tcW w:w="220" w:type="dxa"/>
            <w:vAlign w:val="bottom"/>
          </w:tcPr>
          <w:p>
            <w:pPr>
              <w:spacing w:after="0"/>
              <w:rPr>
                <w:sz w:val="8"/>
                <w:szCs w:val="8"/>
                <w:color w:val="auto"/>
              </w:rPr>
            </w:pPr>
          </w:p>
        </w:tc>
        <w:tc>
          <w:tcPr>
            <w:tcW w:w="8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Incentive Plan</w:t>
            </w:r>
          </w:p>
        </w:tc>
        <w:tc>
          <w:tcPr>
            <w:tcW w:w="0" w:type="dxa"/>
            <w:vAlign w:val="bottom"/>
          </w:tcPr>
          <w:p>
            <w:pPr>
              <w:spacing w:after="0"/>
              <w:rPr>
                <w:sz w:val="1"/>
                <w:szCs w:val="1"/>
                <w:color w:val="auto"/>
              </w:rPr>
            </w:pPr>
          </w:p>
        </w:tc>
      </w:tr>
      <w:tr>
        <w:trPr>
          <w:trHeight w:val="100"/>
        </w:trPr>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95"/>
              </w:rPr>
              <w:t>Number of</w:t>
            </w:r>
          </w:p>
        </w:tc>
        <w:tc>
          <w:tcPr>
            <w:tcW w:w="7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Awards:</w:t>
            </w:r>
          </w:p>
        </w:tc>
        <w:tc>
          <w:tcPr>
            <w:tcW w:w="220" w:type="dxa"/>
            <w:vAlign w:val="bottom"/>
          </w:tcPr>
          <w:p>
            <w:pPr>
              <w:spacing w:after="0"/>
              <w:rPr>
                <w:sz w:val="8"/>
                <w:szCs w:val="8"/>
                <w:color w:val="auto"/>
              </w:rPr>
            </w:pPr>
          </w:p>
        </w:tc>
        <w:tc>
          <w:tcPr>
            <w:tcW w:w="8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Awards:</w:t>
            </w:r>
          </w:p>
        </w:tc>
        <w:tc>
          <w:tcPr>
            <w:tcW w:w="0" w:type="dxa"/>
            <w:vAlign w:val="bottom"/>
          </w:tcPr>
          <w:p>
            <w:pPr>
              <w:spacing w:after="0"/>
              <w:rPr>
                <w:sz w:val="1"/>
                <w:szCs w:val="1"/>
                <w:color w:val="auto"/>
              </w:rPr>
            </w:pPr>
          </w:p>
        </w:tc>
      </w:tr>
      <w:tr>
        <w:trPr>
          <w:trHeight w:val="100"/>
        </w:trPr>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76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Securities</w:t>
            </w: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9"/>
              </w:rPr>
              <w:t>Number of</w:t>
            </w:r>
          </w:p>
        </w:tc>
        <w:tc>
          <w:tcPr>
            <w:tcW w:w="280" w:type="dxa"/>
            <w:vAlign w:val="bottom"/>
          </w:tcPr>
          <w:p>
            <w:pPr>
              <w:spacing w:after="0"/>
              <w:rPr>
                <w:sz w:val="8"/>
                <w:szCs w:val="8"/>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Market Value</w:t>
            </w:r>
          </w:p>
        </w:tc>
        <w:tc>
          <w:tcPr>
            <w:tcW w:w="60" w:type="dxa"/>
            <w:vAlign w:val="bottom"/>
          </w:tcPr>
          <w:p>
            <w:pPr>
              <w:spacing w:after="0"/>
              <w:rPr>
                <w:sz w:val="8"/>
                <w:szCs w:val="8"/>
                <w:color w:val="auto"/>
              </w:rPr>
            </w:pPr>
          </w:p>
        </w:tc>
        <w:tc>
          <w:tcPr>
            <w:tcW w:w="8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99"/>
              </w:rPr>
              <w:t>Number of</w:t>
            </w:r>
          </w:p>
        </w:tc>
        <w:tc>
          <w:tcPr>
            <w:tcW w:w="220" w:type="dxa"/>
            <w:vAlign w:val="bottom"/>
          </w:tcPr>
          <w:p>
            <w:pPr>
              <w:spacing w:after="0"/>
              <w:rPr>
                <w:sz w:val="8"/>
                <w:szCs w:val="8"/>
                <w:color w:val="auto"/>
              </w:rPr>
            </w:pPr>
          </w:p>
        </w:tc>
        <w:tc>
          <w:tcPr>
            <w:tcW w:w="8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97"/>
              </w:rPr>
              <w:t>Market Value</w:t>
            </w:r>
          </w:p>
        </w:tc>
        <w:tc>
          <w:tcPr>
            <w:tcW w:w="0" w:type="dxa"/>
            <w:vAlign w:val="bottom"/>
          </w:tcPr>
          <w:p>
            <w:pPr>
              <w:spacing w:after="0"/>
              <w:rPr>
                <w:sz w:val="1"/>
                <w:szCs w:val="1"/>
                <w:color w:val="auto"/>
              </w:rPr>
            </w:pPr>
          </w:p>
        </w:tc>
      </w:tr>
      <w:tr>
        <w:trPr>
          <w:trHeight w:val="100"/>
        </w:trPr>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ind w:right="80"/>
              <w:spacing w:after="0" w:line="100" w:lineRule="exact"/>
              <w:rPr>
                <w:sz w:val="20"/>
                <w:szCs w:val="20"/>
                <w:color w:val="auto"/>
              </w:rPr>
            </w:pPr>
            <w:r>
              <w:rPr>
                <w:rFonts w:ascii="Arial" w:cs="Arial" w:eastAsia="Arial" w:hAnsi="Arial"/>
                <w:sz w:val="10"/>
                <w:szCs w:val="10"/>
                <w:b w:val="1"/>
                <w:bCs w:val="1"/>
                <w:color w:val="auto"/>
              </w:rPr>
              <w:t>Securities</w:t>
            </w:r>
          </w:p>
        </w:tc>
        <w:tc>
          <w:tcPr>
            <w:tcW w:w="76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99"/>
              </w:rPr>
              <w:t>Underlying</w:t>
            </w: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99"/>
              </w:rPr>
              <w:t>Unearned</w:t>
            </w:r>
          </w:p>
        </w:tc>
        <w:tc>
          <w:tcPr>
            <w:tcW w:w="220" w:type="dxa"/>
            <w:vAlign w:val="bottom"/>
          </w:tcPr>
          <w:p>
            <w:pPr>
              <w:spacing w:after="0"/>
              <w:rPr>
                <w:sz w:val="8"/>
                <w:szCs w:val="8"/>
                <w:color w:val="auto"/>
              </w:rPr>
            </w:pPr>
          </w:p>
        </w:tc>
        <w:tc>
          <w:tcPr>
            <w:tcW w:w="8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of Unearned</w:t>
            </w:r>
          </w:p>
        </w:tc>
        <w:tc>
          <w:tcPr>
            <w:tcW w:w="0" w:type="dxa"/>
            <w:vAlign w:val="bottom"/>
          </w:tcPr>
          <w:p>
            <w:pPr>
              <w:spacing w:after="0"/>
              <w:rPr>
                <w:sz w:val="1"/>
                <w:szCs w:val="1"/>
                <w:color w:val="auto"/>
              </w:rPr>
            </w:pPr>
          </w:p>
        </w:tc>
      </w:tr>
      <w:tr>
        <w:trPr>
          <w:trHeight w:val="100"/>
        </w:trPr>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ind w:right="80"/>
              <w:spacing w:after="0" w:line="100" w:lineRule="exact"/>
              <w:rPr>
                <w:sz w:val="20"/>
                <w:szCs w:val="20"/>
                <w:color w:val="auto"/>
              </w:rPr>
            </w:pPr>
            <w:r>
              <w:rPr>
                <w:rFonts w:ascii="Arial" w:cs="Arial" w:eastAsia="Arial" w:hAnsi="Arial"/>
                <w:sz w:val="10"/>
                <w:szCs w:val="10"/>
                <w:b w:val="1"/>
                <w:bCs w:val="1"/>
                <w:color w:val="auto"/>
                <w:w w:val="99"/>
              </w:rPr>
              <w:t>Underlying</w:t>
            </w:r>
          </w:p>
        </w:tc>
        <w:tc>
          <w:tcPr>
            <w:tcW w:w="76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Unexercised</w:t>
            </w:r>
          </w:p>
        </w:tc>
        <w:tc>
          <w:tcPr>
            <w:tcW w:w="60" w:type="dxa"/>
            <w:vAlign w:val="bottom"/>
          </w:tcPr>
          <w:p>
            <w:pPr>
              <w:spacing w:after="0"/>
              <w:rPr>
                <w:sz w:val="8"/>
                <w:szCs w:val="8"/>
                <w:color w:val="auto"/>
              </w:rPr>
            </w:pPr>
          </w:p>
        </w:tc>
        <w:tc>
          <w:tcPr>
            <w:tcW w:w="660" w:type="dxa"/>
            <w:vAlign w:val="bottom"/>
            <w:vMerge w:val="restart"/>
          </w:tcPr>
          <w:p>
            <w:pPr>
              <w:jc w:val="center"/>
              <w:ind w:right="10"/>
              <w:spacing w:after="0"/>
              <w:rPr>
                <w:sz w:val="20"/>
                <w:szCs w:val="20"/>
                <w:color w:val="auto"/>
              </w:rPr>
            </w:pPr>
            <w:r>
              <w:rPr>
                <w:rFonts w:ascii="Arial" w:cs="Arial" w:eastAsia="Arial" w:hAnsi="Arial"/>
                <w:sz w:val="10"/>
                <w:szCs w:val="10"/>
                <w:b w:val="1"/>
                <w:bCs w:val="1"/>
                <w:color w:val="auto"/>
                <w:w w:val="99"/>
              </w:rPr>
              <w:t>Option</w:t>
            </w:r>
          </w:p>
        </w:tc>
        <w:tc>
          <w:tcPr>
            <w:tcW w:w="8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9"/>
              </w:rPr>
              <w:t>Option</w:t>
            </w:r>
          </w:p>
        </w:tc>
        <w:tc>
          <w:tcPr>
            <w:tcW w:w="8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Shares of</w:t>
            </w:r>
          </w:p>
        </w:tc>
        <w:tc>
          <w:tcPr>
            <w:tcW w:w="280" w:type="dxa"/>
            <w:vAlign w:val="bottom"/>
          </w:tcPr>
          <w:p>
            <w:pPr>
              <w:spacing w:after="0"/>
              <w:rPr>
                <w:sz w:val="8"/>
                <w:szCs w:val="8"/>
                <w:color w:val="auto"/>
              </w:rPr>
            </w:pPr>
          </w:p>
        </w:tc>
        <w:tc>
          <w:tcPr>
            <w:tcW w:w="8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of Shares of</w:t>
            </w:r>
          </w:p>
        </w:tc>
        <w:tc>
          <w:tcPr>
            <w:tcW w:w="60" w:type="dxa"/>
            <w:vAlign w:val="bottom"/>
          </w:tcPr>
          <w:p>
            <w:pPr>
              <w:spacing w:after="0"/>
              <w:rPr>
                <w:sz w:val="8"/>
                <w:szCs w:val="8"/>
                <w:color w:val="auto"/>
              </w:rPr>
            </w:pPr>
          </w:p>
        </w:tc>
        <w:tc>
          <w:tcPr>
            <w:tcW w:w="8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Shares, Units</w:t>
            </w:r>
          </w:p>
        </w:tc>
        <w:tc>
          <w:tcPr>
            <w:tcW w:w="220" w:type="dxa"/>
            <w:vAlign w:val="bottom"/>
          </w:tcPr>
          <w:p>
            <w:pPr>
              <w:spacing w:after="0"/>
              <w:rPr>
                <w:sz w:val="8"/>
                <w:szCs w:val="8"/>
                <w:color w:val="auto"/>
              </w:rPr>
            </w:pPr>
          </w:p>
        </w:tc>
        <w:tc>
          <w:tcPr>
            <w:tcW w:w="8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Shares, Units</w:t>
            </w:r>
          </w:p>
        </w:tc>
        <w:tc>
          <w:tcPr>
            <w:tcW w:w="0" w:type="dxa"/>
            <w:vAlign w:val="bottom"/>
          </w:tcPr>
          <w:p>
            <w:pPr>
              <w:spacing w:after="0"/>
              <w:rPr>
                <w:sz w:val="1"/>
                <w:szCs w:val="1"/>
                <w:color w:val="auto"/>
              </w:rPr>
            </w:pPr>
          </w:p>
        </w:tc>
      </w:tr>
      <w:tr>
        <w:trPr>
          <w:trHeight w:val="100"/>
        </w:trPr>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ind w:right="80"/>
              <w:spacing w:after="0" w:line="100" w:lineRule="exact"/>
              <w:rPr>
                <w:sz w:val="20"/>
                <w:szCs w:val="20"/>
                <w:color w:val="auto"/>
              </w:rPr>
            </w:pPr>
            <w:r>
              <w:rPr>
                <w:rFonts w:ascii="Arial" w:cs="Arial" w:eastAsia="Arial" w:hAnsi="Arial"/>
                <w:sz w:val="10"/>
                <w:szCs w:val="10"/>
                <w:b w:val="1"/>
                <w:bCs w:val="1"/>
                <w:color w:val="auto"/>
              </w:rPr>
              <w:t>Unexercised</w:t>
            </w:r>
          </w:p>
        </w:tc>
        <w:tc>
          <w:tcPr>
            <w:tcW w:w="76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98"/>
              </w:rPr>
              <w:t>Options (#)</w:t>
            </w: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40" w:type="dxa"/>
            <w:vAlign w:val="bottom"/>
          </w:tcPr>
          <w:p>
            <w:pPr>
              <w:jc w:val="center"/>
              <w:ind w:left="16"/>
              <w:spacing w:after="0" w:line="100" w:lineRule="exact"/>
              <w:rPr>
                <w:sz w:val="20"/>
                <w:szCs w:val="20"/>
                <w:color w:val="auto"/>
              </w:rPr>
            </w:pPr>
            <w:r>
              <w:rPr>
                <w:rFonts w:ascii="Arial" w:cs="Arial" w:eastAsia="Arial" w:hAnsi="Arial"/>
                <w:sz w:val="10"/>
                <w:szCs w:val="10"/>
                <w:b w:val="1"/>
                <w:bCs w:val="1"/>
                <w:color w:val="auto"/>
              </w:rPr>
              <w:t>Stock That</w:t>
            </w:r>
          </w:p>
        </w:tc>
        <w:tc>
          <w:tcPr>
            <w:tcW w:w="280" w:type="dxa"/>
            <w:vAlign w:val="bottom"/>
          </w:tcPr>
          <w:p>
            <w:pPr>
              <w:spacing w:after="0"/>
              <w:rPr>
                <w:sz w:val="8"/>
                <w:szCs w:val="8"/>
                <w:color w:val="auto"/>
              </w:rPr>
            </w:pPr>
          </w:p>
        </w:tc>
        <w:tc>
          <w:tcPr>
            <w:tcW w:w="8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Stock That</w:t>
            </w:r>
          </w:p>
        </w:tc>
        <w:tc>
          <w:tcPr>
            <w:tcW w:w="60" w:type="dxa"/>
            <w:vAlign w:val="bottom"/>
          </w:tcPr>
          <w:p>
            <w:pPr>
              <w:spacing w:after="0"/>
              <w:rPr>
                <w:sz w:val="8"/>
                <w:szCs w:val="8"/>
                <w:color w:val="auto"/>
              </w:rPr>
            </w:pPr>
          </w:p>
        </w:tc>
        <w:tc>
          <w:tcPr>
            <w:tcW w:w="8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or Other Rights</w:t>
            </w:r>
          </w:p>
        </w:tc>
        <w:tc>
          <w:tcPr>
            <w:tcW w:w="220" w:type="dxa"/>
            <w:vAlign w:val="bottom"/>
          </w:tcPr>
          <w:p>
            <w:pPr>
              <w:spacing w:after="0"/>
              <w:rPr>
                <w:sz w:val="8"/>
                <w:szCs w:val="8"/>
                <w:color w:val="auto"/>
              </w:rPr>
            </w:pPr>
          </w:p>
        </w:tc>
        <w:tc>
          <w:tcPr>
            <w:tcW w:w="8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98"/>
              </w:rPr>
              <w:t>or Other Rights</w:t>
            </w:r>
          </w:p>
        </w:tc>
        <w:tc>
          <w:tcPr>
            <w:tcW w:w="0" w:type="dxa"/>
            <w:vAlign w:val="bottom"/>
          </w:tcPr>
          <w:p>
            <w:pPr>
              <w:spacing w:after="0"/>
              <w:rPr>
                <w:sz w:val="1"/>
                <w:szCs w:val="1"/>
                <w:color w:val="auto"/>
              </w:rPr>
            </w:pPr>
          </w:p>
        </w:tc>
      </w:tr>
      <w:tr>
        <w:trPr>
          <w:trHeight w:val="100"/>
        </w:trPr>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Name</w:t>
            </w:r>
          </w:p>
        </w:tc>
        <w:tc>
          <w:tcPr>
            <w:tcW w:w="100" w:type="dxa"/>
            <w:vAlign w:val="bottom"/>
            <w:vMerge w:val="restart"/>
          </w:tcPr>
          <w:p>
            <w:pPr>
              <w:spacing w:after="0"/>
              <w:rPr>
                <w:sz w:val="8"/>
                <w:szCs w:val="8"/>
                <w:color w:val="auto"/>
              </w:rPr>
            </w:pPr>
          </w:p>
        </w:tc>
        <w:tc>
          <w:tcPr>
            <w:tcW w:w="9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Grant Date</w:t>
            </w:r>
          </w:p>
        </w:tc>
        <w:tc>
          <w:tcPr>
            <w:tcW w:w="80" w:type="dxa"/>
            <w:vAlign w:val="bottom"/>
          </w:tcPr>
          <w:p>
            <w:pPr>
              <w:spacing w:after="0"/>
              <w:rPr>
                <w:sz w:val="8"/>
                <w:szCs w:val="8"/>
                <w:color w:val="auto"/>
              </w:rPr>
            </w:pPr>
          </w:p>
        </w:tc>
        <w:tc>
          <w:tcPr>
            <w:tcW w:w="920" w:type="dxa"/>
            <w:vAlign w:val="bottom"/>
            <w:gridSpan w:val="2"/>
          </w:tcPr>
          <w:p>
            <w:pPr>
              <w:jc w:val="center"/>
              <w:ind w:right="80"/>
              <w:spacing w:after="0" w:line="100" w:lineRule="exact"/>
              <w:rPr>
                <w:sz w:val="20"/>
                <w:szCs w:val="20"/>
                <w:color w:val="auto"/>
              </w:rPr>
            </w:pPr>
            <w:r>
              <w:rPr>
                <w:rFonts w:ascii="Arial" w:cs="Arial" w:eastAsia="Arial" w:hAnsi="Arial"/>
                <w:sz w:val="10"/>
                <w:szCs w:val="10"/>
                <w:b w:val="1"/>
                <w:bCs w:val="1"/>
                <w:color w:val="auto"/>
                <w:w w:val="98"/>
              </w:rPr>
              <w:t>Options (#)</w:t>
            </w:r>
          </w:p>
        </w:tc>
        <w:tc>
          <w:tcPr>
            <w:tcW w:w="76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99"/>
              </w:rPr>
              <w:t>Unexercisabl</w:t>
            </w:r>
          </w:p>
        </w:tc>
        <w:tc>
          <w:tcPr>
            <w:tcW w:w="60" w:type="dxa"/>
            <w:vAlign w:val="bottom"/>
          </w:tcPr>
          <w:p>
            <w:pPr>
              <w:spacing w:after="0"/>
              <w:rPr>
                <w:sz w:val="8"/>
                <w:szCs w:val="8"/>
                <w:color w:val="auto"/>
              </w:rPr>
            </w:pPr>
          </w:p>
        </w:tc>
        <w:tc>
          <w:tcPr>
            <w:tcW w:w="660" w:type="dxa"/>
            <w:vAlign w:val="bottom"/>
          </w:tcPr>
          <w:p>
            <w:pPr>
              <w:jc w:val="center"/>
              <w:ind w:right="10"/>
              <w:spacing w:after="0" w:line="100" w:lineRule="exact"/>
              <w:rPr>
                <w:sz w:val="20"/>
                <w:szCs w:val="20"/>
                <w:color w:val="auto"/>
              </w:rPr>
            </w:pPr>
            <w:r>
              <w:rPr>
                <w:rFonts w:ascii="Arial" w:cs="Arial" w:eastAsia="Arial" w:hAnsi="Arial"/>
                <w:sz w:val="10"/>
                <w:szCs w:val="10"/>
                <w:b w:val="1"/>
                <w:bCs w:val="1"/>
                <w:color w:val="auto"/>
                <w:w w:val="97"/>
              </w:rPr>
              <w:t>Exercise</w:t>
            </w:r>
          </w:p>
        </w:tc>
        <w:tc>
          <w:tcPr>
            <w:tcW w:w="82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Expiration</w:t>
            </w:r>
          </w:p>
        </w:tc>
        <w:tc>
          <w:tcPr>
            <w:tcW w:w="840" w:type="dxa"/>
            <w:vAlign w:val="bottom"/>
          </w:tcPr>
          <w:p>
            <w:pPr>
              <w:jc w:val="center"/>
              <w:ind w:left="16"/>
              <w:spacing w:after="0" w:line="100" w:lineRule="exact"/>
              <w:rPr>
                <w:sz w:val="20"/>
                <w:szCs w:val="20"/>
                <w:color w:val="auto"/>
              </w:rPr>
            </w:pPr>
            <w:r>
              <w:rPr>
                <w:rFonts w:ascii="Arial" w:cs="Arial" w:eastAsia="Arial" w:hAnsi="Arial"/>
                <w:sz w:val="10"/>
                <w:szCs w:val="10"/>
                <w:b w:val="1"/>
                <w:bCs w:val="1"/>
                <w:color w:val="auto"/>
              </w:rPr>
              <w:t>Have Not</w:t>
            </w:r>
          </w:p>
        </w:tc>
        <w:tc>
          <w:tcPr>
            <w:tcW w:w="280" w:type="dxa"/>
            <w:vAlign w:val="bottom"/>
          </w:tcPr>
          <w:p>
            <w:pPr>
              <w:spacing w:after="0"/>
              <w:rPr>
                <w:sz w:val="8"/>
                <w:szCs w:val="8"/>
                <w:color w:val="auto"/>
              </w:rPr>
            </w:pPr>
          </w:p>
        </w:tc>
        <w:tc>
          <w:tcPr>
            <w:tcW w:w="8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Have Not</w:t>
            </w:r>
          </w:p>
        </w:tc>
        <w:tc>
          <w:tcPr>
            <w:tcW w:w="60" w:type="dxa"/>
            <w:vAlign w:val="bottom"/>
          </w:tcPr>
          <w:p>
            <w:pPr>
              <w:spacing w:after="0"/>
              <w:rPr>
                <w:sz w:val="8"/>
                <w:szCs w:val="8"/>
                <w:color w:val="auto"/>
              </w:rPr>
            </w:pPr>
          </w:p>
        </w:tc>
        <w:tc>
          <w:tcPr>
            <w:tcW w:w="8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That Have Not</w:t>
            </w:r>
          </w:p>
        </w:tc>
        <w:tc>
          <w:tcPr>
            <w:tcW w:w="220" w:type="dxa"/>
            <w:vAlign w:val="bottom"/>
          </w:tcPr>
          <w:p>
            <w:pPr>
              <w:spacing w:after="0"/>
              <w:rPr>
                <w:sz w:val="8"/>
                <w:szCs w:val="8"/>
                <w:color w:val="auto"/>
              </w:rPr>
            </w:pPr>
          </w:p>
        </w:tc>
        <w:tc>
          <w:tcPr>
            <w:tcW w:w="84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That Have Not</w:t>
            </w:r>
          </w:p>
        </w:tc>
        <w:tc>
          <w:tcPr>
            <w:tcW w:w="0" w:type="dxa"/>
            <w:vAlign w:val="bottom"/>
          </w:tcPr>
          <w:p>
            <w:pPr>
              <w:spacing w:after="0"/>
              <w:rPr>
                <w:sz w:val="1"/>
                <w:szCs w:val="1"/>
                <w:color w:val="auto"/>
              </w:rPr>
            </w:pPr>
          </w:p>
        </w:tc>
      </w:tr>
      <w:tr>
        <w:trPr>
          <w:trHeight w:val="141"/>
        </w:trPr>
        <w:tc>
          <w:tcPr>
            <w:tcW w:w="7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Exercisable</w:t>
            </w:r>
          </w:p>
        </w:tc>
        <w:tc>
          <w:tcPr>
            <w:tcW w:w="80" w:type="dxa"/>
            <w:vAlign w:val="bottom"/>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e</w:t>
            </w:r>
          </w:p>
        </w:tc>
        <w:tc>
          <w:tcPr>
            <w:tcW w:w="60" w:type="dxa"/>
            <w:vAlign w:val="bottom"/>
          </w:tcPr>
          <w:p>
            <w:pPr>
              <w:spacing w:after="0"/>
              <w:rPr>
                <w:sz w:val="12"/>
                <w:szCs w:val="12"/>
                <w:color w:val="auto"/>
              </w:rPr>
            </w:pPr>
          </w:p>
        </w:tc>
        <w:tc>
          <w:tcPr>
            <w:tcW w:w="660" w:type="dxa"/>
            <w:vAlign w:val="bottom"/>
            <w:tcBorders>
              <w:bottom w:val="single" w:sz="8" w:color="auto"/>
            </w:tcBorders>
          </w:tcPr>
          <w:p>
            <w:pPr>
              <w:jc w:val="center"/>
              <w:ind w:right="10"/>
              <w:spacing w:after="0" w:line="141" w:lineRule="exact"/>
              <w:rPr>
                <w:sz w:val="20"/>
                <w:szCs w:val="20"/>
                <w:color w:val="auto"/>
              </w:rPr>
            </w:pPr>
            <w:r>
              <w:rPr>
                <w:rFonts w:ascii="Arial" w:cs="Arial" w:eastAsia="Arial" w:hAnsi="Arial"/>
                <w:sz w:val="10"/>
                <w:szCs w:val="10"/>
                <w:b w:val="1"/>
                <w:bCs w:val="1"/>
                <w:color w:val="auto"/>
                <w:w w:val="91"/>
              </w:rPr>
              <w:t>Price</w:t>
            </w:r>
            <w:r>
              <w:rPr>
                <w:rFonts w:ascii="Arial" w:cs="Arial" w:eastAsia="Arial" w:hAnsi="Arial"/>
                <w:sz w:val="13"/>
                <w:szCs w:val="13"/>
                <w:b w:val="1"/>
                <w:bCs w:val="1"/>
                <w:color w:val="auto"/>
                <w:w w:val="91"/>
                <w:vertAlign w:val="superscript"/>
              </w:rPr>
              <w:t>(2)</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Date</w:t>
            </w:r>
          </w:p>
        </w:tc>
        <w:tc>
          <w:tcPr>
            <w:tcW w:w="840" w:type="dxa"/>
            <w:vAlign w:val="bottom"/>
            <w:tcBorders>
              <w:bottom w:val="single" w:sz="8" w:color="auto"/>
            </w:tcBorders>
          </w:tcPr>
          <w:p>
            <w:pPr>
              <w:jc w:val="center"/>
              <w:ind w:left="16"/>
              <w:spacing w:after="0"/>
              <w:rPr>
                <w:sz w:val="20"/>
                <w:szCs w:val="20"/>
                <w:color w:val="auto"/>
              </w:rPr>
            </w:pPr>
            <w:r>
              <w:rPr>
                <w:rFonts w:ascii="Arial" w:cs="Arial" w:eastAsia="Arial" w:hAnsi="Arial"/>
                <w:sz w:val="10"/>
                <w:szCs w:val="10"/>
                <w:b w:val="1"/>
                <w:bCs w:val="1"/>
                <w:color w:val="auto"/>
              </w:rPr>
              <w:t>Vested (#)</w:t>
            </w:r>
          </w:p>
        </w:tc>
        <w:tc>
          <w:tcPr>
            <w:tcW w:w="28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0"/>
                <w:szCs w:val="10"/>
                <w:b w:val="1"/>
                <w:bCs w:val="1"/>
                <w:color w:val="auto"/>
                <w:w w:val="92"/>
              </w:rPr>
              <w:t>Vested</w:t>
            </w:r>
            <w:r>
              <w:rPr>
                <w:rFonts w:ascii="Arial" w:cs="Arial" w:eastAsia="Arial" w:hAnsi="Arial"/>
                <w:sz w:val="13"/>
                <w:szCs w:val="13"/>
                <w:b w:val="1"/>
                <w:bCs w:val="1"/>
                <w:color w:val="auto"/>
                <w:w w:val="92"/>
                <w:vertAlign w:val="superscript"/>
              </w:rPr>
              <w:t>(3)</w:t>
            </w:r>
          </w:p>
        </w:tc>
        <w:tc>
          <w:tcPr>
            <w:tcW w:w="6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Vested (#)</w:t>
            </w:r>
          </w:p>
        </w:tc>
        <w:tc>
          <w:tcPr>
            <w:tcW w:w="22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0"/>
                <w:szCs w:val="10"/>
                <w:b w:val="1"/>
                <w:bCs w:val="1"/>
                <w:color w:val="auto"/>
                <w:w w:val="95"/>
              </w:rPr>
              <w:t>Vested</w:t>
            </w:r>
            <w:r>
              <w:rPr>
                <w:rFonts w:ascii="Arial" w:cs="Arial" w:eastAsia="Arial" w:hAnsi="Arial"/>
                <w:sz w:val="13"/>
                <w:szCs w:val="13"/>
                <w:b w:val="1"/>
                <w:bCs w:val="1"/>
                <w:color w:val="auto"/>
                <w:w w:val="95"/>
                <w:vertAlign w:val="superscript"/>
              </w:rPr>
              <w:t>(3)</w:t>
            </w:r>
            <w:r>
              <w:rPr>
                <w:rFonts w:ascii="Arial" w:cs="Arial" w:eastAsia="Arial" w:hAnsi="Arial"/>
                <w:sz w:val="10"/>
                <w:szCs w:val="10"/>
                <w:b w:val="1"/>
                <w:bCs w:val="1"/>
                <w:color w:val="auto"/>
                <w:w w:val="95"/>
              </w:rPr>
              <w:t xml:space="preserve"> ($)</w:t>
            </w:r>
          </w:p>
        </w:tc>
        <w:tc>
          <w:tcPr>
            <w:tcW w:w="0" w:type="dxa"/>
            <w:vAlign w:val="bottom"/>
          </w:tcPr>
          <w:p>
            <w:pPr>
              <w:spacing w:after="0"/>
              <w:rPr>
                <w:sz w:val="1"/>
                <w:szCs w:val="1"/>
                <w:color w:val="auto"/>
              </w:rPr>
            </w:pPr>
          </w:p>
        </w:tc>
      </w:tr>
      <w:tr>
        <w:trPr>
          <w:trHeight w:val="186"/>
        </w:trPr>
        <w:tc>
          <w:tcPr>
            <w:tcW w:w="880" w:type="dxa"/>
            <w:vAlign w:val="bottom"/>
            <w:tcBorders>
              <w:right w:val="single" w:sz="8" w:color="D2EDF0"/>
            </w:tcBorders>
            <w:gridSpan w:val="2"/>
          </w:tcPr>
          <w:p>
            <w:pPr>
              <w:ind w:left="60"/>
              <w:spacing w:after="0"/>
              <w:rPr>
                <w:sz w:val="20"/>
                <w:szCs w:val="20"/>
                <w:color w:val="auto"/>
              </w:rPr>
            </w:pPr>
            <w:r>
              <w:rPr>
                <w:rFonts w:ascii="Arial" w:cs="Arial" w:eastAsia="Arial" w:hAnsi="Arial"/>
                <w:sz w:val="14"/>
                <w:szCs w:val="14"/>
                <w:color w:val="auto"/>
              </w:rPr>
              <w:t>Amit</w:t>
            </w:r>
          </w:p>
        </w:tc>
        <w:tc>
          <w:tcPr>
            <w:tcW w:w="900" w:type="dxa"/>
            <w:vAlign w:val="bottom"/>
            <w:shd w:val="clear" w:color="auto" w:fill="D2EDF0"/>
          </w:tcPr>
          <w:p>
            <w:pPr>
              <w:ind w:left="20"/>
              <w:spacing w:after="0"/>
              <w:rPr>
                <w:sz w:val="20"/>
                <w:szCs w:val="20"/>
                <w:color w:val="auto"/>
              </w:rPr>
            </w:pPr>
            <w:r>
              <w:rPr>
                <w:rFonts w:ascii="Arial" w:cs="Arial" w:eastAsia="Arial" w:hAnsi="Arial"/>
                <w:sz w:val="14"/>
                <w:szCs w:val="14"/>
                <w:color w:val="auto"/>
              </w:rPr>
              <w:t>1/18/2017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1,988,055</w:t>
            </w:r>
          </w:p>
        </w:tc>
        <w:tc>
          <w:tcPr>
            <w:tcW w:w="80" w:type="dxa"/>
            <w:vAlign w:val="bottom"/>
          </w:tcPr>
          <w:p>
            <w:pPr>
              <w:spacing w:after="0"/>
              <w:rPr>
                <w:sz w:val="16"/>
                <w:szCs w:val="16"/>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D2EDF0"/>
            </w:tcBorders>
            <w:gridSpan w:val="2"/>
          </w:tcPr>
          <w:p>
            <w:pPr>
              <w:jc w:val="right"/>
              <w:ind w:right="70"/>
              <w:spacing w:after="0"/>
              <w:rPr>
                <w:sz w:val="20"/>
                <w:szCs w:val="20"/>
                <w:color w:val="auto"/>
              </w:rPr>
            </w:pPr>
            <w:r>
              <w:rPr>
                <w:rFonts w:ascii="Arial" w:cs="Arial" w:eastAsia="Arial" w:hAnsi="Arial"/>
                <w:sz w:val="14"/>
                <w:szCs w:val="14"/>
                <w:color w:val="auto"/>
              </w:rPr>
              <w:t>$  4.25</w:t>
            </w:r>
          </w:p>
        </w:tc>
        <w:tc>
          <w:tcPr>
            <w:tcW w:w="820" w:type="dxa"/>
            <w:vAlign w:val="bottom"/>
            <w:shd w:val="clear" w:color="auto" w:fill="D2EDF0"/>
          </w:tcPr>
          <w:p>
            <w:pPr>
              <w:jc w:val="right"/>
              <w:spacing w:after="0"/>
              <w:rPr>
                <w:sz w:val="20"/>
                <w:szCs w:val="20"/>
                <w:color w:val="auto"/>
              </w:rPr>
            </w:pPr>
            <w:r>
              <w:rPr>
                <w:rFonts w:ascii="Arial" w:cs="Arial" w:eastAsia="Arial" w:hAnsi="Arial"/>
                <w:sz w:val="14"/>
                <w:szCs w:val="14"/>
                <w:color w:val="auto"/>
              </w:rPr>
              <w:t>1/18/2027</w:t>
            </w:r>
          </w:p>
        </w:tc>
        <w:tc>
          <w:tcPr>
            <w:tcW w:w="840" w:type="dxa"/>
            <w:vAlign w:val="bottom"/>
            <w:tcBorders>
              <w:left w:val="single" w:sz="8" w:color="D2EDF0"/>
            </w:tcBorders>
            <w:shd w:val="clear" w:color="auto" w:fill="D2EDF0"/>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80" w:type="dxa"/>
            <w:vAlign w:val="bottom"/>
            <w:tcBorders>
              <w:right w:val="single" w:sz="8" w:color="D2EDF0"/>
            </w:tcBorders>
            <w:gridSpan w:val="2"/>
          </w:tcPr>
          <w:p>
            <w:pPr>
              <w:ind w:left="60"/>
              <w:spacing w:after="0"/>
              <w:rPr>
                <w:sz w:val="20"/>
                <w:szCs w:val="20"/>
                <w:color w:val="auto"/>
              </w:rPr>
            </w:pPr>
            <w:r>
              <w:rPr>
                <w:rFonts w:ascii="Arial" w:cs="Arial" w:eastAsia="Arial" w:hAnsi="Arial"/>
                <w:sz w:val="14"/>
                <w:szCs w:val="14"/>
                <w:color w:val="auto"/>
              </w:rPr>
              <w:t>Yoran</w:t>
            </w:r>
          </w:p>
        </w:tc>
        <w:tc>
          <w:tcPr>
            <w:tcW w:w="900" w:type="dxa"/>
            <w:vAlign w:val="bottom"/>
            <w:vMerge w:val="restart"/>
            <w:shd w:val="clear" w:color="auto" w:fill="D2EDF0"/>
          </w:tcPr>
          <w:p>
            <w:pPr>
              <w:ind w:left="20"/>
              <w:spacing w:after="0"/>
              <w:rPr>
                <w:sz w:val="20"/>
                <w:szCs w:val="20"/>
                <w:color w:val="auto"/>
              </w:rPr>
            </w:pPr>
            <w:r>
              <w:rPr>
                <w:rFonts w:ascii="Arial" w:cs="Arial" w:eastAsia="Arial" w:hAnsi="Arial"/>
                <w:sz w:val="14"/>
                <w:szCs w:val="14"/>
                <w:color w:val="auto"/>
              </w:rPr>
              <w:t>6/21/2018</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565,657</w:t>
            </w:r>
          </w:p>
        </w:tc>
        <w:tc>
          <w:tcPr>
            <w:tcW w:w="80" w:type="dxa"/>
            <w:vAlign w:val="bottom"/>
          </w:tcPr>
          <w:p>
            <w:pPr>
              <w:spacing w:after="0"/>
              <w:rPr>
                <w:sz w:val="16"/>
                <w:szCs w:val="16"/>
                <w:color w:val="auto"/>
              </w:rPr>
            </w:pPr>
          </w:p>
        </w:tc>
        <w:tc>
          <w:tcPr>
            <w:tcW w:w="7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D2EDF0"/>
            </w:tcBorders>
            <w:gridSpan w:val="2"/>
            <w:vMerge w:val="restart"/>
          </w:tcPr>
          <w:p>
            <w:pPr>
              <w:jc w:val="right"/>
              <w:ind w:right="70"/>
              <w:spacing w:after="0"/>
              <w:rPr>
                <w:sz w:val="20"/>
                <w:szCs w:val="20"/>
                <w:color w:val="auto"/>
              </w:rPr>
            </w:pPr>
            <w:r>
              <w:rPr>
                <w:rFonts w:ascii="Arial" w:cs="Arial" w:eastAsia="Arial" w:hAnsi="Arial"/>
                <w:sz w:val="14"/>
                <w:szCs w:val="14"/>
                <w:color w:val="auto"/>
              </w:rPr>
              <w:t>16.21</w:t>
            </w:r>
          </w:p>
        </w:tc>
        <w:tc>
          <w:tcPr>
            <w:tcW w:w="820" w:type="dxa"/>
            <w:vAlign w:val="bottom"/>
            <w:vMerge w:val="restart"/>
            <w:shd w:val="clear" w:color="auto" w:fill="D2EDF0"/>
          </w:tcPr>
          <w:p>
            <w:pPr>
              <w:jc w:val="right"/>
              <w:spacing w:after="0"/>
              <w:rPr>
                <w:sz w:val="20"/>
                <w:szCs w:val="20"/>
                <w:color w:val="auto"/>
              </w:rPr>
            </w:pPr>
            <w:r>
              <w:rPr>
                <w:rFonts w:ascii="Arial" w:cs="Arial" w:eastAsia="Arial" w:hAnsi="Arial"/>
                <w:sz w:val="14"/>
                <w:szCs w:val="14"/>
                <w:color w:val="auto"/>
              </w:rPr>
              <w:t>6/21/2028</w:t>
            </w:r>
          </w:p>
        </w:tc>
        <w:tc>
          <w:tcPr>
            <w:tcW w:w="840" w:type="dxa"/>
            <w:vAlign w:val="bottom"/>
            <w:tcBorders>
              <w:left w:val="single" w:sz="8" w:color="D2EDF0"/>
            </w:tcBorders>
            <w:shd w:val="clear" w:color="auto" w:fill="D2EDF0"/>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780" w:type="dxa"/>
            <w:vAlign w:val="bottom"/>
          </w:tcPr>
          <w:p>
            <w:pPr>
              <w:spacing w:after="0"/>
              <w:rPr>
                <w:sz w:val="11"/>
                <w:szCs w:val="11"/>
                <w:color w:val="auto"/>
              </w:rPr>
            </w:pPr>
          </w:p>
        </w:tc>
        <w:tc>
          <w:tcPr>
            <w:tcW w:w="100" w:type="dxa"/>
            <w:vAlign w:val="bottom"/>
            <w:tcBorders>
              <w:right w:val="single" w:sz="8" w:color="D2EDF0"/>
            </w:tcBorders>
          </w:tcPr>
          <w:p>
            <w:pPr>
              <w:spacing w:after="0"/>
              <w:rPr>
                <w:sz w:val="11"/>
                <w:szCs w:val="11"/>
                <w:color w:val="auto"/>
              </w:rPr>
            </w:pPr>
          </w:p>
        </w:tc>
        <w:tc>
          <w:tcPr>
            <w:tcW w:w="900" w:type="dxa"/>
            <w:vAlign w:val="bottom"/>
            <w:vMerge w:val="continue"/>
            <w:shd w:val="clear" w:color="auto" w:fill="D2EDF0"/>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tcBorders>
              <w:right w:val="single" w:sz="8" w:color="D2EDF0"/>
            </w:tcBorders>
            <w:gridSpan w:val="2"/>
            <w:vMerge w:val="continue"/>
          </w:tcPr>
          <w:p>
            <w:pPr>
              <w:spacing w:after="0"/>
              <w:rPr>
                <w:sz w:val="11"/>
                <w:szCs w:val="11"/>
                <w:color w:val="auto"/>
              </w:rPr>
            </w:pPr>
          </w:p>
        </w:tc>
        <w:tc>
          <w:tcPr>
            <w:tcW w:w="820" w:type="dxa"/>
            <w:vAlign w:val="bottom"/>
            <w:vMerge w:val="continue"/>
            <w:shd w:val="clear" w:color="auto" w:fill="D2EDF0"/>
          </w:tcPr>
          <w:p>
            <w:pPr>
              <w:spacing w:after="0"/>
              <w:rPr>
                <w:sz w:val="11"/>
                <w:szCs w:val="11"/>
                <w:color w:val="auto"/>
              </w:rPr>
            </w:pPr>
          </w:p>
        </w:tc>
        <w:tc>
          <w:tcPr>
            <w:tcW w:w="840" w:type="dxa"/>
            <w:vAlign w:val="bottom"/>
            <w:tcBorders>
              <w:left w:val="single" w:sz="8" w:color="D2EDF0"/>
            </w:tcBorders>
            <w:shd w:val="clear" w:color="auto" w:fill="D2EDF0"/>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2/20/2019</w:t>
            </w:r>
          </w:p>
        </w:tc>
        <w:tc>
          <w:tcPr>
            <w:tcW w:w="8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60" w:type="dxa"/>
            <w:vAlign w:val="bottom"/>
            <w:tcBorders>
              <w:right w:val="single" w:sz="8" w:color="D2EDF0"/>
            </w:tcBorders>
          </w:tcPr>
          <w:p>
            <w:pPr>
              <w:spacing w:after="0"/>
              <w:rPr>
                <w:sz w:val="21"/>
                <w:szCs w:val="21"/>
                <w:color w:val="auto"/>
              </w:rPr>
            </w:pPr>
          </w:p>
        </w:tc>
        <w:tc>
          <w:tcPr>
            <w:tcW w:w="820" w:type="dxa"/>
            <w:vAlign w:val="bottom"/>
            <w:shd w:val="clear" w:color="auto" w:fill="D2EDF0"/>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13,244</w:t>
            </w:r>
          </w:p>
        </w:tc>
        <w:tc>
          <w:tcPr>
            <w:tcW w:w="280" w:type="dxa"/>
            <w:vAlign w:val="bottom"/>
            <w:shd w:val="clear" w:color="auto" w:fill="D2EDF0"/>
          </w:tcPr>
          <w:p>
            <w:pPr>
              <w:ind w:left="60"/>
              <w:spacing w:after="0"/>
              <w:rPr>
                <w:sz w:val="20"/>
                <w:szCs w:val="20"/>
                <w:color w:val="auto"/>
              </w:rPr>
            </w:pPr>
            <w:r>
              <w:rPr>
                <w:rFonts w:ascii="Arial" w:cs="Arial" w:eastAsia="Arial" w:hAnsi="Arial"/>
                <w:sz w:val="12"/>
                <w:szCs w:val="12"/>
                <w:color w:val="auto"/>
              </w:rPr>
              <w:t>(4)</w:t>
            </w:r>
          </w:p>
        </w:tc>
        <w:tc>
          <w:tcPr>
            <w:tcW w:w="840" w:type="dxa"/>
            <w:vAlign w:val="bottom"/>
          </w:tcPr>
          <w:p>
            <w:pPr>
              <w:jc w:val="right"/>
              <w:spacing w:after="0"/>
              <w:rPr>
                <w:sz w:val="20"/>
                <w:szCs w:val="20"/>
                <w:color w:val="auto"/>
              </w:rPr>
            </w:pPr>
            <w:r>
              <w:rPr>
                <w:rFonts w:ascii="Arial" w:cs="Arial" w:eastAsia="Arial" w:hAnsi="Arial"/>
                <w:sz w:val="14"/>
                <w:szCs w:val="14"/>
                <w:color w:val="auto"/>
              </w:rPr>
              <w:t>$  505,259</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2/19/2020</w:t>
            </w:r>
          </w:p>
        </w:tc>
        <w:tc>
          <w:tcPr>
            <w:tcW w:w="8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660" w:type="dxa"/>
            <w:vAlign w:val="bottom"/>
            <w:tcBorders>
              <w:right w:val="single" w:sz="8" w:color="D2EDF0"/>
            </w:tcBorders>
          </w:tcPr>
          <w:p>
            <w:pPr>
              <w:spacing w:after="0"/>
              <w:rPr>
                <w:sz w:val="22"/>
                <w:szCs w:val="22"/>
                <w:color w:val="auto"/>
              </w:rPr>
            </w:pPr>
          </w:p>
        </w:tc>
        <w:tc>
          <w:tcPr>
            <w:tcW w:w="820" w:type="dxa"/>
            <w:vAlign w:val="bottom"/>
            <w:shd w:val="clear" w:color="auto" w:fill="D2EDF0"/>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72,753</w:t>
            </w:r>
          </w:p>
        </w:tc>
        <w:tc>
          <w:tcPr>
            <w:tcW w:w="280" w:type="dxa"/>
            <w:vAlign w:val="bottom"/>
            <w:shd w:val="clear" w:color="auto" w:fill="D2EDF0"/>
          </w:tcPr>
          <w:p>
            <w:pPr>
              <w:ind w:left="60"/>
              <w:spacing w:after="0"/>
              <w:rPr>
                <w:sz w:val="20"/>
                <w:szCs w:val="20"/>
                <w:color w:val="auto"/>
              </w:rPr>
            </w:pPr>
            <w:r>
              <w:rPr>
                <w:rFonts w:ascii="Arial" w:cs="Arial" w:eastAsia="Arial" w:hAnsi="Arial"/>
                <w:sz w:val="12"/>
                <w:szCs w:val="12"/>
                <w:color w:val="auto"/>
              </w:rPr>
              <w:t>(5)</w:t>
            </w:r>
          </w:p>
        </w:tc>
        <w:tc>
          <w:tcPr>
            <w:tcW w:w="840" w:type="dxa"/>
            <w:vAlign w:val="bottom"/>
            <w:shd w:val="clear" w:color="auto" w:fill="D2EDF0"/>
          </w:tcPr>
          <w:p>
            <w:pPr>
              <w:jc w:val="right"/>
              <w:spacing w:after="0"/>
              <w:rPr>
                <w:sz w:val="20"/>
                <w:szCs w:val="20"/>
                <w:color w:val="auto"/>
              </w:rPr>
            </w:pPr>
            <w:r>
              <w:rPr>
                <w:rFonts w:ascii="Arial" w:cs="Arial" w:eastAsia="Arial" w:hAnsi="Arial"/>
                <w:sz w:val="14"/>
                <w:szCs w:val="14"/>
                <w:color w:val="auto"/>
              </w:rPr>
              <w:t>2,775,527</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2/17/2021</w:t>
            </w:r>
          </w:p>
        </w:tc>
        <w:tc>
          <w:tcPr>
            <w:tcW w:w="8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60" w:type="dxa"/>
            <w:vAlign w:val="bottom"/>
            <w:tcBorders>
              <w:right w:val="single" w:sz="8" w:color="D2EDF0"/>
            </w:tcBorders>
          </w:tcPr>
          <w:p>
            <w:pPr>
              <w:spacing w:after="0"/>
              <w:rPr>
                <w:sz w:val="21"/>
                <w:szCs w:val="21"/>
                <w:color w:val="auto"/>
              </w:rPr>
            </w:pPr>
          </w:p>
        </w:tc>
        <w:tc>
          <w:tcPr>
            <w:tcW w:w="820" w:type="dxa"/>
            <w:vAlign w:val="bottom"/>
            <w:shd w:val="clear" w:color="auto" w:fill="D2EDF0"/>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96,210</w:t>
            </w:r>
          </w:p>
        </w:tc>
        <w:tc>
          <w:tcPr>
            <w:tcW w:w="280" w:type="dxa"/>
            <w:vAlign w:val="bottom"/>
            <w:shd w:val="clear" w:color="auto" w:fill="D2EDF0"/>
          </w:tcPr>
          <w:p>
            <w:pPr>
              <w:ind w:left="60"/>
              <w:spacing w:after="0"/>
              <w:rPr>
                <w:sz w:val="20"/>
                <w:szCs w:val="20"/>
                <w:color w:val="auto"/>
              </w:rPr>
            </w:pPr>
            <w:r>
              <w:rPr>
                <w:rFonts w:ascii="Arial" w:cs="Arial" w:eastAsia="Arial" w:hAnsi="Arial"/>
                <w:sz w:val="12"/>
                <w:szCs w:val="12"/>
                <w:color w:val="auto"/>
              </w:rPr>
              <w:t>(6)</w:t>
            </w:r>
          </w:p>
        </w:tc>
        <w:tc>
          <w:tcPr>
            <w:tcW w:w="840" w:type="dxa"/>
            <w:vAlign w:val="bottom"/>
          </w:tcPr>
          <w:p>
            <w:pPr>
              <w:jc w:val="right"/>
              <w:spacing w:after="0"/>
              <w:rPr>
                <w:sz w:val="20"/>
                <w:szCs w:val="20"/>
                <w:color w:val="auto"/>
              </w:rPr>
            </w:pPr>
            <w:r>
              <w:rPr>
                <w:rFonts w:ascii="Arial" w:cs="Arial" w:eastAsia="Arial" w:hAnsi="Arial"/>
                <w:sz w:val="14"/>
                <w:szCs w:val="14"/>
                <w:color w:val="auto"/>
              </w:rPr>
              <w:t>3,670,412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80" w:type="dxa"/>
            <w:vAlign w:val="bottom"/>
          </w:tcPr>
          <w:p>
            <w:pPr>
              <w:spacing w:after="0"/>
              <w:rPr>
                <w:sz w:val="22"/>
                <w:szCs w:val="22"/>
                <w:color w:val="auto"/>
              </w:rPr>
            </w:pPr>
          </w:p>
        </w:tc>
        <w:tc>
          <w:tcPr>
            <w:tcW w:w="100" w:type="dxa"/>
            <w:vAlign w:val="bottom"/>
            <w:tcBorders>
              <w:right w:val="single" w:sz="8" w:color="D2EDF0"/>
            </w:tcBorders>
          </w:tcPr>
          <w:p>
            <w:pPr>
              <w:spacing w:after="0"/>
              <w:rPr>
                <w:sz w:val="22"/>
                <w:szCs w:val="22"/>
                <w:color w:val="auto"/>
              </w:rPr>
            </w:pPr>
          </w:p>
        </w:tc>
        <w:tc>
          <w:tcPr>
            <w:tcW w:w="900" w:type="dxa"/>
            <w:vAlign w:val="bottom"/>
            <w:shd w:val="clear" w:color="auto" w:fill="D2EDF0"/>
          </w:tcPr>
          <w:p>
            <w:pPr>
              <w:ind w:left="20"/>
              <w:spacing w:after="0"/>
              <w:rPr>
                <w:sz w:val="20"/>
                <w:szCs w:val="20"/>
                <w:color w:val="auto"/>
              </w:rPr>
            </w:pPr>
            <w:r>
              <w:rPr>
                <w:rFonts w:ascii="Arial" w:cs="Arial" w:eastAsia="Arial" w:hAnsi="Arial"/>
                <w:sz w:val="14"/>
                <w:szCs w:val="14"/>
                <w:color w:val="auto"/>
              </w:rPr>
              <w:t>2/23/2022</w:t>
            </w:r>
          </w:p>
        </w:tc>
        <w:tc>
          <w:tcPr>
            <w:tcW w:w="80" w:type="dxa"/>
            <w:vAlign w:val="bottom"/>
            <w:shd w:val="clear" w:color="auto" w:fill="D2EDF0"/>
          </w:tcPr>
          <w:p>
            <w:pPr>
              <w:spacing w:after="0"/>
              <w:rPr>
                <w:sz w:val="22"/>
                <w:szCs w:val="22"/>
                <w:color w:val="auto"/>
              </w:rPr>
            </w:pPr>
          </w:p>
        </w:tc>
        <w:tc>
          <w:tcPr>
            <w:tcW w:w="920" w:type="dxa"/>
            <w:vAlign w:val="bottom"/>
            <w:gridSpan w:val="2"/>
            <w:shd w:val="clear" w:color="auto" w:fill="D2EDF0"/>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D2EDF0"/>
          </w:tcPr>
          <w:p>
            <w:pPr>
              <w:ind w:left="5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660" w:type="dxa"/>
            <w:vAlign w:val="bottom"/>
            <w:tcBorders>
              <w:right w:val="single" w:sz="8" w:color="D2EDF0"/>
            </w:tcBorders>
          </w:tcPr>
          <w:p>
            <w:pPr>
              <w:spacing w:after="0"/>
              <w:rPr>
                <w:sz w:val="22"/>
                <w:szCs w:val="22"/>
                <w:color w:val="auto"/>
              </w:rPr>
            </w:pPr>
          </w:p>
        </w:tc>
        <w:tc>
          <w:tcPr>
            <w:tcW w:w="820" w:type="dxa"/>
            <w:vAlign w:val="bottom"/>
            <w:shd w:val="clear" w:color="auto" w:fill="D2EDF0"/>
          </w:tcPr>
          <w:p>
            <w:pPr>
              <w:spacing w:after="0"/>
              <w:rPr>
                <w:sz w:val="22"/>
                <w:szCs w:val="22"/>
                <w:color w:val="auto"/>
              </w:rPr>
            </w:pPr>
          </w:p>
        </w:tc>
        <w:tc>
          <w:tcPr>
            <w:tcW w:w="840" w:type="dxa"/>
            <w:vAlign w:val="bottom"/>
            <w:tcBorders>
              <w:left w:val="single" w:sz="8" w:color="D2EDF0"/>
            </w:tcBorders>
            <w:shd w:val="clear" w:color="auto" w:fill="D2EDF0"/>
          </w:tcPr>
          <w:p>
            <w:pPr>
              <w:jc w:val="right"/>
              <w:spacing w:after="0"/>
              <w:rPr>
                <w:sz w:val="20"/>
                <w:szCs w:val="20"/>
                <w:color w:val="auto"/>
              </w:rPr>
            </w:pPr>
            <w:r>
              <w:rPr>
                <w:rFonts w:ascii="Arial" w:cs="Arial" w:eastAsia="Arial" w:hAnsi="Arial"/>
                <w:sz w:val="14"/>
                <w:szCs w:val="14"/>
                <w:color w:val="auto"/>
              </w:rPr>
              <w:t>150,100</w:t>
            </w:r>
          </w:p>
        </w:tc>
        <w:tc>
          <w:tcPr>
            <w:tcW w:w="280" w:type="dxa"/>
            <w:vAlign w:val="bottom"/>
            <w:shd w:val="clear" w:color="auto" w:fill="D2EDF0"/>
          </w:tcPr>
          <w:p>
            <w:pPr>
              <w:ind w:left="60"/>
              <w:spacing w:after="0"/>
              <w:rPr>
                <w:sz w:val="20"/>
                <w:szCs w:val="20"/>
                <w:color w:val="auto"/>
              </w:rPr>
            </w:pPr>
            <w:r>
              <w:rPr>
                <w:rFonts w:ascii="Arial" w:cs="Arial" w:eastAsia="Arial" w:hAnsi="Arial"/>
                <w:sz w:val="12"/>
                <w:szCs w:val="12"/>
                <w:color w:val="auto"/>
              </w:rPr>
              <w:t>(7)</w:t>
            </w:r>
          </w:p>
        </w:tc>
        <w:tc>
          <w:tcPr>
            <w:tcW w:w="840" w:type="dxa"/>
            <w:vAlign w:val="bottom"/>
            <w:shd w:val="clear" w:color="auto" w:fill="D2EDF0"/>
          </w:tcPr>
          <w:p>
            <w:pPr>
              <w:jc w:val="right"/>
              <w:spacing w:after="0"/>
              <w:rPr>
                <w:sz w:val="20"/>
                <w:szCs w:val="20"/>
                <w:color w:val="auto"/>
              </w:rPr>
            </w:pPr>
            <w:r>
              <w:rPr>
                <w:rFonts w:ascii="Arial" w:cs="Arial" w:eastAsia="Arial" w:hAnsi="Arial"/>
                <w:sz w:val="14"/>
                <w:szCs w:val="14"/>
                <w:color w:val="auto"/>
              </w:rPr>
              <w:t>5,726,315</w:t>
            </w:r>
          </w:p>
        </w:tc>
        <w:tc>
          <w:tcPr>
            <w:tcW w:w="900" w:type="dxa"/>
            <w:vAlign w:val="bottom"/>
            <w:gridSpan w:val="2"/>
          </w:tcPr>
          <w:p>
            <w:pPr>
              <w:jc w:val="right"/>
              <w:ind w:right="150"/>
              <w:spacing w:after="0"/>
              <w:rPr>
                <w:sz w:val="20"/>
                <w:szCs w:val="20"/>
                <w:color w:val="auto"/>
              </w:rPr>
            </w:pPr>
            <w:r>
              <w:rPr>
                <w:rFonts w:ascii="Arial" w:cs="Arial" w:eastAsia="Arial" w:hAnsi="Arial"/>
                <w:sz w:val="14"/>
                <w:szCs w:val="14"/>
                <w:color w:val="auto"/>
              </w:rPr>
              <w:t>53,034</w:t>
            </w:r>
          </w:p>
        </w:tc>
        <w:tc>
          <w:tcPr>
            <w:tcW w:w="220" w:type="dxa"/>
            <w:vAlign w:val="bottom"/>
            <w:shd w:val="clear" w:color="auto" w:fill="D2EDF0"/>
          </w:tcPr>
          <w:p>
            <w:pPr>
              <w:jc w:val="right"/>
              <w:spacing w:after="0"/>
              <w:rPr>
                <w:sz w:val="20"/>
                <w:szCs w:val="20"/>
                <w:color w:val="auto"/>
              </w:rPr>
            </w:pPr>
            <w:r>
              <w:rPr>
                <w:rFonts w:ascii="Arial" w:cs="Arial" w:eastAsia="Arial" w:hAnsi="Arial"/>
                <w:sz w:val="12"/>
                <w:szCs w:val="12"/>
                <w:color w:val="auto"/>
              </w:rPr>
              <w:t>(8)</w:t>
            </w:r>
          </w:p>
        </w:tc>
        <w:tc>
          <w:tcPr>
            <w:tcW w:w="840" w:type="dxa"/>
            <w:vAlign w:val="bottom"/>
          </w:tcPr>
          <w:p>
            <w:pPr>
              <w:jc w:val="center"/>
              <w:spacing w:after="0"/>
              <w:rPr>
                <w:sz w:val="20"/>
                <w:szCs w:val="20"/>
                <w:color w:val="auto"/>
              </w:rPr>
            </w:pPr>
            <w:r>
              <w:rPr>
                <w:rFonts w:ascii="Arial" w:cs="Arial" w:eastAsia="Arial" w:hAnsi="Arial"/>
                <w:sz w:val="14"/>
                <w:szCs w:val="14"/>
                <w:color w:val="auto"/>
              </w:rPr>
              <w:t>2,023,247</w:t>
            </w:r>
          </w:p>
        </w:tc>
        <w:tc>
          <w:tcPr>
            <w:tcW w:w="0" w:type="dxa"/>
            <w:vAlign w:val="bottom"/>
          </w:tcPr>
          <w:p>
            <w:pPr>
              <w:spacing w:after="0"/>
              <w:rPr>
                <w:sz w:val="1"/>
                <w:szCs w:val="1"/>
                <w:color w:val="auto"/>
              </w:rPr>
            </w:pPr>
          </w:p>
        </w:tc>
      </w:tr>
      <w:tr>
        <w:trPr>
          <w:trHeight w:val="196"/>
        </w:trPr>
        <w:tc>
          <w:tcPr>
            <w:tcW w:w="880" w:type="dxa"/>
            <w:vAlign w:val="bottom"/>
            <w:gridSpan w:val="2"/>
          </w:tcPr>
          <w:p>
            <w:pPr>
              <w:ind w:left="60"/>
              <w:spacing w:after="0"/>
              <w:rPr>
                <w:sz w:val="20"/>
                <w:szCs w:val="20"/>
                <w:color w:val="auto"/>
              </w:rPr>
            </w:pPr>
            <w:r>
              <w:rPr>
                <w:rFonts w:ascii="Arial" w:cs="Arial" w:eastAsia="Arial" w:hAnsi="Arial"/>
                <w:sz w:val="14"/>
                <w:szCs w:val="14"/>
                <w:color w:val="auto"/>
              </w:rPr>
              <w:t>Stephen</w:t>
            </w:r>
          </w:p>
        </w:tc>
        <w:tc>
          <w:tcPr>
            <w:tcW w:w="900" w:type="dxa"/>
            <w:vAlign w:val="bottom"/>
          </w:tcPr>
          <w:p>
            <w:pPr>
              <w:ind w:left="20"/>
              <w:spacing w:after="0" w:line="195" w:lineRule="exact"/>
              <w:rPr>
                <w:sz w:val="20"/>
                <w:szCs w:val="20"/>
                <w:color w:val="auto"/>
              </w:rPr>
            </w:pPr>
            <w:r>
              <w:rPr>
                <w:rFonts w:ascii="Arial" w:cs="Arial" w:eastAsia="Arial" w:hAnsi="Arial"/>
                <w:sz w:val="14"/>
                <w:szCs w:val="14"/>
                <w:color w:val="auto"/>
              </w:rPr>
              <w:t>12/16/2014</w:t>
            </w:r>
            <w:r>
              <w:rPr>
                <w:rFonts w:ascii="Arial" w:cs="Arial" w:eastAsia="Arial" w:hAnsi="Arial"/>
                <w:sz w:val="18"/>
                <w:szCs w:val="18"/>
                <w:color w:val="auto"/>
                <w:vertAlign w:val="superscript"/>
              </w:rPr>
              <w:t>(9)</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305,500</w:t>
            </w:r>
          </w:p>
        </w:tc>
        <w:tc>
          <w:tcPr>
            <w:tcW w:w="8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70"/>
              <w:spacing w:after="0"/>
              <w:rPr>
                <w:sz w:val="20"/>
                <w:szCs w:val="20"/>
                <w:color w:val="auto"/>
              </w:rPr>
            </w:pPr>
            <w:r>
              <w:rPr>
                <w:rFonts w:ascii="Arial" w:cs="Arial" w:eastAsia="Arial" w:hAnsi="Arial"/>
                <w:sz w:val="14"/>
                <w:szCs w:val="14"/>
                <w:color w:val="auto"/>
              </w:rPr>
              <w:t>2.36</w:t>
            </w:r>
          </w:p>
        </w:tc>
        <w:tc>
          <w:tcPr>
            <w:tcW w:w="820" w:type="dxa"/>
            <w:vAlign w:val="bottom"/>
          </w:tcPr>
          <w:p>
            <w:pPr>
              <w:jc w:val="right"/>
              <w:spacing w:after="0"/>
              <w:rPr>
                <w:sz w:val="20"/>
                <w:szCs w:val="20"/>
                <w:color w:val="auto"/>
              </w:rPr>
            </w:pPr>
            <w:r>
              <w:rPr>
                <w:rFonts w:ascii="Arial" w:cs="Arial" w:eastAsia="Arial" w:hAnsi="Arial"/>
                <w:sz w:val="14"/>
                <w:szCs w:val="14"/>
                <w:color w:val="auto"/>
              </w:rPr>
              <w:t>12/16/2024</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80" w:type="dxa"/>
            <w:vAlign w:val="bottom"/>
            <w:gridSpan w:val="2"/>
          </w:tcPr>
          <w:p>
            <w:pPr>
              <w:ind w:left="60"/>
              <w:spacing w:after="0"/>
              <w:rPr>
                <w:sz w:val="20"/>
                <w:szCs w:val="20"/>
                <w:color w:val="auto"/>
              </w:rPr>
            </w:pPr>
            <w:r>
              <w:rPr>
                <w:rFonts w:ascii="Arial" w:cs="Arial" w:eastAsia="Arial" w:hAnsi="Arial"/>
                <w:sz w:val="14"/>
                <w:szCs w:val="14"/>
                <w:color w:val="auto"/>
              </w:rPr>
              <w:t>A. Vintz</w:t>
            </w:r>
          </w:p>
        </w:tc>
        <w:tc>
          <w:tcPr>
            <w:tcW w:w="900" w:type="dxa"/>
            <w:vAlign w:val="bottom"/>
            <w:vMerge w:val="restart"/>
          </w:tcPr>
          <w:p>
            <w:pPr>
              <w:ind w:left="20"/>
              <w:spacing w:after="0"/>
              <w:rPr>
                <w:sz w:val="20"/>
                <w:szCs w:val="20"/>
                <w:color w:val="auto"/>
              </w:rPr>
            </w:pPr>
            <w:r>
              <w:rPr>
                <w:rFonts w:ascii="Arial" w:cs="Arial" w:eastAsia="Arial" w:hAnsi="Arial"/>
                <w:sz w:val="14"/>
                <w:szCs w:val="14"/>
                <w:color w:val="auto"/>
              </w:rPr>
              <w:t>6/30/2016</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105,000</w:t>
            </w:r>
          </w:p>
        </w:tc>
        <w:tc>
          <w:tcPr>
            <w:tcW w:w="80" w:type="dxa"/>
            <w:vAlign w:val="bottom"/>
          </w:tcPr>
          <w:p>
            <w:pPr>
              <w:spacing w:after="0"/>
              <w:rPr>
                <w:sz w:val="16"/>
                <w:szCs w:val="16"/>
                <w:color w:val="auto"/>
              </w:rPr>
            </w:pPr>
          </w:p>
        </w:tc>
        <w:tc>
          <w:tcPr>
            <w:tcW w:w="7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70"/>
              <w:spacing w:after="0"/>
              <w:rPr>
                <w:sz w:val="20"/>
                <w:szCs w:val="20"/>
                <w:color w:val="auto"/>
              </w:rPr>
            </w:pPr>
            <w:r>
              <w:rPr>
                <w:rFonts w:ascii="Arial" w:cs="Arial" w:eastAsia="Arial" w:hAnsi="Arial"/>
                <w:sz w:val="14"/>
                <w:szCs w:val="14"/>
                <w:color w:val="auto"/>
              </w:rPr>
              <w:t>4.15</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6/30/2026</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6/21/2018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423,434</w:t>
            </w:r>
          </w:p>
        </w:tc>
        <w:tc>
          <w:tcPr>
            <w:tcW w:w="80" w:type="dxa"/>
            <w:vAlign w:val="bottom"/>
          </w:tcPr>
          <w:p>
            <w:pPr>
              <w:spacing w:after="0"/>
              <w:rPr>
                <w:sz w:val="22"/>
                <w:szCs w:val="22"/>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70"/>
              <w:spacing w:after="0"/>
              <w:rPr>
                <w:sz w:val="20"/>
                <w:szCs w:val="20"/>
                <w:color w:val="auto"/>
              </w:rPr>
            </w:pPr>
            <w:r>
              <w:rPr>
                <w:rFonts w:ascii="Arial" w:cs="Arial" w:eastAsia="Arial" w:hAnsi="Arial"/>
                <w:sz w:val="14"/>
                <w:szCs w:val="14"/>
                <w:color w:val="auto"/>
              </w:rPr>
              <w:t>16.21</w:t>
            </w:r>
          </w:p>
        </w:tc>
        <w:tc>
          <w:tcPr>
            <w:tcW w:w="820" w:type="dxa"/>
            <w:vAlign w:val="bottom"/>
          </w:tcPr>
          <w:p>
            <w:pPr>
              <w:jc w:val="right"/>
              <w:spacing w:after="0"/>
              <w:rPr>
                <w:sz w:val="20"/>
                <w:szCs w:val="20"/>
                <w:color w:val="auto"/>
              </w:rPr>
            </w:pPr>
            <w:r>
              <w:rPr>
                <w:rFonts w:ascii="Arial" w:cs="Arial" w:eastAsia="Arial" w:hAnsi="Arial"/>
                <w:sz w:val="14"/>
                <w:szCs w:val="14"/>
                <w:color w:val="auto"/>
              </w:rPr>
              <w:t>6/21/2028</w:t>
            </w: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2/20/2019</w:t>
            </w:r>
          </w:p>
        </w:tc>
        <w:tc>
          <w:tcPr>
            <w:tcW w:w="8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8,545</w:t>
            </w:r>
          </w:p>
        </w:tc>
        <w:tc>
          <w:tcPr>
            <w:tcW w:w="280" w:type="dxa"/>
            <w:vAlign w:val="bottom"/>
          </w:tcPr>
          <w:p>
            <w:pPr>
              <w:ind w:left="60"/>
              <w:spacing w:after="0"/>
              <w:rPr>
                <w:sz w:val="20"/>
                <w:szCs w:val="20"/>
                <w:color w:val="auto"/>
              </w:rPr>
            </w:pPr>
            <w:r>
              <w:rPr>
                <w:rFonts w:ascii="Arial" w:cs="Arial" w:eastAsia="Arial" w:hAnsi="Arial"/>
                <w:sz w:val="12"/>
                <w:szCs w:val="12"/>
                <w:color w:val="auto"/>
              </w:rPr>
              <w:t>(4)</w:t>
            </w:r>
          </w:p>
        </w:tc>
        <w:tc>
          <w:tcPr>
            <w:tcW w:w="840" w:type="dxa"/>
            <w:vAlign w:val="bottom"/>
          </w:tcPr>
          <w:p>
            <w:pPr>
              <w:jc w:val="right"/>
              <w:spacing w:after="0"/>
              <w:rPr>
                <w:sz w:val="20"/>
                <w:szCs w:val="20"/>
                <w:color w:val="auto"/>
              </w:rPr>
            </w:pPr>
            <w:r>
              <w:rPr>
                <w:rFonts w:ascii="Arial" w:cs="Arial" w:eastAsia="Arial" w:hAnsi="Arial"/>
                <w:sz w:val="14"/>
                <w:szCs w:val="14"/>
                <w:color w:val="auto"/>
              </w:rPr>
              <w:t>325,992</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2/19/2020</w:t>
            </w:r>
          </w:p>
        </w:tc>
        <w:tc>
          <w:tcPr>
            <w:tcW w:w="8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44,094</w:t>
            </w:r>
          </w:p>
        </w:tc>
        <w:tc>
          <w:tcPr>
            <w:tcW w:w="280" w:type="dxa"/>
            <w:vAlign w:val="bottom"/>
          </w:tcPr>
          <w:p>
            <w:pPr>
              <w:ind w:left="60"/>
              <w:spacing w:after="0"/>
              <w:rPr>
                <w:sz w:val="20"/>
                <w:szCs w:val="20"/>
                <w:color w:val="auto"/>
              </w:rPr>
            </w:pPr>
            <w:r>
              <w:rPr>
                <w:rFonts w:ascii="Arial" w:cs="Arial" w:eastAsia="Arial" w:hAnsi="Arial"/>
                <w:sz w:val="12"/>
                <w:szCs w:val="12"/>
                <w:color w:val="auto"/>
              </w:rPr>
              <w:t>(5)</w:t>
            </w:r>
          </w:p>
        </w:tc>
        <w:tc>
          <w:tcPr>
            <w:tcW w:w="840" w:type="dxa"/>
            <w:vAlign w:val="bottom"/>
          </w:tcPr>
          <w:p>
            <w:pPr>
              <w:jc w:val="right"/>
              <w:spacing w:after="0"/>
              <w:rPr>
                <w:sz w:val="20"/>
                <w:szCs w:val="20"/>
                <w:color w:val="auto"/>
              </w:rPr>
            </w:pPr>
            <w:r>
              <w:rPr>
                <w:rFonts w:ascii="Arial" w:cs="Arial" w:eastAsia="Arial" w:hAnsi="Arial"/>
                <w:sz w:val="14"/>
                <w:szCs w:val="14"/>
                <w:color w:val="auto"/>
              </w:rPr>
              <w:t>1,682,186</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2/17/2021</w:t>
            </w:r>
          </w:p>
        </w:tc>
        <w:tc>
          <w:tcPr>
            <w:tcW w:w="8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52,596</w:t>
            </w:r>
          </w:p>
        </w:tc>
        <w:tc>
          <w:tcPr>
            <w:tcW w:w="280" w:type="dxa"/>
            <w:vAlign w:val="bottom"/>
          </w:tcPr>
          <w:p>
            <w:pPr>
              <w:ind w:left="60"/>
              <w:spacing w:after="0"/>
              <w:rPr>
                <w:sz w:val="20"/>
                <w:szCs w:val="20"/>
                <w:color w:val="auto"/>
              </w:rPr>
            </w:pPr>
            <w:r>
              <w:rPr>
                <w:rFonts w:ascii="Arial" w:cs="Arial" w:eastAsia="Arial" w:hAnsi="Arial"/>
                <w:sz w:val="12"/>
                <w:szCs w:val="12"/>
                <w:color w:val="auto"/>
              </w:rPr>
              <w:t>(6)</w:t>
            </w:r>
          </w:p>
        </w:tc>
        <w:tc>
          <w:tcPr>
            <w:tcW w:w="840" w:type="dxa"/>
            <w:vAlign w:val="bottom"/>
          </w:tcPr>
          <w:p>
            <w:pPr>
              <w:jc w:val="right"/>
              <w:spacing w:after="0"/>
              <w:rPr>
                <w:sz w:val="20"/>
                <w:szCs w:val="20"/>
                <w:color w:val="auto"/>
              </w:rPr>
            </w:pPr>
            <w:r>
              <w:rPr>
                <w:rFonts w:ascii="Arial" w:cs="Arial" w:eastAsia="Arial" w:hAnsi="Arial"/>
                <w:sz w:val="14"/>
                <w:szCs w:val="14"/>
                <w:color w:val="auto"/>
              </w:rPr>
              <w:t>2,006,537</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2/23/2022</w:t>
            </w:r>
          </w:p>
        </w:tc>
        <w:tc>
          <w:tcPr>
            <w:tcW w:w="8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85,056</w:t>
            </w:r>
          </w:p>
        </w:tc>
        <w:tc>
          <w:tcPr>
            <w:tcW w:w="280" w:type="dxa"/>
            <w:vAlign w:val="bottom"/>
          </w:tcPr>
          <w:p>
            <w:pPr>
              <w:ind w:left="60"/>
              <w:spacing w:after="0"/>
              <w:rPr>
                <w:sz w:val="20"/>
                <w:szCs w:val="20"/>
                <w:color w:val="auto"/>
              </w:rPr>
            </w:pPr>
            <w:r>
              <w:rPr>
                <w:rFonts w:ascii="Arial" w:cs="Arial" w:eastAsia="Arial" w:hAnsi="Arial"/>
                <w:sz w:val="12"/>
                <w:szCs w:val="12"/>
                <w:color w:val="auto"/>
              </w:rPr>
              <w:t>(7)</w:t>
            </w:r>
          </w:p>
        </w:tc>
        <w:tc>
          <w:tcPr>
            <w:tcW w:w="840" w:type="dxa"/>
            <w:vAlign w:val="bottom"/>
          </w:tcPr>
          <w:p>
            <w:pPr>
              <w:jc w:val="right"/>
              <w:spacing w:after="0"/>
              <w:rPr>
                <w:sz w:val="20"/>
                <w:szCs w:val="20"/>
                <w:color w:val="auto"/>
              </w:rPr>
            </w:pPr>
            <w:r>
              <w:rPr>
                <w:rFonts w:ascii="Arial" w:cs="Arial" w:eastAsia="Arial" w:hAnsi="Arial"/>
                <w:sz w:val="14"/>
                <w:szCs w:val="14"/>
                <w:color w:val="auto"/>
              </w:rPr>
              <w:t>3,244,886</w:t>
            </w:r>
          </w:p>
        </w:tc>
        <w:tc>
          <w:tcPr>
            <w:tcW w:w="900" w:type="dxa"/>
            <w:vAlign w:val="bottom"/>
            <w:gridSpan w:val="2"/>
          </w:tcPr>
          <w:p>
            <w:pPr>
              <w:jc w:val="right"/>
              <w:ind w:right="150"/>
              <w:spacing w:after="0"/>
              <w:rPr>
                <w:sz w:val="20"/>
                <w:szCs w:val="20"/>
                <w:color w:val="auto"/>
              </w:rPr>
            </w:pPr>
            <w:r>
              <w:rPr>
                <w:rFonts w:ascii="Arial" w:cs="Arial" w:eastAsia="Arial" w:hAnsi="Arial"/>
                <w:sz w:val="14"/>
                <w:szCs w:val="14"/>
                <w:color w:val="auto"/>
              </w:rPr>
              <w:t>30,053</w:t>
            </w:r>
          </w:p>
        </w:tc>
        <w:tc>
          <w:tcPr>
            <w:tcW w:w="220" w:type="dxa"/>
            <w:vAlign w:val="bottom"/>
          </w:tcPr>
          <w:p>
            <w:pPr>
              <w:jc w:val="right"/>
              <w:spacing w:after="0"/>
              <w:rPr>
                <w:sz w:val="20"/>
                <w:szCs w:val="20"/>
                <w:color w:val="auto"/>
              </w:rPr>
            </w:pPr>
            <w:r>
              <w:rPr>
                <w:rFonts w:ascii="Arial" w:cs="Arial" w:eastAsia="Arial" w:hAnsi="Arial"/>
                <w:sz w:val="12"/>
                <w:szCs w:val="12"/>
                <w:color w:val="auto"/>
              </w:rPr>
              <w:t>(8)</w:t>
            </w:r>
          </w:p>
        </w:tc>
        <w:tc>
          <w:tcPr>
            <w:tcW w:w="840" w:type="dxa"/>
            <w:vAlign w:val="bottom"/>
          </w:tcPr>
          <w:p>
            <w:pPr>
              <w:jc w:val="center"/>
              <w:spacing w:after="0"/>
              <w:rPr>
                <w:sz w:val="20"/>
                <w:szCs w:val="20"/>
                <w:color w:val="auto"/>
              </w:rPr>
            </w:pPr>
            <w:r>
              <w:rPr>
                <w:rFonts w:ascii="Arial" w:cs="Arial" w:eastAsia="Arial" w:hAnsi="Arial"/>
                <w:sz w:val="14"/>
                <w:szCs w:val="14"/>
                <w:color w:val="auto"/>
              </w:rPr>
              <w:t>1,146,522</w:t>
            </w:r>
          </w:p>
        </w:tc>
        <w:tc>
          <w:tcPr>
            <w:tcW w:w="0" w:type="dxa"/>
            <w:vAlign w:val="bottom"/>
          </w:tcPr>
          <w:p>
            <w:pPr>
              <w:spacing w:after="0"/>
              <w:rPr>
                <w:sz w:val="1"/>
                <w:szCs w:val="1"/>
                <w:color w:val="auto"/>
              </w:rPr>
            </w:pPr>
          </w:p>
        </w:tc>
      </w:tr>
      <w:tr>
        <w:trPr>
          <w:trHeight w:val="250"/>
        </w:trPr>
        <w:tc>
          <w:tcPr>
            <w:tcW w:w="880" w:type="dxa"/>
            <w:vAlign w:val="bottom"/>
            <w:gridSpan w:val="2"/>
          </w:tcPr>
          <w:p>
            <w:pPr>
              <w:ind w:left="60"/>
              <w:spacing w:after="0"/>
              <w:rPr>
                <w:sz w:val="20"/>
                <w:szCs w:val="20"/>
                <w:color w:val="auto"/>
              </w:rPr>
            </w:pPr>
            <w:r>
              <w:rPr>
                <w:rFonts w:ascii="Arial" w:cs="Arial" w:eastAsia="Arial" w:hAnsi="Arial"/>
                <w:sz w:val="14"/>
                <w:szCs w:val="14"/>
                <w:color w:val="auto"/>
              </w:rPr>
              <w:t>Mark</w:t>
            </w:r>
          </w:p>
        </w:tc>
        <w:tc>
          <w:tcPr>
            <w:tcW w:w="900" w:type="dxa"/>
            <w:vAlign w:val="bottom"/>
          </w:tcPr>
          <w:p>
            <w:pPr>
              <w:ind w:left="20"/>
              <w:spacing w:after="0"/>
              <w:rPr>
                <w:sz w:val="20"/>
                <w:szCs w:val="20"/>
                <w:color w:val="auto"/>
              </w:rPr>
            </w:pPr>
            <w:r>
              <w:rPr>
                <w:rFonts w:ascii="Arial" w:cs="Arial" w:eastAsia="Arial" w:hAnsi="Arial"/>
                <w:sz w:val="14"/>
                <w:szCs w:val="14"/>
                <w:color w:val="auto"/>
              </w:rPr>
              <w:t>2/7/2020</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D2EDF0"/>
            </w:tcBorders>
            <w:shd w:val="clear" w:color="auto" w:fill="D2EDF0"/>
          </w:tcPr>
          <w:p>
            <w:pPr>
              <w:spacing w:after="0"/>
              <w:rPr>
                <w:sz w:val="21"/>
                <w:szCs w:val="21"/>
                <w:color w:val="auto"/>
              </w:rPr>
            </w:pPr>
          </w:p>
        </w:tc>
        <w:tc>
          <w:tcPr>
            <w:tcW w:w="760" w:type="dxa"/>
            <w:vAlign w:val="bottom"/>
            <w:tcBorders>
              <w:bottom w:val="single" w:sz="8" w:color="D2EDF0"/>
            </w:tcBorders>
            <w:shd w:val="clear" w:color="auto" w:fill="D2EDF0"/>
          </w:tcPr>
          <w:p>
            <w:pPr>
              <w:ind w:left="5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2EDF0"/>
            </w:tcBorders>
            <w:shd w:val="clear" w:color="auto" w:fill="D2EDF0"/>
          </w:tcPr>
          <w:p>
            <w:pPr>
              <w:spacing w:after="0"/>
              <w:rPr>
                <w:sz w:val="21"/>
                <w:szCs w:val="21"/>
                <w:color w:val="auto"/>
              </w:rPr>
            </w:pPr>
          </w:p>
        </w:tc>
        <w:tc>
          <w:tcPr>
            <w:tcW w:w="660" w:type="dxa"/>
            <w:vAlign w:val="bottom"/>
            <w:tcBorders>
              <w:bottom w:val="single" w:sz="8" w:color="D2EDF0"/>
              <w:right w:val="single" w:sz="8" w:color="D2EDF0"/>
            </w:tcBorders>
            <w:shd w:val="clear" w:color="auto" w:fill="D2EDF0"/>
          </w:tcPr>
          <w:p>
            <w:pPr>
              <w:spacing w:after="0"/>
              <w:rPr>
                <w:sz w:val="21"/>
                <w:szCs w:val="21"/>
                <w:color w:val="auto"/>
              </w:rPr>
            </w:pPr>
          </w:p>
        </w:tc>
        <w:tc>
          <w:tcPr>
            <w:tcW w:w="820" w:type="dxa"/>
            <w:vAlign w:val="bottom"/>
            <w:tcBorders>
              <w:bottom w:val="single" w:sz="8" w:color="D2EDF0"/>
            </w:tcBorders>
            <w:shd w:val="clear" w:color="auto" w:fill="D2EDF0"/>
          </w:tcPr>
          <w:p>
            <w:pPr>
              <w:spacing w:after="0"/>
              <w:rPr>
                <w:sz w:val="21"/>
                <w:szCs w:val="21"/>
                <w:color w:val="auto"/>
              </w:rPr>
            </w:pPr>
          </w:p>
        </w:tc>
        <w:tc>
          <w:tcPr>
            <w:tcW w:w="840" w:type="dxa"/>
            <w:vAlign w:val="bottom"/>
            <w:tcBorders>
              <w:left w:val="single" w:sz="8" w:color="D2EDF0"/>
            </w:tcBorders>
          </w:tcPr>
          <w:p>
            <w:pPr>
              <w:jc w:val="right"/>
              <w:spacing w:after="0"/>
              <w:rPr>
                <w:sz w:val="20"/>
                <w:szCs w:val="20"/>
                <w:color w:val="auto"/>
              </w:rPr>
            </w:pPr>
            <w:r>
              <w:rPr>
                <w:rFonts w:ascii="Arial" w:cs="Arial" w:eastAsia="Arial" w:hAnsi="Arial"/>
                <w:sz w:val="14"/>
                <w:szCs w:val="14"/>
                <w:color w:val="auto"/>
              </w:rPr>
              <w:t>65,513</w:t>
            </w:r>
          </w:p>
        </w:tc>
        <w:tc>
          <w:tcPr>
            <w:tcW w:w="280" w:type="dxa"/>
            <w:vAlign w:val="bottom"/>
          </w:tcPr>
          <w:p>
            <w:pPr>
              <w:ind w:left="60"/>
              <w:spacing w:after="0"/>
              <w:rPr>
                <w:sz w:val="20"/>
                <w:szCs w:val="20"/>
                <w:color w:val="auto"/>
              </w:rPr>
            </w:pPr>
            <w:r>
              <w:rPr>
                <w:rFonts w:ascii="Arial" w:cs="Arial" w:eastAsia="Arial" w:hAnsi="Arial"/>
                <w:sz w:val="12"/>
                <w:szCs w:val="12"/>
                <w:color w:val="auto"/>
                <w:w w:val="93"/>
              </w:rPr>
              <w:t>(10)</w:t>
            </w:r>
          </w:p>
        </w:tc>
        <w:tc>
          <w:tcPr>
            <w:tcW w:w="840" w:type="dxa"/>
            <w:vAlign w:val="bottom"/>
          </w:tcPr>
          <w:p>
            <w:pPr>
              <w:jc w:val="right"/>
              <w:spacing w:after="0"/>
              <w:rPr>
                <w:sz w:val="20"/>
                <w:szCs w:val="20"/>
                <w:color w:val="auto"/>
              </w:rPr>
            </w:pPr>
            <w:r>
              <w:rPr>
                <w:rFonts w:ascii="Arial" w:cs="Arial" w:eastAsia="Arial" w:hAnsi="Arial"/>
                <w:sz w:val="14"/>
                <w:szCs w:val="14"/>
                <w:color w:val="auto"/>
              </w:rPr>
              <w:t>2,499,321</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5"/>
        </w:trPr>
        <w:tc>
          <w:tcPr>
            <w:tcW w:w="880" w:type="dxa"/>
            <w:vAlign w:val="bottom"/>
            <w:gridSpan w:val="2"/>
          </w:tcPr>
          <w:p>
            <w:pPr>
              <w:ind w:left="60"/>
              <w:spacing w:after="0" w:line="125" w:lineRule="exact"/>
              <w:rPr>
                <w:sz w:val="20"/>
                <w:szCs w:val="20"/>
                <w:color w:val="auto"/>
              </w:rPr>
            </w:pPr>
            <w:r>
              <w:rPr>
                <w:rFonts w:ascii="Arial" w:cs="Arial" w:eastAsia="Arial" w:hAnsi="Arial"/>
                <w:sz w:val="14"/>
                <w:szCs w:val="14"/>
                <w:color w:val="auto"/>
              </w:rPr>
              <w:t>Thurmond</w:t>
            </w:r>
          </w:p>
        </w:tc>
        <w:tc>
          <w:tcPr>
            <w:tcW w:w="900" w:type="dxa"/>
            <w:vAlign w:val="bottom"/>
            <w:vMerge w:val="restart"/>
          </w:tcPr>
          <w:p>
            <w:pPr>
              <w:ind w:left="20"/>
              <w:spacing w:after="0"/>
              <w:rPr>
                <w:sz w:val="20"/>
                <w:szCs w:val="20"/>
                <w:color w:val="auto"/>
              </w:rPr>
            </w:pPr>
            <w:r>
              <w:rPr>
                <w:rFonts w:ascii="Arial" w:cs="Arial" w:eastAsia="Arial" w:hAnsi="Arial"/>
                <w:sz w:val="14"/>
                <w:szCs w:val="14"/>
                <w:color w:val="auto"/>
              </w:rPr>
              <w:t>2/17/2021</w:t>
            </w:r>
          </w:p>
        </w:tc>
        <w:tc>
          <w:tcPr>
            <w:tcW w:w="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D2EDF0"/>
          </w:tcPr>
          <w:p>
            <w:pPr>
              <w:spacing w:after="0"/>
              <w:rPr>
                <w:sz w:val="10"/>
                <w:szCs w:val="10"/>
                <w:color w:val="auto"/>
              </w:rPr>
            </w:pPr>
          </w:p>
        </w:tc>
        <w:tc>
          <w:tcPr>
            <w:tcW w:w="7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Borders>
              <w:left w:val="single" w:sz="8" w:color="D2EDF0"/>
            </w:tcBorders>
            <w:vMerge w:val="restart"/>
          </w:tcPr>
          <w:p>
            <w:pPr>
              <w:jc w:val="right"/>
              <w:spacing w:after="0"/>
              <w:rPr>
                <w:sz w:val="20"/>
                <w:szCs w:val="20"/>
                <w:color w:val="auto"/>
              </w:rPr>
            </w:pPr>
            <w:r>
              <w:rPr>
                <w:rFonts w:ascii="Arial" w:cs="Arial" w:eastAsia="Arial" w:hAnsi="Arial"/>
                <w:sz w:val="14"/>
                <w:szCs w:val="14"/>
                <w:color w:val="auto"/>
              </w:rPr>
              <w:t>41,049</w:t>
            </w:r>
          </w:p>
        </w:tc>
        <w:tc>
          <w:tcPr>
            <w:tcW w:w="280" w:type="dxa"/>
            <w:vAlign w:val="bottom"/>
            <w:vMerge w:val="restart"/>
          </w:tcPr>
          <w:p>
            <w:pPr>
              <w:ind w:left="60"/>
              <w:spacing w:after="0"/>
              <w:rPr>
                <w:sz w:val="20"/>
                <w:szCs w:val="20"/>
                <w:color w:val="auto"/>
              </w:rPr>
            </w:pPr>
            <w:r>
              <w:rPr>
                <w:rFonts w:ascii="Arial" w:cs="Arial" w:eastAsia="Arial" w:hAnsi="Arial"/>
                <w:sz w:val="12"/>
                <w:szCs w:val="12"/>
                <w:color w:val="auto"/>
              </w:rPr>
              <w:t>(6)</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1,566,019</w:t>
            </w: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shd w:val="clear" w:color="auto" w:fill="D2EDF0"/>
          </w:tcPr>
          <w:p>
            <w:pPr>
              <w:spacing w:after="0"/>
              <w:rPr>
                <w:sz w:val="9"/>
                <w:szCs w:val="9"/>
                <w:color w:val="auto"/>
              </w:rPr>
            </w:pPr>
          </w:p>
        </w:tc>
        <w:tc>
          <w:tcPr>
            <w:tcW w:w="7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Borders>
              <w:left w:val="single" w:sz="8" w:color="D2EDF0"/>
            </w:tcBorders>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2/23/2022</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D2EDF0"/>
          </w:tcPr>
          <w:p>
            <w:pPr>
              <w:spacing w:after="0"/>
              <w:rPr>
                <w:sz w:val="22"/>
                <w:szCs w:val="22"/>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Borders>
              <w:left w:val="single" w:sz="8" w:color="D2EDF0"/>
            </w:tcBorders>
          </w:tcPr>
          <w:p>
            <w:pPr>
              <w:jc w:val="right"/>
              <w:spacing w:after="0"/>
              <w:rPr>
                <w:sz w:val="20"/>
                <w:szCs w:val="20"/>
                <w:color w:val="auto"/>
              </w:rPr>
            </w:pPr>
            <w:r>
              <w:rPr>
                <w:rFonts w:ascii="Arial" w:cs="Arial" w:eastAsia="Arial" w:hAnsi="Arial"/>
                <w:sz w:val="14"/>
                <w:szCs w:val="14"/>
                <w:color w:val="auto"/>
              </w:rPr>
              <w:t>61,708</w:t>
            </w:r>
          </w:p>
        </w:tc>
        <w:tc>
          <w:tcPr>
            <w:tcW w:w="280" w:type="dxa"/>
            <w:vAlign w:val="bottom"/>
          </w:tcPr>
          <w:p>
            <w:pPr>
              <w:ind w:left="60"/>
              <w:spacing w:after="0"/>
              <w:rPr>
                <w:sz w:val="20"/>
                <w:szCs w:val="20"/>
                <w:color w:val="auto"/>
              </w:rPr>
            </w:pPr>
            <w:r>
              <w:rPr>
                <w:rFonts w:ascii="Arial" w:cs="Arial" w:eastAsia="Arial" w:hAnsi="Arial"/>
                <w:sz w:val="12"/>
                <w:szCs w:val="12"/>
                <w:color w:val="auto"/>
              </w:rPr>
              <w:t>(7)</w:t>
            </w:r>
          </w:p>
        </w:tc>
        <w:tc>
          <w:tcPr>
            <w:tcW w:w="840" w:type="dxa"/>
            <w:vAlign w:val="bottom"/>
          </w:tcPr>
          <w:p>
            <w:pPr>
              <w:jc w:val="right"/>
              <w:spacing w:after="0"/>
              <w:rPr>
                <w:sz w:val="20"/>
                <w:szCs w:val="20"/>
                <w:color w:val="auto"/>
              </w:rPr>
            </w:pPr>
            <w:r>
              <w:rPr>
                <w:rFonts w:ascii="Arial" w:cs="Arial" w:eastAsia="Arial" w:hAnsi="Arial"/>
                <w:sz w:val="14"/>
                <w:szCs w:val="14"/>
                <w:color w:val="auto"/>
              </w:rPr>
              <w:t>2,354,160</w:t>
            </w:r>
          </w:p>
        </w:tc>
        <w:tc>
          <w:tcPr>
            <w:tcW w:w="900" w:type="dxa"/>
            <w:vAlign w:val="bottom"/>
            <w:gridSpan w:val="2"/>
          </w:tcPr>
          <w:p>
            <w:pPr>
              <w:jc w:val="right"/>
              <w:ind w:right="150"/>
              <w:spacing w:after="0"/>
              <w:rPr>
                <w:sz w:val="20"/>
                <w:szCs w:val="20"/>
                <w:color w:val="auto"/>
              </w:rPr>
            </w:pPr>
            <w:r>
              <w:rPr>
                <w:rFonts w:ascii="Arial" w:cs="Arial" w:eastAsia="Arial" w:hAnsi="Arial"/>
                <w:sz w:val="14"/>
                <w:szCs w:val="14"/>
                <w:color w:val="auto"/>
              </w:rPr>
              <w:t>21,803</w:t>
            </w:r>
          </w:p>
        </w:tc>
        <w:tc>
          <w:tcPr>
            <w:tcW w:w="220" w:type="dxa"/>
            <w:vAlign w:val="bottom"/>
          </w:tcPr>
          <w:p>
            <w:pPr>
              <w:jc w:val="right"/>
              <w:spacing w:after="0"/>
              <w:rPr>
                <w:sz w:val="20"/>
                <w:szCs w:val="20"/>
                <w:color w:val="auto"/>
              </w:rPr>
            </w:pPr>
            <w:r>
              <w:rPr>
                <w:rFonts w:ascii="Arial" w:cs="Arial" w:eastAsia="Arial" w:hAnsi="Arial"/>
                <w:sz w:val="12"/>
                <w:szCs w:val="12"/>
                <w:color w:val="auto"/>
              </w:rPr>
              <w:t>(8)</w:t>
            </w:r>
          </w:p>
        </w:tc>
        <w:tc>
          <w:tcPr>
            <w:tcW w:w="840" w:type="dxa"/>
            <w:vAlign w:val="bottom"/>
          </w:tcPr>
          <w:p>
            <w:pPr>
              <w:jc w:val="center"/>
              <w:spacing w:after="0"/>
              <w:rPr>
                <w:sz w:val="20"/>
                <w:szCs w:val="20"/>
                <w:color w:val="auto"/>
              </w:rPr>
            </w:pPr>
            <w:r>
              <w:rPr>
                <w:rFonts w:ascii="Arial" w:cs="Arial" w:eastAsia="Arial" w:hAnsi="Arial"/>
                <w:sz w:val="14"/>
                <w:szCs w:val="14"/>
                <w:color w:val="auto"/>
              </w:rPr>
              <w:t>831,784</w:t>
            </w:r>
          </w:p>
        </w:tc>
        <w:tc>
          <w:tcPr>
            <w:tcW w:w="0" w:type="dxa"/>
            <w:vAlign w:val="bottom"/>
          </w:tcPr>
          <w:p>
            <w:pPr>
              <w:spacing w:after="0"/>
              <w:rPr>
                <w:sz w:val="1"/>
                <w:szCs w:val="1"/>
                <w:color w:val="auto"/>
              </w:rPr>
            </w:pPr>
          </w:p>
        </w:tc>
      </w:tr>
      <w:tr>
        <w:trPr>
          <w:trHeight w:val="188"/>
        </w:trPr>
        <w:tc>
          <w:tcPr>
            <w:tcW w:w="880" w:type="dxa"/>
            <w:vAlign w:val="bottom"/>
            <w:gridSpan w:val="2"/>
          </w:tcPr>
          <w:p>
            <w:pPr>
              <w:spacing w:after="0"/>
              <w:rPr>
                <w:sz w:val="20"/>
                <w:szCs w:val="20"/>
                <w:color w:val="auto"/>
              </w:rPr>
            </w:pPr>
            <w:r>
              <w:rPr>
                <w:rFonts w:ascii="Arial" w:cs="Arial" w:eastAsia="Arial" w:hAnsi="Arial"/>
                <w:sz w:val="12"/>
                <w:szCs w:val="12"/>
                <w:color w:val="auto"/>
                <w:w w:val="96"/>
              </w:rPr>
              <w:t>_____________</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-2712720</wp:posOffset>
            </wp:positionV>
            <wp:extent cx="5740400" cy="26066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40400" cy="2606675"/>
                    </a:xfrm>
                    <a:prstGeom prst="rect">
                      <a:avLst/>
                    </a:prstGeom>
                    <a:noFill/>
                  </pic:spPr>
                </pic:pic>
              </a:graphicData>
            </a:graphic>
          </wp:anchor>
        </w:drawing>
      </w:r>
    </w:p>
    <w:p>
      <w:pPr>
        <w:ind w:right="540"/>
        <w:spacing w:after="0" w:line="287" w:lineRule="auto"/>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Except as noted, all of the options listed in the table were granted under our 2016 Stock Incentive Plan.</w:t>
      </w:r>
    </w:p>
    <w:p>
      <w:pPr>
        <w:spacing w:after="0" w:line="169" w:lineRule="exact"/>
        <w:rPr>
          <w:rFonts w:ascii="Arial" w:cs="Arial" w:eastAsia="Arial" w:hAnsi="Arial"/>
          <w:sz w:val="20"/>
          <w:szCs w:val="20"/>
          <w:color w:val="auto"/>
        </w:rPr>
      </w:pPr>
    </w:p>
    <w:p>
      <w:pPr>
        <w:ind w:right="120"/>
        <w:spacing w:after="0" w:line="268" w:lineRule="auto"/>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All of the option awards listed in the table were granted with a per share exercise price equal to or above the fair market value of one share of our common stock on the date of grant, as determined in good faith by our Board of Directors.</w:t>
      </w:r>
    </w:p>
    <w:p>
      <w:pPr>
        <w:spacing w:after="0" w:line="189" w:lineRule="exact"/>
        <w:rPr>
          <w:rFonts w:ascii="Arial" w:cs="Arial" w:eastAsia="Arial" w:hAnsi="Arial"/>
          <w:sz w:val="20"/>
          <w:szCs w:val="20"/>
          <w:color w:val="auto"/>
        </w:rPr>
      </w:pPr>
    </w:p>
    <w:p>
      <w:pPr>
        <w:ind w:right="220"/>
        <w:spacing w:after="0" w:line="287" w:lineRule="auto"/>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Represents the market value of the RSU or PSU based on the closing price of our common stock of $38.15 per share on December 31, 2022.</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880" w:h="15480" w:orient="portrait"/>
          <w:cols w:equalWidth="0" w:num="1">
            <w:col w:w="9000"/>
          </w:cols>
          <w:pgMar w:left="1440" w:top="1204" w:right="1440" w:bottom="0" w:gutter="0" w:footer="0" w:header="0"/>
          <w:type w:val="continuous"/>
        </w:sectPr>
      </w:pPr>
    </w:p>
    <w:bookmarkStart w:id="69" w:name="page70"/>
    <w:bookmarkEnd w:id="69"/>
    <w:p>
      <w:pPr>
        <w:jc w:val="both"/>
        <w:ind w:right="120"/>
        <w:spacing w:after="0" w:line="262"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Granted under our 2018 Equity Incentive Plan. 25% of the shares subject to the RSU award vested on February 20, 2020, and the remainder continue to vest in equal quarterly installments over three years thereafter, in each case subject to the recipient’s continued service, and subject to accelerated vesting in specified circumstances.</w:t>
      </w:r>
    </w:p>
    <w:p>
      <w:pPr>
        <w:spacing w:after="0" w:line="195" w:lineRule="exact"/>
        <w:rPr>
          <w:rFonts w:ascii="Arial" w:cs="Arial" w:eastAsia="Arial" w:hAnsi="Arial"/>
          <w:sz w:val="20"/>
          <w:szCs w:val="20"/>
          <w:color w:val="auto"/>
        </w:rPr>
      </w:pPr>
    </w:p>
    <w:p>
      <w:pPr>
        <w:jc w:val="both"/>
        <w:ind w:right="120"/>
        <w:spacing w:after="0" w:line="262"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Granted under our 2018 Equity Incentive Plan. 25% of the shares subject to the RSU award vested on February 19, 2021, and the remainder continue to vest in equal quarterly installments over three years thereafter, in each case subject to the recipient’s continued service, and subject to accelerated vesting in specified circumstances.</w:t>
      </w:r>
    </w:p>
    <w:p>
      <w:pPr>
        <w:spacing w:after="0" w:line="195" w:lineRule="exact"/>
        <w:rPr>
          <w:rFonts w:ascii="Arial" w:cs="Arial" w:eastAsia="Arial" w:hAnsi="Arial"/>
          <w:sz w:val="20"/>
          <w:szCs w:val="20"/>
          <w:color w:val="auto"/>
        </w:rPr>
      </w:pPr>
    </w:p>
    <w:p>
      <w:pPr>
        <w:jc w:val="both"/>
        <w:ind w:right="120"/>
        <w:spacing w:after="0" w:line="262"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Granted under our 2018 Equity Incentive Plan. 25% of the shares subject to the RSU award vested on February 17, 2022, and the remainder continue to vest in equal quarterly installments over three years thereafter, in each case subject to the recipient’s continued service, and subject to accelerated vesting in specified circumstances.</w:t>
      </w:r>
    </w:p>
    <w:p>
      <w:pPr>
        <w:spacing w:after="0" w:line="195" w:lineRule="exact"/>
        <w:rPr>
          <w:rFonts w:ascii="Arial" w:cs="Arial" w:eastAsia="Arial" w:hAnsi="Arial"/>
          <w:sz w:val="20"/>
          <w:szCs w:val="20"/>
          <w:color w:val="auto"/>
        </w:rPr>
      </w:pPr>
    </w:p>
    <w:p>
      <w:pPr>
        <w:jc w:val="both"/>
        <w:ind w:right="120"/>
        <w:spacing w:after="0" w:line="262"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Granted under our 2018 Equity Incentive Plan. 25% of the shares subject to the RSU award vested on February 23, 2023, and the remainder continue to vest in equal quarterly installments over three years thereafter, in each case subject to the recipient’s continued service, and subject to accelerated vesting in specified circumstances.</w:t>
      </w:r>
    </w:p>
    <w:p>
      <w:pPr>
        <w:spacing w:after="0" w:line="195" w:lineRule="exact"/>
        <w:rPr>
          <w:rFonts w:ascii="Arial" w:cs="Arial" w:eastAsia="Arial" w:hAnsi="Arial"/>
          <w:sz w:val="20"/>
          <w:szCs w:val="20"/>
          <w:color w:val="auto"/>
        </w:rPr>
      </w:pPr>
    </w:p>
    <w:p>
      <w:pPr>
        <w:ind w:right="60"/>
        <w:spacing w:after="0" w:line="255"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Granted under our 2018 Equity Incentive Plan. The PSU awards are subject to the achievement of (i) pre-established target levels for global bookings (weighted 33.33%) and revenue + unlevered free cash flow (weighted 66.67%) during the one-year performance period beginning on January 1, 2022, and (ii) a service-based vesting requirement, with 25% of the shares subject to the RSU award vesting on February 23, 2023, and the remainder continuing to vest in equal quarterly installments over three years thereafter, in each case subject to the recipient’s continued service, and subject to accelerated vesting in specified circumstances. The performance period for the PSU awards ended as of December 31, 2022.</w:t>
      </w:r>
    </w:p>
    <w:p>
      <w:pPr>
        <w:spacing w:after="0" w:line="205" w:lineRule="exact"/>
        <w:rPr>
          <w:rFonts w:ascii="Arial" w:cs="Arial" w:eastAsia="Arial" w:hAnsi="Arial"/>
          <w:sz w:val="20"/>
          <w:szCs w:val="20"/>
          <w:color w:val="auto"/>
        </w:rPr>
      </w:pPr>
    </w:p>
    <w:p>
      <w:pPr>
        <w:ind w:left="720" w:hanging="720"/>
        <w:spacing w:after="0"/>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Granted under our 2012 Stock Incentive Plan.</w:t>
      </w:r>
    </w:p>
    <w:p>
      <w:pPr>
        <w:spacing w:after="0" w:line="250" w:lineRule="exact"/>
        <w:rPr>
          <w:rFonts w:ascii="Arial" w:cs="Arial" w:eastAsia="Arial" w:hAnsi="Arial"/>
          <w:sz w:val="20"/>
          <w:szCs w:val="20"/>
          <w:color w:val="auto"/>
        </w:rPr>
      </w:pPr>
    </w:p>
    <w:p>
      <w:pPr>
        <w:jc w:val="both"/>
        <w:ind w:right="180"/>
        <w:spacing w:after="0" w:line="262" w:lineRule="auto"/>
        <w:tabs>
          <w:tab w:leader="none" w:pos="7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Granted under our 2018 Equity Incentive Plan. 25% of the shares subject to the RSU award vested on February 3, 2021, and the remainder continue to vest in equal quarterly installments over three years thereafter, in each case subject to the recipient’s continued service, and subject to accelerated vesting in specified circumstances.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Options Exercised and Stock Vested</w:t>
      </w:r>
    </w:p>
    <w:p>
      <w:pPr>
        <w:spacing w:after="0" w:line="251" w:lineRule="exact"/>
        <w:rPr>
          <w:sz w:val="20"/>
          <w:szCs w:val="20"/>
          <w:color w:val="auto"/>
        </w:rPr>
      </w:pPr>
    </w:p>
    <w:p>
      <w:pPr>
        <w:ind w:right="200" w:firstLine="360"/>
        <w:spacing w:after="0" w:line="287" w:lineRule="auto"/>
        <w:rPr>
          <w:sz w:val="20"/>
          <w:szCs w:val="20"/>
          <w:color w:val="auto"/>
        </w:rPr>
      </w:pPr>
      <w:r>
        <w:rPr>
          <w:rFonts w:ascii="Arial" w:cs="Arial" w:eastAsia="Arial" w:hAnsi="Arial"/>
          <w:sz w:val="20"/>
          <w:szCs w:val="20"/>
          <w:color w:val="auto"/>
        </w:rPr>
        <w:t>The following table shows information regarding the exercise of options and the vesting of stock previously granted to our Named Executive Officers during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Option Awards</w:t>
            </w:r>
          </w:p>
        </w:tc>
        <w:tc>
          <w:tcPr>
            <w:tcW w:w="80" w:type="dxa"/>
            <w:vAlign w:val="bottom"/>
          </w:tcPr>
          <w:p>
            <w:pPr>
              <w:spacing w:after="0"/>
              <w:rPr>
                <w:sz w:val="20"/>
                <w:szCs w:val="20"/>
                <w:color w:val="auto"/>
              </w:rPr>
            </w:pPr>
          </w:p>
        </w:tc>
        <w:tc>
          <w:tcPr>
            <w:tcW w:w="3280" w:type="dxa"/>
            <w:vAlign w:val="bottom"/>
            <w:tcBorders>
              <w:bottom w:val="single" w:sz="8" w:color="auto"/>
            </w:tcBorders>
            <w:gridSpan w:val="4"/>
          </w:tcPr>
          <w:p>
            <w:pPr>
              <w:jc w:val="right"/>
              <w:ind w:right="95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222"/>
        </w:trPr>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8"/>
              </w:rPr>
              <w:t>Value Realized</w:t>
            </w: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8"/>
              </w:rPr>
              <w:t>Value Realized</w:t>
            </w:r>
          </w:p>
        </w:tc>
        <w:tc>
          <w:tcPr>
            <w:tcW w:w="0" w:type="dxa"/>
            <w:vAlign w:val="bottom"/>
          </w:tcPr>
          <w:p>
            <w:pPr>
              <w:spacing w:after="0"/>
              <w:rPr>
                <w:sz w:val="1"/>
                <w:szCs w:val="1"/>
                <w:color w:val="auto"/>
              </w:rPr>
            </w:pPr>
          </w:p>
        </w:tc>
      </w:tr>
      <w:tr>
        <w:trPr>
          <w:trHeight w:val="180"/>
        </w:trPr>
        <w:tc>
          <w:tcPr>
            <w:tcW w:w="22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Name</w:t>
            </w:r>
          </w:p>
        </w:tc>
        <w:tc>
          <w:tcPr>
            <w:tcW w:w="80" w:type="dxa"/>
            <w:vAlign w:val="bottom"/>
            <w:vMerge w:val="restart"/>
          </w:tcPr>
          <w:p>
            <w:pPr>
              <w:spacing w:after="0"/>
              <w:rPr>
                <w:sz w:val="15"/>
                <w:szCs w:val="15"/>
                <w:color w:val="auto"/>
              </w:rPr>
            </w:pPr>
          </w:p>
        </w:tc>
        <w:tc>
          <w:tcPr>
            <w:tcW w:w="16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Shares Acquired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Shares Acquired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2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D2EDF0"/>
            </w:tcBorders>
            <w:vMerge w:val="continue"/>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on Exercise (#)</w:t>
            </w:r>
          </w:p>
        </w:tc>
        <w:tc>
          <w:tcPr>
            <w:tcW w:w="80" w:type="dxa"/>
            <w:vAlign w:val="bottom"/>
            <w:tcBorders>
              <w:bottom w:val="single" w:sz="8" w:color="D2EDF0"/>
            </w:tcBorders>
          </w:tcPr>
          <w:p>
            <w:pPr>
              <w:spacing w:after="0"/>
              <w:rPr>
                <w:sz w:val="20"/>
                <w:szCs w:val="20"/>
                <w:color w:val="auto"/>
              </w:rPr>
            </w:pPr>
          </w:p>
        </w:tc>
        <w:tc>
          <w:tcPr>
            <w:tcW w:w="1600" w:type="dxa"/>
            <w:vAlign w:val="bottom"/>
            <w:tcBorders>
              <w:bottom w:val="single" w:sz="8" w:color="auto"/>
            </w:tcBorders>
            <w:gridSpan w:val="2"/>
          </w:tcPr>
          <w:p>
            <w:pPr>
              <w:jc w:val="right"/>
              <w:ind w:right="10"/>
              <w:spacing w:after="0" w:line="237" w:lineRule="exact"/>
              <w:rPr>
                <w:sz w:val="20"/>
                <w:szCs w:val="20"/>
                <w:color w:val="auto"/>
              </w:rPr>
            </w:pPr>
            <w:r>
              <w:rPr>
                <w:rFonts w:ascii="Arial" w:cs="Arial" w:eastAsia="Arial" w:hAnsi="Arial"/>
                <w:sz w:val="18"/>
                <w:szCs w:val="18"/>
                <w:b w:val="1"/>
                <w:bCs w:val="1"/>
                <w:color w:val="auto"/>
              </w:rPr>
              <w:t>on Exercise ($)</w:t>
            </w:r>
            <w:r>
              <w:rPr>
                <w:rFonts w:ascii="Arial" w:cs="Arial" w:eastAsia="Arial" w:hAnsi="Arial"/>
                <w:sz w:val="23"/>
                <w:szCs w:val="23"/>
                <w:b w:val="1"/>
                <w:bCs w:val="1"/>
                <w:color w:val="auto"/>
                <w:vertAlign w:val="superscript"/>
              </w:rPr>
              <w:t>(1)</w:t>
            </w:r>
          </w:p>
        </w:tc>
        <w:tc>
          <w:tcPr>
            <w:tcW w:w="80" w:type="dxa"/>
            <w:vAlign w:val="bottom"/>
            <w:tcBorders>
              <w:bottom w:val="single" w:sz="8" w:color="D2EDF0"/>
            </w:tcBorders>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on Vesting (#)</w:t>
            </w:r>
          </w:p>
        </w:tc>
        <w:tc>
          <w:tcPr>
            <w:tcW w:w="80" w:type="dxa"/>
            <w:vAlign w:val="bottom"/>
            <w:tcBorders>
              <w:bottom w:val="single" w:sz="8" w:color="D2EDF0"/>
            </w:tcBorders>
          </w:tcPr>
          <w:p>
            <w:pPr>
              <w:spacing w:after="0"/>
              <w:rPr>
                <w:sz w:val="20"/>
                <w:szCs w:val="20"/>
                <w:color w:val="auto"/>
              </w:rPr>
            </w:pPr>
          </w:p>
        </w:tc>
        <w:tc>
          <w:tcPr>
            <w:tcW w:w="1600" w:type="dxa"/>
            <w:vAlign w:val="bottom"/>
            <w:tcBorders>
              <w:bottom w:val="single" w:sz="8" w:color="auto"/>
            </w:tcBorders>
            <w:gridSpan w:val="2"/>
          </w:tcPr>
          <w:p>
            <w:pPr>
              <w:jc w:val="right"/>
              <w:ind w:right="50"/>
              <w:spacing w:after="0" w:line="237" w:lineRule="exact"/>
              <w:rPr>
                <w:sz w:val="20"/>
                <w:szCs w:val="20"/>
                <w:color w:val="auto"/>
              </w:rPr>
            </w:pPr>
            <w:r>
              <w:rPr>
                <w:rFonts w:ascii="Arial" w:cs="Arial" w:eastAsia="Arial" w:hAnsi="Arial"/>
                <w:sz w:val="18"/>
                <w:szCs w:val="18"/>
                <w:b w:val="1"/>
                <w:bCs w:val="1"/>
                <w:color w:val="auto"/>
              </w:rPr>
              <w:t>on Vesting ($)</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290"/>
        </w:trPr>
        <w:tc>
          <w:tcPr>
            <w:tcW w:w="2360" w:type="dxa"/>
            <w:vAlign w:val="bottom"/>
            <w:gridSpan w:val="2"/>
            <w:shd w:val="clear" w:color="auto" w:fill="D2EDF0"/>
          </w:tcPr>
          <w:p>
            <w:pPr>
              <w:ind w:left="60"/>
              <w:spacing w:after="0"/>
              <w:rPr>
                <w:sz w:val="20"/>
                <w:szCs w:val="20"/>
                <w:color w:val="auto"/>
              </w:rPr>
            </w:pPr>
            <w:r>
              <w:rPr>
                <w:rFonts w:ascii="Arial" w:cs="Arial" w:eastAsia="Arial" w:hAnsi="Arial"/>
                <w:sz w:val="18"/>
                <w:szCs w:val="18"/>
                <w:color w:val="auto"/>
              </w:rPr>
              <w:t>Amit Yoran</w:t>
            </w:r>
          </w:p>
        </w:tc>
        <w:tc>
          <w:tcPr>
            <w:tcW w:w="16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331,469</w:t>
            </w:r>
          </w:p>
        </w:tc>
        <w:tc>
          <w:tcPr>
            <w:tcW w:w="240" w:type="dxa"/>
            <w:vAlign w:val="bottom"/>
            <w:gridSpan w:val="2"/>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D2EDF0"/>
          </w:tcPr>
          <w:p>
            <w:pPr>
              <w:jc w:val="right"/>
              <w:spacing w:after="0"/>
              <w:rPr>
                <w:sz w:val="20"/>
                <w:szCs w:val="20"/>
                <w:color w:val="auto"/>
              </w:rPr>
            </w:pPr>
            <w:r>
              <w:rPr>
                <w:rFonts w:ascii="Arial" w:cs="Arial" w:eastAsia="Arial" w:hAnsi="Arial"/>
                <w:sz w:val="18"/>
                <w:szCs w:val="18"/>
                <w:color w:val="auto"/>
              </w:rPr>
              <w:t>13,613,557</w:t>
            </w:r>
          </w:p>
        </w:tc>
        <w:tc>
          <w:tcPr>
            <w:tcW w:w="1680" w:type="dxa"/>
            <w:vAlign w:val="bottom"/>
            <w:gridSpan w:val="2"/>
            <w:shd w:val="clear" w:color="auto" w:fill="D2EDF0"/>
          </w:tcPr>
          <w:p>
            <w:pPr>
              <w:jc w:val="right"/>
              <w:spacing w:after="0"/>
              <w:rPr>
                <w:sz w:val="20"/>
                <w:szCs w:val="20"/>
                <w:color w:val="auto"/>
              </w:rPr>
            </w:pPr>
            <w:r>
              <w:rPr>
                <w:rFonts w:ascii="Arial" w:cs="Arial" w:eastAsia="Arial" w:hAnsi="Arial"/>
                <w:sz w:val="18"/>
                <w:szCs w:val="18"/>
                <w:color w:val="auto"/>
              </w:rPr>
              <w:t>186,002</w:t>
            </w:r>
          </w:p>
        </w:tc>
        <w:tc>
          <w:tcPr>
            <w:tcW w:w="240" w:type="dxa"/>
            <w:vAlign w:val="bottom"/>
            <w:gridSpan w:val="2"/>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D2EDF0"/>
          </w:tcPr>
          <w:p>
            <w:pPr>
              <w:jc w:val="right"/>
              <w:spacing w:after="0"/>
              <w:rPr>
                <w:sz w:val="20"/>
                <w:szCs w:val="20"/>
                <w:color w:val="auto"/>
              </w:rPr>
            </w:pPr>
            <w:r>
              <w:rPr>
                <w:rFonts w:ascii="Arial" w:cs="Arial" w:eastAsia="Arial" w:hAnsi="Arial"/>
                <w:sz w:val="18"/>
                <w:szCs w:val="18"/>
                <w:color w:val="auto"/>
              </w:rPr>
              <w:t>8,135,730</w:t>
            </w:r>
          </w:p>
        </w:tc>
        <w:tc>
          <w:tcPr>
            <w:tcW w:w="0" w:type="dxa"/>
            <w:vAlign w:val="bottom"/>
          </w:tcPr>
          <w:p>
            <w:pPr>
              <w:spacing w:after="0"/>
              <w:rPr>
                <w:sz w:val="1"/>
                <w:szCs w:val="1"/>
                <w:color w:val="auto"/>
              </w:rPr>
            </w:pPr>
          </w:p>
        </w:tc>
      </w:tr>
      <w:tr>
        <w:trPr>
          <w:trHeight w:val="295"/>
        </w:trPr>
        <w:tc>
          <w:tcPr>
            <w:tcW w:w="2360" w:type="dxa"/>
            <w:vAlign w:val="bottom"/>
            <w:gridSpan w:val="2"/>
          </w:tcPr>
          <w:p>
            <w:pPr>
              <w:ind w:left="60"/>
              <w:spacing w:after="0"/>
              <w:rPr>
                <w:sz w:val="20"/>
                <w:szCs w:val="20"/>
                <w:color w:val="auto"/>
              </w:rPr>
            </w:pPr>
            <w:r>
              <w:rPr>
                <w:rFonts w:ascii="Arial" w:cs="Arial" w:eastAsia="Arial" w:hAnsi="Arial"/>
                <w:sz w:val="18"/>
                <w:szCs w:val="18"/>
                <w:color w:val="auto"/>
              </w:rPr>
              <w:t>Stephen A. Vintz</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110,352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4,819,871</w:t>
            </w:r>
          </w:p>
        </w:tc>
        <w:tc>
          <w:tcPr>
            <w:tcW w:w="0" w:type="dxa"/>
            <w:vAlign w:val="bottom"/>
          </w:tcPr>
          <w:p>
            <w:pPr>
              <w:spacing w:after="0"/>
              <w:rPr>
                <w:sz w:val="1"/>
                <w:szCs w:val="1"/>
                <w:color w:val="auto"/>
              </w:rPr>
            </w:pPr>
          </w:p>
        </w:tc>
      </w:tr>
      <w:tr>
        <w:trPr>
          <w:trHeight w:val="305"/>
        </w:trPr>
        <w:tc>
          <w:tcPr>
            <w:tcW w:w="2360" w:type="dxa"/>
            <w:vAlign w:val="bottom"/>
            <w:gridSpan w:val="2"/>
            <w:shd w:val="clear" w:color="auto" w:fill="D2EDF0"/>
          </w:tcPr>
          <w:p>
            <w:pPr>
              <w:ind w:left="60"/>
              <w:spacing w:after="0"/>
              <w:rPr>
                <w:sz w:val="20"/>
                <w:szCs w:val="20"/>
                <w:color w:val="auto"/>
              </w:rPr>
            </w:pPr>
            <w:r>
              <w:rPr>
                <w:rFonts w:ascii="Arial" w:cs="Arial" w:eastAsia="Arial" w:hAnsi="Arial"/>
                <w:sz w:val="18"/>
                <w:szCs w:val="18"/>
                <w:color w:val="auto"/>
              </w:rPr>
              <w:t>Stephen A. Riddick</w:t>
            </w:r>
          </w:p>
        </w:tc>
        <w:tc>
          <w:tcPr>
            <w:tcW w:w="16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65,342</w:t>
            </w:r>
          </w:p>
        </w:tc>
        <w:tc>
          <w:tcPr>
            <w:tcW w:w="80" w:type="dxa"/>
            <w:vAlign w:val="bottom"/>
            <w:shd w:val="clear" w:color="auto" w:fill="D2EDF0"/>
          </w:tcPr>
          <w:p>
            <w:pPr>
              <w:spacing w:after="0"/>
              <w:rPr>
                <w:sz w:val="24"/>
                <w:szCs w:val="24"/>
                <w:color w:val="auto"/>
              </w:rPr>
            </w:pPr>
          </w:p>
        </w:tc>
        <w:tc>
          <w:tcPr>
            <w:tcW w:w="160" w:type="dxa"/>
            <w:vAlign w:val="bottom"/>
            <w:shd w:val="clear" w:color="auto" w:fill="D2EDF0"/>
          </w:tcPr>
          <w:p>
            <w:pPr>
              <w:spacing w:after="0"/>
              <w:rPr>
                <w:sz w:val="24"/>
                <w:szCs w:val="24"/>
                <w:color w:val="auto"/>
              </w:rPr>
            </w:pPr>
          </w:p>
        </w:tc>
        <w:tc>
          <w:tcPr>
            <w:tcW w:w="1440" w:type="dxa"/>
            <w:vAlign w:val="bottom"/>
            <w:shd w:val="clear" w:color="auto" w:fill="D2EDF0"/>
          </w:tcPr>
          <w:p>
            <w:pPr>
              <w:jc w:val="right"/>
              <w:spacing w:after="0"/>
              <w:rPr>
                <w:sz w:val="20"/>
                <w:szCs w:val="20"/>
                <w:color w:val="auto"/>
              </w:rPr>
            </w:pPr>
            <w:r>
              <w:rPr>
                <w:rFonts w:ascii="Arial" w:cs="Arial" w:eastAsia="Arial" w:hAnsi="Arial"/>
                <w:sz w:val="18"/>
                <w:szCs w:val="18"/>
                <w:color w:val="auto"/>
              </w:rPr>
              <w:t>2,331,496</w:t>
            </w:r>
          </w:p>
        </w:tc>
        <w:tc>
          <w:tcPr>
            <w:tcW w:w="1680" w:type="dxa"/>
            <w:vAlign w:val="bottom"/>
            <w:gridSpan w:val="2"/>
            <w:shd w:val="clear" w:color="auto" w:fill="D2EDF0"/>
          </w:tcPr>
          <w:p>
            <w:pPr>
              <w:jc w:val="right"/>
              <w:spacing w:after="0"/>
              <w:rPr>
                <w:sz w:val="20"/>
                <w:szCs w:val="20"/>
                <w:color w:val="auto"/>
              </w:rPr>
            </w:pPr>
            <w:r>
              <w:rPr>
                <w:rFonts w:ascii="Arial" w:cs="Arial" w:eastAsia="Arial" w:hAnsi="Arial"/>
                <w:sz w:val="18"/>
                <w:szCs w:val="18"/>
                <w:color w:val="auto"/>
              </w:rPr>
              <w:t>39,689</w:t>
            </w:r>
          </w:p>
        </w:tc>
        <w:tc>
          <w:tcPr>
            <w:tcW w:w="80" w:type="dxa"/>
            <w:vAlign w:val="bottom"/>
            <w:shd w:val="clear" w:color="auto" w:fill="D2EDF0"/>
          </w:tcPr>
          <w:p>
            <w:pPr>
              <w:spacing w:after="0"/>
              <w:rPr>
                <w:sz w:val="24"/>
                <w:szCs w:val="24"/>
                <w:color w:val="auto"/>
              </w:rPr>
            </w:pPr>
          </w:p>
        </w:tc>
        <w:tc>
          <w:tcPr>
            <w:tcW w:w="160" w:type="dxa"/>
            <w:vAlign w:val="bottom"/>
            <w:shd w:val="clear" w:color="auto" w:fill="D2EDF0"/>
          </w:tcPr>
          <w:p>
            <w:pPr>
              <w:spacing w:after="0"/>
              <w:rPr>
                <w:sz w:val="24"/>
                <w:szCs w:val="24"/>
                <w:color w:val="auto"/>
              </w:rPr>
            </w:pPr>
          </w:p>
        </w:tc>
        <w:tc>
          <w:tcPr>
            <w:tcW w:w="1440" w:type="dxa"/>
            <w:vAlign w:val="bottom"/>
            <w:shd w:val="clear" w:color="auto" w:fill="D2EDF0"/>
          </w:tcPr>
          <w:p>
            <w:pPr>
              <w:jc w:val="right"/>
              <w:spacing w:after="0"/>
              <w:rPr>
                <w:sz w:val="20"/>
                <w:szCs w:val="20"/>
                <w:color w:val="auto"/>
              </w:rPr>
            </w:pPr>
            <w:r>
              <w:rPr>
                <w:rFonts w:ascii="Arial" w:cs="Arial" w:eastAsia="Arial" w:hAnsi="Arial"/>
                <w:sz w:val="18"/>
                <w:szCs w:val="18"/>
                <w:color w:val="auto"/>
              </w:rPr>
              <w:t>1,797,810</w:t>
            </w:r>
          </w:p>
        </w:tc>
        <w:tc>
          <w:tcPr>
            <w:tcW w:w="0" w:type="dxa"/>
            <w:vAlign w:val="bottom"/>
          </w:tcPr>
          <w:p>
            <w:pPr>
              <w:spacing w:after="0"/>
              <w:rPr>
                <w:sz w:val="1"/>
                <w:szCs w:val="1"/>
                <w:color w:val="auto"/>
              </w:rPr>
            </w:pPr>
          </w:p>
        </w:tc>
      </w:tr>
      <w:tr>
        <w:trPr>
          <w:trHeight w:val="290"/>
        </w:trPr>
        <w:tc>
          <w:tcPr>
            <w:tcW w:w="2360" w:type="dxa"/>
            <w:vAlign w:val="bottom"/>
            <w:gridSpan w:val="2"/>
          </w:tcPr>
          <w:p>
            <w:pPr>
              <w:ind w:left="60"/>
              <w:spacing w:after="0"/>
              <w:rPr>
                <w:sz w:val="20"/>
                <w:szCs w:val="20"/>
                <w:color w:val="auto"/>
              </w:rPr>
            </w:pPr>
            <w:r>
              <w:rPr>
                <w:rFonts w:ascii="Arial" w:cs="Arial" w:eastAsia="Arial" w:hAnsi="Arial"/>
                <w:sz w:val="18"/>
                <w:szCs w:val="18"/>
                <w:color w:val="auto"/>
              </w:rPr>
              <w:t>Mark Thurmond</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84,335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3,855,799</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880" w:h="15480" w:orient="portrait"/>
          <w:cols w:equalWidth="0" w:num="1">
            <w:col w:w="9000"/>
          </w:cols>
          <w:pgMar w:left="1440" w:top="1204" w:right="1440" w:bottom="0" w:gutter="0" w:footer="0" w:header="0"/>
          <w:type w:val="continuous"/>
        </w:sectPr>
      </w:pPr>
    </w:p>
    <w:bookmarkStart w:id="70" w:name="page71"/>
    <w:bookmarkEnd w:id="70"/>
    <w:p>
      <w:pPr>
        <w:ind w:right="260"/>
        <w:spacing w:after="0" w:line="268" w:lineRule="auto"/>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dollar amounts shown are determined by multiplying the number of options that were exercised by the intrinsic value of the options exercised based on the per share closing price of our common stock on the exercise date.</w:t>
      </w:r>
    </w:p>
    <w:p>
      <w:pPr>
        <w:spacing w:after="0" w:line="189" w:lineRule="exact"/>
        <w:rPr>
          <w:rFonts w:ascii="Arial" w:cs="Arial" w:eastAsia="Arial" w:hAnsi="Arial"/>
          <w:sz w:val="20"/>
          <w:szCs w:val="20"/>
          <w:color w:val="auto"/>
        </w:rPr>
      </w:pPr>
    </w:p>
    <w:p>
      <w:pPr>
        <w:ind w:right="20"/>
        <w:spacing w:after="0" w:line="287" w:lineRule="auto"/>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dollar amounts shown are determined by multiplying the number of shares that vested by the per share closing price of our common stock on the vesting date.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Employment Agreements with Our Named Executive Officers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Mr. Yoran</w:t>
      </w:r>
    </w:p>
    <w:p>
      <w:pPr>
        <w:spacing w:after="0" w:line="249" w:lineRule="exact"/>
        <w:rPr>
          <w:sz w:val="20"/>
          <w:szCs w:val="20"/>
          <w:color w:val="auto"/>
        </w:rPr>
      </w:pPr>
    </w:p>
    <w:p>
      <w:pPr>
        <w:ind w:right="80" w:firstLine="360"/>
        <w:spacing w:after="0" w:line="256" w:lineRule="auto"/>
        <w:rPr>
          <w:sz w:val="20"/>
          <w:szCs w:val="20"/>
          <w:color w:val="auto"/>
        </w:rPr>
      </w:pPr>
      <w:r>
        <w:rPr>
          <w:rFonts w:ascii="Arial" w:cs="Arial" w:eastAsia="Arial" w:hAnsi="Arial"/>
          <w:sz w:val="20"/>
          <w:szCs w:val="20"/>
          <w:color w:val="auto"/>
        </w:rPr>
        <w:t>We entered into an offer letter with Mr. Yoran in October 2016, an addendum thereto in February 2017 and an amended and restated employment agreement in February 2019. Pursuant to the terms of his amended and restated employment agreement, Mr. Yoran’s employment is at will and may be terminated at any time by us or Mr. Yoran. The employment agreement provided for an initial annual base salary and bonus target, each subject to increase by the Board or Compensation Committee. In connection with entering into his amended and restated employment agreement, Mr. Yoran also entered into an intellectual property, non-disclosure and non-solicitation agreement with us.</w:t>
      </w:r>
    </w:p>
    <w:p>
      <w:pPr>
        <w:spacing w:after="0" w:line="203" w:lineRule="exact"/>
        <w:rPr>
          <w:sz w:val="20"/>
          <w:szCs w:val="20"/>
          <w:color w:val="auto"/>
        </w:rPr>
      </w:pPr>
    </w:p>
    <w:p>
      <w:pPr>
        <w:ind w:firstLine="360"/>
        <w:spacing w:after="0" w:line="252" w:lineRule="auto"/>
        <w:rPr>
          <w:sz w:val="20"/>
          <w:szCs w:val="20"/>
          <w:color w:val="auto"/>
        </w:rPr>
      </w:pPr>
      <w:r>
        <w:rPr>
          <w:rFonts w:ascii="Arial" w:cs="Arial" w:eastAsia="Arial" w:hAnsi="Arial"/>
          <w:sz w:val="20"/>
          <w:szCs w:val="20"/>
          <w:color w:val="auto"/>
        </w:rPr>
        <w:t>Under his employment agreement currently in effect, if Mr. Yoran is terminated without cause or resigns for good reason (each as defined in his amended and restated employment agreement), or if Mr. Yoran dies or his employment is terminated due to disability (as defined in his amended and restated employment agreement), provided he (or his estate, as applicable) signs and does not revoke a separation agreement that includes a release of claims, Mr. Yoran (or his estate) is eligible to receive 18 months of continued base salary, payment by the company of the employer-portion of premiums for continued group health coverage for up to 12 months following termination, and a lump sum cash payment equal to Mr. Yoran’s target annual bonus for the year in which the termination occurs, prorated based on the last day of employment and reduced by the amount of any quarterly bonuses previously paid or due for the year in which the termination occurs. If Mr. Yoran is terminated without cause or resigns for good reason within the three months prior to or 12 months following a change in control (as defined in his amended and restated employment agreement), provided he signs and does not revoke a separation agreement that includes a release of claims, Mr. Yoran is eligible to receive the same base salary severance and group health plan contributions set forth above (provided that the base salary severance will be paid in a lump sum), a bonus severance payment equal to the sum of (i) 1.5 times Mr. Yoran’s target annual bonus for the year in which the termination occurs, prorated based on the last day of employment and reduced by the amount of any quarterly bonuses previously paid or due for the year in which the termination occurs, plus (ii) 1.5 times Mr. Yoran’s target annual bonus for the year in which the termination occurs, and accelerated vesting in full of any outstanding unvested equity incentive awards held by Mr. Yoran. Such severance is further conditioned upon Mr. Yoran’s compliance with certain non-disclosure and non-solicitation obligations and resignation from all positions with us.</w:t>
      </w:r>
    </w:p>
    <w:p>
      <w:pPr>
        <w:spacing w:after="0" w:line="208" w:lineRule="exact"/>
        <w:rPr>
          <w:sz w:val="20"/>
          <w:szCs w:val="20"/>
          <w:color w:val="auto"/>
        </w:rPr>
      </w:pPr>
    </w:p>
    <w:p>
      <w:pPr>
        <w:ind w:right="100" w:firstLine="360"/>
        <w:spacing w:after="0" w:line="259" w:lineRule="auto"/>
        <w:rPr>
          <w:sz w:val="20"/>
          <w:szCs w:val="20"/>
          <w:color w:val="auto"/>
        </w:rPr>
      </w:pPr>
      <w:r>
        <w:rPr>
          <w:rFonts w:ascii="Arial" w:cs="Arial" w:eastAsia="Arial" w:hAnsi="Arial"/>
          <w:sz w:val="20"/>
          <w:szCs w:val="20"/>
          <w:color w:val="auto"/>
        </w:rPr>
        <w:t>In addition, pursuant to the terms of Mr. Yoran's outstanding restricted stock unit awards granted under the Company's 2018 Equity Incentive Plan, if Mr. Yoran's employment is terminated due to death or disability, or if he remains employed through the date of a change in control and his restricted stock units are not continued, assumed or substituted for by the acquiror in connection with the change in control, the unvested restricted stock units will become fully vested.</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Mr. Vintz, Mr. Riddick and Mr. Thurmond</w:t>
      </w:r>
    </w:p>
    <w:p>
      <w:pPr>
        <w:spacing w:after="0" w:line="249" w:lineRule="exact"/>
        <w:rPr>
          <w:sz w:val="20"/>
          <w:szCs w:val="20"/>
          <w:color w:val="auto"/>
        </w:rPr>
      </w:pPr>
    </w:p>
    <w:p>
      <w:pPr>
        <w:ind w:right="560" w:firstLine="360"/>
        <w:spacing w:after="0" w:line="314" w:lineRule="auto"/>
        <w:rPr>
          <w:sz w:val="20"/>
          <w:szCs w:val="20"/>
          <w:color w:val="auto"/>
        </w:rPr>
      </w:pPr>
      <w:r>
        <w:rPr>
          <w:rFonts w:ascii="Arial" w:cs="Arial" w:eastAsia="Arial" w:hAnsi="Arial"/>
          <w:sz w:val="19"/>
          <w:szCs w:val="19"/>
          <w:color w:val="auto"/>
        </w:rPr>
        <w:t>We entered into an offer letter with Mr. Vintz in October 2014 and an amended and restated employment agreement in February 2019. Pursuant to the terms of his amended and restated</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880" w:h="15480" w:orient="portrait"/>
          <w:cols w:equalWidth="0" w:num="1">
            <w:col w:w="9000"/>
          </w:cols>
          <w:pgMar w:left="1440" w:top="1204" w:right="1440" w:bottom="0" w:gutter="0" w:footer="0" w:header="0"/>
          <w:type w:val="continuous"/>
        </w:sectPr>
      </w:pPr>
    </w:p>
    <w:bookmarkStart w:id="71" w:name="page72"/>
    <w:bookmarkEnd w:id="71"/>
    <w:p>
      <w:pPr>
        <w:spacing w:after="0" w:line="259" w:lineRule="auto"/>
        <w:rPr>
          <w:sz w:val="20"/>
          <w:szCs w:val="20"/>
          <w:color w:val="auto"/>
        </w:rPr>
      </w:pPr>
      <w:r>
        <w:rPr>
          <w:rFonts w:ascii="Arial" w:cs="Arial" w:eastAsia="Arial" w:hAnsi="Arial"/>
          <w:sz w:val="20"/>
          <w:szCs w:val="20"/>
          <w:color w:val="auto"/>
        </w:rPr>
        <w:t>employment agreement, Mr. Vintz’s employment is at will and may be terminated at any time by us or Mr. Vintz. The employment agreement provided for an initial annual base salary and bonus target, each subject to increase by the Board or Compensation Committee. In connection with entering into his amended and restated employment agreement, Mr. Vintz also entered into an intellectual property, non-disclosure and non-solicitation agreement with us.</w:t>
      </w:r>
    </w:p>
    <w:p>
      <w:pPr>
        <w:spacing w:after="0" w:line="199" w:lineRule="exact"/>
        <w:rPr>
          <w:sz w:val="20"/>
          <w:szCs w:val="20"/>
          <w:color w:val="auto"/>
        </w:rPr>
      </w:pPr>
    </w:p>
    <w:p>
      <w:pPr>
        <w:ind w:firstLine="360"/>
        <w:spacing w:after="0" w:line="256" w:lineRule="auto"/>
        <w:rPr>
          <w:sz w:val="20"/>
          <w:szCs w:val="20"/>
          <w:color w:val="auto"/>
        </w:rPr>
      </w:pPr>
      <w:r>
        <w:rPr>
          <w:rFonts w:ascii="Arial" w:cs="Arial" w:eastAsia="Arial" w:hAnsi="Arial"/>
          <w:sz w:val="20"/>
          <w:szCs w:val="20"/>
          <w:color w:val="auto"/>
        </w:rPr>
        <w:t>We entered into an offer letter with Mr. Riddick in May 2016 and an amended and restated employment agreement in February 2019. Pursuant to the terms of his employment agreement, Mr. Riddick’s employment is at will and may be terminated at any time by us or Mr. Riddick. The employment agreement provided for an initial annual base salary and bonus target, each subject to increase by the Board or Compensation Committee. In connection with entering into his amended and restated employment agreement, Mr. Riddick also entered into an intellectual property, non-disclosure and non-solicitation agreement with us.</w:t>
      </w:r>
    </w:p>
    <w:p>
      <w:pPr>
        <w:spacing w:after="0" w:line="203" w:lineRule="exact"/>
        <w:rPr>
          <w:sz w:val="20"/>
          <w:szCs w:val="20"/>
          <w:color w:val="auto"/>
        </w:rPr>
      </w:pPr>
    </w:p>
    <w:p>
      <w:pPr>
        <w:ind w:right="100" w:firstLine="360"/>
        <w:spacing w:after="0" w:line="255" w:lineRule="auto"/>
        <w:rPr>
          <w:sz w:val="20"/>
          <w:szCs w:val="20"/>
          <w:color w:val="auto"/>
        </w:rPr>
      </w:pPr>
      <w:r>
        <w:rPr>
          <w:rFonts w:ascii="Arial" w:cs="Arial" w:eastAsia="Arial" w:hAnsi="Arial"/>
          <w:sz w:val="20"/>
          <w:szCs w:val="20"/>
          <w:color w:val="auto"/>
        </w:rPr>
        <w:t>We entered into an employment agreement with Mr. Thurmond in January 2020. Pursuant to the terms of his employment agreement, Mr. Thurmond's employment is at will and may be terminated at any time by us or Mr. Thurmond. The employment agreement provided for an initial base salary and bonus target, each subject to increase by the Board or Compensation Committee. The employment agreement also provided for a one-time signing bonus and an annual equity award target which is subject to the discretion of the Board or the Compensation Committee. In connection with entering into his employment agreement, Mr. Thurmond also entered into an intellectual property, non-disclosure and non-solicitation agreement with us.</w:t>
      </w:r>
    </w:p>
    <w:p>
      <w:pPr>
        <w:spacing w:after="0" w:line="205" w:lineRule="exact"/>
        <w:rPr>
          <w:sz w:val="20"/>
          <w:szCs w:val="20"/>
          <w:color w:val="auto"/>
        </w:rPr>
      </w:pPr>
    </w:p>
    <w:p>
      <w:pPr>
        <w:ind w:right="20" w:firstLine="360"/>
        <w:spacing w:after="0" w:line="251" w:lineRule="auto"/>
        <w:rPr>
          <w:sz w:val="20"/>
          <w:szCs w:val="20"/>
          <w:color w:val="auto"/>
        </w:rPr>
      </w:pPr>
      <w:r>
        <w:rPr>
          <w:rFonts w:ascii="Arial" w:cs="Arial" w:eastAsia="Arial" w:hAnsi="Arial"/>
          <w:sz w:val="20"/>
          <w:szCs w:val="20"/>
          <w:color w:val="auto"/>
        </w:rPr>
        <w:t>Under the employment agreements currently in effect with Mr. Vintz, Mr. Riddick and Mr. Thurmond, if the Named Executive Officer is terminated without cause or resigns for good reason (each as defined in the amended and restated employment agreement), provided the Named Executive Officer signs and does not revoke a separation agreement that includes a release of claims, the Named Executive Officer is eligible to receive 12 months of continued base salary, payment by the company of the employer-portion of premiums for continued group health coverage for up to 12 months following termination, and a lump sum cash payment equal to the Named Executive Officer’s target annual bonus for the year in which the termination occurs, prorated based on the last day of employment and reduced by the amount of any quarterly bonuses previously paid or due for the year in which the termination occurs. If such termination or resignation occurs within the three months prior to or 12 months following a change in control (as defined in his amended and restated employment agreement), provided the Named Executive Officer signs and does not revoke a separation agreement that includes a release of claims, the Named Executive Officer is eligible to receive the same base salary severance and group health plan contributions set forth above (provided that the base salary severance will be paid in a lump sum), a bonus severance payment equal to the sum of (i) one times the Named Executive Officer’s target annual bonus for the year in which the termination occurs, prorated based on the last day of employment and reduced by the amount of any quarterly bonuses previously paid or due for the year in which the termination occurs, plus (ii) one times the Named Executive Officer’s target annual bonus for the year in which the termination occurs, and accelerated vesting in full of any outstanding unvested equity incentive awards held by the Named Executive Officer. In addition, if the Named Executive Officer dies or his employment is terminated due to disability (as defined in his employment agreement), provided the Named Executive Officer’s estate or the Named Executive Officer, as applicable, signs and does not revoke a separation agreement that includes a release of claims, the Named Executive Officer’s dependents and the Named Executive Officer, as applicable, are eligible to receive payment by the company of the employer-portion of premiums for continued group health coverage for up to 12 months following termination. Such severance is further conditioned upon the Named Executive Officer’s compliance with certain non-disclosure and non-solicitation obligations and resignation from all positions with us.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880" w:h="15480" w:orient="portrait"/>
          <w:cols w:equalWidth="0" w:num="1">
            <w:col w:w="9000"/>
          </w:cols>
          <w:pgMar w:left="1440" w:top="1204" w:right="1440" w:bottom="0" w:gutter="0" w:footer="0" w:header="0"/>
          <w:type w:val="continuous"/>
        </w:sectPr>
      </w:pPr>
    </w:p>
    <w:bookmarkStart w:id="72" w:name="page73"/>
    <w:bookmarkEnd w:id="72"/>
    <w:p>
      <w:pPr>
        <w:ind w:right="80" w:firstLine="360"/>
        <w:spacing w:after="0" w:line="257" w:lineRule="auto"/>
        <w:rPr>
          <w:sz w:val="20"/>
          <w:szCs w:val="20"/>
          <w:color w:val="auto"/>
        </w:rPr>
      </w:pPr>
      <w:r>
        <w:rPr>
          <w:rFonts w:ascii="Arial" w:cs="Arial" w:eastAsia="Arial" w:hAnsi="Arial"/>
          <w:sz w:val="20"/>
          <w:szCs w:val="20"/>
          <w:color w:val="auto"/>
        </w:rPr>
        <w:t>In addition, pursuant to the terms of the outstanding restricted stock unit awards granted under the Company's 2018 Equity Incentive Plan held by Mr. Vintz, Mr. Riddick and Mr. Thurmond, if his employment is terminated due to death or disability, or if he remains employed through the date of a change in control and his restricted stock units are not continued, assumed or substituted for by the acquiror in connection with the change in control, the unvested restricted stock units will become fully vested.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Potential Payments Upon Termination or Change in Control</w:t>
      </w:r>
    </w:p>
    <w:p>
      <w:pPr>
        <w:spacing w:after="0" w:line="251" w:lineRule="exact"/>
        <w:rPr>
          <w:sz w:val="20"/>
          <w:szCs w:val="20"/>
          <w:color w:val="auto"/>
        </w:rPr>
      </w:pPr>
    </w:p>
    <w:p>
      <w:pPr>
        <w:jc w:val="both"/>
        <w:ind w:right="40" w:firstLine="360"/>
        <w:spacing w:after="0" w:line="259" w:lineRule="auto"/>
        <w:rPr>
          <w:sz w:val="20"/>
          <w:szCs w:val="20"/>
          <w:color w:val="auto"/>
        </w:rPr>
      </w:pPr>
      <w:r>
        <w:rPr>
          <w:rFonts w:ascii="Arial" w:cs="Arial" w:eastAsia="Arial" w:hAnsi="Arial"/>
          <w:sz w:val="20"/>
          <w:szCs w:val="20"/>
          <w:color w:val="auto"/>
        </w:rPr>
        <w:t>The table below sets forth the values that the continuing Named Executive Officers would derive in the event of (i) death or disability, (ii) termination without cause or resignation for good reason not in connection with a change of control (“</w:t>
      </w:r>
      <w:r>
        <w:rPr>
          <w:rFonts w:ascii="Arial" w:cs="Arial" w:eastAsia="Arial" w:hAnsi="Arial"/>
          <w:sz w:val="20"/>
          <w:szCs w:val="20"/>
          <w:i w:val="1"/>
          <w:iCs w:val="1"/>
          <w:color w:val="auto"/>
        </w:rPr>
        <w:t>Non-CIC Termination</w:t>
      </w:r>
      <w:r>
        <w:rPr>
          <w:rFonts w:ascii="Arial" w:cs="Arial" w:eastAsia="Arial" w:hAnsi="Arial"/>
          <w:sz w:val="20"/>
          <w:szCs w:val="20"/>
          <w:color w:val="auto"/>
        </w:rPr>
        <w:t>”), and (iii) termination without cause or resignation for good reason in connection with a change of control (“</w:t>
      </w:r>
      <w:r>
        <w:rPr>
          <w:rFonts w:ascii="Arial" w:cs="Arial" w:eastAsia="Arial" w:hAnsi="Arial"/>
          <w:sz w:val="20"/>
          <w:szCs w:val="20"/>
          <w:i w:val="1"/>
          <w:iCs w:val="1"/>
          <w:color w:val="auto"/>
        </w:rPr>
        <w:t>CIC Termination</w:t>
      </w:r>
      <w:r>
        <w:rPr>
          <w:rFonts w:ascii="Arial" w:cs="Arial" w:eastAsia="Arial" w:hAnsi="Arial"/>
          <w:sz w:val="20"/>
          <w:szCs w:val="20"/>
          <w:color w:val="auto"/>
        </w:rPr>
        <w:t>”), assuming that in each case the event occurred on the last business day of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4"/>
          </w:tcPr>
          <w:p>
            <w:pPr>
              <w:jc w:val="right"/>
              <w:ind w:right="485"/>
              <w:spacing w:after="0"/>
              <w:rPr>
                <w:sz w:val="20"/>
                <w:szCs w:val="20"/>
                <w:color w:val="auto"/>
              </w:rPr>
            </w:pPr>
            <w:r>
              <w:rPr>
                <w:rFonts w:ascii="Arial" w:cs="Arial" w:eastAsia="Arial" w:hAnsi="Arial"/>
                <w:sz w:val="16"/>
                <w:szCs w:val="16"/>
                <w:b w:val="1"/>
                <w:bCs w:val="1"/>
                <w:color w:val="auto"/>
              </w:rPr>
              <w:t>Death/Disability</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4"/>
          </w:tcPr>
          <w:p>
            <w:pPr>
              <w:ind w:left="120"/>
              <w:spacing w:after="0"/>
              <w:rPr>
                <w:sz w:val="20"/>
                <w:szCs w:val="20"/>
                <w:color w:val="auto"/>
              </w:rPr>
            </w:pPr>
            <w:r>
              <w:rPr>
                <w:rFonts w:ascii="Arial" w:cs="Arial" w:eastAsia="Arial" w:hAnsi="Arial"/>
                <w:sz w:val="16"/>
                <w:szCs w:val="16"/>
                <w:b w:val="1"/>
                <w:bCs w:val="1"/>
                <w:color w:val="auto"/>
              </w:rPr>
              <w:t>Non-CIC Termination</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gridSpan w:val="4"/>
          </w:tcPr>
          <w:p>
            <w:pPr>
              <w:jc w:val="right"/>
              <w:ind w:right="465"/>
              <w:spacing w:after="0"/>
              <w:rPr>
                <w:sz w:val="20"/>
                <w:szCs w:val="20"/>
                <w:color w:val="auto"/>
              </w:rPr>
            </w:pPr>
            <w:r>
              <w:rPr>
                <w:rFonts w:ascii="Arial" w:cs="Arial" w:eastAsia="Arial" w:hAnsi="Arial"/>
                <w:sz w:val="16"/>
                <w:szCs w:val="16"/>
                <w:b w:val="1"/>
                <w:bCs w:val="1"/>
                <w:color w:val="auto"/>
              </w:rPr>
              <w:t>CIC Termination</w:t>
            </w:r>
          </w:p>
        </w:tc>
        <w:tc>
          <w:tcPr>
            <w:tcW w:w="0" w:type="dxa"/>
            <w:vAlign w:val="bottom"/>
          </w:tcPr>
          <w:p>
            <w:pPr>
              <w:spacing w:after="0"/>
              <w:rPr>
                <w:sz w:val="1"/>
                <w:szCs w:val="1"/>
                <w:color w:val="auto"/>
              </w:rPr>
            </w:pPr>
          </w:p>
        </w:tc>
      </w:tr>
      <w:tr>
        <w:trPr>
          <w:trHeight w:val="333"/>
        </w:trPr>
        <w:tc>
          <w:tcPr>
            <w:tcW w:w="18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Name</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ind w:left="120"/>
              <w:spacing w:after="0"/>
              <w:rPr>
                <w:sz w:val="20"/>
                <w:szCs w:val="20"/>
                <w:color w:val="auto"/>
              </w:rPr>
            </w:pPr>
            <w:r>
              <w:rPr>
                <w:rFonts w:ascii="Arial" w:cs="Arial" w:eastAsia="Arial" w:hAnsi="Arial"/>
                <w:sz w:val="16"/>
                <w:szCs w:val="16"/>
                <w:b w:val="1"/>
                <w:bCs w:val="1"/>
                <w:color w:val="auto"/>
              </w:rPr>
              <w:t>Cash</w:t>
            </w:r>
          </w:p>
        </w:tc>
        <w:tc>
          <w:tcPr>
            <w:tcW w:w="220" w:type="dxa"/>
            <w:vAlign w:val="bottom"/>
          </w:tcPr>
          <w:p>
            <w:pPr>
              <w:jc w:val="right"/>
              <w:ind w:right="48"/>
              <w:spacing w:after="0"/>
              <w:rPr>
                <w:sz w:val="20"/>
                <w:szCs w:val="20"/>
                <w:color w:val="auto"/>
              </w:rPr>
            </w:pPr>
            <w:r>
              <w:rPr>
                <w:rFonts w:ascii="Arial" w:cs="Arial" w:eastAsia="Arial" w:hAnsi="Arial"/>
                <w:sz w:val="10"/>
                <w:szCs w:val="10"/>
                <w:b w:val="1"/>
                <w:bCs w:val="1"/>
                <w:color w:val="auto"/>
                <w:w w:val="81"/>
              </w:rPr>
              <w:t>(1)</w:t>
            </w:r>
          </w:p>
        </w:tc>
        <w:tc>
          <w:tcPr>
            <w:tcW w:w="80" w:type="dxa"/>
            <w:vAlign w:val="bottom"/>
          </w:tcPr>
          <w:p>
            <w:pPr>
              <w:spacing w:after="0"/>
              <w:rPr>
                <w:sz w:val="24"/>
                <w:szCs w:val="24"/>
                <w:color w:val="auto"/>
              </w:rPr>
            </w:pPr>
          </w:p>
        </w:tc>
        <w:tc>
          <w:tcPr>
            <w:tcW w:w="1120" w:type="dxa"/>
            <w:vAlign w:val="bottom"/>
          </w:tcPr>
          <w:p>
            <w:pPr>
              <w:jc w:val="right"/>
              <w:ind w:right="25"/>
              <w:spacing w:after="0"/>
              <w:rPr>
                <w:sz w:val="20"/>
                <w:szCs w:val="20"/>
                <w:color w:val="auto"/>
              </w:rPr>
            </w:pPr>
            <w:r>
              <w:rPr>
                <w:rFonts w:ascii="Arial" w:cs="Arial" w:eastAsia="Arial" w:hAnsi="Arial"/>
                <w:sz w:val="16"/>
                <w:szCs w:val="16"/>
                <w:b w:val="1"/>
                <w:bCs w:val="1"/>
                <w:color w:val="auto"/>
              </w:rPr>
              <w:t xml:space="preserve">Equity </w:t>
            </w:r>
            <w:r>
              <w:rPr>
                <w:rFonts w:ascii="Arial" w:cs="Arial" w:eastAsia="Arial" w:hAnsi="Arial"/>
                <w:sz w:val="20"/>
                <w:szCs w:val="20"/>
                <w:b w:val="1"/>
                <w:bCs w:val="1"/>
                <w:color w:val="auto"/>
                <w:vertAlign w:val="subscript"/>
              </w:rPr>
              <w:t>(2)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ind w:left="120"/>
              <w:spacing w:after="0"/>
              <w:rPr>
                <w:sz w:val="20"/>
                <w:szCs w:val="20"/>
                <w:color w:val="auto"/>
              </w:rPr>
            </w:pPr>
            <w:r>
              <w:rPr>
                <w:rFonts w:ascii="Arial" w:cs="Arial" w:eastAsia="Arial" w:hAnsi="Arial"/>
                <w:sz w:val="16"/>
                <w:szCs w:val="16"/>
                <w:b w:val="1"/>
                <w:bCs w:val="1"/>
                <w:color w:val="auto"/>
              </w:rPr>
              <w:t>Cash</w:t>
            </w:r>
          </w:p>
        </w:tc>
        <w:tc>
          <w:tcPr>
            <w:tcW w:w="220" w:type="dxa"/>
            <w:vAlign w:val="bottom"/>
          </w:tcPr>
          <w:p>
            <w:pPr>
              <w:jc w:val="right"/>
              <w:ind w:right="48"/>
              <w:spacing w:after="0"/>
              <w:rPr>
                <w:sz w:val="20"/>
                <w:szCs w:val="20"/>
                <w:color w:val="auto"/>
              </w:rPr>
            </w:pPr>
            <w:r>
              <w:rPr>
                <w:rFonts w:ascii="Arial" w:cs="Arial" w:eastAsia="Arial" w:hAnsi="Arial"/>
                <w:sz w:val="10"/>
                <w:szCs w:val="10"/>
                <w:b w:val="1"/>
                <w:bCs w:val="1"/>
                <w:color w:val="auto"/>
                <w:w w:val="81"/>
              </w:rPr>
              <w:t>(3)</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Equity</w:t>
            </w:r>
          </w:p>
        </w:tc>
        <w:tc>
          <w:tcPr>
            <w:tcW w:w="280" w:type="dxa"/>
            <w:vAlign w:val="bottom"/>
          </w:tcPr>
          <w:p>
            <w:pPr>
              <w:ind w:left="60"/>
              <w:spacing w:after="0"/>
              <w:rPr>
                <w:sz w:val="20"/>
                <w:szCs w:val="20"/>
                <w:color w:val="auto"/>
              </w:rPr>
            </w:pPr>
            <w:r>
              <w:rPr>
                <w:rFonts w:ascii="Arial" w:cs="Arial" w:eastAsia="Arial" w:hAnsi="Arial"/>
                <w:sz w:val="10"/>
                <w:szCs w:val="10"/>
                <w:b w:val="1"/>
                <w:bCs w:val="1"/>
                <w:color w:val="auto"/>
              </w:rPr>
              <w:t>(2)</w:t>
            </w:r>
          </w:p>
        </w:tc>
        <w:tc>
          <w:tcPr>
            <w:tcW w:w="80" w:type="dxa"/>
            <w:vAlign w:val="bottom"/>
          </w:tcPr>
          <w:p>
            <w:pPr>
              <w:spacing w:after="0"/>
              <w:rPr>
                <w:sz w:val="24"/>
                <w:szCs w:val="24"/>
                <w:color w:val="auto"/>
              </w:rPr>
            </w:pPr>
          </w:p>
        </w:tc>
        <w:tc>
          <w:tcPr>
            <w:tcW w:w="900" w:type="dxa"/>
            <w:vAlign w:val="bottom"/>
          </w:tcPr>
          <w:p>
            <w:pPr>
              <w:ind w:left="360"/>
              <w:spacing w:after="0"/>
              <w:rPr>
                <w:sz w:val="20"/>
                <w:szCs w:val="20"/>
                <w:color w:val="auto"/>
              </w:rPr>
            </w:pPr>
            <w:r>
              <w:rPr>
                <w:rFonts w:ascii="Arial" w:cs="Arial" w:eastAsia="Arial" w:hAnsi="Arial"/>
                <w:sz w:val="16"/>
                <w:szCs w:val="16"/>
                <w:b w:val="1"/>
                <w:bCs w:val="1"/>
                <w:color w:val="auto"/>
              </w:rPr>
              <w:t>Cash</w:t>
            </w:r>
          </w:p>
        </w:tc>
        <w:tc>
          <w:tcPr>
            <w:tcW w:w="220" w:type="dxa"/>
            <w:vAlign w:val="bottom"/>
          </w:tcPr>
          <w:p>
            <w:pPr>
              <w:jc w:val="right"/>
              <w:ind w:right="48"/>
              <w:spacing w:after="0"/>
              <w:rPr>
                <w:sz w:val="20"/>
                <w:szCs w:val="20"/>
                <w:color w:val="auto"/>
              </w:rPr>
            </w:pPr>
            <w:r>
              <w:rPr>
                <w:rFonts w:ascii="Arial" w:cs="Arial" w:eastAsia="Arial" w:hAnsi="Arial"/>
                <w:sz w:val="10"/>
                <w:szCs w:val="10"/>
                <w:b w:val="1"/>
                <w:bCs w:val="1"/>
                <w:color w:val="auto"/>
                <w:w w:val="81"/>
              </w:rPr>
              <w:t>(4)</w:t>
            </w:r>
          </w:p>
        </w:tc>
        <w:tc>
          <w:tcPr>
            <w:tcW w:w="80" w:type="dxa"/>
            <w:vAlign w:val="bottom"/>
          </w:tcPr>
          <w:p>
            <w:pPr>
              <w:spacing w:after="0"/>
              <w:rPr>
                <w:sz w:val="24"/>
                <w:szCs w:val="24"/>
                <w:color w:val="auto"/>
              </w:rPr>
            </w:pPr>
          </w:p>
        </w:tc>
        <w:tc>
          <w:tcPr>
            <w:tcW w:w="1120" w:type="dxa"/>
            <w:vAlign w:val="bottom"/>
          </w:tcPr>
          <w:p>
            <w:pPr>
              <w:jc w:val="right"/>
              <w:ind w:right="25"/>
              <w:spacing w:after="0"/>
              <w:rPr>
                <w:sz w:val="20"/>
                <w:szCs w:val="20"/>
                <w:color w:val="auto"/>
              </w:rPr>
            </w:pPr>
            <w:r>
              <w:rPr>
                <w:rFonts w:ascii="Arial" w:cs="Arial" w:eastAsia="Arial" w:hAnsi="Arial"/>
                <w:sz w:val="16"/>
                <w:szCs w:val="16"/>
                <w:b w:val="1"/>
                <w:bCs w:val="1"/>
                <w:color w:val="auto"/>
              </w:rPr>
              <w:t xml:space="preserve">Equity </w:t>
            </w:r>
            <w:r>
              <w:rPr>
                <w:rFonts w:ascii="Arial" w:cs="Arial" w:eastAsia="Arial" w:hAnsi="Arial"/>
                <w:sz w:val="20"/>
                <w:szCs w:val="20"/>
                <w:b w:val="1"/>
                <w:bCs w:val="1"/>
                <w:color w:val="auto"/>
                <w:vertAlign w:val="subscript"/>
              </w:rPr>
              <w:t>(5)</w:t>
            </w:r>
          </w:p>
        </w:tc>
        <w:tc>
          <w:tcPr>
            <w:tcW w:w="0" w:type="dxa"/>
            <w:vAlign w:val="bottom"/>
          </w:tcPr>
          <w:p>
            <w:pPr>
              <w:spacing w:after="0"/>
              <w:rPr>
                <w:sz w:val="1"/>
                <w:szCs w:val="1"/>
                <w:color w:val="auto"/>
              </w:rPr>
            </w:pPr>
          </w:p>
        </w:tc>
      </w:tr>
      <w:tr>
        <w:trPr>
          <w:trHeight w:val="126"/>
        </w:trPr>
        <w:tc>
          <w:tcPr>
            <w:tcW w:w="18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D2EDF0"/>
            </w:tcBorders>
          </w:tcPr>
          <w:p>
            <w:pPr>
              <w:spacing w:after="0"/>
              <w:rPr>
                <w:sz w:val="10"/>
                <w:szCs w:val="10"/>
                <w:color w:val="auto"/>
              </w:rPr>
            </w:pPr>
          </w:p>
        </w:tc>
        <w:tc>
          <w:tcPr>
            <w:tcW w:w="900" w:type="dxa"/>
            <w:vAlign w:val="bottom"/>
            <w:tcBorders>
              <w:bottom w:val="single" w:sz="8" w:color="auto"/>
            </w:tcBorders>
            <w:gridSpan w:val="2"/>
          </w:tcPr>
          <w:p>
            <w:pPr>
              <w:ind w:left="100"/>
              <w:spacing w:after="0" w:line="126" w:lineRule="exact"/>
              <w:rPr>
                <w:sz w:val="20"/>
                <w:szCs w:val="20"/>
                <w:color w:val="auto"/>
              </w:rPr>
            </w:pPr>
            <w:r>
              <w:rPr>
                <w:rFonts w:ascii="Arial" w:cs="Arial" w:eastAsia="Arial" w:hAnsi="Arial"/>
                <w:sz w:val="14"/>
                <w:szCs w:val="14"/>
                <w:b w:val="1"/>
                <w:bCs w:val="1"/>
                <w:color w:val="auto"/>
              </w:rPr>
              <w:t>Severance</w:t>
            </w: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D2EDF0"/>
            </w:tcBorders>
          </w:tcPr>
          <w:p>
            <w:pPr>
              <w:spacing w:after="0"/>
              <w:rPr>
                <w:sz w:val="10"/>
                <w:szCs w:val="10"/>
                <w:color w:val="auto"/>
              </w:rPr>
            </w:pPr>
          </w:p>
        </w:tc>
        <w:tc>
          <w:tcPr>
            <w:tcW w:w="1120" w:type="dxa"/>
            <w:vAlign w:val="bottom"/>
            <w:tcBorders>
              <w:bottom w:val="single" w:sz="8" w:color="auto"/>
            </w:tcBorders>
          </w:tcPr>
          <w:p>
            <w:pPr>
              <w:jc w:val="right"/>
              <w:ind w:right="145"/>
              <w:spacing w:after="0" w:line="126" w:lineRule="exact"/>
              <w:rPr>
                <w:sz w:val="20"/>
                <w:szCs w:val="20"/>
                <w:color w:val="auto"/>
              </w:rPr>
            </w:pPr>
            <w:r>
              <w:rPr>
                <w:rFonts w:ascii="Arial" w:cs="Arial" w:eastAsia="Arial" w:hAnsi="Arial"/>
                <w:sz w:val="14"/>
                <w:szCs w:val="14"/>
                <w:b w:val="1"/>
                <w:bCs w:val="1"/>
                <w:color w:val="auto"/>
              </w:rPr>
              <w:t>Severance</w:t>
            </w:r>
          </w:p>
        </w:tc>
        <w:tc>
          <w:tcPr>
            <w:tcW w:w="80" w:type="dxa"/>
            <w:vAlign w:val="bottom"/>
            <w:tcBorders>
              <w:bottom w:val="single" w:sz="8" w:color="D2EDF0"/>
            </w:tcBorders>
          </w:tcPr>
          <w:p>
            <w:pPr>
              <w:spacing w:after="0"/>
              <w:rPr>
                <w:sz w:val="10"/>
                <w:szCs w:val="10"/>
                <w:color w:val="auto"/>
              </w:rPr>
            </w:pPr>
          </w:p>
        </w:tc>
        <w:tc>
          <w:tcPr>
            <w:tcW w:w="900" w:type="dxa"/>
            <w:vAlign w:val="bottom"/>
            <w:tcBorders>
              <w:bottom w:val="single" w:sz="8" w:color="auto"/>
            </w:tcBorders>
            <w:gridSpan w:val="2"/>
          </w:tcPr>
          <w:p>
            <w:pPr>
              <w:ind w:left="100"/>
              <w:spacing w:after="0" w:line="126" w:lineRule="exact"/>
              <w:rPr>
                <w:sz w:val="20"/>
                <w:szCs w:val="20"/>
                <w:color w:val="auto"/>
              </w:rPr>
            </w:pPr>
            <w:r>
              <w:rPr>
                <w:rFonts w:ascii="Arial" w:cs="Arial" w:eastAsia="Arial" w:hAnsi="Arial"/>
                <w:sz w:val="14"/>
                <w:szCs w:val="14"/>
                <w:b w:val="1"/>
                <w:bCs w:val="1"/>
                <w:color w:val="auto"/>
              </w:rPr>
              <w:t>Severance</w:t>
            </w: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D2EDF0"/>
            </w:tcBorders>
          </w:tcPr>
          <w:p>
            <w:pPr>
              <w:spacing w:after="0"/>
              <w:rPr>
                <w:sz w:val="10"/>
                <w:szCs w:val="10"/>
                <w:color w:val="auto"/>
              </w:rPr>
            </w:pPr>
          </w:p>
        </w:tc>
        <w:tc>
          <w:tcPr>
            <w:tcW w:w="1120" w:type="dxa"/>
            <w:vAlign w:val="bottom"/>
            <w:tcBorders>
              <w:bottom w:val="single" w:sz="8" w:color="auto"/>
            </w:tcBorders>
            <w:gridSpan w:val="2"/>
          </w:tcPr>
          <w:p>
            <w:pPr>
              <w:ind w:left="100"/>
              <w:spacing w:after="0" w:line="126" w:lineRule="exact"/>
              <w:rPr>
                <w:sz w:val="20"/>
                <w:szCs w:val="20"/>
                <w:color w:val="auto"/>
              </w:rPr>
            </w:pPr>
            <w:r>
              <w:rPr>
                <w:rFonts w:ascii="Arial" w:cs="Arial" w:eastAsia="Arial" w:hAnsi="Arial"/>
                <w:sz w:val="14"/>
                <w:szCs w:val="14"/>
                <w:b w:val="1"/>
                <w:bCs w:val="1"/>
                <w:color w:val="auto"/>
              </w:rPr>
              <w:t>Severance</w:t>
            </w:r>
          </w:p>
        </w:tc>
        <w:tc>
          <w:tcPr>
            <w:tcW w:w="80" w:type="dxa"/>
            <w:vAlign w:val="bottom"/>
            <w:tcBorders>
              <w:bottom w:val="single" w:sz="8" w:color="D2EDF0"/>
            </w:tcBorders>
          </w:tcPr>
          <w:p>
            <w:pPr>
              <w:spacing w:after="0"/>
              <w:rPr>
                <w:sz w:val="10"/>
                <w:szCs w:val="10"/>
                <w:color w:val="auto"/>
              </w:rPr>
            </w:pPr>
          </w:p>
        </w:tc>
        <w:tc>
          <w:tcPr>
            <w:tcW w:w="900" w:type="dxa"/>
            <w:vAlign w:val="bottom"/>
            <w:tcBorders>
              <w:bottom w:val="single" w:sz="8" w:color="auto"/>
            </w:tcBorders>
          </w:tcPr>
          <w:p>
            <w:pPr>
              <w:ind w:left="100"/>
              <w:spacing w:after="0" w:line="126" w:lineRule="exact"/>
              <w:rPr>
                <w:sz w:val="20"/>
                <w:szCs w:val="20"/>
                <w:color w:val="auto"/>
              </w:rPr>
            </w:pPr>
            <w:r>
              <w:rPr>
                <w:rFonts w:ascii="Arial" w:cs="Arial" w:eastAsia="Arial" w:hAnsi="Arial"/>
                <w:sz w:val="14"/>
                <w:szCs w:val="14"/>
                <w:b w:val="1"/>
                <w:bCs w:val="1"/>
                <w:color w:val="auto"/>
              </w:rPr>
              <w:t>Severance</w:t>
            </w: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D2EDF0"/>
            </w:tcBorders>
          </w:tcPr>
          <w:p>
            <w:pPr>
              <w:spacing w:after="0"/>
              <w:rPr>
                <w:sz w:val="10"/>
                <w:szCs w:val="10"/>
                <w:color w:val="auto"/>
              </w:rPr>
            </w:pPr>
          </w:p>
        </w:tc>
        <w:tc>
          <w:tcPr>
            <w:tcW w:w="1120" w:type="dxa"/>
            <w:vAlign w:val="bottom"/>
            <w:tcBorders>
              <w:bottom w:val="single" w:sz="8" w:color="auto"/>
            </w:tcBorders>
          </w:tcPr>
          <w:p>
            <w:pPr>
              <w:jc w:val="right"/>
              <w:ind w:right="145"/>
              <w:spacing w:after="0" w:line="126" w:lineRule="exact"/>
              <w:rPr>
                <w:sz w:val="20"/>
                <w:szCs w:val="20"/>
                <w:color w:val="auto"/>
              </w:rPr>
            </w:pPr>
            <w:r>
              <w:rPr>
                <w:rFonts w:ascii="Arial" w:cs="Arial" w:eastAsia="Arial" w:hAnsi="Arial"/>
                <w:sz w:val="14"/>
                <w:szCs w:val="14"/>
                <w:b w:val="1"/>
                <w:bCs w:val="1"/>
                <w:color w:val="auto"/>
              </w:rPr>
              <w:t>Severance</w:t>
            </w:r>
          </w:p>
        </w:tc>
        <w:tc>
          <w:tcPr>
            <w:tcW w:w="0" w:type="dxa"/>
            <w:vAlign w:val="bottom"/>
          </w:tcPr>
          <w:p>
            <w:pPr>
              <w:spacing w:after="0"/>
              <w:rPr>
                <w:sz w:val="1"/>
                <w:szCs w:val="1"/>
                <w:color w:val="auto"/>
              </w:rPr>
            </w:pPr>
          </w:p>
        </w:tc>
      </w:tr>
      <w:tr>
        <w:trPr>
          <w:trHeight w:val="290"/>
        </w:trPr>
        <w:tc>
          <w:tcPr>
            <w:tcW w:w="1800" w:type="dxa"/>
            <w:vAlign w:val="bottom"/>
            <w:shd w:val="clear" w:color="auto" w:fill="D2EDF0"/>
          </w:tcPr>
          <w:p>
            <w:pPr>
              <w:ind w:left="60"/>
              <w:spacing w:after="0"/>
              <w:rPr>
                <w:sz w:val="20"/>
                <w:szCs w:val="20"/>
                <w:color w:val="auto"/>
              </w:rPr>
            </w:pPr>
            <w:r>
              <w:rPr>
                <w:rFonts w:ascii="Arial" w:cs="Arial" w:eastAsia="Arial" w:hAnsi="Arial"/>
                <w:sz w:val="16"/>
                <w:szCs w:val="16"/>
                <w:color w:val="auto"/>
              </w:rPr>
              <w:t>Amit Yoran</w:t>
            </w:r>
          </w:p>
        </w:tc>
        <w:tc>
          <w:tcPr>
            <w:tcW w:w="320" w:type="dxa"/>
            <w:vAlign w:val="bottom"/>
            <w:gridSpan w:val="2"/>
            <w:shd w:val="clear" w:color="auto" w:fill="D2EDF0"/>
          </w:tcPr>
          <w:p>
            <w:pPr>
              <w:jc w:val="right"/>
              <w:ind w:right="3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D2EDF0"/>
          </w:tcPr>
          <w:p>
            <w:pPr>
              <w:jc w:val="right"/>
              <w:ind w:right="8"/>
              <w:spacing w:after="0"/>
              <w:rPr>
                <w:sz w:val="20"/>
                <w:szCs w:val="20"/>
                <w:color w:val="auto"/>
              </w:rPr>
            </w:pPr>
            <w:r>
              <w:rPr>
                <w:rFonts w:ascii="Arial" w:cs="Arial" w:eastAsia="Arial" w:hAnsi="Arial"/>
                <w:sz w:val="16"/>
                <w:szCs w:val="16"/>
                <w:color w:val="auto"/>
              </w:rPr>
              <w:t>933,266</w:t>
            </w:r>
          </w:p>
        </w:tc>
        <w:tc>
          <w:tcPr>
            <w:tcW w:w="1200" w:type="dxa"/>
            <w:vAlign w:val="bottom"/>
            <w:gridSpan w:val="2"/>
            <w:shd w:val="clear" w:color="auto" w:fill="D2EDF0"/>
          </w:tcPr>
          <w:p>
            <w:pPr>
              <w:jc w:val="right"/>
              <w:spacing w:after="0"/>
              <w:rPr>
                <w:sz w:val="20"/>
                <w:szCs w:val="20"/>
                <w:color w:val="auto"/>
              </w:rPr>
            </w:pPr>
            <w:r>
              <w:rPr>
                <w:rFonts w:ascii="Arial" w:cs="Arial" w:eastAsia="Arial" w:hAnsi="Arial"/>
                <w:sz w:val="16"/>
                <w:szCs w:val="16"/>
                <w:color w:val="auto"/>
              </w:rPr>
              <w:t>$  14,081,012</w:t>
            </w:r>
          </w:p>
        </w:tc>
        <w:tc>
          <w:tcPr>
            <w:tcW w:w="320" w:type="dxa"/>
            <w:vAlign w:val="bottom"/>
            <w:gridSpan w:val="2"/>
            <w:shd w:val="clear" w:color="auto" w:fill="D2EDF0"/>
          </w:tcPr>
          <w:p>
            <w:pPr>
              <w:jc w:val="right"/>
              <w:ind w:right="3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D2EDF0"/>
          </w:tcPr>
          <w:p>
            <w:pPr>
              <w:jc w:val="right"/>
              <w:ind w:right="8"/>
              <w:spacing w:after="0"/>
              <w:rPr>
                <w:sz w:val="20"/>
                <w:szCs w:val="20"/>
                <w:color w:val="auto"/>
              </w:rPr>
            </w:pPr>
            <w:r>
              <w:rPr>
                <w:rFonts w:ascii="Arial" w:cs="Arial" w:eastAsia="Arial" w:hAnsi="Arial"/>
                <w:sz w:val="16"/>
                <w:szCs w:val="16"/>
                <w:color w:val="auto"/>
              </w:rPr>
              <w:t>933,266</w:t>
            </w:r>
          </w:p>
        </w:tc>
        <w:tc>
          <w:tcPr>
            <w:tcW w:w="920" w:type="dxa"/>
            <w:vAlign w:val="bottom"/>
            <w:gridSpan w:val="2"/>
            <w:shd w:val="clear" w:color="auto" w:fill="D2EDF0"/>
          </w:tcPr>
          <w:p>
            <w:pPr>
              <w:jc w:val="right"/>
              <w:ind w:right="625"/>
              <w:spacing w:after="0"/>
              <w:rPr>
                <w:sz w:val="20"/>
                <w:szCs w:val="20"/>
                <w:color w:val="auto"/>
              </w:rPr>
            </w:pPr>
            <w:r>
              <w:rPr>
                <w:rFonts w:ascii="Arial" w:cs="Arial" w:eastAsia="Arial" w:hAnsi="Arial"/>
                <w:sz w:val="16"/>
                <w:szCs w:val="16"/>
                <w:color w:val="auto"/>
              </w:rPr>
              <w:t>$</w:t>
            </w:r>
          </w:p>
        </w:tc>
        <w:tc>
          <w:tcPr>
            <w:tcW w:w="280" w:type="dxa"/>
            <w:vAlign w:val="bottom"/>
            <w:shd w:val="clear" w:color="auto" w:fill="D2EDF0"/>
          </w:tcPr>
          <w:p>
            <w:pPr>
              <w:ind w:left="60"/>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D2EDF0"/>
          </w:tcPr>
          <w:p>
            <w:pPr>
              <w:jc w:val="right"/>
              <w:ind w:right="8"/>
              <w:spacing w:after="0"/>
              <w:rPr>
                <w:sz w:val="20"/>
                <w:szCs w:val="20"/>
                <w:color w:val="auto"/>
              </w:rPr>
            </w:pPr>
            <w:r>
              <w:rPr>
                <w:rFonts w:ascii="Arial" w:cs="Arial" w:eastAsia="Arial" w:hAnsi="Arial"/>
                <w:sz w:val="16"/>
                <w:szCs w:val="16"/>
                <w:color w:val="auto"/>
              </w:rPr>
              <w:t>$   1,907,266</w:t>
            </w:r>
          </w:p>
        </w:tc>
        <w:tc>
          <w:tcPr>
            <w:tcW w:w="1200" w:type="dxa"/>
            <w:vAlign w:val="bottom"/>
            <w:gridSpan w:val="2"/>
            <w:shd w:val="clear" w:color="auto" w:fill="D2EDF0"/>
          </w:tcPr>
          <w:p>
            <w:pPr>
              <w:jc w:val="right"/>
              <w:spacing w:after="0"/>
              <w:rPr>
                <w:sz w:val="20"/>
                <w:szCs w:val="20"/>
                <w:color w:val="auto"/>
              </w:rPr>
            </w:pPr>
            <w:r>
              <w:rPr>
                <w:rFonts w:ascii="Arial" w:cs="Arial" w:eastAsia="Arial" w:hAnsi="Arial"/>
                <w:sz w:val="16"/>
                <w:szCs w:val="16"/>
                <w:color w:val="auto"/>
              </w:rPr>
              <w:t>$  14,586,271</w:t>
            </w:r>
          </w:p>
        </w:tc>
        <w:tc>
          <w:tcPr>
            <w:tcW w:w="0" w:type="dxa"/>
            <w:vAlign w:val="bottom"/>
          </w:tcPr>
          <w:p>
            <w:pPr>
              <w:spacing w:after="0"/>
              <w:rPr>
                <w:sz w:val="1"/>
                <w:szCs w:val="1"/>
                <w:color w:val="auto"/>
              </w:rPr>
            </w:pPr>
          </w:p>
        </w:tc>
      </w:tr>
      <w:tr>
        <w:trPr>
          <w:trHeight w:val="293"/>
        </w:trPr>
        <w:tc>
          <w:tcPr>
            <w:tcW w:w="1800" w:type="dxa"/>
            <w:vAlign w:val="bottom"/>
          </w:tcPr>
          <w:p>
            <w:pPr>
              <w:ind w:left="60"/>
              <w:spacing w:after="0"/>
              <w:rPr>
                <w:sz w:val="20"/>
                <w:szCs w:val="20"/>
                <w:color w:val="auto"/>
              </w:rPr>
            </w:pPr>
            <w:r>
              <w:rPr>
                <w:rFonts w:ascii="Arial" w:cs="Arial" w:eastAsia="Arial" w:hAnsi="Arial"/>
                <w:sz w:val="16"/>
                <w:szCs w:val="16"/>
                <w:color w:val="auto"/>
              </w:rPr>
              <w:t>Stephen A. Vintz</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8"/>
              <w:spacing w:after="0"/>
              <w:rPr>
                <w:sz w:val="20"/>
                <w:szCs w:val="20"/>
                <w:color w:val="auto"/>
              </w:rPr>
            </w:pPr>
            <w:r>
              <w:rPr>
                <w:rFonts w:ascii="Arial" w:cs="Arial" w:eastAsia="Arial" w:hAnsi="Arial"/>
                <w:sz w:val="16"/>
                <w:szCs w:val="16"/>
                <w:color w:val="auto"/>
              </w:rPr>
              <w:t>12,126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8,015,239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8"/>
              <w:spacing w:after="0"/>
              <w:rPr>
                <w:sz w:val="20"/>
                <w:szCs w:val="20"/>
                <w:color w:val="auto"/>
              </w:rPr>
            </w:pPr>
            <w:r>
              <w:rPr>
                <w:rFonts w:ascii="Arial" w:cs="Arial" w:eastAsia="Arial" w:hAnsi="Arial"/>
                <w:sz w:val="16"/>
                <w:szCs w:val="16"/>
                <w:color w:val="auto"/>
              </w:rPr>
              <w:t>561,608</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8"/>
              <w:spacing w:after="0"/>
              <w:rPr>
                <w:sz w:val="20"/>
                <w:szCs w:val="20"/>
                <w:color w:val="auto"/>
              </w:rPr>
            </w:pPr>
            <w:r>
              <w:rPr>
                <w:rFonts w:ascii="Arial" w:cs="Arial" w:eastAsia="Arial" w:hAnsi="Arial"/>
                <w:sz w:val="16"/>
                <w:szCs w:val="16"/>
                <w:color w:val="auto"/>
              </w:rPr>
              <w:t>923,858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8,341,230</w:t>
            </w:r>
          </w:p>
        </w:tc>
        <w:tc>
          <w:tcPr>
            <w:tcW w:w="0" w:type="dxa"/>
            <w:vAlign w:val="bottom"/>
          </w:tcPr>
          <w:p>
            <w:pPr>
              <w:spacing w:after="0"/>
              <w:rPr>
                <w:sz w:val="1"/>
                <w:szCs w:val="1"/>
                <w:color w:val="auto"/>
              </w:rPr>
            </w:pPr>
          </w:p>
        </w:tc>
      </w:tr>
      <w:tr>
        <w:trPr>
          <w:trHeight w:val="307"/>
        </w:trPr>
        <w:tc>
          <w:tcPr>
            <w:tcW w:w="1800" w:type="dxa"/>
            <w:vAlign w:val="bottom"/>
            <w:shd w:val="clear" w:color="auto" w:fill="D2EDF0"/>
          </w:tcPr>
          <w:p>
            <w:pPr>
              <w:ind w:left="60"/>
              <w:spacing w:after="0"/>
              <w:rPr>
                <w:sz w:val="20"/>
                <w:szCs w:val="20"/>
                <w:color w:val="auto"/>
              </w:rPr>
            </w:pPr>
            <w:r>
              <w:rPr>
                <w:rFonts w:ascii="Arial" w:cs="Arial" w:eastAsia="Arial" w:hAnsi="Arial"/>
                <w:sz w:val="16"/>
                <w:szCs w:val="16"/>
                <w:color w:val="auto"/>
              </w:rPr>
              <w:t>Mark Thurmond</w:t>
            </w:r>
          </w:p>
        </w:tc>
        <w:tc>
          <w:tcPr>
            <w:tcW w:w="80" w:type="dxa"/>
            <w:vAlign w:val="bottom"/>
            <w:shd w:val="clear" w:color="auto" w:fill="D2EDF0"/>
          </w:tcPr>
          <w:p>
            <w:pPr>
              <w:spacing w:after="0"/>
              <w:rPr>
                <w:sz w:val="24"/>
                <w:szCs w:val="24"/>
                <w:color w:val="auto"/>
              </w:rPr>
            </w:pPr>
          </w:p>
        </w:tc>
        <w:tc>
          <w:tcPr>
            <w:tcW w:w="240" w:type="dxa"/>
            <w:vAlign w:val="bottom"/>
            <w:shd w:val="clear" w:color="auto" w:fill="D2EDF0"/>
          </w:tcPr>
          <w:p>
            <w:pPr>
              <w:spacing w:after="0"/>
              <w:rPr>
                <w:sz w:val="24"/>
                <w:szCs w:val="24"/>
                <w:color w:val="auto"/>
              </w:rPr>
            </w:pPr>
          </w:p>
        </w:tc>
        <w:tc>
          <w:tcPr>
            <w:tcW w:w="880" w:type="dxa"/>
            <w:vAlign w:val="bottom"/>
            <w:gridSpan w:val="2"/>
            <w:shd w:val="clear" w:color="auto" w:fill="D2EDF0"/>
          </w:tcPr>
          <w:p>
            <w:pPr>
              <w:jc w:val="right"/>
              <w:ind w:right="8"/>
              <w:spacing w:after="0"/>
              <w:rPr>
                <w:sz w:val="20"/>
                <w:szCs w:val="20"/>
                <w:color w:val="auto"/>
              </w:rPr>
            </w:pPr>
            <w:r>
              <w:rPr>
                <w:rFonts w:ascii="Arial" w:cs="Arial" w:eastAsia="Arial" w:hAnsi="Arial"/>
                <w:sz w:val="16"/>
                <w:szCs w:val="16"/>
                <w:color w:val="auto"/>
              </w:rPr>
              <w:t>70,387</w:t>
            </w:r>
          </w:p>
        </w:tc>
        <w:tc>
          <w:tcPr>
            <w:tcW w:w="1200" w:type="dxa"/>
            <w:vAlign w:val="bottom"/>
            <w:gridSpan w:val="2"/>
            <w:shd w:val="clear" w:color="auto" w:fill="D2EDF0"/>
          </w:tcPr>
          <w:p>
            <w:pPr>
              <w:jc w:val="right"/>
              <w:spacing w:after="0"/>
              <w:rPr>
                <w:sz w:val="20"/>
                <w:szCs w:val="20"/>
                <w:color w:val="auto"/>
              </w:rPr>
            </w:pPr>
            <w:r>
              <w:rPr>
                <w:rFonts w:ascii="Arial" w:cs="Arial" w:eastAsia="Arial" w:hAnsi="Arial"/>
                <w:sz w:val="16"/>
                <w:szCs w:val="16"/>
                <w:color w:val="auto"/>
              </w:rPr>
              <w:t>7,204,208</w:t>
            </w:r>
          </w:p>
        </w:tc>
        <w:tc>
          <w:tcPr>
            <w:tcW w:w="80" w:type="dxa"/>
            <w:vAlign w:val="bottom"/>
            <w:shd w:val="clear" w:color="auto" w:fill="D2EDF0"/>
          </w:tcPr>
          <w:p>
            <w:pPr>
              <w:spacing w:after="0"/>
              <w:rPr>
                <w:sz w:val="24"/>
                <w:szCs w:val="24"/>
                <w:color w:val="auto"/>
              </w:rPr>
            </w:pPr>
          </w:p>
        </w:tc>
        <w:tc>
          <w:tcPr>
            <w:tcW w:w="240" w:type="dxa"/>
            <w:vAlign w:val="bottom"/>
            <w:shd w:val="clear" w:color="auto" w:fill="D2EDF0"/>
          </w:tcPr>
          <w:p>
            <w:pPr>
              <w:spacing w:after="0"/>
              <w:rPr>
                <w:sz w:val="24"/>
                <w:szCs w:val="24"/>
                <w:color w:val="auto"/>
              </w:rPr>
            </w:pPr>
          </w:p>
        </w:tc>
        <w:tc>
          <w:tcPr>
            <w:tcW w:w="880" w:type="dxa"/>
            <w:vAlign w:val="bottom"/>
            <w:gridSpan w:val="2"/>
            <w:shd w:val="clear" w:color="auto" w:fill="D2EDF0"/>
          </w:tcPr>
          <w:p>
            <w:pPr>
              <w:jc w:val="right"/>
              <w:ind w:right="8"/>
              <w:spacing w:after="0"/>
              <w:rPr>
                <w:sz w:val="20"/>
                <w:szCs w:val="20"/>
                <w:color w:val="auto"/>
              </w:rPr>
            </w:pPr>
            <w:r>
              <w:rPr>
                <w:rFonts w:ascii="Arial" w:cs="Arial" w:eastAsia="Arial" w:hAnsi="Arial"/>
                <w:sz w:val="16"/>
                <w:szCs w:val="16"/>
                <w:color w:val="auto"/>
              </w:rPr>
              <w:t>619,869</w:t>
            </w:r>
          </w:p>
        </w:tc>
        <w:tc>
          <w:tcPr>
            <w:tcW w:w="80" w:type="dxa"/>
            <w:vAlign w:val="bottom"/>
            <w:shd w:val="clear" w:color="auto" w:fill="D2EDF0"/>
          </w:tcPr>
          <w:p>
            <w:pPr>
              <w:spacing w:after="0"/>
              <w:rPr>
                <w:sz w:val="24"/>
                <w:szCs w:val="24"/>
                <w:color w:val="auto"/>
              </w:rPr>
            </w:pPr>
          </w:p>
        </w:tc>
        <w:tc>
          <w:tcPr>
            <w:tcW w:w="840" w:type="dxa"/>
            <w:vAlign w:val="bottom"/>
            <w:shd w:val="clear" w:color="auto" w:fill="D2EDF0"/>
          </w:tcPr>
          <w:p>
            <w:pPr>
              <w:spacing w:after="0"/>
              <w:rPr>
                <w:sz w:val="24"/>
                <w:szCs w:val="24"/>
                <w:color w:val="auto"/>
              </w:rPr>
            </w:pPr>
          </w:p>
        </w:tc>
        <w:tc>
          <w:tcPr>
            <w:tcW w:w="280" w:type="dxa"/>
            <w:vAlign w:val="bottom"/>
            <w:shd w:val="clear" w:color="auto" w:fill="D2EDF0"/>
          </w:tcPr>
          <w:p>
            <w:pPr>
              <w:ind w:left="60"/>
              <w:spacing w:after="0"/>
              <w:rPr>
                <w:sz w:val="20"/>
                <w:szCs w:val="20"/>
                <w:color w:val="auto"/>
              </w:rPr>
            </w:pPr>
            <w:r>
              <w:rPr>
                <w:rFonts w:ascii="Arial" w:cs="Arial" w:eastAsia="Arial" w:hAnsi="Arial"/>
                <w:sz w:val="16"/>
                <w:szCs w:val="16"/>
                <w:color w:val="auto"/>
              </w:rPr>
              <w:t>—</w:t>
            </w:r>
          </w:p>
        </w:tc>
        <w:tc>
          <w:tcPr>
            <w:tcW w:w="1200" w:type="dxa"/>
            <w:vAlign w:val="bottom"/>
            <w:gridSpan w:val="3"/>
            <w:shd w:val="clear" w:color="auto" w:fill="D2EDF0"/>
          </w:tcPr>
          <w:p>
            <w:pPr>
              <w:jc w:val="right"/>
              <w:ind w:right="8"/>
              <w:spacing w:after="0"/>
              <w:rPr>
                <w:sz w:val="20"/>
                <w:szCs w:val="20"/>
                <w:color w:val="auto"/>
              </w:rPr>
            </w:pPr>
            <w:r>
              <w:rPr>
                <w:rFonts w:ascii="Arial" w:cs="Arial" w:eastAsia="Arial" w:hAnsi="Arial"/>
                <w:sz w:val="16"/>
                <w:szCs w:val="16"/>
                <w:color w:val="auto"/>
              </w:rPr>
              <w:t>982,119</w:t>
            </w:r>
          </w:p>
        </w:tc>
        <w:tc>
          <w:tcPr>
            <w:tcW w:w="1200" w:type="dxa"/>
            <w:vAlign w:val="bottom"/>
            <w:gridSpan w:val="2"/>
            <w:shd w:val="clear" w:color="auto" w:fill="D2EDF0"/>
          </w:tcPr>
          <w:p>
            <w:pPr>
              <w:jc w:val="right"/>
              <w:spacing w:after="0"/>
              <w:rPr>
                <w:sz w:val="20"/>
                <w:szCs w:val="20"/>
                <w:color w:val="auto"/>
              </w:rPr>
            </w:pPr>
            <w:r>
              <w:rPr>
                <w:rFonts w:ascii="Arial" w:cs="Arial" w:eastAsia="Arial" w:hAnsi="Arial"/>
                <w:sz w:val="16"/>
                <w:szCs w:val="16"/>
                <w:color w:val="auto"/>
              </w:rPr>
              <w:t>7,204,208</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20"/>
                <w:szCs w:val="20"/>
                <w:color w:val="auto"/>
              </w:rPr>
            </w:pPr>
            <w:r>
              <w:rPr>
                <w:rFonts w:ascii="Arial" w:cs="Arial" w:eastAsia="Arial" w:hAnsi="Arial"/>
                <w:sz w:val="12"/>
                <w:szCs w:val="12"/>
                <w:color w:val="auto"/>
              </w:rPr>
              <w:t>_____________</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right="140"/>
        <w:spacing w:after="0" w:line="256" w:lineRule="auto"/>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For Mr. Vintz and Mr. Thurmond, represents the value of the payment by the company of the employer-paid portion of premiums for continued group health coverage for 12 months following termination. For Mr. Thurmond, it also includes the value of any accrued but unused vacation, as required by state law. For Mr. Yoran, represents the value of 18 months of continued base salary, payment by the company of the employer-paid portion of premiums for continued group health coverage for 12 months following termination, and a lump sum cash payment equal to Mr. Yoran’s target annual bonus reduced by the amount of the quarterly bonuses paid during 2022.</w:t>
      </w:r>
    </w:p>
    <w:p>
      <w:pPr>
        <w:spacing w:after="0" w:line="202" w:lineRule="exact"/>
        <w:rPr>
          <w:rFonts w:ascii="Arial" w:cs="Arial" w:eastAsia="Arial" w:hAnsi="Arial"/>
          <w:sz w:val="20"/>
          <w:szCs w:val="20"/>
          <w:color w:val="auto"/>
        </w:rPr>
      </w:pPr>
    </w:p>
    <w:p>
      <w:pPr>
        <w:ind w:left="720" w:hanging="720"/>
        <w:spacing w:after="0"/>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Represents the value of accelerated vesting of restricted stock units and the value of</w:t>
      </w:r>
    </w:p>
    <w:p>
      <w:pPr>
        <w:spacing w:after="0" w:line="10" w:lineRule="exact"/>
        <w:rPr>
          <w:rFonts w:ascii="Arial" w:cs="Arial" w:eastAsia="Arial" w:hAnsi="Arial"/>
          <w:sz w:val="20"/>
          <w:szCs w:val="20"/>
          <w:color w:val="auto"/>
        </w:rPr>
      </w:pPr>
    </w:p>
    <w:p>
      <w:pPr>
        <w:ind w:right="120"/>
        <w:spacing w:after="0" w:line="262" w:lineRule="auto"/>
        <w:rPr>
          <w:rFonts w:ascii="Arial" w:cs="Arial" w:eastAsia="Arial" w:hAnsi="Arial"/>
          <w:sz w:val="20"/>
          <w:szCs w:val="20"/>
          <w:color w:val="auto"/>
        </w:rPr>
      </w:pPr>
      <w:r>
        <w:rPr>
          <w:rFonts w:ascii="Arial" w:cs="Arial" w:eastAsia="Arial" w:hAnsi="Arial"/>
          <w:sz w:val="20"/>
          <w:szCs w:val="20"/>
          <w:color w:val="auto"/>
        </w:rPr>
        <w:t>accelerated vesting of the target amount of performance restricted stock units, as applicable, in each case based on the closing price of our common stock of $38.15 per share on December 31, 2022. The PSUs granted in 2022 would have been forfeited in connection with a termination due to a Non-CIC Termination prior to satisfaction of the applicable performance-based vesting condition.</w:t>
      </w:r>
    </w:p>
    <w:p>
      <w:pPr>
        <w:spacing w:after="0" w:line="195" w:lineRule="exact"/>
        <w:rPr>
          <w:rFonts w:ascii="Arial" w:cs="Arial" w:eastAsia="Arial" w:hAnsi="Arial"/>
          <w:sz w:val="20"/>
          <w:szCs w:val="20"/>
          <w:color w:val="auto"/>
        </w:rPr>
      </w:pPr>
    </w:p>
    <w:p>
      <w:pPr>
        <w:ind w:right="180"/>
        <w:spacing w:after="0" w:line="257" w:lineRule="auto"/>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Represents the value of 12 months of continued base salary (18 months for Mr. Yoran), payment by the company of the employer-paid portion of premiums for continued group health coverage for 12 months following termination, and a lump sum cash payment equal to the Named Executive Officer’s target annual bonus reduced by the amount of the quarterly bonuses paid during 2022. For Mr. Thurmond, it also includes the value of any accrued but unused vacation, as required by state law.</w:t>
      </w:r>
    </w:p>
    <w:p>
      <w:pPr>
        <w:spacing w:after="0" w:line="202" w:lineRule="exact"/>
        <w:rPr>
          <w:rFonts w:ascii="Arial" w:cs="Arial" w:eastAsia="Arial" w:hAnsi="Arial"/>
          <w:sz w:val="20"/>
          <w:szCs w:val="20"/>
          <w:color w:val="auto"/>
        </w:rPr>
      </w:pPr>
    </w:p>
    <w:p>
      <w:pPr>
        <w:ind w:right="200"/>
        <w:spacing w:after="0" w:line="255" w:lineRule="auto"/>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Represents the value of a lump sum cash payment equal to 12 months of base salary (18 months for Mr. Yoran), payment by the company of the employer-paid portion of premiums for continued group health coverage for 12 months following termination, a lump sum cash payment equal to one times the Named Executive Officer’s target annual bonus (1.5 times for Mr. Yoran) reduced by the amount of the quarterly bonuses paid during 2022, and a lump sum cash payment equal to one times the Named Executive Officer’s target annual bonus (1.5 times for Mr. Yoran). For Mr. Thurmond, it also includes the value of any accrued but unused vacation, as required by state law.</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880" w:h="15480" w:orient="portrait"/>
          <w:cols w:equalWidth="0" w:num="1">
            <w:col w:w="9000"/>
          </w:cols>
          <w:pgMar w:left="1440" w:top="1204" w:right="1440" w:bottom="0" w:gutter="0" w:footer="0" w:header="0"/>
          <w:type w:val="continuous"/>
        </w:sectPr>
      </w:pPr>
    </w:p>
    <w:bookmarkStart w:id="73" w:name="page74"/>
    <w:bookmarkEnd w:id="73"/>
    <w:p>
      <w:pPr>
        <w:ind w:left="720" w:hanging="720"/>
        <w:spacing w:after="0"/>
        <w:tabs>
          <w:tab w:leader="none" w:pos="7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Represents the value of accelerated vesting of restricted stock units and the value of</w:t>
      </w:r>
    </w:p>
    <w:p>
      <w:pPr>
        <w:spacing w:after="0" w:line="10" w:lineRule="exact"/>
        <w:rPr>
          <w:rFonts w:ascii="Arial" w:cs="Arial" w:eastAsia="Arial" w:hAnsi="Arial"/>
          <w:sz w:val="20"/>
          <w:szCs w:val="20"/>
          <w:color w:val="auto"/>
        </w:rPr>
      </w:pPr>
    </w:p>
    <w:p>
      <w:pPr>
        <w:ind w:right="40"/>
        <w:spacing w:after="0" w:line="257" w:lineRule="auto"/>
        <w:rPr>
          <w:rFonts w:ascii="Arial" w:cs="Arial" w:eastAsia="Arial" w:hAnsi="Arial"/>
          <w:sz w:val="20"/>
          <w:szCs w:val="20"/>
          <w:color w:val="auto"/>
        </w:rPr>
      </w:pPr>
      <w:r>
        <w:rPr>
          <w:rFonts w:ascii="Arial" w:cs="Arial" w:eastAsia="Arial" w:hAnsi="Arial"/>
          <w:sz w:val="20"/>
          <w:szCs w:val="20"/>
          <w:color w:val="auto"/>
        </w:rPr>
        <w:t>accelerated vesting of PSUs granted in 2022, as applicable. In connection with a CIC Termination (or upon the occurrence of a change of control where the PSUs are not continued, assumed or substituted by the acquirer), the performance-based vesting condition would be deemed satisfied at 100% of target, and the service-based condition would be deemed satisfied as of the later to occur of the closing date of the change in control or the CIC Termination. All values reported in this column are based on the closing price of our common stock of $38.15 per share on December 31, 2022.</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 Pay Ratio</w:t>
      </w:r>
    </w:p>
    <w:p>
      <w:pPr>
        <w:spacing w:after="0" w:line="251" w:lineRule="exact"/>
        <w:rPr>
          <w:sz w:val="20"/>
          <w:szCs w:val="20"/>
          <w:color w:val="auto"/>
        </w:rPr>
      </w:pPr>
    </w:p>
    <w:p>
      <w:pPr>
        <w:jc w:val="both"/>
        <w:ind w:right="180" w:firstLine="360"/>
        <w:spacing w:after="0" w:line="263" w:lineRule="auto"/>
        <w:rPr>
          <w:sz w:val="20"/>
          <w:szCs w:val="20"/>
          <w:color w:val="auto"/>
        </w:rPr>
      </w:pPr>
      <w:r>
        <w:rPr>
          <w:rFonts w:ascii="Arial" w:cs="Arial" w:eastAsia="Arial" w:hAnsi="Arial"/>
          <w:sz w:val="19"/>
          <w:szCs w:val="19"/>
          <w:color w:val="auto"/>
        </w:rPr>
        <w:t>Under the Dodd-Frank Wall Street Reform and Consumer Protection Act and SEC rules, we are required to provide a reasonable estimate of the ratio of the annual total compensation of Mr. Yoran, our Chief Executive Officer, to the median of the annual total compensation of our other employees.</w:t>
      </w: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In accordance with Instruction 2 to Item 402(u) of Regulation S-K under the Securities Act of 1933, as amended, because there has been no change in our employee population or employee compensation arrangements in the last year that we reasonably believe would result in a significant change to our pay ratio disclosure, we elected to utilize the same median employee we had identified in 2020 to calculate our 2022 CEO pay ratio. For our last completed year, which ended December 31, 2022:</w:t>
      </w:r>
    </w:p>
    <w:p>
      <w:pPr>
        <w:spacing w:after="0" w:line="199" w:lineRule="exact"/>
        <w:rPr>
          <w:sz w:val="20"/>
          <w:szCs w:val="20"/>
          <w:color w:val="auto"/>
        </w:rPr>
      </w:pPr>
    </w:p>
    <w:p>
      <w:pPr>
        <w:ind w:left="720" w:right="40" w:hanging="360"/>
        <w:spacing w:after="0" w:line="259" w:lineRule="auto"/>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median of the annual total compensation of all of our employees (other than Mr. Yoran), including employees of our consolidated subsidiaries, was approximately $198,142. This annual total compensation is calculated in accordance with Item 402(c)(2)(x) of Regulation S-K, and reflects, among other things, salary and bonus earned and aggregate “grant date fair value” of RSU awards granted during 2022.</w:t>
      </w:r>
    </w:p>
    <w:p>
      <w:pPr>
        <w:spacing w:after="0" w:line="199" w:lineRule="exact"/>
        <w:rPr>
          <w:rFonts w:ascii="Arial" w:cs="Arial" w:eastAsia="Arial" w:hAnsi="Arial"/>
          <w:sz w:val="20"/>
          <w:szCs w:val="20"/>
          <w:color w:val="auto"/>
        </w:rPr>
      </w:pPr>
    </w:p>
    <w:p>
      <w:pPr>
        <w:ind w:left="720" w:right="200" w:hanging="360"/>
        <w:spacing w:after="0" w:line="287" w:lineRule="auto"/>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Mr. Yoran's annual total compensation for 2022, as reported in the Summary Compensation Table included in this Proxy Statement, was $9,984,784.</w:t>
      </w:r>
    </w:p>
    <w:p>
      <w:pPr>
        <w:spacing w:after="0" w:line="169" w:lineRule="exact"/>
        <w:rPr>
          <w:rFonts w:ascii="Arial" w:cs="Arial" w:eastAsia="Arial" w:hAnsi="Arial"/>
          <w:sz w:val="20"/>
          <w:szCs w:val="20"/>
          <w:color w:val="auto"/>
        </w:rPr>
      </w:pPr>
    </w:p>
    <w:p>
      <w:pPr>
        <w:ind w:left="720" w:right="620" w:hanging="360"/>
        <w:spacing w:after="0" w:line="314" w:lineRule="auto"/>
        <w:tabs>
          <w:tab w:leader="none" w:pos="720" w:val="left"/>
        </w:tabs>
        <w:numPr>
          <w:ilvl w:val="0"/>
          <w:numId w:val="61"/>
        </w:numPr>
        <w:rPr>
          <w:rFonts w:ascii="Arial" w:cs="Arial" w:eastAsia="Arial" w:hAnsi="Arial"/>
          <w:sz w:val="19"/>
          <w:szCs w:val="19"/>
          <w:color w:val="auto"/>
        </w:rPr>
      </w:pPr>
      <w:r>
        <w:rPr>
          <w:rFonts w:ascii="Arial" w:cs="Arial" w:eastAsia="Arial" w:hAnsi="Arial"/>
          <w:sz w:val="19"/>
          <w:szCs w:val="19"/>
          <w:color w:val="auto"/>
        </w:rPr>
        <w:t>Based on the above, for 2022, the ratio of Mr. Yoran's annual total compensation to the median of the annual total compensation of all employees was approximately 50 to 1.</w:t>
      </w:r>
    </w:p>
    <w:p>
      <w:pPr>
        <w:spacing w:after="0" w:line="148" w:lineRule="exact"/>
        <w:rPr>
          <w:sz w:val="20"/>
          <w:szCs w:val="20"/>
          <w:color w:val="auto"/>
        </w:rPr>
      </w:pPr>
    </w:p>
    <w:p>
      <w:pPr>
        <w:ind w:right="20" w:firstLine="360"/>
        <w:spacing w:after="0" w:line="256" w:lineRule="auto"/>
        <w:rPr>
          <w:sz w:val="20"/>
          <w:szCs w:val="20"/>
          <w:color w:val="auto"/>
        </w:rPr>
      </w:pPr>
      <w:r>
        <w:rPr>
          <w:rFonts w:ascii="Arial" w:cs="Arial" w:eastAsia="Arial" w:hAnsi="Arial"/>
          <w:sz w:val="20"/>
          <w:szCs w:val="20"/>
          <w:color w:val="auto"/>
        </w:rPr>
        <w:t>This pay ratio is a reasonable estimate calculated in a manner consistent with Item 402(u) of Regulation S-K under the Securities Act of 1933, as amended, and applicable guidance and is based upon our reasonable judgment and assumptions. The SEC rules do not specify a single methodology for identification of the median employee or calculation of the pay ratio, and other companies may use assumptions and methodologies that are different from those used by us in calculating their pay ratio. Accordingly, the pay ratio disclosed by other companies, even companies within the same industry as us, may not be comparable to our pay ratio as disclosed above.</w:t>
      </w:r>
    </w:p>
    <w:p>
      <w:pPr>
        <w:spacing w:after="0" w:line="203" w:lineRule="exact"/>
        <w:rPr>
          <w:sz w:val="20"/>
          <w:szCs w:val="20"/>
          <w:color w:val="auto"/>
        </w:rPr>
      </w:pPr>
    </w:p>
    <w:p>
      <w:pPr>
        <w:ind w:right="320" w:firstLine="360"/>
        <w:spacing w:after="0" w:line="287" w:lineRule="auto"/>
        <w:rPr>
          <w:sz w:val="20"/>
          <w:szCs w:val="20"/>
          <w:color w:val="auto"/>
        </w:rPr>
      </w:pPr>
      <w:r>
        <w:rPr>
          <w:rFonts w:ascii="Arial" w:cs="Arial" w:eastAsia="Arial" w:hAnsi="Arial"/>
          <w:sz w:val="20"/>
          <w:szCs w:val="20"/>
          <w:color w:val="auto"/>
        </w:rPr>
        <w:t>The methodology, including any material assumptions, adjustments and estimates, we used to calculate identify the median employee and calculate the 2022 pay ratio is described below.</w:t>
      </w:r>
    </w:p>
    <w:p>
      <w:pPr>
        <w:spacing w:after="0" w:line="170" w:lineRule="exact"/>
        <w:rPr>
          <w:sz w:val="20"/>
          <w:szCs w:val="20"/>
          <w:color w:val="auto"/>
        </w:rPr>
      </w:pPr>
    </w:p>
    <w:p>
      <w:pPr>
        <w:ind w:left="720" w:right="20" w:hanging="360"/>
        <w:spacing w:after="0" w:line="254" w:lineRule="auto"/>
        <w:tabs>
          <w:tab w:leader="none" w:pos="7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For purposes of the pay ratio calculation, we included substantially all of our full-time, part-time and temporary employees globally as of December 31, 2020. As permitted by the SEC rules, we excluded 5% of our global employee population from the calculation by excluding all employees in a given jurisdiction located outside of the United States, starting with the jurisdiction that had the lowest number of employees as of December 31, 2020, and continuing to exclude all employees in jurisdictions with an increasingly greater number of employees as of such date until 5% of our total global employee population was excluded. We excluded these employees given the small number of employees in those jurisdictions and the estimated cost of obtaining their compensation information. As of December 31, 2020, our workforce consisted of 1,301 employees (including individuals employed by our</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880" w:h="15480" w:orient="portrait"/>
          <w:cols w:equalWidth="0" w:num="1">
            <w:col w:w="9000"/>
          </w:cols>
          <w:pgMar w:left="1440" w:top="1204" w:right="1440" w:bottom="0" w:gutter="0" w:footer="0" w:header="0"/>
          <w:type w:val="continuous"/>
        </w:sectPr>
      </w:pPr>
    </w:p>
    <w:bookmarkStart w:id="74" w:name="page75"/>
    <w:bookmarkEnd w:id="74"/>
    <w:p>
      <w:pPr>
        <w:ind w:left="720" w:right="120"/>
        <w:spacing w:after="0" w:line="262" w:lineRule="auto"/>
        <w:rPr>
          <w:sz w:val="20"/>
          <w:szCs w:val="20"/>
          <w:color w:val="auto"/>
        </w:rPr>
      </w:pPr>
      <w:r>
        <w:rPr>
          <w:rFonts w:ascii="Arial" w:cs="Arial" w:eastAsia="Arial" w:hAnsi="Arial"/>
          <w:sz w:val="20"/>
          <w:szCs w:val="20"/>
          <w:color w:val="auto"/>
        </w:rPr>
        <w:t>consolidated subsidiaries), 912 of whom were U.S. employees, and 389 (or approximately 30% of our total employee population as of December 31, 2020) were employees located outside of the United States, after excluding 66 employees located outside the United States via the methodology described above.</w:t>
      </w:r>
    </w:p>
    <w:p>
      <w:pPr>
        <w:spacing w:after="0" w:line="196" w:lineRule="exact"/>
        <w:rPr>
          <w:sz w:val="20"/>
          <w:szCs w:val="20"/>
          <w:color w:val="auto"/>
        </w:rPr>
      </w:pPr>
    </w:p>
    <w:p>
      <w:pPr>
        <w:ind w:left="720" w:right="20" w:hanging="360"/>
        <w:spacing w:after="0" w:line="253" w:lineRule="auto"/>
        <w:tabs>
          <w:tab w:leader="none" w:pos="7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To identify the median employee from the employee population described above, we determined the sum of each employee's (i) annual base salary as of December 31, 2020 (calculated as annual base pay using a reasonable estimate of hours worked during 2020 for hourly employees and using annual base salary for our remaining employees), plus (ii) earned annual cash incentive bonus or commission, as applicable, for 2020. Permanent employees who joined in 2020 were assumed to have worked for the entire year, and thus we annualized the pay of such new hires. This compensation measure was consistently applied to all employees included in the calculation and reasonably reflects the annual compensation of all of our employees. Compensation paid in foreign currency was converted to U.S. dollars using a spot exchange rate on December 31, 2020. In determining the median compensated employee, we did not make any cost of living adjustments to the compensation paid to any employee outside of the U.S.</w:t>
      </w:r>
    </w:p>
    <w:p>
      <w:pPr>
        <w:spacing w:after="0" w:line="210" w:lineRule="exact"/>
        <w:rPr>
          <w:rFonts w:ascii="Arial" w:cs="Arial" w:eastAsia="Arial" w:hAnsi="Arial"/>
          <w:sz w:val="20"/>
          <w:szCs w:val="20"/>
          <w:color w:val="auto"/>
        </w:rPr>
      </w:pPr>
    </w:p>
    <w:p>
      <w:pPr>
        <w:ind w:left="720" w:right="40" w:hanging="360"/>
        <w:spacing w:after="0" w:line="256" w:lineRule="auto"/>
        <w:tabs>
          <w:tab w:leader="none" w:pos="7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Once we identified our median employee, we calculated the median employee’s annual total compensation in accordance with the requirements of Item 402(c)(2)(x) of Regulation S-K, including for this purpose the aggregate grant date fair value of equity awards (as determined in accordance with footnote 1 of the 2022 Summary Compensation Table) granted in 2022, yielding the median annual total compensation disclosed above. With respect to Mr. Yoran's annual total compensation, we used the amount reported in the “Total” column of our 202 Summary Compensation Table.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 Versus Performance</w:t>
      </w:r>
    </w:p>
    <w:p>
      <w:pPr>
        <w:spacing w:after="0" w:line="251" w:lineRule="exact"/>
        <w:rPr>
          <w:sz w:val="20"/>
          <w:szCs w:val="20"/>
          <w:color w:val="auto"/>
        </w:rPr>
      </w:pPr>
    </w:p>
    <w:p>
      <w:pPr>
        <w:ind w:right="120" w:firstLine="360"/>
        <w:spacing w:after="0" w:line="265" w:lineRule="auto"/>
        <w:rPr>
          <w:sz w:val="20"/>
          <w:szCs w:val="20"/>
          <w:color w:val="auto"/>
        </w:rPr>
      </w:pPr>
      <w:r>
        <w:rPr>
          <w:rFonts w:ascii="Arial" w:cs="Arial" w:eastAsia="Arial" w:hAnsi="Arial"/>
          <w:sz w:val="20"/>
          <w:szCs w:val="20"/>
          <w:color w:val="auto"/>
        </w:rPr>
        <w:t>The disclosure included in this section is prescribed by SEC rules and does not necessarily align with how the Company or the Compensation Committee view the link between the Company’s</w:t>
      </w:r>
    </w:p>
    <w:p>
      <w:pPr>
        <w:spacing w:after="0" w:line="1" w:lineRule="exact"/>
        <w:rPr>
          <w:sz w:val="20"/>
          <w:szCs w:val="20"/>
          <w:color w:val="auto"/>
        </w:rPr>
      </w:pPr>
    </w:p>
    <w:p>
      <w:pPr>
        <w:ind w:right="100"/>
        <w:spacing w:after="0" w:line="278" w:lineRule="auto"/>
        <w:rPr>
          <w:sz w:val="20"/>
          <w:szCs w:val="20"/>
          <w:color w:val="auto"/>
        </w:rPr>
      </w:pPr>
      <w:r>
        <w:rPr>
          <w:rFonts w:ascii="Arial" w:cs="Arial" w:eastAsia="Arial" w:hAnsi="Arial"/>
          <w:sz w:val="20"/>
          <w:szCs w:val="20"/>
          <w:color w:val="auto"/>
        </w:rPr>
        <w:t>performance and NEO pay. For additional information about our pay-for-performance philosophy and how we align executive compensation with Company performance, refer to the Compensation Discussion and Analysis.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Pay Versus Performance Table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425"/>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Average</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4"/>
          </w:tcPr>
          <w:p>
            <w:pPr>
              <w:jc w:val="right"/>
              <w:ind w:right="271"/>
              <w:spacing w:after="0"/>
              <w:rPr>
                <w:sz w:val="20"/>
                <w:szCs w:val="20"/>
                <w:color w:val="auto"/>
              </w:rPr>
            </w:pPr>
            <w:r>
              <w:rPr>
                <w:rFonts w:ascii="Arial" w:cs="Arial" w:eastAsia="Arial" w:hAnsi="Arial"/>
                <w:sz w:val="12"/>
                <w:szCs w:val="12"/>
                <w:b w:val="1"/>
                <w:bCs w:val="1"/>
                <w:color w:val="auto"/>
              </w:rPr>
              <w:t>Value of Initial Fixed $100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60" w:type="dxa"/>
            <w:vAlign w:val="bottom"/>
            <w:gridSpan w:val="4"/>
          </w:tcPr>
          <w:p>
            <w:pPr>
              <w:jc w:val="right"/>
              <w:ind w:right="351"/>
              <w:spacing w:after="0" w:line="120" w:lineRule="exact"/>
              <w:rPr>
                <w:sz w:val="20"/>
                <w:szCs w:val="20"/>
                <w:color w:val="auto"/>
              </w:rPr>
            </w:pPr>
            <w:r>
              <w:rPr>
                <w:rFonts w:ascii="Arial" w:cs="Arial" w:eastAsia="Arial" w:hAnsi="Arial"/>
                <w:sz w:val="12"/>
                <w:szCs w:val="12"/>
                <w:b w:val="1"/>
                <w:bCs w:val="1"/>
                <w:color w:val="auto"/>
              </w:rPr>
              <w:t>Investment Based On:</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1000" w:type="dxa"/>
            <w:vAlign w:val="bottom"/>
            <w:vMerge w:val="restart"/>
          </w:tcPr>
          <w:p>
            <w:pPr>
              <w:jc w:val="center"/>
              <w:spacing w:after="0" w:line="105" w:lineRule="exact"/>
              <w:rPr>
                <w:sz w:val="20"/>
                <w:szCs w:val="20"/>
                <w:color w:val="auto"/>
              </w:rPr>
            </w:pPr>
            <w:r>
              <w:rPr>
                <w:rFonts w:ascii="Arial" w:cs="Arial" w:eastAsia="Arial" w:hAnsi="Arial"/>
                <w:sz w:val="12"/>
                <w:szCs w:val="12"/>
                <w:b w:val="1"/>
                <w:bCs w:val="1"/>
                <w:color w:val="auto"/>
              </w:rPr>
              <w:t>Summary</w:t>
            </w:r>
          </w:p>
        </w:tc>
        <w:tc>
          <w:tcPr>
            <w:tcW w:w="60" w:type="dxa"/>
            <w:vAlign w:val="bottom"/>
            <w:vMerge w:val="restart"/>
          </w:tcPr>
          <w:p>
            <w:pPr>
              <w:spacing w:after="0"/>
              <w:rPr>
                <w:sz w:val="3"/>
                <w:szCs w:val="3"/>
                <w:color w:val="auto"/>
              </w:rPr>
            </w:pPr>
          </w:p>
        </w:tc>
        <w:tc>
          <w:tcPr>
            <w:tcW w:w="1080" w:type="dxa"/>
            <w:vAlign w:val="bottom"/>
            <w:gridSpan w:val="2"/>
            <w:vMerge w:val="restart"/>
          </w:tcPr>
          <w:p>
            <w:pPr>
              <w:jc w:val="center"/>
              <w:ind w:right="60"/>
              <w:spacing w:after="0" w:line="105" w:lineRule="exact"/>
              <w:rPr>
                <w:sz w:val="20"/>
                <w:szCs w:val="20"/>
                <w:color w:val="auto"/>
              </w:rPr>
            </w:pPr>
            <w:r>
              <w:rPr>
                <w:rFonts w:ascii="Arial" w:cs="Arial" w:eastAsia="Arial" w:hAnsi="Arial"/>
                <w:sz w:val="12"/>
                <w:szCs w:val="12"/>
                <w:b w:val="1"/>
                <w:bCs w:val="1"/>
                <w:color w:val="auto"/>
                <w:w w:val="97"/>
              </w:rPr>
              <w:t>Average</w:t>
            </w: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520" w:type="dxa"/>
            <w:vAlign w:val="bottom"/>
          </w:tcPr>
          <w:p>
            <w:pPr>
              <w:spacing w:after="0"/>
              <w:rPr>
                <w:sz w:val="3"/>
                <w:szCs w:val="3"/>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Summary</w:t>
            </w: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restart"/>
          </w:tcPr>
          <w:p>
            <w:pPr>
              <w:jc w:val="center"/>
              <w:ind w:right="91"/>
              <w:spacing w:after="0"/>
              <w:rPr>
                <w:sz w:val="20"/>
                <w:szCs w:val="20"/>
                <w:color w:val="auto"/>
              </w:rPr>
            </w:pPr>
            <w:r>
              <w:rPr>
                <w:rFonts w:ascii="Arial" w:cs="Arial" w:eastAsia="Arial" w:hAnsi="Arial"/>
                <w:sz w:val="12"/>
                <w:szCs w:val="12"/>
                <w:b w:val="1"/>
                <w:bCs w:val="1"/>
                <w:color w:val="auto"/>
                <w:w w:val="97"/>
              </w:rPr>
              <w:t>Peer Group</w:t>
            </w: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5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Compensation</w:t>
            </w:r>
          </w:p>
        </w:tc>
        <w:tc>
          <w:tcPr>
            <w:tcW w:w="60" w:type="dxa"/>
            <w:vAlign w:val="bottom"/>
          </w:tcPr>
          <w:p>
            <w:pPr>
              <w:spacing w:after="0"/>
              <w:rPr>
                <w:sz w:val="10"/>
                <w:szCs w:val="10"/>
                <w:color w:val="auto"/>
              </w:rPr>
            </w:pPr>
          </w:p>
        </w:tc>
        <w:tc>
          <w:tcPr>
            <w:tcW w:w="10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Compensation</w:t>
            </w:r>
          </w:p>
        </w:tc>
        <w:tc>
          <w:tcPr>
            <w:tcW w:w="60" w:type="dxa"/>
            <w:vAlign w:val="bottom"/>
          </w:tcPr>
          <w:p>
            <w:pPr>
              <w:spacing w:after="0"/>
              <w:rPr>
                <w:sz w:val="10"/>
                <w:szCs w:val="10"/>
                <w:color w:val="auto"/>
              </w:rPr>
            </w:pPr>
          </w:p>
        </w:tc>
        <w:tc>
          <w:tcPr>
            <w:tcW w:w="1080" w:type="dxa"/>
            <w:vAlign w:val="bottom"/>
            <w:gridSpan w:val="2"/>
          </w:tcPr>
          <w:p>
            <w:pPr>
              <w:jc w:val="center"/>
              <w:ind w:right="60"/>
              <w:spacing w:after="0" w:line="120" w:lineRule="exact"/>
              <w:rPr>
                <w:sz w:val="20"/>
                <w:szCs w:val="20"/>
                <w:color w:val="auto"/>
              </w:rPr>
            </w:pPr>
            <w:r>
              <w:rPr>
                <w:rFonts w:ascii="Arial" w:cs="Arial" w:eastAsia="Arial" w:hAnsi="Arial"/>
                <w:sz w:val="12"/>
                <w:szCs w:val="12"/>
                <w:b w:val="1"/>
                <w:bCs w:val="1"/>
                <w:color w:val="auto"/>
                <w:w w:val="98"/>
              </w:rPr>
              <w:t>Compensation</w:t>
            </w:r>
          </w:p>
        </w:tc>
        <w:tc>
          <w:tcPr>
            <w:tcW w:w="140" w:type="dxa"/>
            <w:vAlign w:val="bottom"/>
          </w:tcPr>
          <w:p>
            <w:pPr>
              <w:spacing w:after="0"/>
              <w:rPr>
                <w:sz w:val="10"/>
                <w:szCs w:val="10"/>
                <w:color w:val="auto"/>
              </w:rPr>
            </w:pPr>
          </w:p>
        </w:tc>
        <w:tc>
          <w:tcPr>
            <w:tcW w:w="880" w:type="dxa"/>
            <w:vAlign w:val="bottom"/>
            <w:vMerge w:val="restart"/>
          </w:tcPr>
          <w:p>
            <w:pPr>
              <w:jc w:val="center"/>
              <w:ind w:right="93"/>
              <w:spacing w:after="0"/>
              <w:rPr>
                <w:sz w:val="20"/>
                <w:szCs w:val="20"/>
                <w:color w:val="auto"/>
              </w:rPr>
            </w:pPr>
            <w:r>
              <w:rPr>
                <w:rFonts w:ascii="Arial" w:cs="Arial" w:eastAsia="Arial" w:hAnsi="Arial"/>
                <w:sz w:val="12"/>
                <w:szCs w:val="12"/>
                <w:b w:val="1"/>
                <w:bCs w:val="1"/>
                <w:color w:val="auto"/>
                <w:w w:val="97"/>
              </w:rPr>
              <w:t>Total</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10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8"/>
              </w:rPr>
              <w:t>Compensation</w:t>
            </w:r>
          </w:p>
        </w:tc>
        <w:tc>
          <w:tcPr>
            <w:tcW w:w="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9"/>
              </w:rPr>
              <w:t>Table Total for</w:t>
            </w:r>
          </w:p>
        </w:tc>
        <w:tc>
          <w:tcPr>
            <w:tcW w:w="60" w:type="dxa"/>
            <w:vAlign w:val="bottom"/>
          </w:tcPr>
          <w:p>
            <w:pPr>
              <w:spacing w:after="0"/>
              <w:rPr>
                <w:sz w:val="10"/>
                <w:szCs w:val="10"/>
                <w:color w:val="auto"/>
              </w:rPr>
            </w:pPr>
          </w:p>
        </w:tc>
        <w:tc>
          <w:tcPr>
            <w:tcW w:w="1080" w:type="dxa"/>
            <w:vAlign w:val="bottom"/>
            <w:gridSpan w:val="2"/>
          </w:tcPr>
          <w:p>
            <w:pPr>
              <w:jc w:val="center"/>
              <w:ind w:right="60"/>
              <w:spacing w:after="0" w:line="120" w:lineRule="exact"/>
              <w:rPr>
                <w:sz w:val="20"/>
                <w:szCs w:val="20"/>
                <w:color w:val="auto"/>
              </w:rPr>
            </w:pPr>
            <w:r>
              <w:rPr>
                <w:rFonts w:ascii="Arial" w:cs="Arial" w:eastAsia="Arial" w:hAnsi="Arial"/>
                <w:sz w:val="12"/>
                <w:szCs w:val="12"/>
                <w:b w:val="1"/>
                <w:bCs w:val="1"/>
                <w:color w:val="auto"/>
                <w:w w:val="99"/>
              </w:rPr>
              <w:t>Actually Paid to</w:t>
            </w:r>
          </w:p>
        </w:tc>
        <w:tc>
          <w:tcPr>
            <w:tcW w:w="1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91"/>
              <w:spacing w:after="0" w:line="120" w:lineRule="exact"/>
              <w:rPr>
                <w:sz w:val="20"/>
                <w:szCs w:val="20"/>
                <w:color w:val="auto"/>
              </w:rPr>
            </w:pPr>
            <w:r>
              <w:rPr>
                <w:rFonts w:ascii="Arial" w:cs="Arial" w:eastAsia="Arial" w:hAnsi="Arial"/>
                <w:sz w:val="12"/>
                <w:szCs w:val="12"/>
                <w:b w:val="1"/>
                <w:bCs w:val="1"/>
                <w:color w:val="auto"/>
                <w:w w:val="97"/>
              </w:rPr>
              <w:t>Total</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2"/>
                <w:szCs w:val="12"/>
                <w:b w:val="1"/>
                <w:bCs w:val="1"/>
                <w:color w:val="auto"/>
              </w:rPr>
              <w:t>Net Loss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right"/>
              <w:ind w:right="128"/>
              <w:spacing w:after="0"/>
              <w:rPr>
                <w:sz w:val="20"/>
                <w:szCs w:val="20"/>
                <w:color w:val="auto"/>
              </w:rPr>
            </w:pPr>
            <w:r>
              <w:rPr>
                <w:rFonts w:ascii="Arial" w:cs="Arial" w:eastAsia="Arial" w:hAnsi="Arial"/>
                <w:sz w:val="12"/>
                <w:szCs w:val="12"/>
                <w:b w:val="1"/>
                <w:bCs w:val="1"/>
                <w:color w:val="auto"/>
                <w:w w:val="99"/>
              </w:rPr>
              <w:t>Revenue</w:t>
            </w:r>
            <w:r>
              <w:rPr>
                <w:rFonts w:ascii="Arial" w:cs="Arial" w:eastAsia="Arial" w:hAnsi="Arial"/>
                <w:sz w:val="15"/>
                <w:szCs w:val="15"/>
                <w:b w:val="1"/>
                <w:bCs w:val="1"/>
                <w:color w:val="auto"/>
                <w:w w:val="99"/>
                <w:vertAlign w:val="superscript"/>
              </w:rPr>
              <w:t>(7)</w:t>
            </w: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10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9"/>
              </w:rPr>
              <w:t>Table Total for</w:t>
            </w:r>
          </w:p>
        </w:tc>
        <w:tc>
          <w:tcPr>
            <w:tcW w:w="60" w:type="dxa"/>
            <w:vAlign w:val="bottom"/>
          </w:tcPr>
          <w:p>
            <w:pPr>
              <w:spacing w:after="0"/>
              <w:rPr>
                <w:sz w:val="10"/>
                <w:szCs w:val="10"/>
                <w:color w:val="auto"/>
              </w:rPr>
            </w:pPr>
          </w:p>
        </w:tc>
        <w:tc>
          <w:tcPr>
            <w:tcW w:w="10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9"/>
              </w:rPr>
              <w:t>Actually Paid to</w:t>
            </w:r>
          </w:p>
        </w:tc>
        <w:tc>
          <w:tcPr>
            <w:tcW w:w="60" w:type="dxa"/>
            <w:vAlign w:val="bottom"/>
          </w:tcPr>
          <w:p>
            <w:pPr>
              <w:spacing w:after="0"/>
              <w:rPr>
                <w:sz w:val="10"/>
                <w:szCs w:val="10"/>
                <w:color w:val="auto"/>
              </w:rPr>
            </w:pPr>
          </w:p>
        </w:tc>
        <w:tc>
          <w:tcPr>
            <w:tcW w:w="10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8"/>
              </w:rPr>
              <w:t>Non-PEO</w:t>
            </w:r>
          </w:p>
        </w:tc>
        <w:tc>
          <w:tcPr>
            <w:tcW w:w="60" w:type="dxa"/>
            <w:vAlign w:val="bottom"/>
          </w:tcPr>
          <w:p>
            <w:pPr>
              <w:spacing w:after="0"/>
              <w:rPr>
                <w:sz w:val="10"/>
                <w:szCs w:val="10"/>
                <w:color w:val="auto"/>
              </w:rPr>
            </w:pPr>
          </w:p>
        </w:tc>
        <w:tc>
          <w:tcPr>
            <w:tcW w:w="1080" w:type="dxa"/>
            <w:vAlign w:val="bottom"/>
            <w:gridSpan w:val="2"/>
          </w:tcPr>
          <w:p>
            <w:pPr>
              <w:jc w:val="center"/>
              <w:ind w:right="60"/>
              <w:spacing w:after="0" w:line="120" w:lineRule="exact"/>
              <w:rPr>
                <w:sz w:val="20"/>
                <w:szCs w:val="20"/>
                <w:color w:val="auto"/>
              </w:rPr>
            </w:pPr>
            <w:r>
              <w:rPr>
                <w:rFonts w:ascii="Arial" w:cs="Arial" w:eastAsia="Arial" w:hAnsi="Arial"/>
                <w:sz w:val="12"/>
                <w:szCs w:val="12"/>
                <w:b w:val="1"/>
                <w:bCs w:val="1"/>
                <w:color w:val="auto"/>
              </w:rPr>
              <w:t>Non-PEO</w:t>
            </w:r>
          </w:p>
        </w:tc>
        <w:tc>
          <w:tcPr>
            <w:tcW w:w="140" w:type="dxa"/>
            <w:vAlign w:val="bottom"/>
          </w:tcPr>
          <w:p>
            <w:pPr>
              <w:spacing w:after="0"/>
              <w:rPr>
                <w:sz w:val="10"/>
                <w:szCs w:val="10"/>
                <w:color w:val="auto"/>
              </w:rPr>
            </w:pPr>
          </w:p>
        </w:tc>
        <w:tc>
          <w:tcPr>
            <w:tcW w:w="880" w:type="dxa"/>
            <w:vAlign w:val="bottom"/>
          </w:tcPr>
          <w:p>
            <w:pPr>
              <w:jc w:val="center"/>
              <w:ind w:right="93"/>
              <w:spacing w:after="0" w:line="120" w:lineRule="exact"/>
              <w:rPr>
                <w:sz w:val="20"/>
                <w:szCs w:val="20"/>
                <w:color w:val="auto"/>
              </w:rPr>
            </w:pPr>
            <w:r>
              <w:rPr>
                <w:rFonts w:ascii="Arial" w:cs="Arial" w:eastAsia="Arial" w:hAnsi="Arial"/>
                <w:sz w:val="12"/>
                <w:szCs w:val="12"/>
                <w:b w:val="1"/>
                <w:bCs w:val="1"/>
                <w:color w:val="auto"/>
                <w:w w:val="97"/>
              </w:rPr>
              <w:t>Shareholder</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91"/>
              <w:spacing w:after="0" w:line="120" w:lineRule="exact"/>
              <w:rPr>
                <w:sz w:val="20"/>
                <w:szCs w:val="20"/>
                <w:color w:val="auto"/>
              </w:rPr>
            </w:pPr>
            <w:r>
              <w:rPr>
                <w:rFonts w:ascii="Arial" w:cs="Arial" w:eastAsia="Arial" w:hAnsi="Arial"/>
                <w:sz w:val="12"/>
                <w:szCs w:val="12"/>
                <w:b w:val="1"/>
                <w:bCs w:val="1"/>
                <w:color w:val="auto"/>
                <w:w w:val="97"/>
              </w:rPr>
              <w:t>Shareholder</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20" w:type="dxa"/>
            <w:vAlign w:val="bottom"/>
          </w:tcPr>
          <w:p>
            <w:pPr>
              <w:spacing w:after="0"/>
              <w:rPr>
                <w:sz w:val="14"/>
                <w:szCs w:val="14"/>
                <w:color w:val="auto"/>
              </w:rPr>
            </w:pPr>
          </w:p>
        </w:tc>
        <w:tc>
          <w:tcPr>
            <w:tcW w:w="1000" w:type="dxa"/>
            <w:vAlign w:val="bottom"/>
            <w:tcBorders>
              <w:bottom w:val="single" w:sz="8" w:color="auto"/>
            </w:tcBorders>
          </w:tcPr>
          <w:p>
            <w:pPr>
              <w:jc w:val="center"/>
              <w:spacing w:after="0" w:line="165" w:lineRule="exact"/>
              <w:rPr>
                <w:sz w:val="20"/>
                <w:szCs w:val="20"/>
                <w:color w:val="auto"/>
              </w:rPr>
            </w:pPr>
            <w:r>
              <w:rPr>
                <w:rFonts w:ascii="Arial" w:cs="Arial" w:eastAsia="Arial" w:hAnsi="Arial"/>
                <w:sz w:val="12"/>
                <w:szCs w:val="12"/>
                <w:b w:val="1"/>
                <w:bCs w:val="1"/>
                <w:color w:val="auto"/>
                <w:w w:val="90"/>
              </w:rPr>
              <w:t>PEO</w:t>
            </w:r>
            <w:r>
              <w:rPr>
                <w:rFonts w:ascii="Arial" w:cs="Arial" w:eastAsia="Arial" w:hAnsi="Arial"/>
                <w:sz w:val="15"/>
                <w:szCs w:val="15"/>
                <w:b w:val="1"/>
                <w:bCs w:val="1"/>
                <w:color w:val="auto"/>
                <w:w w:val="90"/>
                <w:vertAlign w:val="superscript"/>
              </w:rPr>
              <w:t>(1)</w:t>
            </w:r>
          </w:p>
        </w:tc>
        <w:tc>
          <w:tcPr>
            <w:tcW w:w="60" w:type="dxa"/>
            <w:vAlign w:val="bottom"/>
          </w:tcPr>
          <w:p>
            <w:pPr>
              <w:spacing w:after="0"/>
              <w:rPr>
                <w:sz w:val="14"/>
                <w:szCs w:val="14"/>
                <w:color w:val="auto"/>
              </w:rPr>
            </w:pPr>
          </w:p>
        </w:tc>
        <w:tc>
          <w:tcPr>
            <w:tcW w:w="1000" w:type="dxa"/>
            <w:vAlign w:val="bottom"/>
            <w:tcBorders>
              <w:bottom w:val="single" w:sz="8" w:color="auto"/>
            </w:tcBorders>
          </w:tcPr>
          <w:p>
            <w:pPr>
              <w:jc w:val="center"/>
              <w:spacing w:after="0" w:line="165" w:lineRule="exact"/>
              <w:rPr>
                <w:sz w:val="20"/>
                <w:szCs w:val="20"/>
                <w:color w:val="auto"/>
              </w:rPr>
            </w:pPr>
            <w:r>
              <w:rPr>
                <w:rFonts w:ascii="Arial" w:cs="Arial" w:eastAsia="Arial" w:hAnsi="Arial"/>
                <w:sz w:val="12"/>
                <w:szCs w:val="12"/>
                <w:b w:val="1"/>
                <w:bCs w:val="1"/>
                <w:color w:val="auto"/>
                <w:w w:val="95"/>
              </w:rPr>
              <w:t>PEO</w:t>
            </w:r>
            <w:r>
              <w:rPr>
                <w:rFonts w:ascii="Arial" w:cs="Arial" w:eastAsia="Arial" w:hAnsi="Arial"/>
                <w:sz w:val="15"/>
                <w:szCs w:val="15"/>
                <w:b w:val="1"/>
                <w:bCs w:val="1"/>
                <w:color w:val="auto"/>
                <w:w w:val="95"/>
                <w:vertAlign w:val="superscript"/>
              </w:rPr>
              <w:t>(2)</w:t>
            </w:r>
          </w:p>
        </w:tc>
        <w:tc>
          <w:tcPr>
            <w:tcW w:w="60" w:type="dxa"/>
            <w:vAlign w:val="bottom"/>
          </w:tcPr>
          <w:p>
            <w:pPr>
              <w:spacing w:after="0"/>
              <w:rPr>
                <w:sz w:val="14"/>
                <w:szCs w:val="14"/>
                <w:color w:val="auto"/>
              </w:rPr>
            </w:pPr>
          </w:p>
        </w:tc>
        <w:tc>
          <w:tcPr>
            <w:tcW w:w="1000" w:type="dxa"/>
            <w:vAlign w:val="bottom"/>
            <w:tcBorders>
              <w:bottom w:val="single" w:sz="8" w:color="auto"/>
            </w:tcBorders>
          </w:tcPr>
          <w:p>
            <w:pPr>
              <w:jc w:val="center"/>
              <w:spacing w:after="0" w:line="165" w:lineRule="exact"/>
              <w:rPr>
                <w:sz w:val="20"/>
                <w:szCs w:val="20"/>
                <w:color w:val="auto"/>
              </w:rPr>
            </w:pPr>
            <w:r>
              <w:rPr>
                <w:rFonts w:ascii="Arial" w:cs="Arial" w:eastAsia="Arial" w:hAnsi="Arial"/>
                <w:sz w:val="12"/>
                <w:szCs w:val="12"/>
                <w:b w:val="1"/>
                <w:bCs w:val="1"/>
                <w:color w:val="auto"/>
                <w:w w:val="93"/>
              </w:rPr>
              <w:t>NEOs</w:t>
            </w:r>
            <w:r>
              <w:rPr>
                <w:rFonts w:ascii="Arial" w:cs="Arial" w:eastAsia="Arial" w:hAnsi="Arial"/>
                <w:sz w:val="15"/>
                <w:szCs w:val="15"/>
                <w:b w:val="1"/>
                <w:bCs w:val="1"/>
                <w:color w:val="auto"/>
                <w:w w:val="93"/>
                <w:vertAlign w:val="superscript"/>
              </w:rPr>
              <w:t>(3)</w:t>
            </w:r>
          </w:p>
        </w:tc>
        <w:tc>
          <w:tcPr>
            <w:tcW w:w="60" w:type="dxa"/>
            <w:vAlign w:val="bottom"/>
          </w:tcPr>
          <w:p>
            <w:pPr>
              <w:spacing w:after="0"/>
              <w:rPr>
                <w:sz w:val="14"/>
                <w:szCs w:val="14"/>
                <w:color w:val="auto"/>
              </w:rPr>
            </w:pPr>
          </w:p>
        </w:tc>
        <w:tc>
          <w:tcPr>
            <w:tcW w:w="1020" w:type="dxa"/>
            <w:vAlign w:val="bottom"/>
            <w:tcBorders>
              <w:bottom w:val="single" w:sz="8" w:color="auto"/>
            </w:tcBorders>
          </w:tcPr>
          <w:p>
            <w:pPr>
              <w:jc w:val="center"/>
              <w:spacing w:after="0" w:line="165" w:lineRule="exact"/>
              <w:rPr>
                <w:sz w:val="20"/>
                <w:szCs w:val="20"/>
                <w:color w:val="auto"/>
              </w:rPr>
            </w:pPr>
            <w:r>
              <w:rPr>
                <w:rFonts w:ascii="Arial" w:cs="Arial" w:eastAsia="Arial" w:hAnsi="Arial"/>
                <w:sz w:val="12"/>
                <w:szCs w:val="12"/>
                <w:b w:val="1"/>
                <w:bCs w:val="1"/>
                <w:color w:val="auto"/>
                <w:w w:val="93"/>
              </w:rPr>
              <w:t>NEOs</w:t>
            </w:r>
            <w:r>
              <w:rPr>
                <w:rFonts w:ascii="Arial" w:cs="Arial" w:eastAsia="Arial" w:hAnsi="Arial"/>
                <w:sz w:val="15"/>
                <w:szCs w:val="15"/>
                <w:b w:val="1"/>
                <w:bCs w:val="1"/>
                <w:color w:val="auto"/>
                <w:w w:val="93"/>
                <w:vertAlign w:val="superscript"/>
              </w:rPr>
              <w:t>(4)</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3"/>
              <w:spacing w:after="0" w:line="165" w:lineRule="exact"/>
              <w:rPr>
                <w:sz w:val="20"/>
                <w:szCs w:val="20"/>
                <w:color w:val="auto"/>
              </w:rPr>
            </w:pPr>
            <w:r>
              <w:rPr>
                <w:rFonts w:ascii="Arial" w:cs="Arial" w:eastAsia="Arial" w:hAnsi="Arial"/>
                <w:sz w:val="12"/>
                <w:szCs w:val="12"/>
                <w:b w:val="1"/>
                <w:bCs w:val="1"/>
                <w:color w:val="auto"/>
                <w:w w:val="94"/>
              </w:rPr>
              <w:t>Return</w:t>
            </w:r>
            <w:r>
              <w:rPr>
                <w:rFonts w:ascii="Arial" w:cs="Arial" w:eastAsia="Arial" w:hAnsi="Arial"/>
                <w:sz w:val="15"/>
                <w:szCs w:val="15"/>
                <w:b w:val="1"/>
                <w:bCs w:val="1"/>
                <w:color w:val="auto"/>
                <w:w w:val="94"/>
                <w:vertAlign w:val="superscript"/>
              </w:rPr>
              <w:t>(5)</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1"/>
              <w:spacing w:after="0" w:line="165" w:lineRule="exact"/>
              <w:rPr>
                <w:sz w:val="20"/>
                <w:szCs w:val="20"/>
                <w:color w:val="auto"/>
              </w:rPr>
            </w:pPr>
            <w:r>
              <w:rPr>
                <w:rFonts w:ascii="Arial" w:cs="Arial" w:eastAsia="Arial" w:hAnsi="Arial"/>
                <w:sz w:val="12"/>
                <w:szCs w:val="12"/>
                <w:b w:val="1"/>
                <w:bCs w:val="1"/>
                <w:color w:val="auto"/>
                <w:w w:val="94"/>
              </w:rPr>
              <w:t>Return</w:t>
            </w:r>
            <w:r>
              <w:rPr>
                <w:rFonts w:ascii="Arial" w:cs="Arial" w:eastAsia="Arial" w:hAnsi="Arial"/>
                <w:sz w:val="15"/>
                <w:szCs w:val="15"/>
                <w:b w:val="1"/>
                <w:bCs w:val="1"/>
                <w:color w:val="auto"/>
                <w:w w:val="94"/>
                <w:vertAlign w:val="superscript"/>
              </w:rPr>
              <w:t>(6)</w:t>
            </w: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2"/>
                <w:szCs w:val="12"/>
                <w:b w:val="1"/>
                <w:bCs w:val="1"/>
                <w:color w:val="auto"/>
              </w:rPr>
              <w:t>(in 000s)</w:t>
            </w: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2"/>
                <w:szCs w:val="12"/>
                <w:b w:val="1"/>
                <w:bCs w:val="1"/>
                <w:color w:val="auto"/>
              </w:rPr>
              <w:t>(In 000s)</w:t>
            </w:r>
          </w:p>
        </w:tc>
        <w:tc>
          <w:tcPr>
            <w:tcW w:w="0" w:type="dxa"/>
            <w:vAlign w:val="bottom"/>
          </w:tcPr>
          <w:p>
            <w:pPr>
              <w:spacing w:after="0"/>
              <w:rPr>
                <w:sz w:val="1"/>
                <w:szCs w:val="1"/>
                <w:color w:val="auto"/>
              </w:rPr>
            </w:pPr>
          </w:p>
        </w:tc>
      </w:tr>
      <w:tr>
        <w:trPr>
          <w:trHeight w:val="298"/>
        </w:trPr>
        <w:tc>
          <w:tcPr>
            <w:tcW w:w="520" w:type="dxa"/>
            <w:vAlign w:val="bottom"/>
          </w:tcPr>
          <w:p>
            <w:pPr>
              <w:jc w:val="right"/>
              <w:spacing w:after="0"/>
              <w:rPr>
                <w:sz w:val="20"/>
                <w:szCs w:val="20"/>
                <w:color w:val="auto"/>
              </w:rPr>
            </w:pPr>
            <w:r>
              <w:rPr>
                <w:rFonts w:ascii="Arial" w:cs="Arial" w:eastAsia="Arial" w:hAnsi="Arial"/>
                <w:sz w:val="16"/>
                <w:szCs w:val="16"/>
                <w:color w:val="auto"/>
              </w:rPr>
              <w:t>2022</w:t>
            </w:r>
          </w:p>
        </w:tc>
        <w:tc>
          <w:tcPr>
            <w:tcW w:w="1000" w:type="dxa"/>
            <w:vAlign w:val="bottom"/>
          </w:tcPr>
          <w:p>
            <w:pPr>
              <w:jc w:val="right"/>
              <w:ind w:right="11"/>
              <w:spacing w:after="0"/>
              <w:rPr>
                <w:sz w:val="20"/>
                <w:szCs w:val="20"/>
                <w:color w:val="auto"/>
              </w:rPr>
            </w:pPr>
            <w:r>
              <w:rPr>
                <w:rFonts w:ascii="Arial" w:cs="Arial" w:eastAsia="Arial" w:hAnsi="Arial"/>
                <w:sz w:val="16"/>
                <w:szCs w:val="16"/>
                <w:color w:val="auto"/>
              </w:rPr>
              <w:t>$ 9,984,784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$ 2,495,451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$ 4,437,051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  (307,171)</w:t>
            </w:r>
          </w:p>
        </w:tc>
        <w:tc>
          <w:tcPr>
            <w:tcW w:w="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
              <w:spacing w:after="0"/>
              <w:rPr>
                <w:sz w:val="20"/>
                <w:szCs w:val="20"/>
                <w:color w:val="auto"/>
              </w:rPr>
            </w:pPr>
            <w:r>
              <w:rPr>
                <w:rFonts w:ascii="Arial" w:cs="Arial" w:eastAsia="Arial" w:hAnsi="Arial"/>
                <w:sz w:val="16"/>
                <w:szCs w:val="16"/>
                <w:color w:val="auto"/>
              </w:rPr>
              <w:t>159.22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
              <w:spacing w:after="0"/>
              <w:rPr>
                <w:sz w:val="20"/>
                <w:szCs w:val="20"/>
                <w:color w:val="auto"/>
              </w:rPr>
            </w:pPr>
            <w:r>
              <w:rPr>
                <w:rFonts w:ascii="Arial" w:cs="Arial" w:eastAsia="Arial" w:hAnsi="Arial"/>
                <w:sz w:val="16"/>
                <w:szCs w:val="16"/>
                <w:color w:val="auto"/>
              </w:rPr>
              <w:t>132.79</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(92,222)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683,191</w:t>
            </w:r>
          </w:p>
        </w:tc>
        <w:tc>
          <w:tcPr>
            <w:tcW w:w="0" w:type="dxa"/>
            <w:vAlign w:val="bottom"/>
          </w:tcPr>
          <w:p>
            <w:pPr>
              <w:spacing w:after="0"/>
              <w:rPr>
                <w:sz w:val="1"/>
                <w:szCs w:val="1"/>
                <w:color w:val="auto"/>
              </w:rPr>
            </w:pPr>
          </w:p>
        </w:tc>
      </w:tr>
      <w:tr>
        <w:trPr>
          <w:trHeight w:val="322"/>
        </w:trPr>
        <w:tc>
          <w:tcPr>
            <w:tcW w:w="520" w:type="dxa"/>
            <w:vAlign w:val="bottom"/>
            <w:shd w:val="clear" w:color="auto" w:fill="D2EDF0"/>
          </w:tcPr>
          <w:p>
            <w:pPr>
              <w:jc w:val="right"/>
              <w:spacing w:after="0"/>
              <w:rPr>
                <w:sz w:val="20"/>
                <w:szCs w:val="20"/>
                <w:color w:val="auto"/>
              </w:rPr>
            </w:pPr>
            <w:r>
              <w:rPr>
                <w:rFonts w:ascii="Arial" w:cs="Arial" w:eastAsia="Arial" w:hAnsi="Arial"/>
                <w:sz w:val="16"/>
                <w:szCs w:val="16"/>
                <w:color w:val="auto"/>
              </w:rPr>
              <w:t>2021</w:t>
            </w:r>
          </w:p>
        </w:tc>
        <w:tc>
          <w:tcPr>
            <w:tcW w:w="1000" w:type="dxa"/>
            <w:vAlign w:val="bottom"/>
            <w:shd w:val="clear" w:color="auto" w:fill="D2EDF0"/>
          </w:tcPr>
          <w:p>
            <w:pPr>
              <w:jc w:val="right"/>
              <w:ind w:right="11"/>
              <w:spacing w:after="0"/>
              <w:rPr>
                <w:sz w:val="20"/>
                <w:szCs w:val="20"/>
                <w:color w:val="auto"/>
              </w:rPr>
            </w:pPr>
            <w:r>
              <w:rPr>
                <w:rFonts w:ascii="Arial" w:cs="Arial" w:eastAsia="Arial" w:hAnsi="Arial"/>
                <w:sz w:val="16"/>
                <w:szCs w:val="16"/>
                <w:color w:val="auto"/>
              </w:rPr>
              <w:t>8,480,631</w:t>
            </w:r>
          </w:p>
        </w:tc>
        <w:tc>
          <w:tcPr>
            <w:tcW w:w="1060" w:type="dxa"/>
            <w:vAlign w:val="bottom"/>
            <w:gridSpan w:val="2"/>
            <w:shd w:val="clear" w:color="auto" w:fill="D2EDF0"/>
          </w:tcPr>
          <w:p>
            <w:pPr>
              <w:jc w:val="right"/>
              <w:spacing w:after="0"/>
              <w:rPr>
                <w:sz w:val="20"/>
                <w:szCs w:val="20"/>
                <w:color w:val="auto"/>
              </w:rPr>
            </w:pPr>
            <w:r>
              <w:rPr>
                <w:rFonts w:ascii="Arial" w:cs="Arial" w:eastAsia="Arial" w:hAnsi="Arial"/>
                <w:sz w:val="16"/>
                <w:szCs w:val="16"/>
                <w:color w:val="auto"/>
              </w:rPr>
              <w:t>9,080,956</w:t>
            </w:r>
          </w:p>
        </w:tc>
        <w:tc>
          <w:tcPr>
            <w:tcW w:w="1060" w:type="dxa"/>
            <w:vAlign w:val="bottom"/>
            <w:gridSpan w:val="2"/>
            <w:shd w:val="clear" w:color="auto" w:fill="D2EDF0"/>
          </w:tcPr>
          <w:p>
            <w:pPr>
              <w:jc w:val="right"/>
              <w:spacing w:after="0"/>
              <w:rPr>
                <w:sz w:val="20"/>
                <w:szCs w:val="20"/>
                <w:color w:val="auto"/>
              </w:rPr>
            </w:pPr>
            <w:r>
              <w:rPr>
                <w:rFonts w:ascii="Arial" w:cs="Arial" w:eastAsia="Arial" w:hAnsi="Arial"/>
                <w:sz w:val="16"/>
                <w:szCs w:val="16"/>
                <w:color w:val="auto"/>
              </w:rPr>
              <w:t>3,826,808</w:t>
            </w:r>
          </w:p>
        </w:tc>
        <w:tc>
          <w:tcPr>
            <w:tcW w:w="1080" w:type="dxa"/>
            <w:vAlign w:val="bottom"/>
            <w:gridSpan w:val="2"/>
            <w:shd w:val="clear" w:color="auto" w:fill="D2EDF0"/>
          </w:tcPr>
          <w:p>
            <w:pPr>
              <w:jc w:val="right"/>
              <w:ind w:right="20"/>
              <w:spacing w:after="0"/>
              <w:rPr>
                <w:sz w:val="20"/>
                <w:szCs w:val="20"/>
                <w:color w:val="auto"/>
              </w:rPr>
            </w:pPr>
            <w:r>
              <w:rPr>
                <w:rFonts w:ascii="Arial" w:cs="Arial" w:eastAsia="Arial" w:hAnsi="Arial"/>
                <w:sz w:val="16"/>
                <w:szCs w:val="16"/>
                <w:color w:val="auto"/>
              </w:rPr>
              <w:t>3,777,785</w:t>
            </w:r>
          </w:p>
        </w:tc>
        <w:tc>
          <w:tcPr>
            <w:tcW w:w="60" w:type="dxa"/>
            <w:vAlign w:val="bottom"/>
            <w:shd w:val="clear" w:color="auto" w:fill="D2EDF0"/>
          </w:tcPr>
          <w:p>
            <w:pPr>
              <w:spacing w:after="0"/>
              <w:rPr>
                <w:sz w:val="24"/>
                <w:szCs w:val="24"/>
                <w:color w:val="auto"/>
              </w:rPr>
            </w:pPr>
          </w:p>
        </w:tc>
        <w:tc>
          <w:tcPr>
            <w:tcW w:w="14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16"/>
                <w:szCs w:val="16"/>
                <w:color w:val="auto"/>
              </w:rPr>
              <w:t>229.84</w:t>
            </w:r>
          </w:p>
        </w:tc>
        <w:tc>
          <w:tcPr>
            <w:tcW w:w="60" w:type="dxa"/>
            <w:vAlign w:val="bottom"/>
            <w:shd w:val="clear" w:color="auto" w:fill="D2EDF0"/>
          </w:tcPr>
          <w:p>
            <w:pPr>
              <w:spacing w:after="0"/>
              <w:rPr>
                <w:sz w:val="24"/>
                <w:szCs w:val="24"/>
                <w:color w:val="auto"/>
              </w:rPr>
            </w:pPr>
          </w:p>
        </w:tc>
        <w:tc>
          <w:tcPr>
            <w:tcW w:w="14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16"/>
                <w:szCs w:val="16"/>
                <w:color w:val="auto"/>
              </w:rPr>
              <w:t>206.76</w:t>
            </w:r>
          </w:p>
        </w:tc>
        <w:tc>
          <w:tcPr>
            <w:tcW w:w="60" w:type="dxa"/>
            <w:vAlign w:val="bottom"/>
            <w:shd w:val="clear" w:color="auto" w:fill="D2EDF0"/>
          </w:tcPr>
          <w:p>
            <w:pPr>
              <w:spacing w:after="0"/>
              <w:rPr>
                <w:sz w:val="24"/>
                <w:szCs w:val="24"/>
                <w:color w:val="auto"/>
              </w:rPr>
            </w:pPr>
          </w:p>
        </w:tc>
        <w:tc>
          <w:tcPr>
            <w:tcW w:w="180" w:type="dxa"/>
            <w:vAlign w:val="bottom"/>
            <w:shd w:val="clear" w:color="auto" w:fill="D2EDF0"/>
          </w:tcPr>
          <w:p>
            <w:pPr>
              <w:spacing w:after="0"/>
              <w:rPr>
                <w:sz w:val="24"/>
                <w:szCs w:val="24"/>
                <w:color w:val="auto"/>
              </w:rPr>
            </w:pPr>
          </w:p>
        </w:tc>
        <w:tc>
          <w:tcPr>
            <w:tcW w:w="820" w:type="dxa"/>
            <w:vAlign w:val="bottom"/>
            <w:shd w:val="clear" w:color="auto" w:fill="D2EDF0"/>
          </w:tcPr>
          <w:p>
            <w:pPr>
              <w:jc w:val="right"/>
              <w:spacing w:after="0"/>
              <w:rPr>
                <w:sz w:val="20"/>
                <w:szCs w:val="20"/>
                <w:color w:val="auto"/>
              </w:rPr>
            </w:pPr>
            <w:r>
              <w:rPr>
                <w:rFonts w:ascii="Arial" w:cs="Arial" w:eastAsia="Arial" w:hAnsi="Arial"/>
                <w:sz w:val="16"/>
                <w:szCs w:val="16"/>
                <w:color w:val="auto"/>
              </w:rPr>
              <w:t>(46,677)</w:t>
            </w:r>
          </w:p>
        </w:tc>
        <w:tc>
          <w:tcPr>
            <w:tcW w:w="60" w:type="dxa"/>
            <w:vAlign w:val="bottom"/>
            <w:shd w:val="clear" w:color="auto" w:fill="D2EDF0"/>
          </w:tcPr>
          <w:p>
            <w:pPr>
              <w:spacing w:after="0"/>
              <w:rPr>
                <w:sz w:val="24"/>
                <w:szCs w:val="24"/>
                <w:color w:val="auto"/>
              </w:rPr>
            </w:pPr>
          </w:p>
        </w:tc>
        <w:tc>
          <w:tcPr>
            <w:tcW w:w="160" w:type="dxa"/>
            <w:vAlign w:val="bottom"/>
            <w:shd w:val="clear" w:color="auto" w:fill="D2EDF0"/>
          </w:tcPr>
          <w:p>
            <w:pPr>
              <w:spacing w:after="0"/>
              <w:rPr>
                <w:sz w:val="24"/>
                <w:szCs w:val="24"/>
                <w:color w:val="auto"/>
              </w:rPr>
            </w:pPr>
          </w:p>
        </w:tc>
        <w:tc>
          <w:tcPr>
            <w:tcW w:w="840" w:type="dxa"/>
            <w:vAlign w:val="bottom"/>
            <w:shd w:val="clear" w:color="auto" w:fill="D2EDF0"/>
          </w:tcPr>
          <w:p>
            <w:pPr>
              <w:jc w:val="right"/>
              <w:spacing w:after="0"/>
              <w:rPr>
                <w:sz w:val="20"/>
                <w:szCs w:val="20"/>
                <w:color w:val="auto"/>
              </w:rPr>
            </w:pPr>
            <w:r>
              <w:rPr>
                <w:rFonts w:ascii="Arial" w:cs="Arial" w:eastAsia="Arial" w:hAnsi="Arial"/>
                <w:sz w:val="16"/>
                <w:szCs w:val="16"/>
                <w:color w:val="auto"/>
              </w:rPr>
              <w:t>541,130</w:t>
            </w:r>
          </w:p>
        </w:tc>
        <w:tc>
          <w:tcPr>
            <w:tcW w:w="0" w:type="dxa"/>
            <w:vAlign w:val="bottom"/>
          </w:tcPr>
          <w:p>
            <w:pPr>
              <w:spacing w:after="0"/>
              <w:rPr>
                <w:sz w:val="1"/>
                <w:szCs w:val="1"/>
                <w:color w:val="auto"/>
              </w:rPr>
            </w:pPr>
          </w:p>
        </w:tc>
      </w:tr>
      <w:tr>
        <w:trPr>
          <w:trHeight w:val="301"/>
        </w:trPr>
        <w:tc>
          <w:tcPr>
            <w:tcW w:w="520" w:type="dxa"/>
            <w:vAlign w:val="bottom"/>
          </w:tcPr>
          <w:p>
            <w:pPr>
              <w:jc w:val="right"/>
              <w:spacing w:after="0"/>
              <w:rPr>
                <w:sz w:val="20"/>
                <w:szCs w:val="20"/>
                <w:color w:val="auto"/>
              </w:rPr>
            </w:pPr>
            <w:r>
              <w:rPr>
                <w:rFonts w:ascii="Arial" w:cs="Arial" w:eastAsia="Arial" w:hAnsi="Arial"/>
                <w:sz w:val="16"/>
                <w:szCs w:val="16"/>
                <w:color w:val="auto"/>
              </w:rPr>
              <w:t>2020</w:t>
            </w:r>
          </w:p>
        </w:tc>
        <w:tc>
          <w:tcPr>
            <w:tcW w:w="1000" w:type="dxa"/>
            <w:vAlign w:val="bottom"/>
          </w:tcPr>
          <w:p>
            <w:pPr>
              <w:jc w:val="right"/>
              <w:ind w:right="11"/>
              <w:spacing w:after="0"/>
              <w:rPr>
                <w:sz w:val="20"/>
                <w:szCs w:val="20"/>
                <w:color w:val="auto"/>
              </w:rPr>
            </w:pPr>
            <w:r>
              <w:rPr>
                <w:rFonts w:ascii="Arial" w:cs="Arial" w:eastAsia="Arial" w:hAnsi="Arial"/>
                <w:sz w:val="16"/>
                <w:szCs w:val="16"/>
                <w:color w:val="auto"/>
              </w:rPr>
              <w:t>7,450,968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42,535,471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3,483,987</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12,993,389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218.11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149.98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(42,731)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440,221</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ind w:right="60"/>
        <w:spacing w:after="0" w:line="268" w:lineRule="auto"/>
        <w:tabs>
          <w:tab w:leader="none" w:pos="7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dollar amounts are the total compensation reported for Mr. Yoran (our principal executive officer, or PEO) for each corresponding year in the “Total” column of the Summary Compensation Table. Refer to “Executive Compensation – Summary Compensation Table.”</w:t>
      </w:r>
    </w:p>
    <w:p>
      <w:pPr>
        <w:spacing w:after="0" w:line="189" w:lineRule="exact"/>
        <w:rPr>
          <w:rFonts w:ascii="Arial" w:cs="Arial" w:eastAsia="Arial" w:hAnsi="Arial"/>
          <w:sz w:val="20"/>
          <w:szCs w:val="20"/>
          <w:color w:val="auto"/>
        </w:rPr>
      </w:pPr>
    </w:p>
    <w:p>
      <w:pPr>
        <w:ind w:right="120"/>
        <w:spacing w:after="0" w:line="314" w:lineRule="auto"/>
        <w:tabs>
          <w:tab w:leader="none" w:pos="7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Compensation actually paid to Mr. Yoran does not reflect the actual amount of compensation earned by or paid. In accordance with the requirements of Item 402(v) of Regulation S-K, the</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880" w:h="15480" w:orient="portrait"/>
          <w:cols w:equalWidth="0" w:num="1">
            <w:col w:w="9000"/>
          </w:cols>
          <w:pgMar w:left="1440" w:top="1204" w:right="1440" w:bottom="0" w:gutter="0" w:footer="0" w:header="0"/>
          <w:type w:val="continuous"/>
        </w:sectPr>
      </w:pPr>
    </w:p>
    <w:bookmarkStart w:id="75" w:name="page76"/>
    <w:bookmarkEnd w:id="75"/>
    <w:p>
      <w:pPr>
        <w:ind w:right="320"/>
        <w:spacing w:after="0" w:line="287" w:lineRule="auto"/>
        <w:rPr>
          <w:sz w:val="20"/>
          <w:szCs w:val="20"/>
          <w:color w:val="auto"/>
        </w:rPr>
      </w:pPr>
      <w:r>
        <w:rPr>
          <w:rFonts w:ascii="Arial" w:cs="Arial" w:eastAsia="Arial" w:hAnsi="Arial"/>
          <w:sz w:val="20"/>
          <w:szCs w:val="20"/>
          <w:color w:val="auto"/>
        </w:rPr>
        <w:t>following adjustments were made to Mr. Yoran’s total compensation for each year to determine the compensation actually paid: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6"/>
                <w:szCs w:val="16"/>
                <w:b w:val="1"/>
                <w:bCs w:val="1"/>
                <w:color w:val="auto"/>
              </w:rPr>
              <w:t>Equity Award Adjustments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9"/>
              </w:rPr>
              <w:t>Year over Year</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Year over Year</w:t>
            </w: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Change in Fair</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center"/>
              <w:ind w:right="76"/>
              <w:spacing w:after="0"/>
              <w:rPr>
                <w:sz w:val="20"/>
                <w:szCs w:val="20"/>
                <w:color w:val="auto"/>
              </w:rPr>
            </w:pPr>
            <w:r>
              <w:rPr>
                <w:rFonts w:ascii="Arial" w:cs="Arial" w:eastAsia="Arial" w:hAnsi="Arial"/>
                <w:sz w:val="16"/>
                <w:szCs w:val="16"/>
                <w:b w:val="1"/>
                <w:bCs w:val="1"/>
                <w:color w:val="auto"/>
                <w:w w:val="98"/>
              </w:rPr>
              <w:t>Year End Fair</w:t>
            </w:r>
          </w:p>
        </w:tc>
        <w:tc>
          <w:tcPr>
            <w:tcW w:w="6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Value of Equity</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center"/>
              <w:ind w:right="134"/>
              <w:spacing w:after="0"/>
              <w:rPr>
                <w:sz w:val="20"/>
                <w:szCs w:val="20"/>
                <w:color w:val="auto"/>
              </w:rPr>
            </w:pPr>
            <w:r>
              <w:rPr>
                <w:rFonts w:ascii="Arial" w:cs="Arial" w:eastAsia="Arial" w:hAnsi="Arial"/>
                <w:sz w:val="16"/>
                <w:szCs w:val="16"/>
                <w:b w:val="1"/>
                <w:bCs w:val="1"/>
                <w:color w:val="auto"/>
                <w:w w:val="98"/>
              </w:rPr>
              <w:t>Summary</w:t>
            </w: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Change in Fair</w:t>
            </w: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Awards</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jc w:val="center"/>
              <w:ind w:right="174"/>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0"/>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2"/>
            <w:vMerge w:val="restart"/>
          </w:tcPr>
          <w:p>
            <w:pPr>
              <w:jc w:val="center"/>
              <w:ind w:right="40"/>
              <w:spacing w:after="0"/>
              <w:rPr>
                <w:sz w:val="20"/>
                <w:szCs w:val="20"/>
                <w:color w:val="auto"/>
              </w:rPr>
            </w:pPr>
            <w:r>
              <w:rPr>
                <w:rFonts w:ascii="Arial" w:cs="Arial" w:eastAsia="Arial" w:hAnsi="Arial"/>
                <w:sz w:val="16"/>
                <w:szCs w:val="16"/>
                <w:b w:val="1"/>
                <w:bCs w:val="1"/>
                <w:color w:val="auto"/>
                <w:w w:val="99"/>
              </w:rPr>
              <w:t>Less: Reported</w:t>
            </w:r>
          </w:p>
        </w:tc>
        <w:tc>
          <w:tcPr>
            <w:tcW w:w="134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98"/>
              </w:rPr>
              <w:t>Value of Equity</w:t>
            </w:r>
          </w:p>
        </w:tc>
        <w:tc>
          <w:tcPr>
            <w:tcW w:w="60" w:type="dxa"/>
            <w:vAlign w:val="bottom"/>
          </w:tcPr>
          <w:p>
            <w:pPr>
              <w:spacing w:after="0"/>
              <w:rPr>
                <w:sz w:val="13"/>
                <w:szCs w:val="13"/>
                <w:color w:val="auto"/>
              </w:rPr>
            </w:pPr>
          </w:p>
        </w:tc>
        <w:tc>
          <w:tcPr>
            <w:tcW w:w="13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9"/>
              </w:rPr>
              <w:t>Value of</w:t>
            </w: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Granted in Prior</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0" w:type="dxa"/>
            <w:vAlign w:val="bottom"/>
          </w:tcPr>
          <w:p>
            <w:pPr>
              <w:spacing w:after="0"/>
              <w:rPr>
                <w:sz w:val="13"/>
                <w:szCs w:val="13"/>
                <w:color w:val="auto"/>
              </w:rPr>
            </w:pPr>
          </w:p>
        </w:tc>
        <w:tc>
          <w:tcPr>
            <w:tcW w:w="132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rPr>
              <w:t>Compensation</w:t>
            </w:r>
          </w:p>
        </w:tc>
        <w:tc>
          <w:tcPr>
            <w:tcW w:w="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76"/>
              <w:spacing w:after="0" w:line="160" w:lineRule="exact"/>
              <w:rPr>
                <w:sz w:val="20"/>
                <w:szCs w:val="20"/>
                <w:color w:val="auto"/>
              </w:rPr>
            </w:pPr>
            <w:r>
              <w:rPr>
                <w:rFonts w:ascii="Arial" w:cs="Arial" w:eastAsia="Arial" w:hAnsi="Arial"/>
                <w:sz w:val="16"/>
                <w:szCs w:val="16"/>
                <w:b w:val="1"/>
                <w:bCs w:val="1"/>
                <w:color w:val="auto"/>
              </w:rPr>
              <w:t>Awards</w:t>
            </w:r>
          </w:p>
        </w:tc>
        <w:tc>
          <w:tcPr>
            <w:tcW w:w="60" w:type="dxa"/>
            <w:vAlign w:val="bottom"/>
          </w:tcPr>
          <w:p>
            <w:pPr>
              <w:spacing w:after="0"/>
              <w:rPr>
                <w:sz w:val="13"/>
                <w:szCs w:val="13"/>
                <w:color w:val="auto"/>
              </w:rPr>
            </w:pPr>
          </w:p>
        </w:tc>
        <w:tc>
          <w:tcPr>
            <w:tcW w:w="13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9"/>
              </w:rPr>
              <w:t>Outstanding</w:t>
            </w: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8"/>
              </w:rPr>
              <w:t>Years that</w:t>
            </w:r>
          </w:p>
        </w:tc>
        <w:tc>
          <w:tcPr>
            <w:tcW w:w="60" w:type="dxa"/>
            <w:vAlign w:val="bottom"/>
          </w:tcPr>
          <w:p>
            <w:pPr>
              <w:spacing w:after="0"/>
              <w:rPr>
                <w:sz w:val="13"/>
                <w:szCs w:val="13"/>
                <w:color w:val="auto"/>
              </w:rPr>
            </w:pPr>
          </w:p>
        </w:tc>
        <w:tc>
          <w:tcPr>
            <w:tcW w:w="134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98"/>
              </w:rPr>
              <w:t>Compensation</w:t>
            </w:r>
          </w:p>
        </w:tc>
        <w:tc>
          <w:tcPr>
            <w:tcW w:w="0" w:type="dxa"/>
            <w:vAlign w:val="bottom"/>
          </w:tcPr>
          <w:p>
            <w:pPr>
              <w:spacing w:after="0"/>
              <w:rPr>
                <w:sz w:val="1"/>
                <w:szCs w:val="1"/>
                <w:color w:val="auto"/>
              </w:rPr>
            </w:pPr>
          </w:p>
        </w:tc>
      </w:tr>
      <w:tr>
        <w:trPr>
          <w:trHeight w:val="160"/>
        </w:trPr>
        <w:tc>
          <w:tcPr>
            <w:tcW w:w="640" w:type="dxa"/>
            <w:vAlign w:val="bottom"/>
          </w:tcPr>
          <w:p>
            <w:pPr>
              <w:spacing w:after="0"/>
              <w:rPr>
                <w:sz w:val="13"/>
                <w:szCs w:val="13"/>
                <w:color w:val="auto"/>
              </w:rPr>
            </w:pPr>
          </w:p>
        </w:tc>
        <w:tc>
          <w:tcPr>
            <w:tcW w:w="132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99"/>
              </w:rPr>
              <w:t>Table Total for</w:t>
            </w:r>
          </w:p>
        </w:tc>
        <w:tc>
          <w:tcPr>
            <w:tcW w:w="60" w:type="dxa"/>
            <w:vAlign w:val="bottom"/>
          </w:tcPr>
          <w:p>
            <w:pPr>
              <w:spacing w:after="0"/>
              <w:rPr>
                <w:sz w:val="13"/>
                <w:szCs w:val="13"/>
                <w:color w:val="auto"/>
              </w:rPr>
            </w:pPr>
          </w:p>
        </w:tc>
        <w:tc>
          <w:tcPr>
            <w:tcW w:w="1400" w:type="dxa"/>
            <w:vAlign w:val="bottom"/>
            <w:gridSpan w:val="2"/>
          </w:tcPr>
          <w:p>
            <w:pPr>
              <w:jc w:val="center"/>
              <w:ind w:right="40"/>
              <w:spacing w:after="0" w:line="160" w:lineRule="exact"/>
              <w:rPr>
                <w:sz w:val="20"/>
                <w:szCs w:val="20"/>
                <w:color w:val="auto"/>
              </w:rPr>
            </w:pPr>
            <w:r>
              <w:rPr>
                <w:rFonts w:ascii="Arial" w:cs="Arial" w:eastAsia="Arial" w:hAnsi="Arial"/>
                <w:sz w:val="16"/>
                <w:szCs w:val="16"/>
                <w:b w:val="1"/>
                <w:bCs w:val="1"/>
                <w:color w:val="auto"/>
              </w:rPr>
              <w:t>Value of Equity</w:t>
            </w:r>
          </w:p>
        </w:tc>
        <w:tc>
          <w:tcPr>
            <w:tcW w:w="134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99"/>
              </w:rPr>
              <w:t>Granted in the</w:t>
            </w:r>
          </w:p>
        </w:tc>
        <w:tc>
          <w:tcPr>
            <w:tcW w:w="60" w:type="dxa"/>
            <w:vAlign w:val="bottom"/>
          </w:tcPr>
          <w:p>
            <w:pPr>
              <w:spacing w:after="0"/>
              <w:rPr>
                <w:sz w:val="13"/>
                <w:szCs w:val="13"/>
                <w:color w:val="auto"/>
              </w:rPr>
            </w:pPr>
          </w:p>
        </w:tc>
        <w:tc>
          <w:tcPr>
            <w:tcW w:w="13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9"/>
              </w:rPr>
              <w:t>and Unvested</w:t>
            </w: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rPr>
              <w:t>Vested in the</w:t>
            </w:r>
          </w:p>
        </w:tc>
        <w:tc>
          <w:tcPr>
            <w:tcW w:w="60" w:type="dxa"/>
            <w:vAlign w:val="bottom"/>
          </w:tcPr>
          <w:p>
            <w:pPr>
              <w:spacing w:after="0"/>
              <w:rPr>
                <w:sz w:val="13"/>
                <w:szCs w:val="13"/>
                <w:color w:val="auto"/>
              </w:rPr>
            </w:pPr>
          </w:p>
        </w:tc>
        <w:tc>
          <w:tcPr>
            <w:tcW w:w="1340" w:type="dxa"/>
            <w:vAlign w:val="bottom"/>
            <w:gridSpan w:val="2"/>
          </w:tcPr>
          <w:p>
            <w:pPr>
              <w:jc w:val="center"/>
              <w:spacing w:after="0" w:line="160" w:lineRule="exact"/>
              <w:rPr>
                <w:sz w:val="20"/>
                <w:szCs w:val="20"/>
                <w:color w:val="auto"/>
              </w:rPr>
            </w:pPr>
            <w:r>
              <w:rPr>
                <w:rFonts w:ascii="Arial" w:cs="Arial" w:eastAsia="Arial" w:hAnsi="Arial"/>
                <w:sz w:val="16"/>
                <w:szCs w:val="16"/>
                <w:b w:val="1"/>
                <w:bCs w:val="1"/>
                <w:color w:val="auto"/>
                <w:w w:val="99"/>
              </w:rPr>
              <w:t>Actually Paid to</w:t>
            </w:r>
          </w:p>
        </w:tc>
        <w:tc>
          <w:tcPr>
            <w:tcW w:w="0" w:type="dxa"/>
            <w:vAlign w:val="bottom"/>
          </w:tcPr>
          <w:p>
            <w:pPr>
              <w:spacing w:after="0"/>
              <w:rPr>
                <w:sz w:val="1"/>
                <w:szCs w:val="1"/>
                <w:color w:val="auto"/>
              </w:rPr>
            </w:pPr>
          </w:p>
        </w:tc>
      </w:tr>
      <w:tr>
        <w:trPr>
          <w:trHeight w:val="214"/>
        </w:trPr>
        <w:tc>
          <w:tcPr>
            <w:tcW w:w="640" w:type="dxa"/>
            <w:vAlign w:val="bottom"/>
            <w:tcBorders>
              <w:bottom w:val="single" w:sz="8" w:color="D2EDF0"/>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54"/>
              <w:spacing w:after="0"/>
              <w:rPr>
                <w:sz w:val="20"/>
                <w:szCs w:val="20"/>
                <w:color w:val="auto"/>
              </w:rPr>
            </w:pPr>
            <w:r>
              <w:rPr>
                <w:rFonts w:ascii="Arial" w:cs="Arial" w:eastAsia="Arial" w:hAnsi="Arial"/>
                <w:sz w:val="16"/>
                <w:szCs w:val="16"/>
                <w:b w:val="1"/>
                <w:bCs w:val="1"/>
                <w:color w:val="auto"/>
              </w:rPr>
              <w:t>PEO</w:t>
            </w:r>
          </w:p>
        </w:tc>
        <w:tc>
          <w:tcPr>
            <w:tcW w:w="60" w:type="dxa"/>
            <w:vAlign w:val="bottom"/>
            <w:tcBorders>
              <w:bottom w:val="single" w:sz="8" w:color="D2EDF0"/>
            </w:tcBorders>
          </w:tcPr>
          <w:p>
            <w:pPr>
              <w:spacing w:after="0"/>
              <w:rPr>
                <w:sz w:val="18"/>
                <w:szCs w:val="18"/>
                <w:color w:val="auto"/>
              </w:rPr>
            </w:pPr>
          </w:p>
        </w:tc>
        <w:tc>
          <w:tcPr>
            <w:tcW w:w="1340" w:type="dxa"/>
            <w:vAlign w:val="bottom"/>
            <w:tcBorders>
              <w:bottom w:val="single" w:sz="8" w:color="auto"/>
            </w:tcBorders>
          </w:tcPr>
          <w:p>
            <w:pPr>
              <w:jc w:val="center"/>
              <w:spacing w:after="0" w:line="213" w:lineRule="exact"/>
              <w:rPr>
                <w:sz w:val="20"/>
                <w:szCs w:val="20"/>
                <w:color w:val="auto"/>
              </w:rPr>
            </w:pPr>
            <w:r>
              <w:rPr>
                <w:rFonts w:ascii="Arial" w:cs="Arial" w:eastAsia="Arial" w:hAnsi="Arial"/>
                <w:sz w:val="16"/>
                <w:szCs w:val="16"/>
                <w:b w:val="1"/>
                <w:bCs w:val="1"/>
                <w:color w:val="auto"/>
                <w:w w:val="94"/>
              </w:rPr>
              <w:t>Awards</w:t>
            </w:r>
            <w:r>
              <w:rPr>
                <w:rFonts w:ascii="Arial" w:cs="Arial" w:eastAsia="Arial" w:hAnsi="Arial"/>
                <w:sz w:val="20"/>
                <w:szCs w:val="20"/>
                <w:b w:val="1"/>
                <w:bCs w:val="1"/>
                <w:color w:val="auto"/>
                <w:w w:val="94"/>
                <w:vertAlign w:val="superscript"/>
              </w:rPr>
              <w:t>(a)</w:t>
            </w:r>
          </w:p>
        </w:tc>
        <w:tc>
          <w:tcPr>
            <w:tcW w:w="60" w:type="dxa"/>
            <w:vAlign w:val="bottom"/>
            <w:tcBorders>
              <w:bottom w:val="single" w:sz="8" w:color="D2EDF0"/>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97"/>
              </w:rPr>
              <w:t>Year</w:t>
            </w:r>
          </w:p>
        </w:tc>
        <w:tc>
          <w:tcPr>
            <w:tcW w:w="60" w:type="dxa"/>
            <w:vAlign w:val="bottom"/>
            <w:tcBorders>
              <w:bottom w:val="single" w:sz="8" w:color="D2EDF0"/>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Equity Awards</w:t>
            </w:r>
          </w:p>
        </w:tc>
        <w:tc>
          <w:tcPr>
            <w:tcW w:w="60" w:type="dxa"/>
            <w:vAlign w:val="bottom"/>
            <w:tcBorders>
              <w:bottom w:val="single" w:sz="8" w:color="D2EDF0"/>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w:t>
            </w:r>
          </w:p>
        </w:tc>
        <w:tc>
          <w:tcPr>
            <w:tcW w:w="60" w:type="dxa"/>
            <w:vAlign w:val="bottom"/>
            <w:tcBorders>
              <w:bottom w:val="single" w:sz="8" w:color="D2EDF0"/>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74"/>
              <w:spacing w:after="0"/>
              <w:rPr>
                <w:sz w:val="20"/>
                <w:szCs w:val="20"/>
                <w:color w:val="auto"/>
              </w:rPr>
            </w:pPr>
            <w:r>
              <w:rPr>
                <w:rFonts w:ascii="Arial" w:cs="Arial" w:eastAsia="Arial" w:hAnsi="Arial"/>
                <w:sz w:val="16"/>
                <w:szCs w:val="16"/>
                <w:b w:val="1"/>
                <w:bCs w:val="1"/>
                <w:color w:val="auto"/>
              </w:rPr>
              <w:t>PEO</w:t>
            </w:r>
          </w:p>
        </w:tc>
        <w:tc>
          <w:tcPr>
            <w:tcW w:w="0" w:type="dxa"/>
            <w:vAlign w:val="bottom"/>
          </w:tcPr>
          <w:p>
            <w:pPr>
              <w:spacing w:after="0"/>
              <w:rPr>
                <w:sz w:val="1"/>
                <w:szCs w:val="1"/>
                <w:color w:val="auto"/>
              </w:rPr>
            </w:pPr>
          </w:p>
        </w:tc>
      </w:tr>
      <w:tr>
        <w:trPr>
          <w:trHeight w:val="305"/>
        </w:trPr>
        <w:tc>
          <w:tcPr>
            <w:tcW w:w="640" w:type="dxa"/>
            <w:vAlign w:val="bottom"/>
            <w:shd w:val="clear" w:color="auto" w:fill="D2EDF0"/>
          </w:tcPr>
          <w:p>
            <w:pPr>
              <w:jc w:val="right"/>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9,984,784</w:t>
            </w:r>
          </w:p>
        </w:tc>
        <w:tc>
          <w:tcPr>
            <w:tcW w:w="1400" w:type="dxa"/>
            <w:vAlign w:val="bottom"/>
            <w:gridSpan w:val="2"/>
            <w:shd w:val="clear" w:color="auto" w:fill="D2EDF0"/>
          </w:tcPr>
          <w:p>
            <w:pPr>
              <w:jc w:val="right"/>
              <w:spacing w:after="0"/>
              <w:rPr>
                <w:sz w:val="20"/>
                <w:szCs w:val="20"/>
                <w:color w:val="auto"/>
              </w:rPr>
            </w:pPr>
            <w:r>
              <w:rPr>
                <w:rFonts w:ascii="Arial" w:cs="Arial" w:eastAsia="Arial" w:hAnsi="Arial"/>
                <w:sz w:val="18"/>
                <w:szCs w:val="18"/>
                <w:color w:val="auto"/>
              </w:rPr>
              <w:t>$   (8,999,981)</w:t>
            </w:r>
          </w:p>
        </w:tc>
        <w:tc>
          <w:tcPr>
            <w:tcW w:w="60" w:type="dxa"/>
            <w:vAlign w:val="bottom"/>
            <w:shd w:val="clear" w:color="auto" w:fill="D2EDF0"/>
          </w:tcPr>
          <w:p>
            <w:pPr>
              <w:spacing w:after="0"/>
              <w:rPr>
                <w:sz w:val="24"/>
                <w:szCs w:val="24"/>
                <w:color w:val="auto"/>
              </w:rPr>
            </w:pPr>
          </w:p>
        </w:tc>
        <w:tc>
          <w:tcPr>
            <w:tcW w:w="160" w:type="dxa"/>
            <w:vAlign w:val="bottom"/>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2EDF0"/>
          </w:tcPr>
          <w:p>
            <w:pPr>
              <w:jc w:val="right"/>
              <w:spacing w:after="0"/>
              <w:rPr>
                <w:sz w:val="20"/>
                <w:szCs w:val="20"/>
                <w:color w:val="auto"/>
              </w:rPr>
            </w:pPr>
            <w:r>
              <w:rPr>
                <w:rFonts w:ascii="Arial" w:cs="Arial" w:eastAsia="Arial" w:hAnsi="Arial"/>
                <w:sz w:val="18"/>
                <w:szCs w:val="18"/>
                <w:color w:val="auto"/>
              </w:rPr>
              <w:t>7,635,074</w:t>
            </w:r>
          </w:p>
        </w:tc>
        <w:tc>
          <w:tcPr>
            <w:tcW w:w="1400" w:type="dxa"/>
            <w:vAlign w:val="bottom"/>
            <w:gridSpan w:val="2"/>
            <w:shd w:val="clear" w:color="auto" w:fill="D2EDF0"/>
          </w:tcPr>
          <w:p>
            <w:pPr>
              <w:jc w:val="right"/>
              <w:spacing w:after="0"/>
              <w:rPr>
                <w:sz w:val="20"/>
                <w:szCs w:val="20"/>
                <w:color w:val="auto"/>
              </w:rPr>
            </w:pPr>
            <w:r>
              <w:rPr>
                <w:rFonts w:ascii="Arial" w:cs="Arial" w:eastAsia="Arial" w:hAnsi="Arial"/>
                <w:sz w:val="18"/>
                <w:szCs w:val="18"/>
                <w:color w:val="auto"/>
              </w:rPr>
              <w:t>$   (3,082,942)</w:t>
            </w:r>
          </w:p>
        </w:tc>
        <w:tc>
          <w:tcPr>
            <w:tcW w:w="1380" w:type="dxa"/>
            <w:vAlign w:val="bottom"/>
            <w:gridSpan w:val="2"/>
            <w:shd w:val="clear" w:color="auto" w:fill="D2EDF0"/>
          </w:tcPr>
          <w:p>
            <w:pPr>
              <w:jc w:val="right"/>
              <w:spacing w:after="0"/>
              <w:rPr>
                <w:sz w:val="20"/>
                <w:szCs w:val="20"/>
                <w:color w:val="auto"/>
              </w:rPr>
            </w:pPr>
            <w:r>
              <w:rPr>
                <w:rFonts w:ascii="Arial" w:cs="Arial" w:eastAsia="Arial" w:hAnsi="Arial"/>
                <w:sz w:val="18"/>
                <w:szCs w:val="18"/>
                <w:color w:val="auto"/>
              </w:rPr>
              <w:t>$   (3,041,484)</w:t>
            </w:r>
          </w:p>
        </w:tc>
        <w:tc>
          <w:tcPr>
            <w:tcW w:w="320" w:type="dxa"/>
            <w:vAlign w:val="bottom"/>
            <w:gridSpan w:val="2"/>
            <w:shd w:val="clear" w:color="auto" w:fill="D2EDF0"/>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2EDF0"/>
          </w:tcPr>
          <w:p>
            <w:pPr>
              <w:jc w:val="right"/>
              <w:spacing w:after="0"/>
              <w:rPr>
                <w:sz w:val="20"/>
                <w:szCs w:val="20"/>
                <w:color w:val="auto"/>
              </w:rPr>
            </w:pPr>
            <w:r>
              <w:rPr>
                <w:rFonts w:ascii="Arial" w:cs="Arial" w:eastAsia="Arial" w:hAnsi="Arial"/>
                <w:sz w:val="18"/>
                <w:szCs w:val="18"/>
                <w:color w:val="auto"/>
              </w:rPr>
              <w:t>2,495,451</w:t>
            </w:r>
          </w:p>
        </w:tc>
        <w:tc>
          <w:tcPr>
            <w:tcW w:w="0" w:type="dxa"/>
            <w:vAlign w:val="bottom"/>
          </w:tcPr>
          <w:p>
            <w:pPr>
              <w:spacing w:after="0"/>
              <w:rPr>
                <w:sz w:val="1"/>
                <w:szCs w:val="1"/>
                <w:color w:val="auto"/>
              </w:rPr>
            </w:pPr>
          </w:p>
        </w:tc>
      </w:tr>
      <w:tr>
        <w:trPr>
          <w:trHeight w:val="310"/>
        </w:trPr>
        <w:tc>
          <w:tcPr>
            <w:tcW w:w="640" w:type="dxa"/>
            <w:vAlign w:val="bottom"/>
          </w:tcPr>
          <w:p>
            <w:pPr>
              <w:jc w:val="right"/>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8,480,631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(7,499,972)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9,419,008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1,115,524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(2,434,235)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9,080,956</w:t>
            </w:r>
          </w:p>
        </w:tc>
        <w:tc>
          <w:tcPr>
            <w:tcW w:w="0" w:type="dxa"/>
            <w:vAlign w:val="bottom"/>
          </w:tcPr>
          <w:p>
            <w:pPr>
              <w:spacing w:after="0"/>
              <w:rPr>
                <w:sz w:val="1"/>
                <w:szCs w:val="1"/>
                <w:color w:val="auto"/>
              </w:rPr>
            </w:pPr>
          </w:p>
        </w:tc>
      </w:tr>
      <w:tr>
        <w:trPr>
          <w:trHeight w:val="320"/>
        </w:trPr>
        <w:tc>
          <w:tcPr>
            <w:tcW w:w="640" w:type="dxa"/>
            <w:vAlign w:val="bottom"/>
            <w:shd w:val="clear" w:color="auto" w:fill="D2EDF0"/>
          </w:tcPr>
          <w:p>
            <w:pPr>
              <w:jc w:val="right"/>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D2EDF0"/>
          </w:tcPr>
          <w:p>
            <w:pPr>
              <w:spacing w:after="0"/>
              <w:rPr>
                <w:sz w:val="24"/>
                <w:szCs w:val="24"/>
                <w:color w:val="auto"/>
              </w:rPr>
            </w:pPr>
          </w:p>
        </w:tc>
        <w:tc>
          <w:tcPr>
            <w:tcW w:w="11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7,450,968</w:t>
            </w:r>
          </w:p>
        </w:tc>
        <w:tc>
          <w:tcPr>
            <w:tcW w:w="1400" w:type="dxa"/>
            <w:vAlign w:val="bottom"/>
            <w:gridSpan w:val="2"/>
            <w:shd w:val="clear" w:color="auto" w:fill="D2EDF0"/>
          </w:tcPr>
          <w:p>
            <w:pPr>
              <w:jc w:val="right"/>
              <w:spacing w:after="0"/>
              <w:rPr>
                <w:sz w:val="20"/>
                <w:szCs w:val="20"/>
                <w:color w:val="auto"/>
              </w:rPr>
            </w:pPr>
            <w:r>
              <w:rPr>
                <w:rFonts w:ascii="Arial" w:cs="Arial" w:eastAsia="Arial" w:hAnsi="Arial"/>
                <w:sz w:val="18"/>
                <w:szCs w:val="18"/>
                <w:color w:val="auto"/>
              </w:rPr>
              <w:t>(6,599,993)</w:t>
            </w:r>
          </w:p>
        </w:tc>
        <w:tc>
          <w:tcPr>
            <w:tcW w:w="60" w:type="dxa"/>
            <w:vAlign w:val="bottom"/>
            <w:shd w:val="clear" w:color="auto" w:fill="D2EDF0"/>
          </w:tcPr>
          <w:p>
            <w:pPr>
              <w:spacing w:after="0"/>
              <w:rPr>
                <w:sz w:val="24"/>
                <w:szCs w:val="24"/>
                <w:color w:val="auto"/>
              </w:rPr>
            </w:pPr>
          </w:p>
        </w:tc>
        <w:tc>
          <w:tcPr>
            <w:tcW w:w="160" w:type="dxa"/>
            <w:vAlign w:val="bottom"/>
            <w:shd w:val="clear" w:color="auto" w:fill="D2EDF0"/>
          </w:tcPr>
          <w:p>
            <w:pPr>
              <w:spacing w:after="0"/>
              <w:rPr>
                <w:sz w:val="24"/>
                <w:szCs w:val="24"/>
                <w:color w:val="auto"/>
              </w:rPr>
            </w:pPr>
          </w:p>
        </w:tc>
        <w:tc>
          <w:tcPr>
            <w:tcW w:w="1180" w:type="dxa"/>
            <w:vAlign w:val="bottom"/>
            <w:shd w:val="clear" w:color="auto" w:fill="D2EDF0"/>
          </w:tcPr>
          <w:p>
            <w:pPr>
              <w:jc w:val="right"/>
              <w:spacing w:after="0"/>
              <w:rPr>
                <w:sz w:val="20"/>
                <w:szCs w:val="20"/>
                <w:color w:val="auto"/>
              </w:rPr>
            </w:pPr>
            <w:r>
              <w:rPr>
                <w:rFonts w:ascii="Arial" w:cs="Arial" w:eastAsia="Arial" w:hAnsi="Arial"/>
                <w:sz w:val="18"/>
                <w:szCs w:val="18"/>
                <w:color w:val="auto"/>
              </w:rPr>
              <w:t>12,166,337</w:t>
            </w:r>
          </w:p>
        </w:tc>
        <w:tc>
          <w:tcPr>
            <w:tcW w:w="1400" w:type="dxa"/>
            <w:vAlign w:val="bottom"/>
            <w:gridSpan w:val="2"/>
            <w:shd w:val="clear" w:color="auto" w:fill="D2EDF0"/>
          </w:tcPr>
          <w:p>
            <w:pPr>
              <w:jc w:val="right"/>
              <w:spacing w:after="0"/>
              <w:rPr>
                <w:sz w:val="20"/>
                <w:szCs w:val="20"/>
                <w:color w:val="auto"/>
              </w:rPr>
            </w:pPr>
            <w:r>
              <w:rPr>
                <w:rFonts w:ascii="Arial" w:cs="Arial" w:eastAsia="Arial" w:hAnsi="Arial"/>
                <w:sz w:val="18"/>
                <w:szCs w:val="18"/>
                <w:color w:val="auto"/>
              </w:rPr>
              <w:t>23,280,181</w:t>
            </w:r>
          </w:p>
        </w:tc>
        <w:tc>
          <w:tcPr>
            <w:tcW w:w="1380" w:type="dxa"/>
            <w:vAlign w:val="bottom"/>
            <w:gridSpan w:val="2"/>
            <w:shd w:val="clear" w:color="auto" w:fill="D2EDF0"/>
          </w:tcPr>
          <w:p>
            <w:pPr>
              <w:jc w:val="right"/>
              <w:spacing w:after="0"/>
              <w:rPr>
                <w:sz w:val="20"/>
                <w:szCs w:val="20"/>
                <w:color w:val="auto"/>
              </w:rPr>
            </w:pPr>
            <w:r>
              <w:rPr>
                <w:rFonts w:ascii="Arial" w:cs="Arial" w:eastAsia="Arial" w:hAnsi="Arial"/>
                <w:sz w:val="18"/>
                <w:szCs w:val="18"/>
                <w:color w:val="auto"/>
              </w:rPr>
              <w:t>6,237,978</w:t>
            </w:r>
          </w:p>
        </w:tc>
        <w:tc>
          <w:tcPr>
            <w:tcW w:w="60" w:type="dxa"/>
            <w:vAlign w:val="bottom"/>
            <w:shd w:val="clear" w:color="auto" w:fill="D2EDF0"/>
          </w:tcPr>
          <w:p>
            <w:pPr>
              <w:spacing w:after="0"/>
              <w:rPr>
                <w:sz w:val="24"/>
                <w:szCs w:val="24"/>
                <w:color w:val="auto"/>
              </w:rPr>
            </w:pPr>
          </w:p>
        </w:tc>
        <w:tc>
          <w:tcPr>
            <w:tcW w:w="260" w:type="dxa"/>
            <w:vAlign w:val="bottom"/>
            <w:shd w:val="clear" w:color="auto" w:fill="D2EDF0"/>
          </w:tcPr>
          <w:p>
            <w:pPr>
              <w:spacing w:after="0"/>
              <w:rPr>
                <w:sz w:val="24"/>
                <w:szCs w:val="24"/>
                <w:color w:val="auto"/>
              </w:rPr>
            </w:pPr>
          </w:p>
        </w:tc>
        <w:tc>
          <w:tcPr>
            <w:tcW w:w="1080" w:type="dxa"/>
            <w:vAlign w:val="bottom"/>
            <w:shd w:val="clear" w:color="auto" w:fill="D2EDF0"/>
          </w:tcPr>
          <w:p>
            <w:pPr>
              <w:jc w:val="right"/>
              <w:spacing w:after="0"/>
              <w:rPr>
                <w:sz w:val="20"/>
                <w:szCs w:val="20"/>
                <w:color w:val="auto"/>
              </w:rPr>
            </w:pPr>
            <w:r>
              <w:rPr>
                <w:rFonts w:ascii="Arial" w:cs="Arial" w:eastAsia="Arial" w:hAnsi="Arial"/>
                <w:sz w:val="18"/>
                <w:szCs w:val="18"/>
                <w:color w:val="auto"/>
              </w:rPr>
              <w:t>42,535,471</w:t>
            </w:r>
          </w:p>
        </w:tc>
        <w:tc>
          <w:tcPr>
            <w:tcW w:w="0" w:type="dxa"/>
            <w:vAlign w:val="bottom"/>
          </w:tcPr>
          <w:p>
            <w:pPr>
              <w:spacing w:after="0"/>
              <w:rPr>
                <w:sz w:val="1"/>
                <w:szCs w:val="1"/>
                <w:color w:val="auto"/>
              </w:rPr>
            </w:pPr>
          </w:p>
        </w:tc>
      </w:tr>
    </w:tbl>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ind w:right="120"/>
        <w:spacing w:after="0" w:line="287" w:lineRule="auto"/>
        <w:tabs>
          <w:tab w:leader="none" w:pos="7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grant date fair value of equity awards represents the total of the amounts reported in the “Stock Awards” columns in the Summary Compensation Table for the applicable year.</w:t>
      </w:r>
    </w:p>
    <w:p>
      <w:pPr>
        <w:spacing w:after="0" w:line="170" w:lineRule="exact"/>
        <w:rPr>
          <w:sz w:val="20"/>
          <w:szCs w:val="20"/>
          <w:color w:val="auto"/>
        </w:rPr>
      </w:pPr>
    </w:p>
    <w:p>
      <w:pPr>
        <w:ind w:right="160"/>
        <w:spacing w:after="0" w:line="262" w:lineRule="auto"/>
        <w:tabs>
          <w:tab w:leader="none" w:pos="72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dollar amounts represent the average of the amounts reported for our NEOs as a group (excluding Mr. Yoran) in the “Total” column of the Summary Compensation Table in each applicable year. The non-PEO NEOs are Messrs. Riddick, Thurmond and Vintz for 2022 and Messrs. Riddick and Vintz for 2021 and 2020.</w:t>
      </w:r>
    </w:p>
    <w:p>
      <w:pPr>
        <w:spacing w:after="0" w:line="195" w:lineRule="exact"/>
        <w:rPr>
          <w:rFonts w:ascii="Arial" w:cs="Arial" w:eastAsia="Arial" w:hAnsi="Arial"/>
          <w:sz w:val="20"/>
          <w:szCs w:val="20"/>
          <w:color w:val="auto"/>
        </w:rPr>
      </w:pPr>
    </w:p>
    <w:p>
      <w:pPr>
        <w:ind w:right="360"/>
        <w:spacing w:after="0" w:line="259" w:lineRule="auto"/>
        <w:tabs>
          <w:tab w:leader="none" w:pos="72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Average compensation actually paid to our non-PEO NEOs does not reflect the actual amount of compensation earned by or paid. In accordance with the requirements of Item 402(v) of Regulation S-K, the following adjustments were made to our non-PEO NEOs average total compensation for each year to determine the compensation actually paid, using the same methodology described above in Note 2:</w:t>
      </w:r>
    </w:p>
    <w:p>
      <w:pPr>
        <w:spacing w:after="0" w:line="104"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Equity Award Adjustments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9"/>
              </w:rPr>
              <w:t>Year over Year</w:t>
            </w:r>
          </w:p>
        </w:tc>
        <w:tc>
          <w:tcPr>
            <w:tcW w:w="60" w:type="dxa"/>
            <w:vAlign w:val="bottom"/>
          </w:tcPr>
          <w:p>
            <w:pPr>
              <w:spacing w:after="0"/>
              <w:rPr>
                <w:sz w:val="13"/>
                <w:szCs w:val="13"/>
                <w:color w:val="auto"/>
              </w:rPr>
            </w:pPr>
          </w:p>
        </w:tc>
        <w:tc>
          <w:tcPr>
            <w:tcW w:w="11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Fair Value at</w:t>
            </w: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Year over Year</w:t>
            </w:r>
          </w:p>
        </w:tc>
        <w:tc>
          <w:tcPr>
            <w:tcW w:w="6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8"/>
              </w:rPr>
              <w:t>Change in Fair</w:t>
            </w: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Year End Fair</w:t>
            </w: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8"/>
              </w:rPr>
              <w:t>Value of Equity</w:t>
            </w:r>
          </w:p>
        </w:tc>
        <w:tc>
          <w:tcPr>
            <w:tcW w:w="6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9"/>
              </w:rPr>
              <w:t>End of Prior</w:t>
            </w:r>
          </w:p>
        </w:tc>
        <w:tc>
          <w:tcPr>
            <w:tcW w:w="6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Total Average</w:t>
            </w:r>
          </w:p>
        </w:tc>
        <w:tc>
          <w:tcPr>
            <w:tcW w:w="0" w:type="dxa"/>
            <w:vAlign w:val="bottom"/>
          </w:tcPr>
          <w:p>
            <w:pPr>
              <w:spacing w:after="0"/>
              <w:rPr>
                <w:sz w:val="1"/>
                <w:szCs w:val="1"/>
                <w:color w:val="auto"/>
              </w:rPr>
            </w:pPr>
          </w:p>
        </w:tc>
      </w:tr>
      <w:tr>
        <w:trPr>
          <w:trHeight w:val="140"/>
        </w:trPr>
        <w:tc>
          <w:tcPr>
            <w:tcW w:w="6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8"/>
              </w:rPr>
              <w:t>Change in Fair</w:t>
            </w:r>
          </w:p>
        </w:tc>
        <w:tc>
          <w:tcPr>
            <w:tcW w:w="6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Awards</w:t>
            </w:r>
          </w:p>
        </w:tc>
        <w:tc>
          <w:tcPr>
            <w:tcW w:w="6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Year of Awards</w:t>
            </w: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4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Summary</w:t>
            </w:r>
          </w:p>
        </w:tc>
        <w:tc>
          <w:tcPr>
            <w:tcW w:w="60" w:type="dxa"/>
            <w:vAlign w:val="bottom"/>
          </w:tcPr>
          <w:p>
            <w:pPr>
              <w:spacing w:after="0"/>
              <w:rPr>
                <w:sz w:val="12"/>
                <w:szCs w:val="12"/>
                <w:color w:val="auto"/>
              </w:rPr>
            </w:pPr>
          </w:p>
        </w:tc>
        <w:tc>
          <w:tcPr>
            <w:tcW w:w="12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Less: Reported</w:t>
            </w: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8"/>
              </w:rPr>
              <w:t>Value of Equity</w:t>
            </w:r>
          </w:p>
        </w:tc>
        <w:tc>
          <w:tcPr>
            <w:tcW w:w="6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Value of</w:t>
            </w:r>
          </w:p>
        </w:tc>
        <w:tc>
          <w:tcPr>
            <w:tcW w:w="6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9"/>
              </w:rPr>
              <w:t>Granted in</w:t>
            </w:r>
          </w:p>
        </w:tc>
        <w:tc>
          <w:tcPr>
            <w:tcW w:w="6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that Failed to</w:t>
            </w:r>
          </w:p>
        </w:tc>
        <w:tc>
          <w:tcPr>
            <w:tcW w:w="6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8"/>
              </w:rPr>
              <w:t>Compensation</w:t>
            </w:r>
          </w:p>
        </w:tc>
        <w:tc>
          <w:tcPr>
            <w:tcW w:w="0" w:type="dxa"/>
            <w:vAlign w:val="bottom"/>
          </w:tcPr>
          <w:p>
            <w:pPr>
              <w:spacing w:after="0"/>
              <w:rPr>
                <w:sz w:val="1"/>
                <w:szCs w:val="1"/>
                <w:color w:val="auto"/>
              </w:rPr>
            </w:pPr>
          </w:p>
        </w:tc>
      </w:tr>
      <w:tr>
        <w:trPr>
          <w:trHeight w:val="140"/>
        </w:trPr>
        <w:tc>
          <w:tcPr>
            <w:tcW w:w="64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8"/>
              </w:rPr>
              <w:t>Compensation</w:t>
            </w:r>
          </w:p>
        </w:tc>
        <w:tc>
          <w:tcPr>
            <w:tcW w:w="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Awards</w:t>
            </w:r>
          </w:p>
        </w:tc>
        <w:tc>
          <w:tcPr>
            <w:tcW w:w="6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Outstanding</w:t>
            </w:r>
          </w:p>
        </w:tc>
        <w:tc>
          <w:tcPr>
            <w:tcW w:w="6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Prior Years</w:t>
            </w:r>
          </w:p>
        </w:tc>
        <w:tc>
          <w:tcPr>
            <w:tcW w:w="6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Meet Vesting</w:t>
            </w:r>
          </w:p>
        </w:tc>
        <w:tc>
          <w:tcPr>
            <w:tcW w:w="6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Actually Paid</w:t>
            </w:r>
          </w:p>
        </w:tc>
        <w:tc>
          <w:tcPr>
            <w:tcW w:w="0" w:type="dxa"/>
            <w:vAlign w:val="bottom"/>
          </w:tcPr>
          <w:p>
            <w:pPr>
              <w:spacing w:after="0"/>
              <w:rPr>
                <w:sz w:val="1"/>
                <w:szCs w:val="1"/>
                <w:color w:val="auto"/>
              </w:rPr>
            </w:pPr>
          </w:p>
        </w:tc>
      </w:tr>
      <w:tr>
        <w:trPr>
          <w:trHeight w:val="140"/>
        </w:trPr>
        <w:tc>
          <w:tcPr>
            <w:tcW w:w="64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9"/>
              </w:rPr>
              <w:t>Table Total for</w:t>
            </w:r>
          </w:p>
        </w:tc>
        <w:tc>
          <w:tcPr>
            <w:tcW w:w="60" w:type="dxa"/>
            <w:vAlign w:val="bottom"/>
          </w:tcPr>
          <w:p>
            <w:pPr>
              <w:spacing w:after="0"/>
              <w:rPr>
                <w:sz w:val="12"/>
                <w:szCs w:val="12"/>
                <w:color w:val="auto"/>
              </w:rPr>
            </w:pPr>
          </w:p>
        </w:tc>
        <w:tc>
          <w:tcPr>
            <w:tcW w:w="1200" w:type="dxa"/>
            <w:vAlign w:val="bottom"/>
            <w:gridSpan w:val="2"/>
          </w:tcPr>
          <w:p>
            <w:pPr>
              <w:jc w:val="center"/>
              <w:ind w:right="80"/>
              <w:spacing w:after="0" w:line="140" w:lineRule="exact"/>
              <w:rPr>
                <w:sz w:val="20"/>
                <w:szCs w:val="20"/>
                <w:color w:val="auto"/>
              </w:rPr>
            </w:pPr>
            <w:r>
              <w:rPr>
                <w:rFonts w:ascii="Arial" w:cs="Arial" w:eastAsia="Arial" w:hAnsi="Arial"/>
                <w:sz w:val="14"/>
                <w:szCs w:val="14"/>
                <w:b w:val="1"/>
                <w:bCs w:val="1"/>
                <w:color w:val="auto"/>
                <w:w w:val="98"/>
              </w:rPr>
              <w:t>Value of Equity</w:t>
            </w: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Granted in the</w:t>
            </w:r>
          </w:p>
        </w:tc>
        <w:tc>
          <w:tcPr>
            <w:tcW w:w="6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and Unvested</w:t>
            </w:r>
          </w:p>
        </w:tc>
        <w:tc>
          <w:tcPr>
            <w:tcW w:w="6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that Vested in</w:t>
            </w:r>
          </w:p>
        </w:tc>
        <w:tc>
          <w:tcPr>
            <w:tcW w:w="6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8"/>
              </w:rPr>
              <w:t>Conditions in</w:t>
            </w:r>
          </w:p>
        </w:tc>
        <w:tc>
          <w:tcPr>
            <w:tcW w:w="60" w:type="dxa"/>
            <w:vAlign w:val="bottom"/>
          </w:tcPr>
          <w:p>
            <w:pPr>
              <w:spacing w:after="0"/>
              <w:rPr>
                <w:sz w:val="12"/>
                <w:szCs w:val="12"/>
                <w:color w:val="auto"/>
              </w:rPr>
            </w:pPr>
          </w:p>
        </w:tc>
        <w:tc>
          <w:tcPr>
            <w:tcW w:w="114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rPr>
              <w:t>to Non-PEO</w:t>
            </w:r>
          </w:p>
        </w:tc>
        <w:tc>
          <w:tcPr>
            <w:tcW w:w="0" w:type="dxa"/>
            <w:vAlign w:val="bottom"/>
          </w:tcPr>
          <w:p>
            <w:pPr>
              <w:spacing w:after="0"/>
              <w:rPr>
                <w:sz w:val="1"/>
                <w:szCs w:val="1"/>
                <w:color w:val="auto"/>
              </w:rPr>
            </w:pPr>
          </w:p>
        </w:tc>
      </w:tr>
      <w:tr>
        <w:trPr>
          <w:trHeight w:val="189"/>
        </w:trPr>
        <w:tc>
          <w:tcPr>
            <w:tcW w:w="640" w:type="dxa"/>
            <w:vAlign w:val="bottom"/>
            <w:tcBorders>
              <w:bottom w:val="single" w:sz="8" w:color="D2EDF0"/>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Non-PEO NEOs</w:t>
            </w:r>
          </w:p>
        </w:tc>
        <w:tc>
          <w:tcPr>
            <w:tcW w:w="60" w:type="dxa"/>
            <w:vAlign w:val="bottom"/>
            <w:tcBorders>
              <w:bottom w:val="single" w:sz="8" w:color="D2EDF0"/>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Awards</w:t>
            </w:r>
          </w:p>
        </w:tc>
        <w:tc>
          <w:tcPr>
            <w:tcW w:w="60" w:type="dxa"/>
            <w:vAlign w:val="bottom"/>
            <w:tcBorders>
              <w:bottom w:val="single" w:sz="8" w:color="D2EDF0"/>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w:t>
            </w:r>
          </w:p>
        </w:tc>
        <w:tc>
          <w:tcPr>
            <w:tcW w:w="60" w:type="dxa"/>
            <w:vAlign w:val="bottom"/>
            <w:tcBorders>
              <w:bottom w:val="single" w:sz="8" w:color="D2EDF0"/>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 Awards</w:t>
            </w:r>
          </w:p>
        </w:tc>
        <w:tc>
          <w:tcPr>
            <w:tcW w:w="60" w:type="dxa"/>
            <w:vAlign w:val="bottom"/>
            <w:tcBorders>
              <w:bottom w:val="single" w:sz="8" w:color="D2EDF0"/>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the Year</w:t>
            </w:r>
          </w:p>
        </w:tc>
        <w:tc>
          <w:tcPr>
            <w:tcW w:w="60" w:type="dxa"/>
            <w:vAlign w:val="bottom"/>
            <w:tcBorders>
              <w:bottom w:val="single" w:sz="8" w:color="D2EDF0"/>
            </w:tcBorders>
          </w:tcPr>
          <w:p>
            <w:pPr>
              <w:spacing w:after="0"/>
              <w:rPr>
                <w:sz w:val="16"/>
                <w:szCs w:val="16"/>
                <w:color w:val="auto"/>
              </w:rPr>
            </w:pPr>
          </w:p>
        </w:tc>
        <w:tc>
          <w:tcPr>
            <w:tcW w:w="11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7"/>
              </w:rPr>
              <w:t>the Year</w:t>
            </w:r>
            <w:r>
              <w:rPr>
                <w:rFonts w:ascii="Arial" w:cs="Arial" w:eastAsia="Arial" w:hAnsi="Arial"/>
                <w:sz w:val="18"/>
                <w:szCs w:val="18"/>
                <w:b w:val="1"/>
                <w:bCs w:val="1"/>
                <w:color w:val="auto"/>
                <w:w w:val="97"/>
                <w:vertAlign w:val="superscript"/>
              </w:rPr>
              <w:t>(a)</w:t>
            </w:r>
          </w:p>
        </w:tc>
        <w:tc>
          <w:tcPr>
            <w:tcW w:w="60" w:type="dxa"/>
            <w:vAlign w:val="bottom"/>
            <w:tcBorders>
              <w:bottom w:val="single" w:sz="8" w:color="D2EDF0"/>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NEOs</w:t>
            </w:r>
          </w:p>
        </w:tc>
        <w:tc>
          <w:tcPr>
            <w:tcW w:w="0" w:type="dxa"/>
            <w:vAlign w:val="bottom"/>
          </w:tcPr>
          <w:p>
            <w:pPr>
              <w:spacing w:after="0"/>
              <w:rPr>
                <w:sz w:val="1"/>
                <w:szCs w:val="1"/>
                <w:color w:val="auto"/>
              </w:rPr>
            </w:pPr>
          </w:p>
        </w:tc>
      </w:tr>
      <w:tr>
        <w:trPr>
          <w:trHeight w:val="305"/>
        </w:trPr>
        <w:tc>
          <w:tcPr>
            <w:tcW w:w="640" w:type="dxa"/>
            <w:vAlign w:val="bottom"/>
            <w:shd w:val="clear" w:color="auto" w:fill="D2EDF0"/>
          </w:tcPr>
          <w:p>
            <w:pPr>
              <w:jc w:val="right"/>
              <w:spacing w:after="0"/>
              <w:rPr>
                <w:sz w:val="20"/>
                <w:szCs w:val="20"/>
                <w:color w:val="auto"/>
              </w:rPr>
            </w:pPr>
            <w:r>
              <w:rPr>
                <w:rFonts w:ascii="Arial" w:cs="Arial" w:eastAsia="Arial" w:hAnsi="Arial"/>
                <w:sz w:val="18"/>
                <w:szCs w:val="18"/>
                <w:color w:val="auto"/>
              </w:rPr>
              <w:t>2022</w:t>
            </w:r>
          </w:p>
        </w:tc>
        <w:tc>
          <w:tcPr>
            <w:tcW w:w="1140" w:type="dxa"/>
            <w:vAlign w:val="bottom"/>
            <w:shd w:val="clear" w:color="auto" w:fill="D2EDF0"/>
          </w:tcPr>
          <w:p>
            <w:pPr>
              <w:jc w:val="right"/>
              <w:ind w:right="3"/>
              <w:spacing w:after="0"/>
              <w:rPr>
                <w:sz w:val="20"/>
                <w:szCs w:val="20"/>
                <w:color w:val="auto"/>
              </w:rPr>
            </w:pPr>
            <w:r>
              <w:rPr>
                <w:rFonts w:ascii="Arial" w:cs="Arial" w:eastAsia="Arial" w:hAnsi="Arial"/>
                <w:sz w:val="18"/>
                <w:szCs w:val="18"/>
                <w:color w:val="auto"/>
              </w:rPr>
              <w:t>$ 4,437,051</w:t>
            </w:r>
          </w:p>
        </w:tc>
        <w:tc>
          <w:tcPr>
            <w:tcW w:w="1200" w:type="dxa"/>
            <w:vAlign w:val="bottom"/>
            <w:gridSpan w:val="2"/>
            <w:shd w:val="clear" w:color="auto" w:fill="D2EDF0"/>
          </w:tcPr>
          <w:p>
            <w:pPr>
              <w:jc w:val="right"/>
              <w:spacing w:after="0"/>
              <w:rPr>
                <w:sz w:val="20"/>
                <w:szCs w:val="20"/>
                <w:color w:val="auto"/>
              </w:rPr>
            </w:pPr>
            <w:r>
              <w:rPr>
                <w:rFonts w:ascii="Arial" w:cs="Arial" w:eastAsia="Arial" w:hAnsi="Arial"/>
                <w:sz w:val="18"/>
                <w:szCs w:val="18"/>
                <w:color w:val="auto"/>
              </w:rPr>
              <w:t>$ (3,766,642)</w:t>
            </w:r>
          </w:p>
        </w:tc>
        <w:tc>
          <w:tcPr>
            <w:tcW w:w="60" w:type="dxa"/>
            <w:vAlign w:val="bottom"/>
            <w:shd w:val="clear" w:color="auto" w:fill="D2EDF0"/>
          </w:tcPr>
          <w:p>
            <w:pPr>
              <w:spacing w:after="0"/>
              <w:rPr>
                <w:sz w:val="24"/>
                <w:szCs w:val="24"/>
                <w:color w:val="auto"/>
              </w:rPr>
            </w:pPr>
          </w:p>
        </w:tc>
        <w:tc>
          <w:tcPr>
            <w:tcW w:w="1140" w:type="dxa"/>
            <w:vAlign w:val="bottom"/>
            <w:shd w:val="clear" w:color="auto" w:fill="D2EDF0"/>
          </w:tcPr>
          <w:p>
            <w:pPr>
              <w:jc w:val="right"/>
              <w:ind w:right="3"/>
              <w:spacing w:after="0"/>
              <w:rPr>
                <w:sz w:val="20"/>
                <w:szCs w:val="20"/>
                <w:color w:val="auto"/>
              </w:rPr>
            </w:pPr>
            <w:r>
              <w:rPr>
                <w:rFonts w:ascii="Arial" w:cs="Arial" w:eastAsia="Arial" w:hAnsi="Arial"/>
                <w:sz w:val="18"/>
                <w:szCs w:val="18"/>
                <w:color w:val="auto"/>
              </w:rPr>
              <w:t>$ 2,488,461</w:t>
            </w:r>
          </w:p>
        </w:tc>
        <w:tc>
          <w:tcPr>
            <w:tcW w:w="1200" w:type="dxa"/>
            <w:vAlign w:val="bottom"/>
            <w:gridSpan w:val="2"/>
            <w:shd w:val="clear" w:color="auto" w:fill="D2EDF0"/>
          </w:tcPr>
          <w:p>
            <w:pPr>
              <w:jc w:val="right"/>
              <w:spacing w:after="0"/>
              <w:rPr>
                <w:sz w:val="20"/>
                <w:szCs w:val="20"/>
                <w:color w:val="auto"/>
              </w:rPr>
            </w:pPr>
            <w:r>
              <w:rPr>
                <w:rFonts w:ascii="Arial" w:cs="Arial" w:eastAsia="Arial" w:hAnsi="Arial"/>
                <w:sz w:val="18"/>
                <w:szCs w:val="18"/>
                <w:color w:val="auto"/>
              </w:rPr>
              <w:t>$ (1,194,535)</w:t>
            </w:r>
          </w:p>
        </w:tc>
        <w:tc>
          <w:tcPr>
            <w:tcW w:w="1200" w:type="dxa"/>
            <w:vAlign w:val="bottom"/>
            <w:gridSpan w:val="2"/>
            <w:shd w:val="clear" w:color="auto" w:fill="D2EDF0"/>
          </w:tcPr>
          <w:p>
            <w:pPr>
              <w:jc w:val="right"/>
              <w:spacing w:after="0"/>
              <w:rPr>
                <w:sz w:val="20"/>
                <w:szCs w:val="20"/>
                <w:color w:val="auto"/>
              </w:rPr>
            </w:pPr>
            <w:r>
              <w:rPr>
                <w:rFonts w:ascii="Arial" w:cs="Arial" w:eastAsia="Arial" w:hAnsi="Arial"/>
                <w:sz w:val="18"/>
                <w:szCs w:val="18"/>
                <w:color w:val="auto"/>
              </w:rPr>
              <w:t>$ (1,148,959)</w:t>
            </w:r>
          </w:p>
        </w:tc>
        <w:tc>
          <w:tcPr>
            <w:tcW w:w="1200" w:type="dxa"/>
            <w:vAlign w:val="bottom"/>
            <w:gridSpan w:val="2"/>
            <w:shd w:val="clear" w:color="auto" w:fill="D2EDF0"/>
          </w:tcPr>
          <w:p>
            <w:pPr>
              <w:jc w:val="right"/>
              <w:spacing w:after="0"/>
              <w:rPr>
                <w:sz w:val="20"/>
                <w:szCs w:val="20"/>
                <w:color w:val="auto"/>
              </w:rPr>
            </w:pPr>
            <w:r>
              <w:rPr>
                <w:rFonts w:ascii="Arial" w:cs="Arial" w:eastAsia="Arial" w:hAnsi="Arial"/>
                <w:sz w:val="18"/>
                <w:szCs w:val="18"/>
                <w:color w:val="auto"/>
              </w:rPr>
              <w:t>$ (1,122,547)</w:t>
            </w:r>
          </w:p>
        </w:tc>
        <w:tc>
          <w:tcPr>
            <w:tcW w:w="1200" w:type="dxa"/>
            <w:vAlign w:val="bottom"/>
            <w:gridSpan w:val="2"/>
            <w:shd w:val="clear" w:color="auto" w:fill="D2EDF0"/>
          </w:tcPr>
          <w:p>
            <w:pPr>
              <w:jc w:val="right"/>
              <w:spacing w:after="0"/>
              <w:rPr>
                <w:sz w:val="20"/>
                <w:szCs w:val="20"/>
                <w:color w:val="auto"/>
              </w:rPr>
            </w:pPr>
            <w:r>
              <w:rPr>
                <w:rFonts w:ascii="Arial" w:cs="Arial" w:eastAsia="Arial" w:hAnsi="Arial"/>
                <w:sz w:val="18"/>
                <w:szCs w:val="18"/>
                <w:color w:val="auto"/>
              </w:rPr>
              <w:t>$  (307,171)</w:t>
            </w:r>
          </w:p>
        </w:tc>
        <w:tc>
          <w:tcPr>
            <w:tcW w:w="0" w:type="dxa"/>
            <w:vAlign w:val="bottom"/>
          </w:tcPr>
          <w:p>
            <w:pPr>
              <w:spacing w:after="0"/>
              <w:rPr>
                <w:sz w:val="1"/>
                <w:szCs w:val="1"/>
                <w:color w:val="auto"/>
              </w:rPr>
            </w:pPr>
          </w:p>
        </w:tc>
      </w:tr>
      <w:tr>
        <w:trPr>
          <w:trHeight w:val="310"/>
        </w:trPr>
        <w:tc>
          <w:tcPr>
            <w:tcW w:w="640" w:type="dxa"/>
            <w:vAlign w:val="bottom"/>
          </w:tcPr>
          <w:p>
            <w:pPr>
              <w:jc w:val="right"/>
              <w:spacing w:after="0"/>
              <w:rPr>
                <w:sz w:val="20"/>
                <w:szCs w:val="20"/>
                <w:color w:val="auto"/>
              </w:rPr>
            </w:pPr>
            <w:r>
              <w:rPr>
                <w:rFonts w:ascii="Arial" w:cs="Arial" w:eastAsia="Arial" w:hAnsi="Arial"/>
                <w:sz w:val="18"/>
                <w:szCs w:val="18"/>
                <w:color w:val="auto"/>
              </w:rPr>
              <w:t>2021</w:t>
            </w:r>
          </w:p>
        </w:tc>
        <w:tc>
          <w:tcPr>
            <w:tcW w:w="1140" w:type="dxa"/>
            <w:vAlign w:val="bottom"/>
          </w:tcPr>
          <w:p>
            <w:pPr>
              <w:jc w:val="right"/>
              <w:ind w:right="3"/>
              <w:spacing w:after="0"/>
              <w:rPr>
                <w:sz w:val="20"/>
                <w:szCs w:val="20"/>
                <w:color w:val="auto"/>
              </w:rPr>
            </w:pPr>
            <w:r>
              <w:rPr>
                <w:rFonts w:ascii="Arial" w:cs="Arial" w:eastAsia="Arial" w:hAnsi="Arial"/>
                <w:sz w:val="18"/>
                <w:szCs w:val="18"/>
                <w:color w:val="auto"/>
              </w:rPr>
              <w:t>3,826,808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(3,149,987)</w:t>
            </w:r>
          </w:p>
        </w:tc>
        <w:tc>
          <w:tcPr>
            <w:tcW w:w="60" w:type="dxa"/>
            <w:vAlign w:val="bottom"/>
          </w:tcPr>
          <w:p>
            <w:pPr>
              <w:spacing w:after="0"/>
              <w:rPr>
                <w:sz w:val="24"/>
                <w:szCs w:val="24"/>
                <w:color w:val="auto"/>
              </w:rPr>
            </w:pPr>
          </w:p>
        </w:tc>
        <w:tc>
          <w:tcPr>
            <w:tcW w:w="1140" w:type="dxa"/>
            <w:vAlign w:val="bottom"/>
          </w:tcPr>
          <w:p>
            <w:pPr>
              <w:jc w:val="right"/>
              <w:ind w:right="3"/>
              <w:spacing w:after="0"/>
              <w:rPr>
                <w:sz w:val="20"/>
                <w:szCs w:val="20"/>
                <w:color w:val="auto"/>
              </w:rPr>
            </w:pPr>
            <w:r>
              <w:rPr>
                <w:rFonts w:ascii="Arial" w:cs="Arial" w:eastAsia="Arial" w:hAnsi="Arial"/>
                <w:sz w:val="18"/>
                <w:szCs w:val="18"/>
                <w:color w:val="auto"/>
              </w:rPr>
              <w:t>3,955,981</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440,475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(1,295,492)</w:t>
            </w:r>
          </w:p>
        </w:tc>
        <w:tc>
          <w:tcPr>
            <w:tcW w:w="60" w:type="dxa"/>
            <w:vAlign w:val="bottom"/>
          </w:tcPr>
          <w:p>
            <w:pPr>
              <w:spacing w:after="0"/>
              <w:rPr>
                <w:sz w:val="24"/>
                <w:szCs w:val="24"/>
                <w:color w:val="auto"/>
              </w:rPr>
            </w:pPr>
          </w:p>
        </w:tc>
        <w:tc>
          <w:tcPr>
            <w:tcW w:w="114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3,777,785</w:t>
            </w:r>
          </w:p>
        </w:tc>
        <w:tc>
          <w:tcPr>
            <w:tcW w:w="0" w:type="dxa"/>
            <w:vAlign w:val="bottom"/>
          </w:tcPr>
          <w:p>
            <w:pPr>
              <w:spacing w:after="0"/>
              <w:rPr>
                <w:sz w:val="1"/>
                <w:szCs w:val="1"/>
                <w:color w:val="auto"/>
              </w:rPr>
            </w:pPr>
          </w:p>
        </w:tc>
      </w:tr>
      <w:tr>
        <w:trPr>
          <w:trHeight w:val="320"/>
        </w:trPr>
        <w:tc>
          <w:tcPr>
            <w:tcW w:w="640" w:type="dxa"/>
            <w:vAlign w:val="bottom"/>
            <w:shd w:val="clear" w:color="auto" w:fill="D2EDF0"/>
          </w:tcPr>
          <w:p>
            <w:pPr>
              <w:jc w:val="right"/>
              <w:spacing w:after="0"/>
              <w:rPr>
                <w:sz w:val="20"/>
                <w:szCs w:val="20"/>
                <w:color w:val="auto"/>
              </w:rPr>
            </w:pPr>
            <w:r>
              <w:rPr>
                <w:rFonts w:ascii="Arial" w:cs="Arial" w:eastAsia="Arial" w:hAnsi="Arial"/>
                <w:sz w:val="18"/>
                <w:szCs w:val="18"/>
                <w:color w:val="auto"/>
              </w:rPr>
              <w:t>2020</w:t>
            </w:r>
          </w:p>
        </w:tc>
        <w:tc>
          <w:tcPr>
            <w:tcW w:w="1140" w:type="dxa"/>
            <w:vAlign w:val="bottom"/>
            <w:shd w:val="clear" w:color="auto" w:fill="D2EDF0"/>
          </w:tcPr>
          <w:p>
            <w:pPr>
              <w:jc w:val="right"/>
              <w:ind w:right="3"/>
              <w:spacing w:after="0"/>
              <w:rPr>
                <w:sz w:val="20"/>
                <w:szCs w:val="20"/>
                <w:color w:val="auto"/>
              </w:rPr>
            </w:pPr>
            <w:r>
              <w:rPr>
                <w:rFonts w:ascii="Arial" w:cs="Arial" w:eastAsia="Arial" w:hAnsi="Arial"/>
                <w:sz w:val="18"/>
                <w:szCs w:val="18"/>
                <w:color w:val="auto"/>
              </w:rPr>
              <w:t>3,483,987</w:t>
            </w:r>
          </w:p>
        </w:tc>
        <w:tc>
          <w:tcPr>
            <w:tcW w:w="1200" w:type="dxa"/>
            <w:vAlign w:val="bottom"/>
            <w:gridSpan w:val="2"/>
            <w:shd w:val="clear" w:color="auto" w:fill="D2EDF0"/>
          </w:tcPr>
          <w:p>
            <w:pPr>
              <w:jc w:val="right"/>
              <w:spacing w:after="0"/>
              <w:rPr>
                <w:sz w:val="20"/>
                <w:szCs w:val="20"/>
                <w:color w:val="auto"/>
              </w:rPr>
            </w:pPr>
            <w:r>
              <w:rPr>
                <w:rFonts w:ascii="Arial" w:cs="Arial" w:eastAsia="Arial" w:hAnsi="Arial"/>
                <w:sz w:val="18"/>
                <w:szCs w:val="18"/>
                <w:color w:val="auto"/>
              </w:rPr>
              <w:t>(2,899,993)</w:t>
            </w:r>
          </w:p>
        </w:tc>
        <w:tc>
          <w:tcPr>
            <w:tcW w:w="60" w:type="dxa"/>
            <w:vAlign w:val="bottom"/>
            <w:shd w:val="clear" w:color="auto" w:fill="D2EDF0"/>
          </w:tcPr>
          <w:p>
            <w:pPr>
              <w:spacing w:after="0"/>
              <w:rPr>
                <w:sz w:val="24"/>
                <w:szCs w:val="24"/>
                <w:color w:val="auto"/>
              </w:rPr>
            </w:pPr>
          </w:p>
        </w:tc>
        <w:tc>
          <w:tcPr>
            <w:tcW w:w="1140" w:type="dxa"/>
            <w:vAlign w:val="bottom"/>
            <w:shd w:val="clear" w:color="auto" w:fill="D2EDF0"/>
          </w:tcPr>
          <w:p>
            <w:pPr>
              <w:jc w:val="right"/>
              <w:ind w:right="3"/>
              <w:spacing w:after="0"/>
              <w:rPr>
                <w:sz w:val="20"/>
                <w:szCs w:val="20"/>
                <w:color w:val="auto"/>
              </w:rPr>
            </w:pPr>
            <w:r>
              <w:rPr>
                <w:rFonts w:ascii="Arial" w:cs="Arial" w:eastAsia="Arial" w:hAnsi="Arial"/>
                <w:sz w:val="18"/>
                <w:szCs w:val="18"/>
                <w:color w:val="auto"/>
              </w:rPr>
              <w:t>5,345,806</w:t>
            </w:r>
          </w:p>
        </w:tc>
        <w:tc>
          <w:tcPr>
            <w:tcW w:w="1200" w:type="dxa"/>
            <w:vAlign w:val="bottom"/>
            <w:gridSpan w:val="2"/>
            <w:shd w:val="clear" w:color="auto" w:fill="D2EDF0"/>
          </w:tcPr>
          <w:p>
            <w:pPr>
              <w:jc w:val="right"/>
              <w:ind w:right="10"/>
              <w:spacing w:after="0"/>
              <w:rPr>
                <w:sz w:val="20"/>
                <w:szCs w:val="20"/>
                <w:color w:val="auto"/>
              </w:rPr>
            </w:pPr>
            <w:r>
              <w:rPr>
                <w:rFonts w:ascii="Arial" w:cs="Arial" w:eastAsia="Arial" w:hAnsi="Arial"/>
                <w:sz w:val="18"/>
                <w:szCs w:val="18"/>
                <w:color w:val="auto"/>
              </w:rPr>
              <w:t>6,090,323</w:t>
            </w:r>
          </w:p>
        </w:tc>
        <w:tc>
          <w:tcPr>
            <w:tcW w:w="1200" w:type="dxa"/>
            <w:vAlign w:val="bottom"/>
            <w:gridSpan w:val="2"/>
            <w:shd w:val="clear" w:color="auto" w:fill="D2EDF0"/>
          </w:tcPr>
          <w:p>
            <w:pPr>
              <w:jc w:val="right"/>
              <w:ind w:right="10"/>
              <w:spacing w:after="0"/>
              <w:rPr>
                <w:sz w:val="20"/>
                <w:szCs w:val="20"/>
                <w:color w:val="auto"/>
              </w:rPr>
            </w:pPr>
            <w:r>
              <w:rPr>
                <w:rFonts w:ascii="Arial" w:cs="Arial" w:eastAsia="Arial" w:hAnsi="Arial"/>
                <w:sz w:val="18"/>
                <w:szCs w:val="18"/>
                <w:color w:val="auto"/>
              </w:rPr>
              <w:t>973,266</w:t>
            </w:r>
          </w:p>
        </w:tc>
        <w:tc>
          <w:tcPr>
            <w:tcW w:w="60" w:type="dxa"/>
            <w:vAlign w:val="bottom"/>
            <w:shd w:val="clear" w:color="auto" w:fill="D2EDF0"/>
          </w:tcPr>
          <w:p>
            <w:pPr>
              <w:spacing w:after="0"/>
              <w:rPr>
                <w:sz w:val="24"/>
                <w:szCs w:val="24"/>
                <w:color w:val="auto"/>
              </w:rPr>
            </w:pPr>
          </w:p>
        </w:tc>
        <w:tc>
          <w:tcPr>
            <w:tcW w:w="1140" w:type="dxa"/>
            <w:vAlign w:val="bottom"/>
            <w:shd w:val="clear" w:color="auto" w:fill="D2EDF0"/>
          </w:tcPr>
          <w:p>
            <w:pPr>
              <w:jc w:val="right"/>
              <w:ind w:right="6"/>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2EDF0"/>
          </w:tcPr>
          <w:p>
            <w:pPr>
              <w:jc w:val="right"/>
              <w:ind w:right="10"/>
              <w:spacing w:after="0"/>
              <w:rPr>
                <w:sz w:val="20"/>
                <w:szCs w:val="20"/>
                <w:color w:val="auto"/>
              </w:rPr>
            </w:pPr>
            <w:r>
              <w:rPr>
                <w:rFonts w:ascii="Arial" w:cs="Arial" w:eastAsia="Arial" w:hAnsi="Arial"/>
                <w:sz w:val="18"/>
                <w:szCs w:val="18"/>
                <w:color w:val="auto"/>
              </w:rPr>
              <w:t>12,993,389</w:t>
            </w:r>
          </w:p>
        </w:tc>
        <w:tc>
          <w:tcPr>
            <w:tcW w:w="0" w:type="dxa"/>
            <w:vAlign w:val="bottom"/>
          </w:tcPr>
          <w:p>
            <w:pPr>
              <w:spacing w:after="0"/>
              <w:rPr>
                <w:sz w:val="1"/>
                <w:szCs w:val="1"/>
                <w:color w:val="auto"/>
              </w:rPr>
            </w:pPr>
          </w:p>
        </w:tc>
      </w:tr>
    </w:tbl>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ind w:left="720" w:hanging="720"/>
        <w:spacing w:after="0"/>
        <w:tabs>
          <w:tab w:leader="none" w:pos="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 connection with his retirement in October 2022, Mr. Riddick forfeited all of his unvested</w:t>
      </w:r>
    </w:p>
    <w:p>
      <w:pPr>
        <w:spacing w:after="0" w:line="10"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awards.</w:t>
      </w:r>
    </w:p>
    <w:p>
      <w:pPr>
        <w:spacing w:after="0" w:line="250" w:lineRule="exact"/>
        <w:rPr>
          <w:sz w:val="20"/>
          <w:szCs w:val="20"/>
          <w:color w:val="auto"/>
        </w:rPr>
      </w:pPr>
    </w:p>
    <w:p>
      <w:pPr>
        <w:ind w:left="720" w:hanging="720"/>
        <w:spacing w:after="0"/>
        <w:tabs>
          <w:tab w:leader="none" w:pos="7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Total shareholder return, or TSR, is determined based on the value of an initial fixed</w:t>
      </w:r>
    </w:p>
    <w:p>
      <w:pPr>
        <w:spacing w:after="0" w:line="10" w:lineRule="exact"/>
        <w:rPr>
          <w:rFonts w:ascii="Arial" w:cs="Arial" w:eastAsia="Arial" w:hAnsi="Arial"/>
          <w:sz w:val="20"/>
          <w:szCs w:val="20"/>
          <w:color w:val="auto"/>
        </w:rPr>
      </w:pPr>
    </w:p>
    <w:p>
      <w:pPr>
        <w:ind w:right="120"/>
        <w:spacing w:after="0" w:line="262" w:lineRule="auto"/>
        <w:rPr>
          <w:rFonts w:ascii="Arial" w:cs="Arial" w:eastAsia="Arial" w:hAnsi="Arial"/>
          <w:sz w:val="20"/>
          <w:szCs w:val="20"/>
          <w:color w:val="auto"/>
        </w:rPr>
      </w:pPr>
      <w:r>
        <w:rPr>
          <w:rFonts w:ascii="Arial" w:cs="Arial" w:eastAsia="Arial" w:hAnsi="Arial"/>
          <w:sz w:val="20"/>
          <w:szCs w:val="20"/>
          <w:color w:val="auto"/>
        </w:rPr>
        <w:t>investment of $100 on December 31, 2019. 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195" w:lineRule="exact"/>
        <w:rPr>
          <w:rFonts w:ascii="Arial" w:cs="Arial" w:eastAsia="Arial" w:hAnsi="Arial"/>
          <w:sz w:val="20"/>
          <w:szCs w:val="20"/>
          <w:color w:val="auto"/>
        </w:rPr>
      </w:pPr>
    </w:p>
    <w:p>
      <w:pPr>
        <w:ind w:right="180"/>
        <w:spacing w:after="0" w:line="276" w:lineRule="auto"/>
        <w:tabs>
          <w:tab w:leader="none" w:pos="720" w:val="left"/>
        </w:tabs>
        <w:numPr>
          <w:ilvl w:val="0"/>
          <w:numId w:val="68"/>
        </w:numPr>
        <w:rPr>
          <w:rFonts w:ascii="Arial" w:cs="Arial" w:eastAsia="Arial" w:hAnsi="Arial"/>
          <w:sz w:val="19"/>
          <w:szCs w:val="19"/>
          <w:color w:val="auto"/>
        </w:rPr>
      </w:pPr>
      <w:r>
        <w:rPr>
          <w:rFonts w:ascii="Arial" w:cs="Arial" w:eastAsia="Arial" w:hAnsi="Arial"/>
          <w:sz w:val="19"/>
          <w:szCs w:val="19"/>
          <w:color w:val="auto"/>
        </w:rPr>
        <w:t>Represents the weighted peer group TSR, weighted according to the respective companies’ stock market capitalization at the beginning of each period for which a return is indicated. As permitted by SEC rules, the peer group used for this purpose is the group of companies included in the NASDAQ Computer Index, which is the industry peer group used in our Annual Report pursuant to Item 201(e) of Regulation S-K for the fiscal year ended December 31, 2022.</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880" w:h="15480" w:orient="portrait"/>
          <w:cols w:equalWidth="0" w:num="1">
            <w:col w:w="9000"/>
          </w:cols>
          <w:pgMar w:left="1440" w:top="1204" w:right="1440" w:bottom="0" w:gutter="0" w:footer="0" w:header="0"/>
          <w:type w:val="continuous"/>
        </w:sectPr>
      </w:pPr>
    </w:p>
    <w:bookmarkStart w:id="76" w:name="page77"/>
    <w:bookmarkEnd w:id="76"/>
    <w:p>
      <w:pPr>
        <w:ind w:left="720" w:hanging="720"/>
        <w:spacing w:after="0"/>
        <w:tabs>
          <w:tab w:leader="none" w:pos="7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Revenue is selected as the most important performance measurement for the current year.</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Important Performance Measures</w:t>
      </w:r>
    </w:p>
    <w:p>
      <w:pPr>
        <w:spacing w:after="0" w:line="249" w:lineRule="exact"/>
        <w:rPr>
          <w:sz w:val="20"/>
          <w:szCs w:val="20"/>
          <w:color w:val="auto"/>
        </w:rPr>
      </w:pPr>
    </w:p>
    <w:p>
      <w:pPr>
        <w:ind w:right="180" w:firstLine="360"/>
        <w:spacing w:after="0" w:line="265" w:lineRule="auto"/>
        <w:rPr>
          <w:sz w:val="20"/>
          <w:szCs w:val="20"/>
          <w:color w:val="auto"/>
        </w:rPr>
      </w:pPr>
      <w:r>
        <w:rPr>
          <w:rFonts w:ascii="Arial" w:cs="Arial" w:eastAsia="Arial" w:hAnsi="Arial"/>
          <w:sz w:val="20"/>
          <w:szCs w:val="20"/>
          <w:color w:val="auto"/>
        </w:rPr>
        <w:t>The most important financial performance measures used by the company to link compensation actually paid to the Company’s NEOs for the most recently completed fiscal year to the Company’s</w:t>
      </w:r>
    </w:p>
    <w:p>
      <w:pPr>
        <w:spacing w:after="0" w:line="1" w:lineRule="exact"/>
        <w:rPr>
          <w:sz w:val="20"/>
          <w:szCs w:val="20"/>
          <w:color w:val="auto"/>
        </w:rPr>
      </w:pPr>
    </w:p>
    <w:p>
      <w:pPr>
        <w:jc w:val="both"/>
        <w:ind w:right="380"/>
        <w:spacing w:after="0" w:line="277" w:lineRule="auto"/>
        <w:rPr>
          <w:sz w:val="20"/>
          <w:szCs w:val="20"/>
          <w:color w:val="auto"/>
        </w:rPr>
      </w:pPr>
      <w:r>
        <w:rPr>
          <w:rFonts w:ascii="Arial" w:cs="Arial" w:eastAsia="Arial" w:hAnsi="Arial"/>
          <w:sz w:val="20"/>
          <w:szCs w:val="20"/>
          <w:color w:val="auto"/>
        </w:rPr>
        <w:t>performance are set forth below. For further information regarding these performance metrics and their function in our executive compensation program, please see Compensation Discussion and Analysis.</w:t>
      </w:r>
    </w:p>
    <w:p>
      <w:pPr>
        <w:spacing w:after="0" w:line="3" w:lineRule="exact"/>
        <w:rPr>
          <w:sz w:val="20"/>
          <w:szCs w:val="20"/>
          <w:color w:val="auto"/>
        </w:rPr>
      </w:pPr>
    </w:p>
    <w:p>
      <w:pPr>
        <w:ind w:left="720" w:hanging="360"/>
        <w:spacing w:after="0"/>
        <w:tabs>
          <w:tab w:leader="none" w:pos="7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Revenue</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Calculated Current Billings</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Unlevered Free Cash Flow</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Relationships Between Compensation Actually Paid and Financial Performance Measures</w:t>
      </w:r>
    </w:p>
    <w:p>
      <w:pPr>
        <w:spacing w:after="0" w:line="249" w:lineRule="exact"/>
        <w:rPr>
          <w:sz w:val="20"/>
          <w:szCs w:val="20"/>
          <w:color w:val="auto"/>
        </w:rPr>
      </w:pPr>
    </w:p>
    <w:p>
      <w:pPr>
        <w:ind w:right="240" w:firstLine="360"/>
        <w:spacing w:after="0" w:line="255" w:lineRule="auto"/>
        <w:rPr>
          <w:sz w:val="20"/>
          <w:szCs w:val="20"/>
          <w:color w:val="auto"/>
        </w:rPr>
      </w:pPr>
      <w:r>
        <w:rPr>
          <w:rFonts w:ascii="Arial" w:cs="Arial" w:eastAsia="Arial" w:hAnsi="Arial"/>
          <w:sz w:val="20"/>
          <w:szCs w:val="20"/>
          <w:color w:val="auto"/>
        </w:rPr>
        <w:t>As required by Item 402(v) of Regulation S-K, we are providing the following graphs to illustrate the relationships between the pay and performance measures that are included in the pay versus performance tabular disclosure above. As noted above, other than with respect to Revenue, the performance measures included in the graphs below do not align with how the Company or the Compensation Committee view the link between the Company's performance and NEO pay. The “compensation actually paid” for purposes of the tabular disclosure and the following graphs were calculated in accordance with SEC rules and do not fully represent how our Compensation Committee assesses or determines the actual final amount of compensation earned by or actually paid to our NEOs during the applicable years.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Compensation Actually Paid, TSR and Peer Group TSR</w:t>
      </w:r>
    </w:p>
    <w:p>
      <w:pPr>
        <w:spacing w:after="0" w:line="248" w:lineRule="exact"/>
        <w:rPr>
          <w:sz w:val="20"/>
          <w:szCs w:val="20"/>
          <w:color w:val="auto"/>
        </w:rPr>
      </w:pPr>
    </w:p>
    <w:p>
      <w:pPr>
        <w:ind w:right="240" w:firstLine="360"/>
        <w:spacing w:after="0" w:line="262" w:lineRule="auto"/>
        <w:rPr>
          <w:sz w:val="20"/>
          <w:szCs w:val="20"/>
          <w:color w:val="auto"/>
        </w:rPr>
      </w:pPr>
      <w:r>
        <w:rPr>
          <w:rFonts w:ascii="Arial" w:cs="Arial" w:eastAsia="Arial" w:hAnsi="Arial"/>
          <w:sz w:val="20"/>
          <w:szCs w:val="20"/>
          <w:color w:val="auto"/>
        </w:rPr>
        <w:t>The following graph sets forth the relationship between compensation actually paid to our PEO, the average of compensation actually paid to our other NEOs, and the Company’s cumulative TSR and the cumulative TSR of the NASDAQ Computer Index over the three most recently completed fiscal years.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880" w:h="15480" w:orient="portrait"/>
          <w:cols w:equalWidth="0" w:num="1">
            <w:col w:w="9000"/>
          </w:cols>
          <w:pgMar w:left="1440" w:top="1204" w:right="1440" w:bottom="0" w:gutter="0" w:footer="0" w:header="0"/>
          <w:type w:val="continuous"/>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876300</wp:posOffset>
            </wp:positionH>
            <wp:positionV relativeFrom="page">
              <wp:posOffset>890905</wp:posOffset>
            </wp:positionV>
            <wp:extent cx="5649595" cy="37553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9595" cy="3755390"/>
                    </a:xfrm>
                    <a:prstGeom prst="rect">
                      <a:avLst/>
                    </a:prstGeom>
                    <a:noFill/>
                  </pic:spPr>
                </pic:pic>
              </a:graphicData>
            </a:graphic>
          </wp:anchor>
        </w:drawing>
        <w:drawing>
          <wp:anchor simplePos="0" relativeHeight="251657728" behindDoc="1" locked="0" layoutInCell="0" allowOverlap="1">
            <wp:simplePos x="0" y="0"/>
            <wp:positionH relativeFrom="page">
              <wp:posOffset>1240790</wp:posOffset>
            </wp:positionH>
            <wp:positionV relativeFrom="page">
              <wp:posOffset>5073015</wp:posOffset>
            </wp:positionV>
            <wp:extent cx="5441950" cy="27876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41950" cy="2787650"/>
                    </a:xfrm>
                    <a:prstGeom prst="rect">
                      <a:avLst/>
                    </a:prstGeom>
                    <a:noFill/>
                  </pic:spPr>
                </pic:pic>
              </a:graphicData>
            </a:graphic>
          </wp:anchor>
        </w:drawing>
        <w:drawing>
          <wp:anchor simplePos="0" relativeHeight="251657728" behindDoc="1" locked="0" layoutInCell="0" allowOverlap="1">
            <wp:simplePos x="0" y="0"/>
            <wp:positionH relativeFrom="page">
              <wp:posOffset>3672840</wp:posOffset>
            </wp:positionH>
            <wp:positionV relativeFrom="page">
              <wp:posOffset>9497060</wp:posOffset>
            </wp:positionV>
            <wp:extent cx="208915" cy="1727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8915" cy="17272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rFonts w:ascii="Arial" w:cs="Arial" w:eastAsia="Arial" w:hAnsi="Arial"/>
          <w:sz w:val="20"/>
          <w:szCs w:val="20"/>
          <w:i w:val="1"/>
          <w:iCs w:val="1"/>
          <w:color w:val="auto"/>
        </w:rPr>
        <w:t>Compensation Actually Paid and Revenue</w:t>
      </w:r>
    </w:p>
    <w:p>
      <w:pPr>
        <w:spacing w:after="0" w:line="248" w:lineRule="exact"/>
        <w:rPr>
          <w:sz w:val="20"/>
          <w:szCs w:val="20"/>
          <w:color w:val="auto"/>
        </w:rPr>
      </w:pPr>
    </w:p>
    <w:p>
      <w:pPr>
        <w:ind w:right="240" w:firstLine="360"/>
        <w:spacing w:after="0" w:line="262" w:lineRule="auto"/>
        <w:rPr>
          <w:sz w:val="20"/>
          <w:szCs w:val="20"/>
          <w:color w:val="auto"/>
        </w:rPr>
      </w:pPr>
      <w:r>
        <w:rPr>
          <w:rFonts w:ascii="Arial" w:cs="Arial" w:eastAsia="Arial" w:hAnsi="Arial"/>
          <w:sz w:val="20"/>
          <w:szCs w:val="20"/>
          <w:color w:val="auto"/>
        </w:rPr>
        <w:t>The following graph sets forth the relationship between compensation actually paid to our PEO, the average of compensation actually paid to our other NEOs, and revenue over the three most recently completed fiscal years. For further information on how Revenue impacts executive compensation, please see "Compensation Discussion and Analysis" beginning on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5715000" cy="30480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15000" cy="3048000"/>
                    </a:xfrm>
                    <a:prstGeom prst="rect">
                      <a:avLst/>
                    </a:prstGeom>
                    <a:noFill/>
                  </pic:spPr>
                </pic:pic>
              </a:graphicData>
            </a:graphic>
          </wp:anchor>
        </w:drawing>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24"/>
          <w:szCs w:val="24"/>
          <w:color w:val="10171D"/>
        </w:rPr>
        <w:t>CAP v Revenue</w:t>
      </w:r>
    </w:p>
    <w:p>
      <w:pPr>
        <w:spacing w:after="0" w:line="170" w:lineRule="exact"/>
        <w:rPr>
          <w:sz w:val="20"/>
          <w:szCs w:val="20"/>
          <w:color w:val="auto"/>
        </w:rPr>
      </w:pPr>
    </w:p>
    <w:p>
      <w:pPr>
        <w:ind w:left="7540"/>
        <w:spacing w:after="0"/>
        <w:rPr>
          <w:sz w:val="20"/>
          <w:szCs w:val="20"/>
          <w:color w:val="auto"/>
        </w:rPr>
      </w:pPr>
      <w:r>
        <w:rPr>
          <w:rFonts w:ascii="Arial" w:cs="Arial" w:eastAsia="Arial" w:hAnsi="Arial"/>
          <w:sz w:val="20"/>
          <w:szCs w:val="20"/>
          <w:color w:val="10171D"/>
        </w:rPr>
        <w:t>$700,000,000</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20"/>
          <w:szCs w:val="20"/>
          <w:color w:val="10171D"/>
        </w:rPr>
        <w:t>$40,000,000</w:t>
      </w:r>
    </w:p>
    <w:p>
      <w:pPr>
        <w:spacing w:after="0" w:line="310" w:lineRule="exact"/>
        <w:rPr>
          <w:sz w:val="20"/>
          <w:szCs w:val="20"/>
          <w:color w:val="auto"/>
        </w:rPr>
      </w:pPr>
    </w:p>
    <w:p>
      <w:pPr>
        <w:ind w:left="7540"/>
        <w:spacing w:after="0"/>
        <w:rPr>
          <w:sz w:val="20"/>
          <w:szCs w:val="20"/>
          <w:color w:val="auto"/>
        </w:rPr>
      </w:pPr>
      <w:r>
        <w:rPr>
          <w:rFonts w:ascii="Arial" w:cs="Arial" w:eastAsia="Arial" w:hAnsi="Arial"/>
          <w:sz w:val="20"/>
          <w:szCs w:val="20"/>
          <w:color w:val="10171D"/>
        </w:rPr>
        <w:t>$600,000,000</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20"/>
          <w:szCs w:val="20"/>
          <w:color w:val="10171D"/>
        </w:rPr>
        <w:t>$20,000,000</w:t>
      </w:r>
    </w:p>
    <w:p>
      <w:pPr>
        <w:spacing w:after="0" w:line="55" w:lineRule="exact"/>
        <w:rPr>
          <w:sz w:val="20"/>
          <w:szCs w:val="20"/>
          <w:color w:val="auto"/>
        </w:rPr>
      </w:pPr>
    </w:p>
    <w:tbl>
      <w:tblPr>
        <w:tblLayout w:type="fixed"/>
        <w:tblInd w:w="1000" w:type="dxa"/>
        <w:tblCellMar>
          <w:top w:w="0" w:type="dxa"/>
          <w:left w:w="0" w:type="dxa"/>
          <w:bottom w:w="0" w:type="dxa"/>
          <w:right w:w="0" w:type="dxa"/>
        </w:tblCellMar>
      </w:tblPr>
      <w:tr>
        <w:trPr>
          <w:trHeight w:val="265"/>
        </w:trPr>
        <w:tc>
          <w:tcPr>
            <w:tcW w:w="5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3380" w:type="dxa"/>
            <w:vAlign w:val="bottom"/>
            <w:gridSpan w:val="2"/>
          </w:tcPr>
          <w:p>
            <w:pPr>
              <w:jc w:val="right"/>
              <w:spacing w:after="0"/>
              <w:rPr>
                <w:sz w:val="20"/>
                <w:szCs w:val="20"/>
                <w:color w:val="auto"/>
              </w:rPr>
            </w:pPr>
            <w:r>
              <w:rPr>
                <w:rFonts w:ascii="Arial" w:cs="Arial" w:eastAsia="Arial" w:hAnsi="Arial"/>
                <w:sz w:val="20"/>
                <w:szCs w:val="20"/>
                <w:color w:val="10171D"/>
              </w:rPr>
              <w:t>$500,000,000</w:t>
            </w:r>
          </w:p>
        </w:tc>
        <w:tc>
          <w:tcPr>
            <w:tcW w:w="0" w:type="dxa"/>
            <w:vAlign w:val="bottom"/>
          </w:tcPr>
          <w:p>
            <w:pPr>
              <w:spacing w:after="0"/>
              <w:rPr>
                <w:sz w:val="1"/>
                <w:szCs w:val="1"/>
                <w:color w:val="auto"/>
              </w:rPr>
            </w:pPr>
          </w:p>
        </w:tc>
      </w:tr>
      <w:tr>
        <w:trPr>
          <w:trHeight w:val="630"/>
        </w:trPr>
        <w:tc>
          <w:tcPr>
            <w:tcW w:w="560" w:type="dxa"/>
            <w:vAlign w:val="bottom"/>
            <w:vMerge w:val="restart"/>
          </w:tcPr>
          <w:p>
            <w:pPr>
              <w:spacing w:after="0"/>
              <w:rPr>
                <w:sz w:val="20"/>
                <w:szCs w:val="20"/>
                <w:color w:val="auto"/>
              </w:rPr>
            </w:pPr>
            <w:r>
              <w:rPr>
                <w:rFonts w:ascii="Arial" w:cs="Arial" w:eastAsia="Arial" w:hAnsi="Arial"/>
                <w:sz w:val="20"/>
                <w:szCs w:val="20"/>
                <w:color w:val="10171D"/>
              </w:rPr>
              <w:t>$—</w:t>
            </w:r>
          </w:p>
        </w:tc>
        <w:tc>
          <w:tcPr>
            <w:tcW w:w="1900" w:type="dxa"/>
            <w:vAlign w:val="bottom"/>
            <w:tcBorders>
              <w:bottom w:val="single" w:sz="8" w:color="E5E5E1"/>
            </w:tcBorders>
          </w:tcPr>
          <w:p>
            <w:pPr>
              <w:spacing w:after="0"/>
              <w:rPr>
                <w:sz w:val="24"/>
                <w:szCs w:val="24"/>
                <w:color w:val="auto"/>
              </w:rPr>
            </w:pPr>
          </w:p>
        </w:tc>
        <w:tc>
          <w:tcPr>
            <w:tcW w:w="1920" w:type="dxa"/>
            <w:vAlign w:val="bottom"/>
            <w:tcBorders>
              <w:bottom w:val="single" w:sz="8" w:color="E5E5E1"/>
            </w:tcBorders>
          </w:tcPr>
          <w:p>
            <w:pPr>
              <w:spacing w:after="0"/>
              <w:rPr>
                <w:sz w:val="24"/>
                <w:szCs w:val="24"/>
                <w:color w:val="auto"/>
              </w:rPr>
            </w:pPr>
          </w:p>
        </w:tc>
        <w:tc>
          <w:tcPr>
            <w:tcW w:w="1960" w:type="dxa"/>
            <w:vAlign w:val="bottom"/>
            <w:tcBorders>
              <w:bottom w:val="single" w:sz="8" w:color="E5E5E1"/>
            </w:tcBorders>
          </w:tcPr>
          <w:p>
            <w:pPr>
              <w:spacing w:after="0"/>
              <w:rPr>
                <w:sz w:val="24"/>
                <w:szCs w:val="24"/>
                <w:color w:val="auto"/>
              </w:rPr>
            </w:pPr>
          </w:p>
        </w:tc>
        <w:tc>
          <w:tcPr>
            <w:tcW w:w="1420" w:type="dxa"/>
            <w:vAlign w:val="bottom"/>
            <w:vMerge w:val="restart"/>
          </w:tcPr>
          <w:p>
            <w:pPr>
              <w:jc w:val="right"/>
              <w:spacing w:after="0"/>
              <w:rPr>
                <w:sz w:val="20"/>
                <w:szCs w:val="20"/>
                <w:color w:val="auto"/>
              </w:rPr>
            </w:pPr>
            <w:r>
              <w:rPr>
                <w:rFonts w:ascii="Arial" w:cs="Arial" w:eastAsia="Arial" w:hAnsi="Arial"/>
                <w:sz w:val="20"/>
                <w:szCs w:val="20"/>
                <w:color w:val="10171D"/>
              </w:rPr>
              <w:t>$400,000,000</w:t>
            </w:r>
          </w:p>
        </w:tc>
        <w:tc>
          <w:tcPr>
            <w:tcW w:w="0" w:type="dxa"/>
            <w:vAlign w:val="bottom"/>
          </w:tcPr>
          <w:p>
            <w:pPr>
              <w:spacing w:after="0"/>
              <w:rPr>
                <w:sz w:val="1"/>
                <w:szCs w:val="1"/>
                <w:color w:val="auto"/>
              </w:rPr>
            </w:pPr>
          </w:p>
        </w:tc>
      </w:tr>
      <w:tr>
        <w:trPr>
          <w:trHeight w:val="134"/>
        </w:trPr>
        <w:tc>
          <w:tcPr>
            <w:tcW w:w="560" w:type="dxa"/>
            <w:vAlign w:val="bottom"/>
            <w:vMerge w:val="continue"/>
          </w:tcPr>
          <w:p>
            <w:pPr>
              <w:spacing w:after="0"/>
              <w:rPr>
                <w:sz w:val="11"/>
                <w:szCs w:val="11"/>
                <w:color w:val="auto"/>
              </w:rPr>
            </w:pPr>
          </w:p>
        </w:tc>
        <w:tc>
          <w:tcPr>
            <w:tcW w:w="19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2460" w:type="dxa"/>
            <w:vAlign w:val="bottom"/>
            <w:gridSpan w:val="2"/>
          </w:tcPr>
          <w:p>
            <w:pPr>
              <w:jc w:val="right"/>
              <w:ind w:right="740"/>
              <w:spacing w:after="0"/>
              <w:rPr>
                <w:sz w:val="20"/>
                <w:szCs w:val="20"/>
                <w:color w:val="auto"/>
              </w:rPr>
            </w:pPr>
            <w:r>
              <w:rPr>
                <w:rFonts w:ascii="Arial" w:cs="Arial" w:eastAsia="Arial" w:hAnsi="Arial"/>
                <w:sz w:val="20"/>
                <w:szCs w:val="20"/>
                <w:color w:val="10171D"/>
              </w:rPr>
              <w:t>2020</w:t>
            </w:r>
          </w:p>
        </w:tc>
        <w:tc>
          <w:tcPr>
            <w:tcW w:w="1920" w:type="dxa"/>
            <w:vAlign w:val="bottom"/>
          </w:tcPr>
          <w:p>
            <w:pPr>
              <w:jc w:val="right"/>
              <w:ind w:right="640"/>
              <w:spacing w:after="0"/>
              <w:rPr>
                <w:sz w:val="20"/>
                <w:szCs w:val="20"/>
                <w:color w:val="auto"/>
              </w:rPr>
            </w:pPr>
            <w:r>
              <w:rPr>
                <w:rFonts w:ascii="Arial" w:cs="Arial" w:eastAsia="Arial" w:hAnsi="Arial"/>
                <w:sz w:val="20"/>
                <w:szCs w:val="20"/>
                <w:color w:val="10171D"/>
              </w:rPr>
              <w:t>2021</w:t>
            </w:r>
          </w:p>
        </w:tc>
        <w:tc>
          <w:tcPr>
            <w:tcW w:w="1960" w:type="dxa"/>
            <w:vAlign w:val="bottom"/>
          </w:tcPr>
          <w:p>
            <w:pPr>
              <w:jc w:val="right"/>
              <w:ind w:right="680"/>
              <w:spacing w:after="0"/>
              <w:rPr>
                <w:sz w:val="20"/>
                <w:szCs w:val="20"/>
                <w:color w:val="auto"/>
              </w:rPr>
            </w:pPr>
            <w:r>
              <w:rPr>
                <w:rFonts w:ascii="Arial" w:cs="Arial" w:eastAsia="Arial" w:hAnsi="Arial"/>
                <w:sz w:val="20"/>
                <w:szCs w:val="20"/>
                <w:color w:val="10171D"/>
              </w:rPr>
              <w:t>2022</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2180"/>
        <w:spacing w:after="0"/>
        <w:rPr>
          <w:sz w:val="20"/>
          <w:szCs w:val="20"/>
          <w:color w:val="auto"/>
        </w:rPr>
      </w:pPr>
      <w:r>
        <w:rPr>
          <w:rFonts w:ascii="Arial" w:cs="Arial" w:eastAsia="Arial" w:hAnsi="Arial"/>
          <w:sz w:val="20"/>
          <w:szCs w:val="20"/>
          <w:color w:val="10171D"/>
        </w:rPr>
        <w:t>Compensation Actually Paid to PEO</w:t>
      </w:r>
    </w:p>
    <w:p>
      <w:pPr>
        <w:spacing w:after="0" w:line="10" w:lineRule="exact"/>
        <w:rPr>
          <w:sz w:val="20"/>
          <w:szCs w:val="20"/>
          <w:color w:val="auto"/>
        </w:rPr>
      </w:pPr>
    </w:p>
    <w:p>
      <w:pPr>
        <w:ind w:left="2180"/>
        <w:spacing w:after="0"/>
        <w:rPr>
          <w:sz w:val="20"/>
          <w:szCs w:val="20"/>
          <w:color w:val="auto"/>
        </w:rPr>
      </w:pPr>
      <w:r>
        <w:rPr>
          <w:rFonts w:ascii="Arial" w:cs="Arial" w:eastAsia="Arial" w:hAnsi="Arial"/>
          <w:sz w:val="20"/>
          <w:szCs w:val="20"/>
          <w:color w:val="10171D"/>
        </w:rPr>
        <w:t>Average Compensation Actually Paid to Non-PEO NEOs</w:t>
      </w:r>
    </w:p>
    <w:p>
      <w:pPr>
        <w:ind w:left="1820"/>
        <w:spacing w:after="0"/>
        <w:rPr>
          <w:sz w:val="20"/>
          <w:szCs w:val="20"/>
          <w:color w:val="auto"/>
        </w:rPr>
      </w:pPr>
      <w:r>
        <w:rPr>
          <w:sz w:val="1"/>
          <w:szCs w:val="1"/>
          <w:color w:val="auto"/>
        </w:rPr>
        <w:drawing>
          <wp:inline distT="0" distB="0" distL="0" distR="0">
            <wp:extent cx="190500" cy="16192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0500" cy="161925"/>
                    </a:xfrm>
                    <a:prstGeom prst="rect">
                      <a:avLst/>
                    </a:prstGeom>
                    <a:noFill/>
                    <a:ln>
                      <a:noFill/>
                    </a:ln>
                  </pic:spPr>
                </pic:pic>
              </a:graphicData>
            </a:graphic>
          </wp:inline>
        </w:drawing>
      </w:r>
      <w:r>
        <w:rPr>
          <w:rFonts w:ascii="Arial" w:cs="Arial" w:eastAsia="Arial" w:hAnsi="Arial"/>
          <w:sz w:val="20"/>
          <w:szCs w:val="20"/>
          <w:color w:val="10171D"/>
        </w:rPr>
        <w:t xml:space="preserve"> Revenue</w:t>
      </w:r>
    </w:p>
    <w:p>
      <w:pPr>
        <w:spacing w:after="0" w:line="200" w:lineRule="exact"/>
        <w:rPr>
          <w:sz w:val="20"/>
          <w:szCs w:val="20"/>
          <w:color w:val="auto"/>
        </w:rPr>
      </w:pPr>
    </w:p>
    <w:p>
      <w:pPr>
        <w:spacing w:after="0" w:line="349" w:lineRule="exact"/>
        <w:rPr>
          <w:sz w:val="20"/>
          <w:szCs w:val="20"/>
          <w:color w:val="auto"/>
        </w:rPr>
      </w:pPr>
    </w:p>
    <w:p>
      <w:pPr>
        <w:ind w:right="160" w:firstLine="360"/>
        <w:spacing w:after="0" w:line="259" w:lineRule="auto"/>
        <w:rPr>
          <w:sz w:val="20"/>
          <w:szCs w:val="20"/>
          <w:color w:val="auto"/>
        </w:rPr>
      </w:pPr>
      <w:r>
        <w:rPr>
          <w:rFonts w:ascii="Arial" w:cs="Arial" w:eastAsia="Arial" w:hAnsi="Arial"/>
          <w:sz w:val="20"/>
          <w:szCs w:val="20"/>
          <w:i w:val="1"/>
          <w:iCs w:val="1"/>
          <w:color w:val="auto"/>
        </w:rPr>
        <w:t>All information provided above under the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 COMPENSATION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Compensation</w:t>
      </w:r>
    </w:p>
    <w:p>
      <w:pPr>
        <w:spacing w:after="0" w:line="251" w:lineRule="exact"/>
        <w:rPr>
          <w:sz w:val="20"/>
          <w:szCs w:val="20"/>
          <w:color w:val="auto"/>
        </w:rPr>
      </w:pPr>
    </w:p>
    <w:p>
      <w:pPr>
        <w:ind w:right="100" w:firstLine="360"/>
        <w:spacing w:after="0" w:line="262" w:lineRule="auto"/>
        <w:rPr>
          <w:sz w:val="20"/>
          <w:szCs w:val="20"/>
          <w:color w:val="auto"/>
        </w:rPr>
      </w:pPr>
      <w:r>
        <w:rPr>
          <w:rFonts w:ascii="Arial" w:cs="Arial" w:eastAsia="Arial" w:hAnsi="Arial"/>
          <w:sz w:val="20"/>
          <w:szCs w:val="20"/>
          <w:color w:val="auto"/>
        </w:rPr>
        <w:t>This section provides information regarding the compensation of our non-employee directors in 2022. Our non-employee directors are also entitled to reimbursement of direct expenses incurred in connection with attending meetings of our Board of Directors or committees thereof. We may provide both cash and equity compensation to our independent directors.</w:t>
      </w:r>
    </w:p>
    <w:p>
      <w:pPr>
        <w:sectPr>
          <w:pgSz w:w="11880" w:h="15480" w:orient="portrait"/>
          <w:cols w:equalWidth="0" w:num="1">
            <w:col w:w="9000"/>
          </w:cols>
          <w:pgMar w:left="1440" w:top="120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880" w:h="15480" w:orient="portrait"/>
          <w:cols w:equalWidth="0" w:num="1">
            <w:col w:w="9000"/>
          </w:cols>
          <w:pgMar w:left="1440" w:top="1206" w:right="1440" w:bottom="0" w:gutter="0" w:footer="0" w:header="0"/>
          <w:type w:val="continuous"/>
        </w:sectPr>
      </w:pPr>
    </w:p>
    <w:bookmarkStart w:id="79" w:name="page80"/>
    <w:bookmarkEnd w:id="79"/>
    <w:p>
      <w:pPr>
        <w:ind w:left="360"/>
        <w:spacing w:after="0"/>
        <w:rPr>
          <w:sz w:val="20"/>
          <w:szCs w:val="20"/>
          <w:color w:val="auto"/>
        </w:rPr>
      </w:pPr>
      <w:r>
        <w:rPr>
          <w:rFonts w:ascii="Arial" w:cs="Arial" w:eastAsia="Arial" w:hAnsi="Arial"/>
          <w:sz w:val="20"/>
          <w:szCs w:val="20"/>
          <w:b w:val="1"/>
          <w:bCs w:val="1"/>
          <w:i w:val="1"/>
          <w:iCs w:val="1"/>
          <w:color w:val="auto"/>
        </w:rPr>
        <w:t>2022 Cash Compensation</w:t>
      </w:r>
    </w:p>
    <w:p>
      <w:pPr>
        <w:spacing w:after="0" w:line="249" w:lineRule="exact"/>
        <w:rPr>
          <w:sz w:val="20"/>
          <w:szCs w:val="20"/>
          <w:color w:val="auto"/>
        </w:rPr>
      </w:pPr>
    </w:p>
    <w:p>
      <w:pPr>
        <w:ind w:right="160" w:firstLine="360"/>
        <w:spacing w:after="0" w:line="268" w:lineRule="auto"/>
        <w:rPr>
          <w:sz w:val="20"/>
          <w:szCs w:val="20"/>
          <w:color w:val="auto"/>
        </w:rPr>
      </w:pPr>
      <w:r>
        <w:rPr>
          <w:rFonts w:ascii="Arial" w:cs="Arial" w:eastAsia="Arial" w:hAnsi="Arial"/>
          <w:sz w:val="20"/>
          <w:szCs w:val="20"/>
          <w:color w:val="auto"/>
        </w:rPr>
        <w:t>Except as described in the footnotes to the director compensation table below, the cash compensation amounts set forth below were payable to each non-employee director for their service on the Board of Directors of the company for the year ended December 31, 2022: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380" w:type="dxa"/>
            <w:vAlign w:val="bottom"/>
            <w:tcBorders>
              <w:bottom w:val="single" w:sz="8" w:color="D2EDF0"/>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260" w:type="dxa"/>
            <w:vAlign w:val="bottom"/>
            <w:tcBorders>
              <w:bottom w:val="single" w:sz="8" w:color="auto"/>
            </w:tcBorders>
            <w:gridSpan w:val="4"/>
          </w:tcPr>
          <w:p>
            <w:pPr>
              <w:jc w:val="right"/>
              <w:ind w:right="1300"/>
              <w:spacing w:after="0"/>
              <w:rPr>
                <w:sz w:val="20"/>
                <w:szCs w:val="20"/>
                <w:color w:val="auto"/>
              </w:rPr>
            </w:pPr>
            <w:r>
              <w:rPr>
                <w:rFonts w:ascii="Arial" w:cs="Arial" w:eastAsia="Arial" w:hAnsi="Arial"/>
                <w:sz w:val="20"/>
                <w:szCs w:val="20"/>
                <w:b w:val="1"/>
                <w:bCs w:val="1"/>
                <w:color w:val="auto"/>
              </w:rPr>
              <w:t>Annual Retainer ($)</w:t>
            </w:r>
          </w:p>
        </w:tc>
        <w:tc>
          <w:tcPr>
            <w:tcW w:w="0" w:type="dxa"/>
            <w:vAlign w:val="bottom"/>
          </w:tcPr>
          <w:p>
            <w:pPr>
              <w:spacing w:after="0"/>
              <w:rPr>
                <w:sz w:val="1"/>
                <w:szCs w:val="1"/>
                <w:color w:val="auto"/>
              </w:rPr>
            </w:pPr>
          </w:p>
        </w:tc>
      </w:tr>
      <w:tr>
        <w:trPr>
          <w:trHeight w:val="285"/>
        </w:trPr>
        <w:tc>
          <w:tcPr>
            <w:tcW w:w="438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20"/>
                <w:szCs w:val="20"/>
                <w:color w:val="auto"/>
              </w:rPr>
              <w:t>Annual Board Service Retainer</w:t>
            </w:r>
          </w:p>
        </w:tc>
        <w:tc>
          <w:tcPr>
            <w:tcW w:w="360" w:type="dxa"/>
            <w:vAlign w:val="bottom"/>
            <w:tcBorders>
              <w:bottom w:val="single" w:sz="8" w:color="D2EDF0"/>
            </w:tcBorders>
            <w:shd w:val="clear" w:color="auto" w:fill="D2EDF0"/>
          </w:tcPr>
          <w:p>
            <w:pPr>
              <w:jc w:val="right"/>
              <w:ind w:right="100"/>
              <w:spacing w:after="0"/>
              <w:rPr>
                <w:sz w:val="20"/>
                <w:szCs w:val="20"/>
                <w:color w:val="auto"/>
              </w:rPr>
            </w:pPr>
            <w:r>
              <w:rPr>
                <w:rFonts w:ascii="Arial" w:cs="Arial" w:eastAsia="Arial" w:hAnsi="Arial"/>
                <w:sz w:val="20"/>
                <w:szCs w:val="20"/>
                <w:color w:val="auto"/>
              </w:rPr>
              <w:t>$</w:t>
            </w:r>
          </w:p>
        </w:tc>
        <w:tc>
          <w:tcPr>
            <w:tcW w:w="1920" w:type="dxa"/>
            <w:vAlign w:val="bottom"/>
            <w:tcBorders>
              <w:bottom w:val="single" w:sz="8" w:color="D2EDF0"/>
            </w:tcBorders>
            <w:shd w:val="clear" w:color="auto" w:fill="D2EDF0"/>
          </w:tcPr>
          <w:p>
            <w:pPr>
              <w:spacing w:after="0"/>
              <w:rPr>
                <w:sz w:val="24"/>
                <w:szCs w:val="24"/>
                <w:color w:val="auto"/>
              </w:rPr>
            </w:pPr>
          </w:p>
        </w:tc>
        <w:tc>
          <w:tcPr>
            <w:tcW w:w="60" w:type="dxa"/>
            <w:vAlign w:val="bottom"/>
            <w:tcBorders>
              <w:bottom w:val="single" w:sz="8" w:color="D2EDF0"/>
            </w:tcBorders>
            <w:shd w:val="clear" w:color="auto" w:fill="D2EDF0"/>
          </w:tcPr>
          <w:p>
            <w:pPr>
              <w:spacing w:after="0"/>
              <w:rPr>
                <w:sz w:val="24"/>
                <w:szCs w:val="24"/>
                <w:color w:val="auto"/>
              </w:rPr>
            </w:pPr>
          </w:p>
        </w:tc>
        <w:tc>
          <w:tcPr>
            <w:tcW w:w="180" w:type="dxa"/>
            <w:vAlign w:val="bottom"/>
            <w:tcBorders>
              <w:bottom w:val="single" w:sz="8" w:color="D2EDF0"/>
            </w:tcBorders>
            <w:shd w:val="clear" w:color="auto" w:fill="D2EDF0"/>
          </w:tcPr>
          <w:p>
            <w:pPr>
              <w:spacing w:after="0"/>
              <w:rPr>
                <w:sz w:val="24"/>
                <w:szCs w:val="24"/>
                <w:color w:val="auto"/>
              </w:rPr>
            </w:pPr>
          </w:p>
        </w:tc>
        <w:tc>
          <w:tcPr>
            <w:tcW w:w="2100" w:type="dxa"/>
            <w:vAlign w:val="bottom"/>
            <w:tcBorders>
              <w:bottom w:val="single" w:sz="8" w:color="D2EDF0"/>
            </w:tcBorders>
            <w:shd w:val="clear" w:color="auto" w:fill="D2EDF0"/>
          </w:tcPr>
          <w:p>
            <w:pPr>
              <w:jc w:val="right"/>
              <w:spacing w:after="0"/>
              <w:rPr>
                <w:sz w:val="20"/>
                <w:szCs w:val="20"/>
                <w:color w:val="auto"/>
              </w:rPr>
            </w:pPr>
            <w:r>
              <w:rPr>
                <w:rFonts w:ascii="Arial" w:cs="Arial" w:eastAsia="Arial" w:hAnsi="Arial"/>
                <w:sz w:val="20"/>
                <w:szCs w:val="20"/>
                <w:color w:val="auto"/>
              </w:rPr>
              <w:t>35,000</w:t>
            </w:r>
          </w:p>
        </w:tc>
        <w:tc>
          <w:tcPr>
            <w:tcW w:w="0" w:type="dxa"/>
            <w:vAlign w:val="bottom"/>
          </w:tcPr>
          <w:p>
            <w:pPr>
              <w:spacing w:after="0"/>
              <w:rPr>
                <w:sz w:val="1"/>
                <w:szCs w:val="1"/>
                <w:color w:val="auto"/>
              </w:rPr>
            </w:pPr>
          </w:p>
        </w:tc>
      </w:tr>
      <w:tr>
        <w:trPr>
          <w:trHeight w:val="307"/>
        </w:trPr>
        <w:tc>
          <w:tcPr>
            <w:tcW w:w="4380" w:type="dxa"/>
            <w:vAlign w:val="bottom"/>
          </w:tcPr>
          <w:p>
            <w:pPr>
              <w:ind w:left="60"/>
              <w:spacing w:after="0"/>
              <w:rPr>
                <w:sz w:val="20"/>
                <w:szCs w:val="20"/>
                <w:color w:val="auto"/>
              </w:rPr>
            </w:pPr>
            <w:r>
              <w:rPr>
                <w:rFonts w:ascii="Arial" w:cs="Arial" w:eastAsia="Arial" w:hAnsi="Arial"/>
                <w:sz w:val="20"/>
                <w:szCs w:val="20"/>
                <w:color w:val="auto"/>
              </w:rPr>
              <w:t>Lead Independent Director Service Retainer</w:t>
            </w: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18,000</w:t>
            </w:r>
          </w:p>
        </w:tc>
        <w:tc>
          <w:tcPr>
            <w:tcW w:w="0" w:type="dxa"/>
            <w:vAlign w:val="bottom"/>
          </w:tcPr>
          <w:p>
            <w:pPr>
              <w:spacing w:after="0"/>
              <w:rPr>
                <w:sz w:val="1"/>
                <w:szCs w:val="1"/>
                <w:color w:val="auto"/>
              </w:rPr>
            </w:pPr>
          </w:p>
        </w:tc>
      </w:tr>
      <w:tr>
        <w:trPr>
          <w:trHeight w:val="425"/>
        </w:trPr>
        <w:tc>
          <w:tcPr>
            <w:tcW w:w="4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60" w:type="dxa"/>
            <w:vAlign w:val="bottom"/>
            <w:gridSpan w:val="4"/>
          </w:tcPr>
          <w:p>
            <w:pPr>
              <w:jc w:val="right"/>
              <w:ind w:right="1300"/>
              <w:spacing w:after="0"/>
              <w:rPr>
                <w:sz w:val="20"/>
                <w:szCs w:val="20"/>
                <w:color w:val="auto"/>
              </w:rPr>
            </w:pPr>
            <w:r>
              <w:rPr>
                <w:rFonts w:ascii="Arial" w:cs="Arial" w:eastAsia="Arial" w:hAnsi="Arial"/>
                <w:sz w:val="20"/>
                <w:szCs w:val="20"/>
                <w:b w:val="1"/>
                <w:bCs w:val="1"/>
                <w:color w:val="auto"/>
              </w:rPr>
              <w:t>Annual Retainer ($)</w:t>
            </w:r>
          </w:p>
        </w:tc>
        <w:tc>
          <w:tcPr>
            <w:tcW w:w="0" w:type="dxa"/>
            <w:vAlign w:val="bottom"/>
          </w:tcPr>
          <w:p>
            <w:pPr>
              <w:spacing w:after="0"/>
              <w:rPr>
                <w:sz w:val="1"/>
                <w:szCs w:val="1"/>
                <w:color w:val="auto"/>
              </w:rPr>
            </w:pPr>
          </w:p>
        </w:tc>
      </w:tr>
      <w:tr>
        <w:trPr>
          <w:trHeight w:val="303"/>
        </w:trPr>
        <w:tc>
          <w:tcPr>
            <w:tcW w:w="4380" w:type="dxa"/>
            <w:vAlign w:val="bottom"/>
            <w:tcBorders>
              <w:bottom w:val="single" w:sz="8" w:color="D2EDF0"/>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460"/>
              <w:spacing w:after="0"/>
              <w:rPr>
                <w:sz w:val="20"/>
                <w:szCs w:val="20"/>
                <w:color w:val="auto"/>
              </w:rPr>
            </w:pPr>
            <w:r>
              <w:rPr>
                <w:rFonts w:ascii="Arial" w:cs="Arial" w:eastAsia="Arial" w:hAnsi="Arial"/>
                <w:sz w:val="20"/>
                <w:szCs w:val="20"/>
                <w:b w:val="1"/>
                <w:bCs w:val="1"/>
                <w:color w:val="auto"/>
              </w:rPr>
              <w:t>Chairperson</w:t>
            </w:r>
          </w:p>
        </w:tc>
        <w:tc>
          <w:tcPr>
            <w:tcW w:w="60" w:type="dxa"/>
            <w:vAlign w:val="bottom"/>
            <w:tcBorders>
              <w:bottom w:val="single" w:sz="8" w:color="D2EDF0"/>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120"/>
              <w:spacing w:after="0"/>
              <w:rPr>
                <w:sz w:val="20"/>
                <w:szCs w:val="20"/>
                <w:color w:val="auto"/>
              </w:rPr>
            </w:pPr>
            <w:r>
              <w:rPr>
                <w:rFonts w:ascii="Arial" w:cs="Arial" w:eastAsia="Arial" w:hAnsi="Arial"/>
                <w:sz w:val="20"/>
                <w:szCs w:val="20"/>
                <w:b w:val="1"/>
                <w:bCs w:val="1"/>
                <w:color w:val="auto"/>
              </w:rPr>
              <w:t>Committee Member</w:t>
            </w:r>
          </w:p>
        </w:tc>
        <w:tc>
          <w:tcPr>
            <w:tcW w:w="0" w:type="dxa"/>
            <w:vAlign w:val="bottom"/>
          </w:tcPr>
          <w:p>
            <w:pPr>
              <w:spacing w:after="0"/>
              <w:rPr>
                <w:sz w:val="1"/>
                <w:szCs w:val="1"/>
                <w:color w:val="auto"/>
              </w:rPr>
            </w:pPr>
          </w:p>
        </w:tc>
      </w:tr>
      <w:tr>
        <w:trPr>
          <w:trHeight w:val="285"/>
        </w:trPr>
        <w:tc>
          <w:tcPr>
            <w:tcW w:w="438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20"/>
                <w:szCs w:val="20"/>
                <w:color w:val="auto"/>
              </w:rPr>
              <w:t>Audit Committee</w:t>
            </w:r>
          </w:p>
        </w:tc>
        <w:tc>
          <w:tcPr>
            <w:tcW w:w="360" w:type="dxa"/>
            <w:vAlign w:val="bottom"/>
            <w:tcBorders>
              <w:bottom w:val="single" w:sz="8" w:color="D2EDF0"/>
            </w:tcBorders>
            <w:shd w:val="clear" w:color="auto" w:fill="D2EDF0"/>
          </w:tcPr>
          <w:p>
            <w:pPr>
              <w:jc w:val="right"/>
              <w:ind w:right="100"/>
              <w:spacing w:after="0"/>
              <w:rPr>
                <w:sz w:val="20"/>
                <w:szCs w:val="20"/>
                <w:color w:val="auto"/>
              </w:rPr>
            </w:pPr>
            <w:r>
              <w:rPr>
                <w:rFonts w:ascii="Arial" w:cs="Arial" w:eastAsia="Arial" w:hAnsi="Arial"/>
                <w:sz w:val="20"/>
                <w:szCs w:val="20"/>
                <w:color w:val="auto"/>
              </w:rPr>
              <w:t>$</w:t>
            </w:r>
          </w:p>
        </w:tc>
        <w:tc>
          <w:tcPr>
            <w:tcW w:w="1920" w:type="dxa"/>
            <w:vAlign w:val="bottom"/>
            <w:tcBorders>
              <w:bottom w:val="single" w:sz="8" w:color="D2EDF0"/>
            </w:tcBorders>
            <w:shd w:val="clear" w:color="auto" w:fill="D2EDF0"/>
          </w:tcPr>
          <w:p>
            <w:pPr>
              <w:jc w:val="right"/>
              <w:spacing w:after="0"/>
              <w:rPr>
                <w:sz w:val="20"/>
                <w:szCs w:val="20"/>
                <w:color w:val="auto"/>
              </w:rPr>
            </w:pPr>
            <w:r>
              <w:rPr>
                <w:rFonts w:ascii="Arial" w:cs="Arial" w:eastAsia="Arial" w:hAnsi="Arial"/>
                <w:sz w:val="20"/>
                <w:szCs w:val="20"/>
                <w:color w:val="auto"/>
              </w:rPr>
              <w:t>20,000</w:t>
            </w:r>
          </w:p>
        </w:tc>
        <w:tc>
          <w:tcPr>
            <w:tcW w:w="240" w:type="dxa"/>
            <w:vAlign w:val="bottom"/>
            <w:tcBorders>
              <w:bottom w:val="single" w:sz="8" w:color="D2EDF0"/>
            </w:tcBorders>
            <w:gridSpan w:val="2"/>
            <w:shd w:val="clear" w:color="auto" w:fill="D2EDF0"/>
          </w:tcPr>
          <w:p>
            <w:pPr>
              <w:jc w:val="right"/>
              <w:ind w:right="20"/>
              <w:spacing w:after="0"/>
              <w:rPr>
                <w:sz w:val="20"/>
                <w:szCs w:val="20"/>
                <w:color w:val="auto"/>
              </w:rPr>
            </w:pPr>
            <w:r>
              <w:rPr>
                <w:rFonts w:ascii="Arial" w:cs="Arial" w:eastAsia="Arial" w:hAnsi="Arial"/>
                <w:sz w:val="20"/>
                <w:szCs w:val="20"/>
                <w:color w:val="auto"/>
              </w:rPr>
              <w:t>$</w:t>
            </w:r>
          </w:p>
        </w:tc>
        <w:tc>
          <w:tcPr>
            <w:tcW w:w="2100" w:type="dxa"/>
            <w:vAlign w:val="bottom"/>
            <w:tcBorders>
              <w:bottom w:val="single" w:sz="8" w:color="D2EDF0"/>
            </w:tcBorders>
            <w:shd w:val="clear" w:color="auto" w:fill="D2EDF0"/>
          </w:tcPr>
          <w:p>
            <w:pPr>
              <w:jc w:val="right"/>
              <w:spacing w:after="0"/>
              <w:rPr>
                <w:sz w:val="20"/>
                <w:szCs w:val="20"/>
                <w:color w:val="auto"/>
              </w:rPr>
            </w:pPr>
            <w:r>
              <w:rPr>
                <w:rFonts w:ascii="Arial" w:cs="Arial" w:eastAsia="Arial" w:hAnsi="Arial"/>
                <w:sz w:val="20"/>
                <w:szCs w:val="20"/>
                <w:color w:val="auto"/>
              </w:rPr>
              <w:t>10,000</w:t>
            </w:r>
          </w:p>
        </w:tc>
        <w:tc>
          <w:tcPr>
            <w:tcW w:w="0" w:type="dxa"/>
            <w:vAlign w:val="bottom"/>
          </w:tcPr>
          <w:p>
            <w:pPr>
              <w:spacing w:after="0"/>
              <w:rPr>
                <w:sz w:val="1"/>
                <w:szCs w:val="1"/>
                <w:color w:val="auto"/>
              </w:rPr>
            </w:pPr>
          </w:p>
        </w:tc>
      </w:tr>
      <w:tr>
        <w:trPr>
          <w:trHeight w:val="311"/>
        </w:trPr>
        <w:tc>
          <w:tcPr>
            <w:tcW w:w="4380" w:type="dxa"/>
            <w:vAlign w:val="bottom"/>
          </w:tcPr>
          <w:p>
            <w:pPr>
              <w:ind w:left="60"/>
              <w:spacing w:after="0"/>
              <w:rPr>
                <w:sz w:val="20"/>
                <w:szCs w:val="20"/>
                <w:color w:val="auto"/>
              </w:rPr>
            </w:pPr>
            <w:r>
              <w:rPr>
                <w:rFonts w:ascii="Arial" w:cs="Arial" w:eastAsia="Arial" w:hAnsi="Arial"/>
                <w:sz w:val="20"/>
                <w:szCs w:val="20"/>
                <w:color w:val="auto"/>
              </w:rPr>
              <w:t>Compensation Committee</w:t>
            </w:r>
          </w:p>
        </w:tc>
        <w:tc>
          <w:tcPr>
            <w:tcW w:w="3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20"/>
                <w:szCs w:val="20"/>
                <w:color w:val="auto"/>
              </w:rPr>
              <w:t>13,500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6,000</w:t>
            </w:r>
          </w:p>
        </w:tc>
        <w:tc>
          <w:tcPr>
            <w:tcW w:w="0" w:type="dxa"/>
            <w:vAlign w:val="bottom"/>
          </w:tcPr>
          <w:p>
            <w:pPr>
              <w:spacing w:after="0"/>
              <w:rPr>
                <w:sz w:val="1"/>
                <w:szCs w:val="1"/>
                <w:color w:val="auto"/>
              </w:rPr>
            </w:pPr>
          </w:p>
        </w:tc>
      </w:tr>
      <w:tr>
        <w:trPr>
          <w:trHeight w:val="212"/>
        </w:trPr>
        <w:tc>
          <w:tcPr>
            <w:tcW w:w="4380" w:type="dxa"/>
            <w:vAlign w:val="bottom"/>
            <w:shd w:val="clear" w:color="auto" w:fill="D2EDF0"/>
          </w:tcPr>
          <w:p>
            <w:pPr>
              <w:ind w:left="60"/>
              <w:spacing w:after="0" w:line="212" w:lineRule="exact"/>
              <w:rPr>
                <w:sz w:val="20"/>
                <w:szCs w:val="20"/>
                <w:color w:val="auto"/>
              </w:rPr>
            </w:pPr>
            <w:r>
              <w:rPr>
                <w:rFonts w:ascii="Arial" w:cs="Arial" w:eastAsia="Arial" w:hAnsi="Arial"/>
                <w:sz w:val="20"/>
                <w:szCs w:val="20"/>
                <w:color w:val="auto"/>
              </w:rPr>
              <w:t>Nominating and Corporate Governance</w:t>
            </w:r>
          </w:p>
        </w:tc>
        <w:tc>
          <w:tcPr>
            <w:tcW w:w="360" w:type="dxa"/>
            <w:vAlign w:val="bottom"/>
            <w:shd w:val="clear" w:color="auto" w:fill="D2EDF0"/>
          </w:tcPr>
          <w:p>
            <w:pPr>
              <w:spacing w:after="0"/>
              <w:rPr>
                <w:sz w:val="18"/>
                <w:szCs w:val="18"/>
                <w:color w:val="auto"/>
              </w:rPr>
            </w:pPr>
          </w:p>
        </w:tc>
        <w:tc>
          <w:tcPr>
            <w:tcW w:w="192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8,000</w:t>
            </w:r>
          </w:p>
        </w:tc>
        <w:tc>
          <w:tcPr>
            <w:tcW w:w="60" w:type="dxa"/>
            <w:vAlign w:val="bottom"/>
            <w:shd w:val="clear" w:color="auto" w:fill="D2EDF0"/>
          </w:tcPr>
          <w:p>
            <w:pPr>
              <w:spacing w:after="0"/>
              <w:rPr>
                <w:sz w:val="18"/>
                <w:szCs w:val="18"/>
                <w:color w:val="auto"/>
              </w:rPr>
            </w:pPr>
          </w:p>
        </w:tc>
        <w:tc>
          <w:tcPr>
            <w:tcW w:w="180" w:type="dxa"/>
            <w:vAlign w:val="bottom"/>
            <w:shd w:val="clear" w:color="auto" w:fill="D2EDF0"/>
          </w:tcPr>
          <w:p>
            <w:pPr>
              <w:spacing w:after="0"/>
              <w:rPr>
                <w:sz w:val="18"/>
                <w:szCs w:val="18"/>
                <w:color w:val="auto"/>
              </w:rPr>
            </w:pPr>
          </w:p>
        </w:tc>
        <w:tc>
          <w:tcPr>
            <w:tcW w:w="21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4,000</w:t>
            </w:r>
          </w:p>
        </w:tc>
        <w:tc>
          <w:tcPr>
            <w:tcW w:w="0" w:type="dxa"/>
            <w:vAlign w:val="bottom"/>
          </w:tcPr>
          <w:p>
            <w:pPr>
              <w:spacing w:after="0"/>
              <w:rPr>
                <w:sz w:val="1"/>
                <w:szCs w:val="1"/>
                <w:color w:val="auto"/>
              </w:rPr>
            </w:pPr>
          </w:p>
        </w:tc>
      </w:tr>
      <w:tr>
        <w:trPr>
          <w:trHeight w:val="159"/>
        </w:trPr>
        <w:tc>
          <w:tcPr>
            <w:tcW w:w="4380" w:type="dxa"/>
            <w:vAlign w:val="bottom"/>
            <w:vMerge w:val="restart"/>
            <w:shd w:val="clear" w:color="auto" w:fill="D2EDF0"/>
          </w:tcPr>
          <w:p>
            <w:pPr>
              <w:ind w:left="60"/>
              <w:spacing w:after="0"/>
              <w:rPr>
                <w:sz w:val="20"/>
                <w:szCs w:val="20"/>
                <w:color w:val="auto"/>
              </w:rPr>
            </w:pPr>
            <w:r>
              <w:rPr>
                <w:rFonts w:ascii="Arial" w:cs="Arial" w:eastAsia="Arial" w:hAnsi="Arial"/>
                <w:sz w:val="20"/>
                <w:szCs w:val="20"/>
                <w:color w:val="auto"/>
              </w:rPr>
              <w:t>Committee</w:t>
            </w:r>
          </w:p>
        </w:tc>
        <w:tc>
          <w:tcPr>
            <w:tcW w:w="360" w:type="dxa"/>
            <w:vAlign w:val="bottom"/>
            <w:shd w:val="clear" w:color="auto" w:fill="D2EDF0"/>
          </w:tcPr>
          <w:p>
            <w:pPr>
              <w:spacing w:after="0"/>
              <w:rPr>
                <w:sz w:val="13"/>
                <w:szCs w:val="13"/>
                <w:color w:val="auto"/>
              </w:rPr>
            </w:pPr>
          </w:p>
        </w:tc>
        <w:tc>
          <w:tcPr>
            <w:tcW w:w="1920" w:type="dxa"/>
            <w:vAlign w:val="bottom"/>
            <w:vMerge w:val="continue"/>
            <w:shd w:val="clear" w:color="auto" w:fill="D2EDF0"/>
          </w:tcPr>
          <w:p>
            <w:pPr>
              <w:spacing w:after="0"/>
              <w:rPr>
                <w:sz w:val="13"/>
                <w:szCs w:val="13"/>
                <w:color w:val="auto"/>
              </w:rPr>
            </w:pPr>
          </w:p>
        </w:tc>
        <w:tc>
          <w:tcPr>
            <w:tcW w:w="60" w:type="dxa"/>
            <w:vAlign w:val="bottom"/>
            <w:shd w:val="clear" w:color="auto" w:fill="D2EDF0"/>
          </w:tcPr>
          <w:p>
            <w:pPr>
              <w:spacing w:after="0"/>
              <w:rPr>
                <w:sz w:val="13"/>
                <w:szCs w:val="13"/>
                <w:color w:val="auto"/>
              </w:rPr>
            </w:pPr>
          </w:p>
        </w:tc>
        <w:tc>
          <w:tcPr>
            <w:tcW w:w="180" w:type="dxa"/>
            <w:vAlign w:val="bottom"/>
            <w:shd w:val="clear" w:color="auto" w:fill="D2EDF0"/>
          </w:tcPr>
          <w:p>
            <w:pPr>
              <w:spacing w:after="0"/>
              <w:rPr>
                <w:sz w:val="13"/>
                <w:szCs w:val="13"/>
                <w:color w:val="auto"/>
              </w:rPr>
            </w:pPr>
          </w:p>
        </w:tc>
        <w:tc>
          <w:tcPr>
            <w:tcW w:w="2100" w:type="dxa"/>
            <w:vAlign w:val="bottom"/>
            <w:vMerge w:val="continue"/>
            <w:shd w:val="clear" w:color="auto" w:fill="D2EDF0"/>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4380" w:type="dxa"/>
            <w:vAlign w:val="bottom"/>
            <w:vMerge w:val="continue"/>
            <w:shd w:val="clear" w:color="auto" w:fill="D2EDF0"/>
          </w:tcPr>
          <w:p>
            <w:pPr>
              <w:spacing w:after="0"/>
              <w:rPr>
                <w:sz w:val="9"/>
                <w:szCs w:val="9"/>
                <w:color w:val="auto"/>
              </w:rPr>
            </w:pPr>
          </w:p>
        </w:tc>
        <w:tc>
          <w:tcPr>
            <w:tcW w:w="360" w:type="dxa"/>
            <w:vAlign w:val="bottom"/>
            <w:shd w:val="clear" w:color="auto" w:fill="D2EDF0"/>
          </w:tcPr>
          <w:p>
            <w:pPr>
              <w:spacing w:after="0"/>
              <w:rPr>
                <w:sz w:val="9"/>
                <w:szCs w:val="9"/>
                <w:color w:val="auto"/>
              </w:rPr>
            </w:pPr>
          </w:p>
        </w:tc>
        <w:tc>
          <w:tcPr>
            <w:tcW w:w="1920" w:type="dxa"/>
            <w:vAlign w:val="bottom"/>
            <w:shd w:val="clear" w:color="auto" w:fill="D2EDF0"/>
          </w:tcPr>
          <w:p>
            <w:pPr>
              <w:spacing w:after="0"/>
              <w:rPr>
                <w:sz w:val="9"/>
                <w:szCs w:val="9"/>
                <w:color w:val="auto"/>
              </w:rPr>
            </w:pPr>
          </w:p>
        </w:tc>
        <w:tc>
          <w:tcPr>
            <w:tcW w:w="60" w:type="dxa"/>
            <w:vAlign w:val="bottom"/>
            <w:shd w:val="clear" w:color="auto" w:fill="D2EDF0"/>
          </w:tcPr>
          <w:p>
            <w:pPr>
              <w:spacing w:after="0"/>
              <w:rPr>
                <w:sz w:val="9"/>
                <w:szCs w:val="9"/>
                <w:color w:val="auto"/>
              </w:rPr>
            </w:pPr>
          </w:p>
        </w:tc>
        <w:tc>
          <w:tcPr>
            <w:tcW w:w="180" w:type="dxa"/>
            <w:vAlign w:val="bottom"/>
            <w:shd w:val="clear" w:color="auto" w:fill="D2EDF0"/>
          </w:tcPr>
          <w:p>
            <w:pPr>
              <w:spacing w:after="0"/>
              <w:rPr>
                <w:sz w:val="9"/>
                <w:szCs w:val="9"/>
                <w:color w:val="auto"/>
              </w:rPr>
            </w:pPr>
          </w:p>
        </w:tc>
        <w:tc>
          <w:tcPr>
            <w:tcW w:w="2100" w:type="dxa"/>
            <w:vAlign w:val="bottom"/>
            <w:shd w:val="clear" w:color="auto" w:fill="D2EDF0"/>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26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2022 Equity Compensation</w:t>
      </w:r>
    </w:p>
    <w:p>
      <w:pPr>
        <w:spacing w:after="0" w:line="249" w:lineRule="exact"/>
        <w:rPr>
          <w:sz w:val="20"/>
          <w:szCs w:val="20"/>
          <w:color w:val="auto"/>
        </w:rPr>
      </w:pPr>
    </w:p>
    <w:p>
      <w:pPr>
        <w:ind w:right="20" w:firstLine="360"/>
        <w:spacing w:after="0" w:line="270" w:lineRule="auto"/>
        <w:rPr>
          <w:sz w:val="20"/>
          <w:szCs w:val="20"/>
          <w:color w:val="auto"/>
        </w:rPr>
      </w:pPr>
      <w:r>
        <w:rPr>
          <w:rFonts w:ascii="Arial" w:cs="Arial" w:eastAsia="Arial" w:hAnsi="Arial"/>
          <w:sz w:val="19"/>
          <w:szCs w:val="19"/>
          <w:color w:val="auto"/>
        </w:rPr>
        <w:t>On May 25, 2022, every current director as of that date was granted 4,044 RSUs, with the shares underlying the RSUs vesting on the earlier of the first anniversary of the date of grant of the company’s next annual stockholder meeting, subject to each director’s continued service as a director through the applicable vesting date and accelerated vesting in specified circumstances. Mr. Vicks and Mr. Tosheff were appointed to the Board in January 2022 and September 2022, respectively, and received 8,085 RSUs and 9,861 RSUs, respectively, in connection with such appointments. The shares underlying the RSUs vest annually over three years, subject to continued service as a director through the applicable vesting dates and accelerated vesting in specified circumstances.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2022 Director Compensation Table</w:t>
      </w:r>
    </w:p>
    <w:p>
      <w:pPr>
        <w:spacing w:after="0" w:line="251" w:lineRule="exact"/>
        <w:rPr>
          <w:sz w:val="20"/>
          <w:szCs w:val="20"/>
          <w:color w:val="auto"/>
        </w:rPr>
      </w:pPr>
    </w:p>
    <w:p>
      <w:pPr>
        <w:ind w:right="280" w:firstLine="360"/>
        <w:spacing w:after="0" w:line="287" w:lineRule="auto"/>
        <w:rPr>
          <w:sz w:val="20"/>
          <w:szCs w:val="20"/>
          <w:color w:val="auto"/>
        </w:rPr>
      </w:pPr>
      <w:r>
        <w:rPr>
          <w:rFonts w:ascii="Arial" w:cs="Arial" w:eastAsia="Arial" w:hAnsi="Arial"/>
          <w:sz w:val="20"/>
          <w:szCs w:val="20"/>
          <w:color w:val="auto"/>
        </w:rPr>
        <w:t>The following table provides information as to the compensation of our non-employee directors for the year ended December 31, 2022.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23"/>
                <w:szCs w:val="23"/>
                <w:b w:val="1"/>
                <w:bCs w:val="1"/>
                <w:color w:val="auto"/>
                <w:vertAlign w:val="superscript"/>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162"/>
              <w:spacing w:after="0"/>
              <w:rPr>
                <w:sz w:val="20"/>
                <w:szCs w:val="20"/>
                <w:color w:val="auto"/>
              </w:rPr>
            </w:pPr>
            <w:r>
              <w:rPr>
                <w:rFonts w:ascii="Arial" w:cs="Arial" w:eastAsia="Arial" w:hAnsi="Arial"/>
                <w:sz w:val="18"/>
                <w:szCs w:val="18"/>
                <w:b w:val="1"/>
                <w:bCs w:val="1"/>
                <w:color w:val="auto"/>
              </w:rPr>
              <w:t>Fees Earned or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vMerge w:val="restart"/>
          </w:tcPr>
          <w:p>
            <w:pPr>
              <w:jc w:val="right"/>
              <w:ind w:right="81"/>
              <w:spacing w:after="0"/>
              <w:rPr>
                <w:sz w:val="20"/>
                <w:szCs w:val="20"/>
                <w:color w:val="auto"/>
              </w:rPr>
            </w:pPr>
            <w:r>
              <w:rPr>
                <w:rFonts w:ascii="Arial" w:cs="Arial" w:eastAsia="Arial" w:hAnsi="Arial"/>
                <w:sz w:val="18"/>
                <w:szCs w:val="18"/>
                <w:b w:val="1"/>
                <w:bCs w:val="1"/>
                <w:color w:val="auto"/>
                <w:w w:val="91"/>
              </w:rPr>
              <w:t>Stock Awards</w:t>
            </w:r>
            <w:r>
              <w:rPr>
                <w:rFonts w:ascii="Arial" w:cs="Arial" w:eastAsia="Arial" w:hAnsi="Arial"/>
                <w:sz w:val="23"/>
                <w:szCs w:val="23"/>
                <w:b w:val="1"/>
                <w:bCs w:val="1"/>
                <w:color w:val="auto"/>
                <w:w w:val="91"/>
                <w:vertAlign w:val="superscript"/>
              </w:rPr>
              <w:t>(2)(3)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vMerge w:val="restart"/>
          </w:tcPr>
          <w:p>
            <w:pPr>
              <w:jc w:val="right"/>
              <w:ind w:right="58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3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D2EDF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62"/>
              <w:spacing w:after="0"/>
              <w:rPr>
                <w:sz w:val="20"/>
                <w:szCs w:val="20"/>
                <w:color w:val="auto"/>
              </w:rPr>
            </w:pPr>
            <w:r>
              <w:rPr>
                <w:rFonts w:ascii="Arial" w:cs="Arial" w:eastAsia="Arial" w:hAnsi="Arial"/>
                <w:sz w:val="18"/>
                <w:szCs w:val="18"/>
                <w:b w:val="1"/>
                <w:bCs w:val="1"/>
                <w:color w:val="auto"/>
              </w:rPr>
              <w:t>Paid in Cash</w:t>
            </w:r>
          </w:p>
        </w:tc>
        <w:tc>
          <w:tcPr>
            <w:tcW w:w="80" w:type="dxa"/>
            <w:vAlign w:val="bottom"/>
            <w:tcBorders>
              <w:bottom w:val="single" w:sz="8" w:color="D2EDF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D2EDF0"/>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6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20"/>
                <w:szCs w:val="20"/>
                <w:color w:val="auto"/>
              </w:rPr>
              <w:t>Arthur W. Coviello, Jr.</w:t>
            </w:r>
          </w:p>
        </w:tc>
        <w:tc>
          <w:tcPr>
            <w:tcW w:w="280" w:type="dxa"/>
            <w:vAlign w:val="bottom"/>
            <w:tcBorders>
              <w:bottom w:val="single" w:sz="8" w:color="D2EDF0"/>
            </w:tcBorders>
            <w:gridSpan w:val="2"/>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600" w:type="dxa"/>
            <w:vAlign w:val="bottom"/>
            <w:tcBorders>
              <w:bottom w:val="single" w:sz="8" w:color="D2EDF0"/>
            </w:tcBorders>
            <w:shd w:val="clear" w:color="auto" w:fill="D2EDF0"/>
          </w:tcPr>
          <w:p>
            <w:pPr>
              <w:jc w:val="right"/>
              <w:spacing w:after="0"/>
              <w:rPr>
                <w:sz w:val="20"/>
                <w:szCs w:val="20"/>
                <w:color w:val="auto"/>
              </w:rPr>
            </w:pPr>
            <w:r>
              <w:rPr>
                <w:rFonts w:ascii="Arial" w:cs="Arial" w:eastAsia="Arial" w:hAnsi="Arial"/>
                <w:sz w:val="20"/>
                <w:szCs w:val="20"/>
                <w:color w:val="auto"/>
              </w:rPr>
              <w:t>61,000</w:t>
            </w:r>
          </w:p>
        </w:tc>
        <w:tc>
          <w:tcPr>
            <w:tcW w:w="240" w:type="dxa"/>
            <w:vAlign w:val="bottom"/>
            <w:tcBorders>
              <w:bottom w:val="single" w:sz="8" w:color="D2EDF0"/>
            </w:tcBorders>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D2EDF0"/>
            </w:tcBorders>
            <w:shd w:val="clear" w:color="auto" w:fill="D2EDF0"/>
          </w:tcPr>
          <w:p>
            <w:pPr>
              <w:jc w:val="right"/>
              <w:ind w:right="1"/>
              <w:spacing w:after="0"/>
              <w:rPr>
                <w:sz w:val="20"/>
                <w:szCs w:val="20"/>
                <w:color w:val="auto"/>
              </w:rPr>
            </w:pPr>
            <w:r>
              <w:rPr>
                <w:rFonts w:ascii="Arial" w:cs="Arial" w:eastAsia="Arial" w:hAnsi="Arial"/>
                <w:sz w:val="20"/>
                <w:szCs w:val="20"/>
                <w:color w:val="auto"/>
              </w:rPr>
              <w:t>199,976</w:t>
            </w:r>
          </w:p>
        </w:tc>
        <w:tc>
          <w:tcPr>
            <w:tcW w:w="480" w:type="dxa"/>
            <w:vAlign w:val="bottom"/>
            <w:tcBorders>
              <w:bottom w:val="single" w:sz="8" w:color="D2EDF0"/>
            </w:tcBorders>
            <w:gridSpan w:val="2"/>
            <w:shd w:val="clear" w:color="auto" w:fill="D2EDF0"/>
          </w:tcPr>
          <w:p>
            <w:pPr>
              <w:jc w:val="right"/>
              <w:ind w:right="260"/>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D2EDF0"/>
            </w:tcBorders>
            <w:shd w:val="clear" w:color="auto" w:fill="D2EDF0"/>
          </w:tcPr>
          <w:p>
            <w:pPr>
              <w:jc w:val="right"/>
              <w:spacing w:after="0"/>
              <w:rPr>
                <w:sz w:val="20"/>
                <w:szCs w:val="20"/>
                <w:color w:val="auto"/>
              </w:rPr>
            </w:pPr>
            <w:r>
              <w:rPr>
                <w:rFonts w:ascii="Arial" w:cs="Arial" w:eastAsia="Arial" w:hAnsi="Arial"/>
                <w:sz w:val="20"/>
                <w:szCs w:val="20"/>
                <w:color w:val="auto"/>
              </w:rPr>
              <w:t>260,976</w:t>
            </w:r>
          </w:p>
        </w:tc>
        <w:tc>
          <w:tcPr>
            <w:tcW w:w="0" w:type="dxa"/>
            <w:vAlign w:val="bottom"/>
          </w:tcPr>
          <w:p>
            <w:pPr>
              <w:spacing w:after="0"/>
              <w:rPr>
                <w:sz w:val="1"/>
                <w:szCs w:val="1"/>
                <w:color w:val="auto"/>
              </w:rPr>
            </w:pPr>
          </w:p>
        </w:tc>
      </w:tr>
      <w:tr>
        <w:trPr>
          <w:trHeight w:val="300"/>
        </w:trPr>
        <w:tc>
          <w:tcPr>
            <w:tcW w:w="3360" w:type="dxa"/>
            <w:vAlign w:val="bottom"/>
          </w:tcPr>
          <w:p>
            <w:pPr>
              <w:ind w:left="60"/>
              <w:spacing w:after="0"/>
              <w:rPr>
                <w:sz w:val="20"/>
                <w:szCs w:val="20"/>
                <w:color w:val="auto"/>
              </w:rPr>
            </w:pPr>
            <w:r>
              <w:rPr>
                <w:rFonts w:ascii="Arial" w:cs="Arial" w:eastAsia="Arial" w:hAnsi="Arial"/>
                <w:sz w:val="20"/>
                <w:szCs w:val="20"/>
                <w:color w:val="auto"/>
              </w:rPr>
              <w:t>Kimberly L. Hammonds</w:t>
            </w:r>
            <w:r>
              <w:rPr>
                <w:rFonts w:ascii="Arial" w:cs="Arial" w:eastAsia="Arial" w:hAnsi="Arial"/>
                <w:sz w:val="26"/>
                <w:szCs w:val="26"/>
                <w:color w:val="auto"/>
                <w:vertAlign w:val="superscript"/>
              </w:rPr>
              <w:t>(4)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24,500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199,976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224,476</w:t>
            </w:r>
          </w:p>
        </w:tc>
        <w:tc>
          <w:tcPr>
            <w:tcW w:w="0" w:type="dxa"/>
            <w:vAlign w:val="bottom"/>
          </w:tcPr>
          <w:p>
            <w:pPr>
              <w:spacing w:after="0"/>
              <w:rPr>
                <w:sz w:val="1"/>
                <w:szCs w:val="1"/>
                <w:color w:val="auto"/>
              </w:rPr>
            </w:pPr>
          </w:p>
        </w:tc>
      </w:tr>
      <w:tr>
        <w:trPr>
          <w:trHeight w:val="300"/>
        </w:trPr>
        <w:tc>
          <w:tcPr>
            <w:tcW w:w="3360" w:type="dxa"/>
            <w:vAlign w:val="bottom"/>
            <w:shd w:val="clear" w:color="auto" w:fill="D2EDF0"/>
          </w:tcPr>
          <w:p>
            <w:pPr>
              <w:ind w:left="60"/>
              <w:spacing w:after="0"/>
              <w:rPr>
                <w:sz w:val="20"/>
                <w:szCs w:val="20"/>
                <w:color w:val="auto"/>
              </w:rPr>
            </w:pPr>
            <w:r>
              <w:rPr>
                <w:rFonts w:ascii="Arial" w:cs="Arial" w:eastAsia="Arial" w:hAnsi="Arial"/>
                <w:sz w:val="20"/>
                <w:szCs w:val="20"/>
                <w:color w:val="auto"/>
              </w:rPr>
              <w:t>Niloofar Razi Howe</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16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41,000</w:t>
            </w:r>
          </w:p>
        </w:tc>
        <w:tc>
          <w:tcPr>
            <w:tcW w:w="80" w:type="dxa"/>
            <w:vAlign w:val="bottom"/>
            <w:shd w:val="clear" w:color="auto" w:fill="D2EDF0"/>
          </w:tcPr>
          <w:p>
            <w:pPr>
              <w:spacing w:after="0"/>
              <w:rPr>
                <w:sz w:val="24"/>
                <w:szCs w:val="24"/>
                <w:color w:val="auto"/>
              </w:rPr>
            </w:pPr>
          </w:p>
        </w:tc>
        <w:tc>
          <w:tcPr>
            <w:tcW w:w="160" w:type="dxa"/>
            <w:vAlign w:val="bottom"/>
            <w:shd w:val="clear" w:color="auto" w:fill="D2EDF0"/>
          </w:tcPr>
          <w:p>
            <w:pPr>
              <w:spacing w:after="0"/>
              <w:rPr>
                <w:sz w:val="24"/>
                <w:szCs w:val="24"/>
                <w:color w:val="auto"/>
              </w:rPr>
            </w:pPr>
          </w:p>
        </w:tc>
        <w:tc>
          <w:tcPr>
            <w:tcW w:w="1640" w:type="dxa"/>
            <w:vAlign w:val="bottom"/>
            <w:shd w:val="clear" w:color="auto" w:fill="D2EDF0"/>
          </w:tcPr>
          <w:p>
            <w:pPr>
              <w:jc w:val="right"/>
              <w:ind w:right="1"/>
              <w:spacing w:after="0"/>
              <w:rPr>
                <w:sz w:val="20"/>
                <w:szCs w:val="20"/>
                <w:color w:val="auto"/>
              </w:rPr>
            </w:pPr>
            <w:r>
              <w:rPr>
                <w:rFonts w:ascii="Arial" w:cs="Arial" w:eastAsia="Arial" w:hAnsi="Arial"/>
                <w:sz w:val="20"/>
                <w:szCs w:val="20"/>
                <w:color w:val="auto"/>
              </w:rPr>
              <w:t>199,976</w:t>
            </w:r>
          </w:p>
        </w:tc>
        <w:tc>
          <w:tcPr>
            <w:tcW w:w="6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13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240,976</w:t>
            </w:r>
          </w:p>
        </w:tc>
        <w:tc>
          <w:tcPr>
            <w:tcW w:w="0" w:type="dxa"/>
            <w:vAlign w:val="bottom"/>
          </w:tcPr>
          <w:p>
            <w:pPr>
              <w:spacing w:after="0"/>
              <w:rPr>
                <w:sz w:val="1"/>
                <w:szCs w:val="1"/>
                <w:color w:val="auto"/>
              </w:rPr>
            </w:pPr>
          </w:p>
        </w:tc>
      </w:tr>
      <w:tr>
        <w:trPr>
          <w:trHeight w:val="277"/>
        </w:trPr>
        <w:tc>
          <w:tcPr>
            <w:tcW w:w="3360" w:type="dxa"/>
            <w:vAlign w:val="bottom"/>
          </w:tcPr>
          <w:p>
            <w:pPr>
              <w:ind w:left="60"/>
              <w:spacing w:after="0"/>
              <w:rPr>
                <w:sz w:val="20"/>
                <w:szCs w:val="20"/>
                <w:color w:val="auto"/>
              </w:rPr>
            </w:pPr>
            <w:r>
              <w:rPr>
                <w:rFonts w:ascii="Arial" w:cs="Arial" w:eastAsia="Arial" w:hAnsi="Arial"/>
                <w:sz w:val="20"/>
                <w:szCs w:val="20"/>
                <w:color w:val="auto"/>
              </w:rPr>
              <w:t>John C. Huffard, Jr.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35,000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199,976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234,976</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0"/>
        </w:trPr>
        <w:tc>
          <w:tcPr>
            <w:tcW w:w="3360" w:type="dxa"/>
            <w:vAlign w:val="bottom"/>
            <w:shd w:val="clear" w:color="auto" w:fill="D2EDF0"/>
          </w:tcPr>
          <w:p>
            <w:pPr>
              <w:ind w:left="60"/>
              <w:spacing w:after="0"/>
              <w:rPr>
                <w:sz w:val="20"/>
                <w:szCs w:val="20"/>
                <w:color w:val="auto"/>
              </w:rPr>
            </w:pPr>
            <w:r>
              <w:rPr>
                <w:rFonts w:ascii="Arial" w:cs="Arial" w:eastAsia="Arial" w:hAnsi="Arial"/>
                <w:sz w:val="20"/>
                <w:szCs w:val="20"/>
                <w:color w:val="auto"/>
              </w:rPr>
              <w:t>Jerry M. Kennelly</w:t>
            </w:r>
            <w:r>
              <w:rPr>
                <w:rFonts w:ascii="Arial" w:cs="Arial" w:eastAsia="Arial" w:hAnsi="Arial"/>
                <w:sz w:val="26"/>
                <w:szCs w:val="26"/>
                <w:color w:val="auto"/>
                <w:vertAlign w:val="superscript"/>
              </w:rPr>
              <w:t>(5)</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16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36,375</w:t>
            </w:r>
          </w:p>
        </w:tc>
        <w:tc>
          <w:tcPr>
            <w:tcW w:w="80" w:type="dxa"/>
            <w:vAlign w:val="bottom"/>
            <w:shd w:val="clear" w:color="auto" w:fill="D2EDF0"/>
          </w:tcPr>
          <w:p>
            <w:pPr>
              <w:spacing w:after="0"/>
              <w:rPr>
                <w:sz w:val="24"/>
                <w:szCs w:val="24"/>
                <w:color w:val="auto"/>
              </w:rPr>
            </w:pPr>
          </w:p>
        </w:tc>
        <w:tc>
          <w:tcPr>
            <w:tcW w:w="160" w:type="dxa"/>
            <w:vAlign w:val="bottom"/>
            <w:shd w:val="clear" w:color="auto" w:fill="D2EDF0"/>
          </w:tcPr>
          <w:p>
            <w:pPr>
              <w:spacing w:after="0"/>
              <w:rPr>
                <w:sz w:val="24"/>
                <w:szCs w:val="24"/>
                <w:color w:val="auto"/>
              </w:rPr>
            </w:pPr>
          </w:p>
        </w:tc>
        <w:tc>
          <w:tcPr>
            <w:tcW w:w="1640" w:type="dxa"/>
            <w:vAlign w:val="bottom"/>
            <w:shd w:val="clear" w:color="auto" w:fill="D2EDF0"/>
          </w:tcPr>
          <w:p>
            <w:pPr>
              <w:jc w:val="right"/>
              <w:ind w:right="1"/>
              <w:spacing w:after="0"/>
              <w:rPr>
                <w:sz w:val="20"/>
                <w:szCs w:val="20"/>
                <w:color w:val="auto"/>
              </w:rPr>
            </w:pPr>
            <w:r>
              <w:rPr>
                <w:rFonts w:ascii="Arial" w:cs="Arial" w:eastAsia="Arial" w:hAnsi="Arial"/>
                <w:sz w:val="20"/>
                <w:szCs w:val="20"/>
                <w:color w:val="auto"/>
              </w:rPr>
              <w:t>199,976</w:t>
            </w:r>
          </w:p>
        </w:tc>
        <w:tc>
          <w:tcPr>
            <w:tcW w:w="6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13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236,351</w:t>
            </w:r>
          </w:p>
        </w:tc>
        <w:tc>
          <w:tcPr>
            <w:tcW w:w="0" w:type="dxa"/>
            <w:vAlign w:val="bottom"/>
          </w:tcPr>
          <w:p>
            <w:pPr>
              <w:spacing w:after="0"/>
              <w:rPr>
                <w:sz w:val="1"/>
                <w:szCs w:val="1"/>
                <w:color w:val="auto"/>
              </w:rPr>
            </w:pPr>
          </w:p>
        </w:tc>
      </w:tr>
      <w:tr>
        <w:trPr>
          <w:trHeight w:val="277"/>
        </w:trPr>
        <w:tc>
          <w:tcPr>
            <w:tcW w:w="3360" w:type="dxa"/>
            <w:vAlign w:val="bottom"/>
          </w:tcPr>
          <w:p>
            <w:pPr>
              <w:ind w:left="60"/>
              <w:spacing w:after="0"/>
              <w:rPr>
                <w:sz w:val="20"/>
                <w:szCs w:val="20"/>
                <w:color w:val="auto"/>
              </w:rPr>
            </w:pPr>
            <w:r>
              <w:rPr>
                <w:rFonts w:ascii="Arial" w:cs="Arial" w:eastAsia="Arial" w:hAnsi="Arial"/>
                <w:sz w:val="20"/>
                <w:szCs w:val="20"/>
                <w:color w:val="auto"/>
              </w:rPr>
              <w:t>A. Brooke Seawell</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55,000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199,976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254,976</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0"/>
        </w:trPr>
        <w:tc>
          <w:tcPr>
            <w:tcW w:w="3360" w:type="dxa"/>
            <w:vAlign w:val="bottom"/>
            <w:shd w:val="clear" w:color="auto" w:fill="D2EDF0"/>
          </w:tcPr>
          <w:p>
            <w:pPr>
              <w:ind w:left="60"/>
              <w:spacing w:after="0"/>
              <w:rPr>
                <w:sz w:val="20"/>
                <w:szCs w:val="20"/>
                <w:color w:val="auto"/>
              </w:rPr>
            </w:pPr>
            <w:r>
              <w:rPr>
                <w:rFonts w:ascii="Arial" w:cs="Arial" w:eastAsia="Arial" w:hAnsi="Arial"/>
                <w:sz w:val="20"/>
                <w:szCs w:val="20"/>
                <w:color w:val="auto"/>
              </w:rPr>
              <w:t>Richard M. Wells</w:t>
            </w:r>
            <w:r>
              <w:rPr>
                <w:rFonts w:ascii="Arial" w:cs="Arial" w:eastAsia="Arial" w:hAnsi="Arial"/>
                <w:sz w:val="26"/>
                <w:szCs w:val="26"/>
                <w:color w:val="auto"/>
                <w:vertAlign w:val="superscript"/>
              </w:rPr>
              <w:t>(6)</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16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D2EDF0"/>
          </w:tcPr>
          <w:p>
            <w:pPr>
              <w:spacing w:after="0"/>
              <w:rPr>
                <w:sz w:val="24"/>
                <w:szCs w:val="24"/>
                <w:color w:val="auto"/>
              </w:rPr>
            </w:pPr>
          </w:p>
        </w:tc>
        <w:tc>
          <w:tcPr>
            <w:tcW w:w="160" w:type="dxa"/>
            <w:vAlign w:val="bottom"/>
            <w:shd w:val="clear" w:color="auto" w:fill="D2EDF0"/>
          </w:tcPr>
          <w:p>
            <w:pPr>
              <w:spacing w:after="0"/>
              <w:rPr>
                <w:sz w:val="24"/>
                <w:szCs w:val="24"/>
                <w:color w:val="auto"/>
              </w:rPr>
            </w:pPr>
          </w:p>
        </w:tc>
        <w:tc>
          <w:tcPr>
            <w:tcW w:w="1640" w:type="dxa"/>
            <w:vAlign w:val="bottom"/>
            <w:shd w:val="clear" w:color="auto" w:fill="D2EDF0"/>
          </w:tcPr>
          <w:p>
            <w:pPr>
              <w:jc w:val="right"/>
              <w:ind w:right="1"/>
              <w:spacing w:after="0"/>
              <w:rPr>
                <w:sz w:val="20"/>
                <w:szCs w:val="20"/>
                <w:color w:val="auto"/>
              </w:rPr>
            </w:pPr>
            <w:r>
              <w:rPr>
                <w:rFonts w:ascii="Arial" w:cs="Arial" w:eastAsia="Arial" w:hAnsi="Arial"/>
                <w:sz w:val="20"/>
                <w:szCs w:val="20"/>
                <w:color w:val="auto"/>
              </w:rPr>
              <w:t>—</w:t>
            </w:r>
          </w:p>
        </w:tc>
        <w:tc>
          <w:tcPr>
            <w:tcW w:w="6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13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7"/>
        </w:trPr>
        <w:tc>
          <w:tcPr>
            <w:tcW w:w="3360" w:type="dxa"/>
            <w:vAlign w:val="bottom"/>
          </w:tcPr>
          <w:p>
            <w:pPr>
              <w:ind w:left="60"/>
              <w:spacing w:after="0"/>
              <w:rPr>
                <w:sz w:val="20"/>
                <w:szCs w:val="20"/>
                <w:color w:val="auto"/>
              </w:rPr>
            </w:pPr>
            <w:r>
              <w:rPr>
                <w:rFonts w:ascii="Arial" w:cs="Arial" w:eastAsia="Arial" w:hAnsi="Arial"/>
                <w:sz w:val="20"/>
                <w:szCs w:val="20"/>
                <w:color w:val="auto"/>
              </w:rPr>
              <w:t>Linda Zecher Higgins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46,875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199,976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246,851</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336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20"/>
                <w:szCs w:val="20"/>
                <w:color w:val="auto"/>
              </w:rPr>
              <w:t>George Alexander Tosheff</w:t>
            </w:r>
          </w:p>
        </w:tc>
        <w:tc>
          <w:tcPr>
            <w:tcW w:w="80" w:type="dxa"/>
            <w:vAlign w:val="bottom"/>
            <w:tcBorders>
              <w:bottom w:val="single" w:sz="8" w:color="D2EDF0"/>
            </w:tcBorders>
            <w:shd w:val="clear" w:color="auto" w:fill="D2EDF0"/>
          </w:tcPr>
          <w:p>
            <w:pPr>
              <w:spacing w:after="0"/>
              <w:rPr>
                <w:sz w:val="24"/>
                <w:szCs w:val="24"/>
                <w:color w:val="auto"/>
              </w:rPr>
            </w:pPr>
          </w:p>
        </w:tc>
        <w:tc>
          <w:tcPr>
            <w:tcW w:w="200" w:type="dxa"/>
            <w:vAlign w:val="bottom"/>
            <w:tcBorders>
              <w:bottom w:val="single" w:sz="8" w:color="D2EDF0"/>
            </w:tcBorders>
            <w:shd w:val="clear" w:color="auto" w:fill="D2EDF0"/>
          </w:tcPr>
          <w:p>
            <w:pPr>
              <w:spacing w:after="0"/>
              <w:rPr>
                <w:sz w:val="24"/>
                <w:szCs w:val="24"/>
                <w:color w:val="auto"/>
              </w:rPr>
            </w:pPr>
          </w:p>
        </w:tc>
        <w:tc>
          <w:tcPr>
            <w:tcW w:w="1600" w:type="dxa"/>
            <w:vAlign w:val="bottom"/>
            <w:tcBorders>
              <w:bottom w:val="single" w:sz="8" w:color="D2EDF0"/>
            </w:tcBorders>
            <w:shd w:val="clear" w:color="auto" w:fill="D2EDF0"/>
          </w:tcPr>
          <w:p>
            <w:pPr>
              <w:jc w:val="right"/>
              <w:spacing w:after="0"/>
              <w:rPr>
                <w:sz w:val="20"/>
                <w:szCs w:val="20"/>
                <w:color w:val="auto"/>
              </w:rPr>
            </w:pPr>
            <w:r>
              <w:rPr>
                <w:rFonts w:ascii="Arial" w:cs="Arial" w:eastAsia="Arial" w:hAnsi="Arial"/>
                <w:sz w:val="20"/>
                <w:szCs w:val="20"/>
                <w:color w:val="auto"/>
              </w:rPr>
              <w:t>11,250</w:t>
            </w:r>
          </w:p>
        </w:tc>
        <w:tc>
          <w:tcPr>
            <w:tcW w:w="80" w:type="dxa"/>
            <w:vAlign w:val="bottom"/>
            <w:tcBorders>
              <w:bottom w:val="single" w:sz="8" w:color="D2EDF0"/>
            </w:tcBorders>
            <w:shd w:val="clear" w:color="auto" w:fill="D2EDF0"/>
          </w:tcPr>
          <w:p>
            <w:pPr>
              <w:spacing w:after="0"/>
              <w:rPr>
                <w:sz w:val="24"/>
                <w:szCs w:val="24"/>
                <w:color w:val="auto"/>
              </w:rPr>
            </w:pPr>
          </w:p>
        </w:tc>
        <w:tc>
          <w:tcPr>
            <w:tcW w:w="160" w:type="dxa"/>
            <w:vAlign w:val="bottom"/>
            <w:tcBorders>
              <w:bottom w:val="single" w:sz="8" w:color="D2EDF0"/>
            </w:tcBorders>
            <w:shd w:val="clear" w:color="auto" w:fill="D2EDF0"/>
          </w:tcPr>
          <w:p>
            <w:pPr>
              <w:spacing w:after="0"/>
              <w:rPr>
                <w:sz w:val="24"/>
                <w:szCs w:val="24"/>
                <w:color w:val="auto"/>
              </w:rPr>
            </w:pPr>
          </w:p>
        </w:tc>
        <w:tc>
          <w:tcPr>
            <w:tcW w:w="1640" w:type="dxa"/>
            <w:vAlign w:val="bottom"/>
            <w:tcBorders>
              <w:bottom w:val="single" w:sz="8" w:color="D2EDF0"/>
            </w:tcBorders>
            <w:shd w:val="clear" w:color="auto" w:fill="D2EDF0"/>
          </w:tcPr>
          <w:p>
            <w:pPr>
              <w:jc w:val="right"/>
              <w:ind w:right="1"/>
              <w:spacing w:after="0"/>
              <w:rPr>
                <w:sz w:val="20"/>
                <w:szCs w:val="20"/>
                <w:color w:val="auto"/>
              </w:rPr>
            </w:pPr>
            <w:r>
              <w:rPr>
                <w:rFonts w:ascii="Arial" w:cs="Arial" w:eastAsia="Arial" w:hAnsi="Arial"/>
                <w:sz w:val="20"/>
                <w:szCs w:val="20"/>
                <w:color w:val="auto"/>
              </w:rPr>
              <w:t>399,962</w:t>
            </w:r>
          </w:p>
        </w:tc>
        <w:tc>
          <w:tcPr>
            <w:tcW w:w="60" w:type="dxa"/>
            <w:vAlign w:val="bottom"/>
            <w:tcBorders>
              <w:bottom w:val="single" w:sz="8" w:color="D2EDF0"/>
            </w:tcBorders>
            <w:shd w:val="clear" w:color="auto" w:fill="D2EDF0"/>
          </w:tcPr>
          <w:p>
            <w:pPr>
              <w:spacing w:after="0"/>
              <w:rPr>
                <w:sz w:val="24"/>
                <w:szCs w:val="24"/>
                <w:color w:val="auto"/>
              </w:rPr>
            </w:pPr>
          </w:p>
        </w:tc>
        <w:tc>
          <w:tcPr>
            <w:tcW w:w="420" w:type="dxa"/>
            <w:vAlign w:val="bottom"/>
            <w:tcBorders>
              <w:bottom w:val="single" w:sz="8" w:color="D2EDF0"/>
            </w:tcBorders>
            <w:shd w:val="clear" w:color="auto" w:fill="D2EDF0"/>
          </w:tcPr>
          <w:p>
            <w:pPr>
              <w:spacing w:after="0"/>
              <w:rPr>
                <w:sz w:val="24"/>
                <w:szCs w:val="24"/>
                <w:color w:val="auto"/>
              </w:rPr>
            </w:pPr>
          </w:p>
        </w:tc>
        <w:tc>
          <w:tcPr>
            <w:tcW w:w="1380" w:type="dxa"/>
            <w:vAlign w:val="bottom"/>
            <w:tcBorders>
              <w:bottom w:val="single" w:sz="8" w:color="D2EDF0"/>
            </w:tcBorders>
            <w:shd w:val="clear" w:color="auto" w:fill="D2EDF0"/>
          </w:tcPr>
          <w:p>
            <w:pPr>
              <w:jc w:val="right"/>
              <w:spacing w:after="0"/>
              <w:rPr>
                <w:sz w:val="20"/>
                <w:szCs w:val="20"/>
                <w:color w:val="auto"/>
              </w:rPr>
            </w:pPr>
            <w:r>
              <w:rPr>
                <w:rFonts w:ascii="Arial" w:cs="Arial" w:eastAsia="Arial" w:hAnsi="Arial"/>
                <w:sz w:val="20"/>
                <w:szCs w:val="20"/>
                <w:color w:val="auto"/>
              </w:rPr>
              <w:t>411,212</w:t>
            </w:r>
          </w:p>
        </w:tc>
        <w:tc>
          <w:tcPr>
            <w:tcW w:w="0" w:type="dxa"/>
            <w:vAlign w:val="bottom"/>
          </w:tcPr>
          <w:p>
            <w:pPr>
              <w:spacing w:after="0"/>
              <w:rPr>
                <w:sz w:val="1"/>
                <w:szCs w:val="1"/>
                <w:color w:val="auto"/>
              </w:rPr>
            </w:pPr>
          </w:p>
        </w:tc>
      </w:tr>
      <w:tr>
        <w:trPr>
          <w:trHeight w:val="277"/>
        </w:trPr>
        <w:tc>
          <w:tcPr>
            <w:tcW w:w="3360" w:type="dxa"/>
            <w:vAlign w:val="bottom"/>
          </w:tcPr>
          <w:p>
            <w:pPr>
              <w:ind w:left="60"/>
              <w:spacing w:after="0"/>
              <w:rPr>
                <w:sz w:val="20"/>
                <w:szCs w:val="20"/>
                <w:color w:val="auto"/>
              </w:rPr>
            </w:pPr>
            <w:r>
              <w:rPr>
                <w:rFonts w:ascii="Arial" w:cs="Arial" w:eastAsia="Arial" w:hAnsi="Arial"/>
                <w:sz w:val="20"/>
                <w:szCs w:val="20"/>
                <w:color w:val="auto"/>
              </w:rPr>
              <w:t>Raymond Vicks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45,000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599,941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644,941</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ind w:right="280"/>
        <w:spacing w:after="0" w:line="314" w:lineRule="auto"/>
        <w:tabs>
          <w:tab w:leader="none" w:pos="720" w:val="left"/>
        </w:tabs>
        <w:numPr>
          <w:ilvl w:val="0"/>
          <w:numId w:val="71"/>
        </w:numPr>
        <w:rPr>
          <w:rFonts w:ascii="Arial" w:cs="Arial" w:eastAsia="Arial" w:hAnsi="Arial"/>
          <w:sz w:val="19"/>
          <w:szCs w:val="19"/>
          <w:color w:val="auto"/>
        </w:rPr>
      </w:pPr>
      <w:r>
        <w:rPr>
          <w:rFonts w:ascii="Arial" w:cs="Arial" w:eastAsia="Arial" w:hAnsi="Arial"/>
          <w:sz w:val="19"/>
          <w:szCs w:val="19"/>
          <w:color w:val="auto"/>
        </w:rPr>
        <w:t>Mr. Yoran did not earn compensation during 2022 for his service on our Board of Directors. Mr. Yoran’s compensation is fully reflected in the “Summary Compensation Table” above.</w:t>
      </w:r>
    </w:p>
    <w:p>
      <w:pPr>
        <w:sectPr>
          <w:pgSz w:w="11880" w:h="15480" w:orient="portrait"/>
          <w:cols w:equalWidth="0" w:num="1">
            <w:col w:w="9000"/>
          </w:cols>
          <w:pgMar w:left="1440" w:top="12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880" w:h="15480" w:orient="portrait"/>
          <w:cols w:equalWidth="0" w:num="1">
            <w:col w:w="9000"/>
          </w:cols>
          <w:pgMar w:left="1440" w:top="1205" w:right="1440" w:bottom="0" w:gutter="0" w:footer="0" w:header="0"/>
          <w:type w:val="continuous"/>
        </w:sectPr>
      </w:pPr>
    </w:p>
    <w:bookmarkStart w:id="80" w:name="page81"/>
    <w:bookmarkEnd w:id="80"/>
    <w:p>
      <w:pPr>
        <w:spacing w:after="0" w:line="257" w:lineRule="auto"/>
        <w:tabs>
          <w:tab w:leader="none" w:pos="7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amounts in the Stock Awards column reflect the aggregate grant date fair value of each RSU award granted during the year ended December 31, 2022, computed in accordance with ASC Topic 718. This calculation assumes that the director will perform the requisite service for the award to vest in full as required by SEC rules. These amounts do not reflect the actual economic value that will be realized by the director upon vesting of the RSUs or the sale of the common stock underlying such RSUs.</w:t>
      </w:r>
    </w:p>
    <w:p>
      <w:pPr>
        <w:spacing w:after="0" w:line="202" w:lineRule="exact"/>
        <w:rPr>
          <w:rFonts w:ascii="Arial" w:cs="Arial" w:eastAsia="Arial" w:hAnsi="Arial"/>
          <w:sz w:val="20"/>
          <w:szCs w:val="20"/>
          <w:color w:val="auto"/>
        </w:rPr>
      </w:pPr>
    </w:p>
    <w:p>
      <w:pPr>
        <w:spacing w:after="0" w:line="256" w:lineRule="auto"/>
        <w:tabs>
          <w:tab w:leader="none" w:pos="7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As of December 31, 2022, Messrs. Coviello, Seawell and Tosheff held options to purchase 8 shares, 230,000 shares and 6,000 shares, respectively, of our common stock. None of our other non-employee directors held options to purchase shares of our common stock as of December 31, 2022. As of December 31, 2022, Ms. Zecher Higgins and Messrs. Coviello, Huffard and Seawell each held 4,044 RSUs, Mr. Tosheff held 9,861 RSUs, Ms. Howe held 10,661 RSUs and Mr. Vicks held 12,129 RSUs. Historically, the Board has provided an initial and annual RSU grant to directors with aggregate dollar values on the date of grant, of $400,000 and $200,000, respectively.</w:t>
      </w:r>
    </w:p>
    <w:p>
      <w:pPr>
        <w:spacing w:after="0" w:line="202" w:lineRule="exact"/>
        <w:rPr>
          <w:rFonts w:ascii="Arial" w:cs="Arial" w:eastAsia="Arial" w:hAnsi="Arial"/>
          <w:sz w:val="20"/>
          <w:szCs w:val="20"/>
          <w:color w:val="auto"/>
        </w:rPr>
      </w:pPr>
    </w:p>
    <w:p>
      <w:pPr>
        <w:spacing w:after="0" w:line="268" w:lineRule="auto"/>
        <w:tabs>
          <w:tab w:leader="none" w:pos="7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Ms. Hammonds passed away on June 28, 2022. Accordingly, Ms. Hammonds' annual retainer was pro-rated based on the date of her passing. The 4,044 RSUs then held by Ms. Hammonds vested in full upon her passing in accordance with the terms of the award.</w:t>
      </w:r>
    </w:p>
    <w:p>
      <w:pPr>
        <w:spacing w:after="0" w:line="189" w:lineRule="exact"/>
        <w:rPr>
          <w:rFonts w:ascii="Arial" w:cs="Arial" w:eastAsia="Arial" w:hAnsi="Arial"/>
          <w:sz w:val="20"/>
          <w:szCs w:val="20"/>
          <w:color w:val="auto"/>
        </w:rPr>
      </w:pPr>
    </w:p>
    <w:p>
      <w:pPr>
        <w:ind w:right="60"/>
        <w:spacing w:after="0" w:line="289" w:lineRule="auto"/>
        <w:tabs>
          <w:tab w:leader="none" w:pos="7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Mr. Kennelly retired as a member of the Board effective September 1, 2022. The 4,044 RSUs then held by Mr. Kennelly were forfeited in accordance with the terms of the award and, as a result, Mr. Kennelly did not and will not receive any economic value from the canceled portion of the RSUs.</w:t>
      </w:r>
    </w:p>
    <w:p>
      <w:pPr>
        <w:spacing w:after="0" w:line="170" w:lineRule="exact"/>
        <w:rPr>
          <w:rFonts w:ascii="Arial" w:cs="Arial" w:eastAsia="Arial" w:hAnsi="Arial"/>
          <w:sz w:val="19"/>
          <w:szCs w:val="19"/>
          <w:color w:val="auto"/>
        </w:rPr>
      </w:pPr>
    </w:p>
    <w:p>
      <w:pPr>
        <w:ind w:right="240"/>
        <w:spacing w:after="0" w:line="268" w:lineRule="auto"/>
        <w:tabs>
          <w:tab w:leader="none" w:pos="7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Mr. Wells is affiliated with Insight Venture Partners, a former major stockholder of the Company, and accordingly did not receive cash or equity compensation for his service as a director during 2022. Additionally, Mr. Wells resigned from the Board on January 7, 2022.</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Stock Ownership Guidelines</w:t>
      </w:r>
    </w:p>
    <w:p>
      <w:pPr>
        <w:spacing w:after="0" w:line="251" w:lineRule="exact"/>
        <w:rPr>
          <w:sz w:val="20"/>
          <w:szCs w:val="20"/>
          <w:color w:val="auto"/>
        </w:rPr>
      </w:pPr>
    </w:p>
    <w:p>
      <w:pPr>
        <w:ind w:right="20" w:firstLine="360"/>
        <w:spacing w:after="0" w:line="253" w:lineRule="auto"/>
        <w:rPr>
          <w:sz w:val="20"/>
          <w:szCs w:val="20"/>
          <w:color w:val="auto"/>
        </w:rPr>
      </w:pPr>
      <w:r>
        <w:rPr>
          <w:rFonts w:ascii="Arial" w:cs="Arial" w:eastAsia="Arial" w:hAnsi="Arial"/>
          <w:sz w:val="20"/>
          <w:szCs w:val="20"/>
          <w:color w:val="auto"/>
        </w:rPr>
        <w:t>The Compensation Committee believes that stock ownership guidelines help align the interests of our non-employee directors with those of our stockholders and may act as a risk mitigation device. In February 2022, our Compensation Committee adopted stock ownership guidelines for our non-employee directors. The Compensation Committee believes that stock ownership guidelines help align the interests of our non-employee directors with those of our stockholders and may act as a risk mitigation device. Under these guidelines, the non-employee members of our Board are each required to beneficially own shares of our common stock (including shares owned outright and unvested time-vesting shares of restricted stock or RSUs) with a value equal to at least five times their annual base cash retainer; for 2022, this equates to $175,000. Directors have five years from the date that they become subject to the guidelines to comply, and if the required ownership level is not achieved within five years, they must hold 50% of the net shares received from their equity grants until the guidelines are achieved. As of our latest measurement date December 31, 2022, all of our non-employee directors satisfied the required ownership guideline level.</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880" w:h="15480" w:orient="portrait"/>
          <w:cols w:equalWidth="0" w:num="1">
            <w:col w:w="9000"/>
          </w:cols>
          <w:pgMar w:left="1440" w:top="1204" w:right="1440" w:bottom="0" w:gutter="0" w:footer="0" w:header="0"/>
          <w:type w:val="continuous"/>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1134110</wp:posOffset>
            </wp:positionH>
            <wp:positionV relativeFrom="page">
              <wp:posOffset>1079500</wp:posOffset>
            </wp:positionV>
            <wp:extent cx="430530"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0530" cy="120015"/>
                    </a:xfrm>
                    <a:prstGeom prst="rect">
                      <a:avLst/>
                    </a:prstGeom>
                    <a:noFill/>
                  </pic:spPr>
                </pic:pic>
              </a:graphicData>
            </a:graphic>
          </wp:anchor>
        </w:drawing>
        <w:drawing>
          <wp:anchor simplePos="0" relativeHeight="251657728" behindDoc="1" locked="0" layoutInCell="0" allowOverlap="1">
            <wp:simplePos x="0" y="0"/>
            <wp:positionH relativeFrom="page">
              <wp:posOffset>904875</wp:posOffset>
            </wp:positionH>
            <wp:positionV relativeFrom="page">
              <wp:posOffset>1079500</wp:posOffset>
            </wp:positionV>
            <wp:extent cx="5745480" cy="285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45480" cy="285115"/>
                    </a:xfrm>
                    <a:prstGeom prst="rect">
                      <a:avLst/>
                    </a:prstGeom>
                    <a:noFill/>
                  </pic:spPr>
                </pic:pic>
              </a:graphicData>
            </a:graphic>
          </wp:anchor>
        </w:drawing>
        <w:drawing>
          <wp:anchor simplePos="0" relativeHeight="251657728" behindDoc="1" locked="0" layoutInCell="0" allowOverlap="1">
            <wp:simplePos x="0" y="0"/>
            <wp:positionH relativeFrom="page">
              <wp:posOffset>890270</wp:posOffset>
            </wp:positionH>
            <wp:positionV relativeFrom="page">
              <wp:posOffset>1744980</wp:posOffset>
            </wp:positionV>
            <wp:extent cx="5751830" cy="7912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1830" cy="79121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2" w:name="page83"/>
    <w:bookmarkEnd w:id="82"/>
    <w:p>
      <w:pPr>
        <w:ind w:right="1240" w:firstLine="1242"/>
        <w:spacing w:after="0" w:line="501" w:lineRule="auto"/>
        <w:rPr>
          <w:sz w:val="20"/>
          <w:szCs w:val="20"/>
          <w:color w:val="auto"/>
        </w:rPr>
      </w:pPr>
      <w:r>
        <w:rPr>
          <w:rFonts w:ascii="Arial" w:cs="Arial" w:eastAsia="Arial" w:hAnsi="Arial"/>
          <w:sz w:val="20"/>
          <w:szCs w:val="20"/>
          <w:b w:val="1"/>
          <w:bCs w:val="1"/>
          <w:color w:val="auto"/>
        </w:rPr>
        <w:t>TRANSACTIONS WITH RELATED PERSONS AND INDEMNIFICATION Related-Person Transactions Policy and Procedures</w:t>
      </w:r>
    </w:p>
    <w:p>
      <w:pPr>
        <w:spacing w:after="0" w:line="1" w:lineRule="exact"/>
        <w:rPr>
          <w:sz w:val="20"/>
          <w:szCs w:val="20"/>
          <w:color w:val="auto"/>
        </w:rPr>
      </w:pPr>
    </w:p>
    <w:p>
      <w:pPr>
        <w:ind w:right="20" w:firstLine="360"/>
        <w:spacing w:after="0" w:line="255" w:lineRule="auto"/>
        <w:rPr>
          <w:sz w:val="20"/>
          <w:szCs w:val="20"/>
          <w:color w:val="auto"/>
        </w:rPr>
      </w:pPr>
      <w:r>
        <w:rPr>
          <w:rFonts w:ascii="Arial" w:cs="Arial" w:eastAsia="Arial" w:hAnsi="Arial"/>
          <w:sz w:val="20"/>
          <w:szCs w:val="20"/>
          <w:color w:val="auto"/>
        </w:rPr>
        <w:t>We have adopted a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201" w:lineRule="exact"/>
        <w:rPr>
          <w:sz w:val="20"/>
          <w:szCs w:val="20"/>
          <w:color w:val="auto"/>
        </w:rPr>
      </w:pPr>
    </w:p>
    <w:p>
      <w:pPr>
        <w:ind w:right="20" w:firstLine="360"/>
        <w:spacing w:after="0" w:line="252" w:lineRule="auto"/>
        <w:rPr>
          <w:sz w:val="20"/>
          <w:szCs w:val="20"/>
          <w:color w:val="auto"/>
        </w:rPr>
      </w:pPr>
      <w:r>
        <w:rPr>
          <w:rFonts w:ascii="Arial" w:cs="Arial" w:eastAsia="Arial" w:hAnsi="Arial"/>
          <w:sz w:val="20"/>
          <w:szCs w:val="20"/>
          <w:color w:val="auto"/>
        </w:rPr>
        <w:t>Under the policy, if a transaction has been identified as a related person transaction, including any transaction that was not a related person transaction when originally consummated, any transaction that was not initially identified as a related person transaction prior to consummation, or any customer or vendor transaction with an entity related to a director of the Company that is conducted in the ordinary course of business and subject to usual trade terms, our management must present information regarding the related person transaction to our Audit Committee, or, if Audit Committee approval would be inappropriate, to another independent body of our Board of Director for review, consideration and approval, ratification, or rejection.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Business Conduct and Ethics,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 but not limited to:</w:t>
      </w:r>
    </w:p>
    <w:p>
      <w:pPr>
        <w:spacing w:after="0" w:line="32" w:lineRule="exact"/>
        <w:rPr>
          <w:sz w:val="20"/>
          <w:szCs w:val="20"/>
          <w:color w:val="auto"/>
        </w:rPr>
      </w:pPr>
    </w:p>
    <w:p>
      <w:pPr>
        <w:ind w:left="720" w:hanging="360"/>
        <w:spacing w:after="0"/>
        <w:tabs>
          <w:tab w:leader="none" w:pos="72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risks, costs and benefits to us;</w:t>
      </w:r>
    </w:p>
    <w:p>
      <w:pPr>
        <w:spacing w:after="0" w:line="70" w:lineRule="exact"/>
        <w:rPr>
          <w:rFonts w:ascii="Arial" w:cs="Arial" w:eastAsia="Arial" w:hAnsi="Arial"/>
          <w:sz w:val="20"/>
          <w:szCs w:val="20"/>
          <w:color w:val="auto"/>
        </w:rPr>
      </w:pPr>
    </w:p>
    <w:p>
      <w:pPr>
        <w:ind w:left="720" w:right="460" w:hanging="360"/>
        <w:spacing w:after="0" w:line="296" w:lineRule="auto"/>
        <w:tabs>
          <w:tab w:leader="none" w:pos="72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impact on a director's independence in the event that the related person is a director, immediate family member of a director or an entity with which a director is affiliated;</w:t>
      </w:r>
    </w:p>
    <w:p>
      <w:pPr>
        <w:spacing w:after="0" w:line="1" w:lineRule="exact"/>
        <w:rPr>
          <w:rFonts w:ascii="Arial" w:cs="Arial" w:eastAsia="Arial" w:hAnsi="Arial"/>
          <w:sz w:val="19"/>
          <w:szCs w:val="19"/>
          <w:color w:val="auto"/>
        </w:rPr>
      </w:pPr>
    </w:p>
    <w:p>
      <w:pPr>
        <w:ind w:left="720" w:hanging="360"/>
        <w:spacing w:after="0"/>
        <w:tabs>
          <w:tab w:leader="none" w:pos="72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terms of the transaction;</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availability of other sources for comparable services or products; and</w:t>
      </w:r>
    </w:p>
    <w:p>
      <w:pPr>
        <w:spacing w:after="0" w:line="70" w:lineRule="exact"/>
        <w:rPr>
          <w:rFonts w:ascii="Arial" w:cs="Arial" w:eastAsia="Arial" w:hAnsi="Arial"/>
          <w:sz w:val="20"/>
          <w:szCs w:val="20"/>
          <w:color w:val="auto"/>
        </w:rPr>
      </w:pPr>
    </w:p>
    <w:p>
      <w:pPr>
        <w:ind w:left="720" w:right="660" w:hanging="360"/>
        <w:spacing w:after="0" w:line="287" w:lineRule="auto"/>
        <w:tabs>
          <w:tab w:leader="none" w:pos="72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terms available to or from, as the case may be, unrelated third parties or to or from employees generally.</w:t>
      </w:r>
    </w:p>
    <w:p>
      <w:pPr>
        <w:spacing w:after="0" w:line="170" w:lineRule="exact"/>
        <w:rPr>
          <w:sz w:val="20"/>
          <w:szCs w:val="20"/>
          <w:color w:val="auto"/>
        </w:rPr>
      </w:pPr>
    </w:p>
    <w:p>
      <w:pPr>
        <w:ind w:right="120" w:firstLine="360"/>
        <w:spacing w:after="0" w:line="259" w:lineRule="auto"/>
        <w:rPr>
          <w:sz w:val="20"/>
          <w:szCs w:val="20"/>
          <w:color w:val="auto"/>
        </w:rPr>
      </w:pPr>
      <w:r>
        <w:rPr>
          <w:rFonts w:ascii="Arial" w:cs="Arial" w:eastAsia="Arial" w:hAnsi="Arial"/>
          <w:sz w:val="20"/>
          <w:szCs w:val="20"/>
          <w:color w:val="auto"/>
        </w:rPr>
        <w:t>The policy requires that, in determining whether to approve, ratify or reject a related person transaction, our Audit Committee, or other independent body of our Board of Directors, shall approve only those transactions that, in light of known circumstances, it determines in the good faith exercise of its discretion are in, or are not inconsistent with, our best interests and our stockholders' best interests.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Related Person Transactions</w:t>
      </w:r>
    </w:p>
    <w:p>
      <w:pPr>
        <w:spacing w:after="0" w:line="251" w:lineRule="exact"/>
        <w:rPr>
          <w:sz w:val="20"/>
          <w:szCs w:val="20"/>
          <w:color w:val="auto"/>
        </w:rPr>
      </w:pPr>
    </w:p>
    <w:p>
      <w:pPr>
        <w:ind w:firstLine="360"/>
        <w:spacing w:after="0" w:line="287" w:lineRule="auto"/>
        <w:rPr>
          <w:sz w:val="20"/>
          <w:szCs w:val="20"/>
          <w:color w:val="auto"/>
        </w:rPr>
      </w:pPr>
      <w:r>
        <w:rPr>
          <w:rFonts w:ascii="Arial" w:cs="Arial" w:eastAsia="Arial" w:hAnsi="Arial"/>
          <w:sz w:val="20"/>
          <w:szCs w:val="20"/>
          <w:color w:val="auto"/>
        </w:rPr>
        <w:t>The following includes a summary of transactions since January 1, 2022 to which we have been a party, in which the amount involved in the transaction exceeded $120,000, and in which any of our</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880" w:h="15480" w:orient="portrait"/>
          <w:cols w:equalWidth="0" w:num="1">
            <w:col w:w="9000"/>
          </w:cols>
          <w:pgMar w:left="1440" w:top="1203" w:right="1440" w:bottom="0" w:gutter="0" w:footer="0" w:header="0"/>
          <w:type w:val="continuous"/>
        </w:sectPr>
      </w:pPr>
    </w:p>
    <w:bookmarkStart w:id="83" w:name="page84"/>
    <w:bookmarkEnd w:id="83"/>
    <w:p>
      <w:pPr>
        <w:ind w:right="40"/>
        <w:spacing w:after="0" w:line="256" w:lineRule="auto"/>
        <w:rPr>
          <w:sz w:val="20"/>
          <w:szCs w:val="20"/>
          <w:color w:val="auto"/>
        </w:rPr>
      </w:pPr>
      <w:r>
        <w:rPr>
          <w:rFonts w:ascii="Arial" w:cs="Arial" w:eastAsia="Arial" w:hAnsi="Arial"/>
          <w:sz w:val="20"/>
          <w:szCs w:val="20"/>
          <w:color w:val="auto"/>
        </w:rPr>
        <w:t>directors, executive officers or, to our knowledge, beneficial owners of more than 5% of our voting securities or any member of the 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Employment Arrangements with Messrs. Schonberger and Vintz</w:t>
      </w:r>
    </w:p>
    <w:p>
      <w:pPr>
        <w:spacing w:after="0" w:line="249" w:lineRule="exact"/>
        <w:rPr>
          <w:sz w:val="20"/>
          <w:szCs w:val="20"/>
          <w:color w:val="auto"/>
        </w:rPr>
      </w:pPr>
    </w:p>
    <w:p>
      <w:pPr>
        <w:ind w:right="120" w:firstLine="360"/>
        <w:spacing w:after="0" w:line="257" w:lineRule="auto"/>
        <w:rPr>
          <w:sz w:val="20"/>
          <w:szCs w:val="20"/>
          <w:color w:val="auto"/>
        </w:rPr>
      </w:pPr>
      <w:r>
        <w:rPr>
          <w:rFonts w:ascii="Arial" w:cs="Arial" w:eastAsia="Arial" w:hAnsi="Arial"/>
          <w:sz w:val="20"/>
          <w:szCs w:val="20"/>
          <w:color w:val="auto"/>
        </w:rPr>
        <w:t>We have employed Ron Schonberger, the brother of Amit Yoran, our Chief Executive Officer and Chairman, as our Associate General Counsel since October 2017, and Frank Vintz, the brother of Stephen A. Vintz, our Chief Financial Officer, as a Senior Director of Customer Success since March 2017. Each of Mr. Schonberger and Mr. Frank Vintz is paid compensation consisting of salary, bonus and the fair value of RSUs. In 2022, Mr. Schonberger and Mr. Frank Vintz each received total cash and equity compensation of approximately $500,000.</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Transaction Success Fee to Security Growth Partners LLC</w:t>
      </w:r>
    </w:p>
    <w:p>
      <w:pPr>
        <w:spacing w:after="0" w:line="249" w:lineRule="exact"/>
        <w:rPr>
          <w:sz w:val="20"/>
          <w:szCs w:val="20"/>
          <w:color w:val="auto"/>
        </w:rPr>
      </w:pPr>
    </w:p>
    <w:p>
      <w:pPr>
        <w:ind w:firstLine="360"/>
        <w:spacing w:after="0" w:line="256" w:lineRule="auto"/>
        <w:rPr>
          <w:sz w:val="20"/>
          <w:szCs w:val="20"/>
          <w:color w:val="auto"/>
        </w:rPr>
      </w:pPr>
      <w:r>
        <w:rPr>
          <w:rFonts w:ascii="Arial" w:cs="Arial" w:eastAsia="Arial" w:hAnsi="Arial"/>
          <w:sz w:val="20"/>
          <w:szCs w:val="20"/>
          <w:color w:val="auto"/>
        </w:rPr>
        <w:t>On February 17, 2022, Security Growth Partners LLC, or SGP, received a transaction success fee from Cymptom Labs Ltd., or Cymptom, of $690,000 as consideration for services provided to Cymptom to facilitate the sale of Cymptom to Tenable. N. Elad Yoran, the brother of Amit Yoran, our Chief Executive Officer and Chairman, is a member of and affiliated with SGP. The success fee was paid by Cymptom out of the proceeds we paid to acquire Cymptom. The Board reviewed and approved the success fee as a related party transaction in connection with its approval of the acquisition of Cymptom.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Indemnification</w:t>
      </w:r>
    </w:p>
    <w:p>
      <w:pPr>
        <w:spacing w:after="0" w:line="251" w:lineRule="exact"/>
        <w:rPr>
          <w:sz w:val="20"/>
          <w:szCs w:val="20"/>
          <w:color w:val="auto"/>
        </w:rPr>
      </w:pPr>
    </w:p>
    <w:p>
      <w:pPr>
        <w:ind w:right="60" w:firstLine="360"/>
        <w:spacing w:after="0" w:line="254" w:lineRule="auto"/>
        <w:rPr>
          <w:sz w:val="20"/>
          <w:szCs w:val="20"/>
          <w:color w:val="auto"/>
        </w:rPr>
      </w:pPr>
      <w:r>
        <w:rPr>
          <w:rFonts w:ascii="Arial" w:cs="Arial" w:eastAsia="Arial" w:hAnsi="Arial"/>
          <w:sz w:val="20"/>
          <w:szCs w:val="20"/>
          <w:color w:val="auto"/>
        </w:rPr>
        <w:t>We provide indemnification for our directors and executive officers so that they will be free from undue concern about personal liability in connection with their service to the Company. Under our Bylaws, we are required to indemnify our directors and executive officers to the extent not prohibited under Delaware law. We have also entered into indemnity agreements with our executive officers and directors. These agreements provide, among other things, that we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our Bylaws.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880" w:h="15480" w:orient="portrait"/>
          <w:cols w:equalWidth="0" w:num="1">
            <w:col w:w="9000"/>
          </w:cols>
          <w:pgMar w:left="1440" w:top="1204" w:right="1440" w:bottom="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20"/>
          <w:szCs w:val="20"/>
          <w:b w:val="1"/>
          <w:bCs w:val="1"/>
          <w:color w:val="auto"/>
        </w:rPr>
        <w:t>HOUSEHOLDING OF PROXY MATERIALS</w:t>
      </w:r>
    </w:p>
    <w:p>
      <w:pPr>
        <w:spacing w:after="0" w:line="251" w:lineRule="exact"/>
        <w:rPr>
          <w:sz w:val="20"/>
          <w:szCs w:val="20"/>
          <w:color w:val="auto"/>
        </w:rPr>
      </w:pPr>
    </w:p>
    <w:p>
      <w:pPr>
        <w:ind w:firstLine="360"/>
        <w:spacing w:after="0" w:line="257" w:lineRule="auto"/>
        <w:rPr>
          <w:sz w:val="20"/>
          <w:szCs w:val="20"/>
          <w:color w:val="auto"/>
        </w:rPr>
      </w:pPr>
      <w:r>
        <w:rPr>
          <w:rFonts w:ascii="Arial" w:cs="Arial" w:eastAsia="Arial" w:hAnsi="Arial"/>
          <w:sz w:val="20"/>
          <w:szCs w:val="20"/>
          <w:color w:val="auto"/>
        </w:rPr>
        <w:t>The SEC has adopted rules that permit companies and intermediaries, such as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202" w:lineRule="exact"/>
        <w:rPr>
          <w:sz w:val="20"/>
          <w:szCs w:val="20"/>
          <w:color w:val="auto"/>
        </w:rPr>
      </w:pPr>
    </w:p>
    <w:p>
      <w:pPr>
        <w:ind w:right="80" w:firstLine="360"/>
        <w:spacing w:after="0" w:line="253" w:lineRule="auto"/>
        <w:rPr>
          <w:sz w:val="20"/>
          <w:szCs w:val="20"/>
          <w:color w:val="auto"/>
        </w:rPr>
      </w:pPr>
      <w:r>
        <w:rPr>
          <w:rFonts w:ascii="Arial" w:cs="Arial" w:eastAsia="Arial" w:hAnsi="Arial"/>
          <w:sz w:val="20"/>
          <w:szCs w:val="20"/>
          <w:color w:val="auto"/>
        </w:rPr>
        <w:t>This year, a number of brokers with account holders who are our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us. Direct your written request to Tenable Holdings, Inc., Attn: Corporate Secretary, 6100 Merriweather Drive, 12th Floor, Columbia, Maryland 21044. Stockholders who currently receive multiple copies of the Notices of Internet Availability of Proxy Materials at their addresses and would like to request “householding” of their communications should contact their brokers.</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880" w:h="15480" w:orient="portrait"/>
          <w:cols w:equalWidth="0" w:num="1">
            <w:col w:w="9000"/>
          </w:cols>
          <w:pgMar w:left="1440" w:top="1203" w:right="1440" w:bottom="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20"/>
          <w:szCs w:val="20"/>
          <w:b w:val="1"/>
          <w:bCs w:val="1"/>
          <w:color w:val="auto"/>
        </w:rPr>
        <w:t>OTHER MATTERS</w:t>
      </w:r>
    </w:p>
    <w:p>
      <w:pPr>
        <w:spacing w:after="0" w:line="251" w:lineRule="exact"/>
        <w:rPr>
          <w:sz w:val="20"/>
          <w:szCs w:val="20"/>
          <w:color w:val="auto"/>
        </w:rPr>
      </w:pPr>
    </w:p>
    <w:p>
      <w:pPr>
        <w:ind w:right="100" w:firstLine="360"/>
        <w:spacing w:after="0" w:line="262" w:lineRule="auto"/>
        <w:rPr>
          <w:sz w:val="20"/>
          <w:szCs w:val="20"/>
          <w:color w:val="auto"/>
        </w:rPr>
      </w:pPr>
      <w:r>
        <w:rPr>
          <w:rFonts w:ascii="Arial" w:cs="Arial" w:eastAsia="Arial" w:hAnsi="Arial"/>
          <w:sz w:val="20"/>
          <w:szCs w:val="20"/>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308610</wp:posOffset>
            </wp:positionV>
            <wp:extent cx="1047750" cy="293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47750" cy="29337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678180</wp:posOffset>
            </wp:positionV>
            <wp:extent cx="2543175"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4317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Michelle VonderHaar</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Chief Legal Officer and Corporate Secretary</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Dated: April 12, 2023</w:t>
      </w:r>
    </w:p>
    <w:p>
      <w:pPr>
        <w:spacing w:after="0" w:line="227" w:lineRule="exact"/>
        <w:rPr>
          <w:sz w:val="20"/>
          <w:szCs w:val="20"/>
          <w:color w:val="auto"/>
        </w:rPr>
      </w:pPr>
    </w:p>
    <w:p>
      <w:pPr>
        <w:ind w:right="40" w:firstLine="360"/>
        <w:spacing w:after="0" w:line="266" w:lineRule="auto"/>
        <w:rPr>
          <w:sz w:val="20"/>
          <w:szCs w:val="20"/>
          <w:color w:val="auto"/>
        </w:rPr>
      </w:pPr>
      <w:r>
        <w:rPr>
          <w:rFonts w:ascii="Arial" w:cs="Arial" w:eastAsia="Arial" w:hAnsi="Arial"/>
          <w:sz w:val="20"/>
          <w:szCs w:val="20"/>
          <w:b w:val="1"/>
          <w:bCs w:val="1"/>
          <w:color w:val="auto"/>
        </w:rPr>
        <w:t>A copy of the Company’s Annual Report to the Securities and Exchange Commission on Form 10-K for the year ended December 31, 2022 is available without charge upon written request to Tenable Holdings, Inc., Attention: Corporate Secretary, Tenable Holdings, Inc.</w:t>
      </w:r>
      <w:r>
        <w:rPr>
          <w:rFonts w:ascii="Arial" w:cs="Arial" w:eastAsia="Arial" w:hAnsi="Arial"/>
          <w:sz w:val="20"/>
          <w:szCs w:val="20"/>
          <w:color w:val="auto"/>
        </w:rPr>
        <w:t>,</w:t>
      </w:r>
      <w:r>
        <w:rPr>
          <w:rFonts w:ascii="Arial" w:cs="Arial" w:eastAsia="Arial" w:hAnsi="Arial"/>
          <w:sz w:val="20"/>
          <w:szCs w:val="20"/>
          <w:b w:val="1"/>
          <w:bCs w:val="1"/>
          <w:color w:val="auto"/>
        </w:rPr>
        <w:t xml:space="preserve"> 6100 Merriweather Drive, 12th Floor, Columbia, Maryland 21044</w:t>
      </w:r>
      <w:r>
        <w:rPr>
          <w:rFonts w:ascii="Arial" w:cs="Arial" w:eastAsia="Arial" w:hAnsi="Arial"/>
          <w:sz w:val="20"/>
          <w:szCs w:val="20"/>
          <w:color w:val="auto"/>
        </w:rPr>
        <w:t>.</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1880" w:h="15480" w:orient="portrait"/>
          <w:cols w:equalWidth="0" w:num="1">
            <w:col w:w="9000"/>
          </w:cols>
          <w:pgMar w:left="1440" w:top="1203" w:right="1440" w:bottom="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20"/>
          <w:szCs w:val="20"/>
          <w:b w:val="1"/>
          <w:bCs w:val="1"/>
          <w:color w:val="auto"/>
        </w:rPr>
        <w:t>APPENDIX</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NON-GAAP MEASURES</w:t>
      </w:r>
    </w:p>
    <w:p>
      <w:pPr>
        <w:spacing w:after="0" w:line="251" w:lineRule="exact"/>
        <w:rPr>
          <w:sz w:val="20"/>
          <w:szCs w:val="20"/>
          <w:color w:val="auto"/>
        </w:rPr>
      </w:pPr>
    </w:p>
    <w:p>
      <w:pPr>
        <w:ind w:right="80" w:firstLine="360"/>
        <w:spacing w:after="0" w:line="269" w:lineRule="auto"/>
        <w:rPr>
          <w:sz w:val="20"/>
          <w:szCs w:val="20"/>
          <w:color w:val="auto"/>
        </w:rPr>
      </w:pPr>
      <w:r>
        <w:rPr>
          <w:rFonts w:ascii="Arial" w:cs="Arial" w:eastAsia="Arial" w:hAnsi="Arial"/>
          <w:sz w:val="19"/>
          <w:szCs w:val="19"/>
          <w:color w:val="auto"/>
        </w:rPr>
        <w:t>In this proxy statement, we discuss certain operating metrics and non-GAAP financial measures, as described below, which we think are important to better understand and evaluate our core operating and financial performance. These non-GAAP financial measures, which may be different than similarly titled measures used by other companies, are presented to enhance the overall understanding of our financial performance and should not be considered a substitute for, or superior to, the financial information prepared and presented in accordance with GAAP included in our Annual Report on Form 10-K. We believe that these operating metrics and non-GAAP financial measures provide useful information about our operating and financial performance, enhance the overall understanding of our past performance and future prospects and allow for greater transparency with respect to important metrics used by management for financial and operational decision-making.</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Calculated Current Billings</w:t>
      </w:r>
    </w:p>
    <w:p>
      <w:pPr>
        <w:spacing w:after="0" w:line="249" w:lineRule="exact"/>
        <w:rPr>
          <w:sz w:val="20"/>
          <w:szCs w:val="20"/>
          <w:color w:val="auto"/>
        </w:rPr>
      </w:pPr>
    </w:p>
    <w:p>
      <w:pPr>
        <w:ind w:right="20" w:firstLine="360"/>
        <w:spacing w:after="0" w:line="254" w:lineRule="auto"/>
        <w:rPr>
          <w:sz w:val="20"/>
          <w:szCs w:val="20"/>
          <w:color w:val="auto"/>
        </w:rPr>
      </w:pPr>
      <w:r>
        <w:rPr>
          <w:rFonts w:ascii="Arial" w:cs="Arial" w:eastAsia="Arial" w:hAnsi="Arial"/>
          <w:sz w:val="20"/>
          <w:szCs w:val="20"/>
          <w:color w:val="auto"/>
        </w:rPr>
        <w:t>We define calculated current billings, a non-GAAP financial measure, as total revenue recognized in a period plus the change in current deferred revenue in the corresponding period. We believe that calculated current billings is a key metric to measure our periodic performance. Given that most of our customers pay in advance, but we typically recognize a majority of the related revenue ratably over time, we use calculated current billings to measure and monitor our ability to provide our business with the working capital generated by upfront payments from our customers. We believe that calculated current billings, which excludes deferred revenue for periods beyond twelve months in a customer’s contractual term, more closely correlates with annual contract value. Variability in total billings, depending on the timing of large multi-year contracts and the preference for annual billing versus multi-year upfront billing, may distort growth in one period over another.</w:t>
      </w:r>
    </w:p>
    <w:p>
      <w:pPr>
        <w:spacing w:after="0" w:line="206" w:lineRule="exact"/>
        <w:rPr>
          <w:sz w:val="20"/>
          <w:szCs w:val="20"/>
          <w:color w:val="auto"/>
        </w:rPr>
      </w:pPr>
    </w:p>
    <w:p>
      <w:pPr>
        <w:ind w:right="300" w:firstLine="360"/>
        <w:spacing w:after="0" w:line="287" w:lineRule="auto"/>
        <w:rPr>
          <w:sz w:val="20"/>
          <w:szCs w:val="20"/>
          <w:color w:val="auto"/>
        </w:rPr>
      </w:pPr>
      <w:r>
        <w:rPr>
          <w:rFonts w:ascii="Arial" w:cs="Arial" w:eastAsia="Arial" w:hAnsi="Arial"/>
          <w:sz w:val="20"/>
          <w:szCs w:val="20"/>
          <w:color w:val="auto"/>
        </w:rPr>
        <w:t>The following table presents a reconciliation of revenue, the most directly comparable financial measure calculated in accordance with GAAP, to calculated current billings: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02"/>
              <w:spacing w:after="0"/>
              <w:rPr>
                <w:sz w:val="20"/>
                <w:szCs w:val="20"/>
                <w:color w:val="auto"/>
              </w:rPr>
            </w:pPr>
            <w:r>
              <w:rPr>
                <w:rFonts w:ascii="Arial" w:cs="Arial" w:eastAsia="Arial" w:hAnsi="Arial"/>
                <w:sz w:val="18"/>
                <w:szCs w:val="18"/>
                <w:b w:val="1"/>
                <w:bCs w:val="1"/>
                <w:color w:val="auto"/>
                <w:w w:val="99"/>
              </w:rPr>
              <w:t>Year Ended December 31,</w:t>
            </w:r>
          </w:p>
        </w:tc>
      </w:tr>
      <w:tr>
        <w:trPr>
          <w:trHeight w:val="280"/>
        </w:trPr>
        <w:tc>
          <w:tcPr>
            <w:tcW w:w="640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3"/>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22"/>
              <w:spacing w:after="0"/>
              <w:rPr>
                <w:sz w:val="20"/>
                <w:szCs w:val="20"/>
                <w:color w:val="auto"/>
              </w:rPr>
            </w:pPr>
            <w:r>
              <w:rPr>
                <w:rFonts w:ascii="Arial" w:cs="Arial" w:eastAsia="Arial" w:hAnsi="Arial"/>
                <w:sz w:val="18"/>
                <w:szCs w:val="18"/>
                <w:b w:val="1"/>
                <w:bCs w:val="1"/>
                <w:color w:val="auto"/>
              </w:rPr>
              <w:t>2021</w:t>
            </w:r>
          </w:p>
        </w:tc>
      </w:tr>
      <w:tr>
        <w:trPr>
          <w:trHeight w:val="290"/>
        </w:trPr>
        <w:tc>
          <w:tcPr>
            <w:tcW w:w="6400" w:type="dxa"/>
            <w:vAlign w:val="bottom"/>
            <w:shd w:val="clear" w:color="auto" w:fill="D2EDF0"/>
          </w:tcPr>
          <w:p>
            <w:pPr>
              <w:ind w:left="60"/>
              <w:spacing w:after="0"/>
              <w:rPr>
                <w:sz w:val="20"/>
                <w:szCs w:val="20"/>
                <w:color w:val="auto"/>
              </w:rPr>
            </w:pPr>
            <w:r>
              <w:rPr>
                <w:rFonts w:ascii="Arial" w:cs="Arial" w:eastAsia="Arial" w:hAnsi="Arial"/>
                <w:sz w:val="20"/>
                <w:szCs w:val="20"/>
                <w:color w:val="auto"/>
              </w:rPr>
              <w:t>Revenue</w:t>
            </w:r>
          </w:p>
        </w:tc>
        <w:tc>
          <w:tcPr>
            <w:tcW w:w="1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683,191</w:t>
            </w:r>
          </w:p>
        </w:tc>
        <w:tc>
          <w:tcPr>
            <w:tcW w:w="360" w:type="dxa"/>
            <w:vAlign w:val="bottom"/>
            <w:gridSpan w:val="2"/>
            <w:shd w:val="clear" w:color="auto" w:fill="D2EDF0"/>
          </w:tcPr>
          <w:p>
            <w:pPr>
              <w:jc w:val="right"/>
              <w:ind w:right="120"/>
              <w:spacing w:after="0"/>
              <w:rPr>
                <w:sz w:val="20"/>
                <w:szCs w:val="20"/>
                <w:color w:val="auto"/>
              </w:rPr>
            </w:pPr>
            <w:r>
              <w:rPr>
                <w:rFonts w:ascii="Arial" w:cs="Arial" w:eastAsia="Arial" w:hAnsi="Arial"/>
                <w:sz w:val="20"/>
                <w:szCs w:val="20"/>
                <w:color w:val="auto"/>
              </w:rPr>
              <w:t>$</w:t>
            </w:r>
          </w:p>
        </w:tc>
        <w:tc>
          <w:tcPr>
            <w:tcW w:w="9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541,130</w:t>
            </w:r>
          </w:p>
        </w:tc>
      </w:tr>
      <w:tr>
        <w:trPr>
          <w:trHeight w:val="296"/>
        </w:trPr>
        <w:tc>
          <w:tcPr>
            <w:tcW w:w="6400" w:type="dxa"/>
            <w:vAlign w:val="bottom"/>
          </w:tcPr>
          <w:p>
            <w:pPr>
              <w:ind w:left="60"/>
              <w:spacing w:after="0"/>
              <w:rPr>
                <w:sz w:val="20"/>
                <w:szCs w:val="20"/>
                <w:color w:val="auto"/>
              </w:rPr>
            </w:pPr>
            <w:r>
              <w:rPr>
                <w:rFonts w:ascii="Arial" w:cs="Arial" w:eastAsia="Arial" w:hAnsi="Arial"/>
                <w:sz w:val="20"/>
                <w:szCs w:val="20"/>
                <w:color w:val="auto"/>
              </w:rPr>
              <w:t>Deferred revenue (current), end of period</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502,115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407,498</w:t>
            </w:r>
          </w:p>
        </w:tc>
      </w:tr>
      <w:tr>
        <w:trPr>
          <w:trHeight w:val="309"/>
        </w:trPr>
        <w:tc>
          <w:tcPr>
            <w:tcW w:w="640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20"/>
                <w:szCs w:val="20"/>
                <w:color w:val="auto"/>
              </w:rPr>
              <w:t>Deferred revenue (current), beginning of period</w:t>
            </w:r>
            <w:r>
              <w:rPr>
                <w:rFonts w:ascii="Arial" w:cs="Arial" w:eastAsia="Arial" w:hAnsi="Arial"/>
                <w:sz w:val="26"/>
                <w:szCs w:val="26"/>
                <w:color w:val="auto"/>
                <w:vertAlign w:val="superscript"/>
              </w:rPr>
              <w:t>(1)</w:t>
            </w:r>
          </w:p>
        </w:tc>
        <w:tc>
          <w:tcPr>
            <w:tcW w:w="180" w:type="dxa"/>
            <w:vAlign w:val="bottom"/>
            <w:tcBorders>
              <w:bottom w:val="single" w:sz="8" w:color="auto"/>
            </w:tcBorders>
            <w:shd w:val="clear" w:color="auto" w:fill="D2EDF0"/>
          </w:tcPr>
          <w:p>
            <w:pPr>
              <w:spacing w:after="0"/>
              <w:rPr>
                <w:sz w:val="24"/>
                <w:szCs w:val="24"/>
                <w:color w:val="auto"/>
              </w:rPr>
            </w:pPr>
          </w:p>
        </w:tc>
        <w:tc>
          <w:tcPr>
            <w:tcW w:w="108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(408,443)</w:t>
            </w:r>
          </w:p>
        </w:tc>
        <w:tc>
          <w:tcPr>
            <w:tcW w:w="80" w:type="dxa"/>
            <w:vAlign w:val="bottom"/>
            <w:tcBorders>
              <w:bottom w:val="single" w:sz="8" w:color="D2EDF0"/>
            </w:tcBorders>
            <w:shd w:val="clear" w:color="auto" w:fill="D2EDF0"/>
          </w:tcPr>
          <w:p>
            <w:pPr>
              <w:spacing w:after="0"/>
              <w:rPr>
                <w:sz w:val="24"/>
                <w:szCs w:val="24"/>
                <w:color w:val="auto"/>
              </w:rPr>
            </w:pPr>
          </w:p>
        </w:tc>
        <w:tc>
          <w:tcPr>
            <w:tcW w:w="280" w:type="dxa"/>
            <w:vAlign w:val="bottom"/>
            <w:tcBorders>
              <w:bottom w:val="single" w:sz="8" w:color="auto"/>
            </w:tcBorders>
            <w:shd w:val="clear" w:color="auto" w:fill="D2EDF0"/>
          </w:tcPr>
          <w:p>
            <w:pPr>
              <w:spacing w:after="0"/>
              <w:rPr>
                <w:sz w:val="24"/>
                <w:szCs w:val="24"/>
                <w:color w:val="auto"/>
              </w:rPr>
            </w:pPr>
          </w:p>
        </w:tc>
        <w:tc>
          <w:tcPr>
            <w:tcW w:w="98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(331,462)</w:t>
            </w:r>
          </w:p>
        </w:tc>
      </w:tr>
      <w:tr>
        <w:trPr>
          <w:trHeight w:val="260"/>
        </w:trPr>
        <w:tc>
          <w:tcPr>
            <w:tcW w:w="6400" w:type="dxa"/>
            <w:vAlign w:val="bottom"/>
          </w:tcPr>
          <w:p>
            <w:pPr>
              <w:ind w:left="280"/>
              <w:spacing w:after="0"/>
              <w:rPr>
                <w:sz w:val="20"/>
                <w:szCs w:val="20"/>
                <w:color w:val="auto"/>
              </w:rPr>
            </w:pPr>
            <w:r>
              <w:rPr>
                <w:rFonts w:ascii="Arial" w:cs="Arial" w:eastAsia="Arial" w:hAnsi="Arial"/>
                <w:sz w:val="20"/>
                <w:szCs w:val="20"/>
                <w:color w:val="auto"/>
              </w:rPr>
              <w:t>Calculated current billings</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776,863</w:t>
            </w:r>
          </w:p>
        </w:tc>
        <w:tc>
          <w:tcPr>
            <w:tcW w:w="36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617,166</w:t>
            </w:r>
          </w:p>
        </w:tc>
      </w:tr>
      <w:tr>
        <w:trPr>
          <w:trHeight w:val="20"/>
        </w:trPr>
        <w:tc>
          <w:tcPr>
            <w:tcW w:w="6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4067175</wp:posOffset>
            </wp:positionH>
            <wp:positionV relativeFrom="paragraph">
              <wp:posOffset>-37465</wp:posOffset>
            </wp:positionV>
            <wp:extent cx="164782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47825" cy="3810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w:t>
      </w:r>
    </w:p>
    <w:p>
      <w:pPr>
        <w:ind w:right="580"/>
        <w:spacing w:after="0" w:line="287" w:lineRule="auto"/>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Deferred revenue (current), beginning of period for 2022 and 2021 includes $0.9 million and $2.6 million, respectively, related to acquired deferred revenue.</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Free Cash Flow and Unlevered Free Cash Flow</w:t>
      </w:r>
    </w:p>
    <w:p>
      <w:pPr>
        <w:spacing w:after="0" w:line="249" w:lineRule="exact"/>
        <w:rPr>
          <w:sz w:val="20"/>
          <w:szCs w:val="20"/>
          <w:color w:val="auto"/>
        </w:rPr>
      </w:pPr>
    </w:p>
    <w:p>
      <w:pPr>
        <w:ind w:right="40" w:firstLine="360"/>
        <w:spacing w:after="0" w:line="257" w:lineRule="auto"/>
        <w:rPr>
          <w:sz w:val="20"/>
          <w:szCs w:val="20"/>
          <w:color w:val="auto"/>
        </w:rPr>
      </w:pPr>
      <w:r>
        <w:rPr>
          <w:rFonts w:ascii="Arial" w:cs="Arial" w:eastAsia="Arial" w:hAnsi="Arial"/>
          <w:sz w:val="20"/>
          <w:szCs w:val="20"/>
          <w:color w:val="auto"/>
        </w:rPr>
        <w:t>We define free cash flow, a non-GAAP financial measure, as net cash flows from operating activities reduced by purchases of property and equipment and capitalized software development costs. We believe free cash flow is an important liquidity measure of the cash (if any) that is available, after purchases of property and equipment and capitalized software development costs, for investment in our business and to make acquisitions. We believe that free cash flow is useful as a liquidity measure because it measures our ability to generate or use cash.</w:t>
      </w:r>
    </w:p>
    <w:p>
      <w:pPr>
        <w:spacing w:after="0" w:line="202" w:lineRule="exact"/>
        <w:rPr>
          <w:sz w:val="20"/>
          <w:szCs w:val="20"/>
          <w:color w:val="auto"/>
        </w:rPr>
      </w:pPr>
    </w:p>
    <w:p>
      <w:pPr>
        <w:ind w:right="260" w:firstLine="360"/>
        <w:spacing w:after="0" w:line="314" w:lineRule="auto"/>
        <w:rPr>
          <w:sz w:val="20"/>
          <w:szCs w:val="20"/>
          <w:color w:val="auto"/>
        </w:rPr>
      </w:pPr>
      <w:r>
        <w:rPr>
          <w:rFonts w:ascii="Arial" w:cs="Arial" w:eastAsia="Arial" w:hAnsi="Arial"/>
          <w:sz w:val="19"/>
          <w:szCs w:val="19"/>
          <w:color w:val="auto"/>
        </w:rPr>
        <w:t>We also use the non-GAAP measure of unlevered free cash flow, which we define as free cash flow plus cash paid for interest and other financing costs. We believe unlevered free cash flow is</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880" w:h="15480" w:orient="portrait"/>
          <w:cols w:equalWidth="0" w:num="1">
            <w:col w:w="9000"/>
          </w:cols>
          <w:pgMar w:left="1440" w:top="1203" w:right="1440" w:bottom="0" w:gutter="0" w:footer="0" w:header="0"/>
          <w:type w:val="continuous"/>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891540</wp:posOffset>
            </wp:positionH>
            <wp:positionV relativeFrom="page">
              <wp:posOffset>1233805</wp:posOffset>
            </wp:positionV>
            <wp:extent cx="5768340" cy="8423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68340" cy="842327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8" w:name="page89"/>
    <w:bookmarkEnd w:id="88"/>
    <w:p>
      <w:pPr>
        <w:ind w:right="20" w:firstLine="360"/>
        <w:spacing w:after="0" w:line="314" w:lineRule="auto"/>
        <w:rPr>
          <w:sz w:val="20"/>
          <w:szCs w:val="20"/>
          <w:color w:val="auto"/>
        </w:rPr>
      </w:pPr>
      <w:r>
        <w:rPr>
          <w:rFonts w:ascii="Arial" w:cs="Arial" w:eastAsia="Arial" w:hAnsi="Arial"/>
          <w:sz w:val="19"/>
          <w:szCs w:val="19"/>
          <w:color w:val="auto"/>
        </w:rPr>
        <w:t>The following table presents a reconciliation of loss from operations, the most directly comparable financial measure calculated in accordance with GAAP, to non-GAAP income from operations: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141"/>
              <w:spacing w:after="0"/>
              <w:rPr>
                <w:sz w:val="20"/>
                <w:szCs w:val="20"/>
                <w:color w:val="auto"/>
              </w:rPr>
            </w:pPr>
            <w:r>
              <w:rPr>
                <w:rFonts w:ascii="Arial" w:cs="Arial" w:eastAsia="Arial" w:hAnsi="Arial"/>
                <w:sz w:val="18"/>
                <w:szCs w:val="18"/>
                <w:b w:val="1"/>
                <w:bCs w:val="1"/>
                <w:color w:val="auto"/>
              </w:rPr>
              <w:t>Year Ended December 31,</w:t>
            </w:r>
          </w:p>
        </w:tc>
      </w:tr>
      <w:tr>
        <w:trPr>
          <w:trHeight w:val="280"/>
        </w:trPr>
        <w:tc>
          <w:tcPr>
            <w:tcW w:w="632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63"/>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1"/>
              <w:spacing w:after="0"/>
              <w:rPr>
                <w:sz w:val="20"/>
                <w:szCs w:val="20"/>
                <w:color w:val="auto"/>
              </w:rPr>
            </w:pPr>
            <w:r>
              <w:rPr>
                <w:rFonts w:ascii="Arial" w:cs="Arial" w:eastAsia="Arial" w:hAnsi="Arial"/>
                <w:sz w:val="18"/>
                <w:szCs w:val="18"/>
                <w:b w:val="1"/>
                <w:bCs w:val="1"/>
                <w:color w:val="auto"/>
              </w:rPr>
              <w:t>2021</w:t>
            </w:r>
          </w:p>
        </w:tc>
      </w:tr>
      <w:tr>
        <w:trPr>
          <w:trHeight w:val="290"/>
        </w:trPr>
        <w:tc>
          <w:tcPr>
            <w:tcW w:w="6320" w:type="dxa"/>
            <w:vAlign w:val="bottom"/>
            <w:shd w:val="clear" w:color="auto" w:fill="D2EDF0"/>
          </w:tcPr>
          <w:p>
            <w:pPr>
              <w:ind w:left="60"/>
              <w:spacing w:after="0"/>
              <w:rPr>
                <w:sz w:val="20"/>
                <w:szCs w:val="20"/>
                <w:color w:val="auto"/>
              </w:rPr>
            </w:pPr>
            <w:r>
              <w:rPr>
                <w:rFonts w:ascii="Arial" w:cs="Arial" w:eastAsia="Arial" w:hAnsi="Arial"/>
                <w:sz w:val="20"/>
                <w:szCs w:val="20"/>
                <w:color w:val="auto"/>
              </w:rPr>
              <w:t>Loss from operations</w:t>
            </w: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(67,815)</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(41,768)</w:t>
            </w:r>
          </w:p>
        </w:tc>
      </w:tr>
      <w:tr>
        <w:trPr>
          <w:trHeight w:val="296"/>
        </w:trPr>
        <w:tc>
          <w:tcPr>
            <w:tcW w:w="6320" w:type="dxa"/>
            <w:vAlign w:val="bottom"/>
          </w:tcPr>
          <w:p>
            <w:pPr>
              <w:ind w:left="60"/>
              <w:spacing w:after="0"/>
              <w:rPr>
                <w:sz w:val="20"/>
                <w:szCs w:val="20"/>
                <w:color w:val="auto"/>
              </w:rPr>
            </w:pPr>
            <w:r>
              <w:rPr>
                <w:rFonts w:ascii="Arial" w:cs="Arial" w:eastAsia="Arial" w:hAnsi="Arial"/>
                <w:sz w:val="20"/>
                <w:szCs w:val="20"/>
                <w:color w:val="auto"/>
              </w:rPr>
              <w:t>Stock-based compensation</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120,633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79,405</w:t>
            </w:r>
          </w:p>
        </w:tc>
      </w:tr>
      <w:tr>
        <w:trPr>
          <w:trHeight w:val="304"/>
        </w:trPr>
        <w:tc>
          <w:tcPr>
            <w:tcW w:w="6320" w:type="dxa"/>
            <w:vAlign w:val="bottom"/>
            <w:shd w:val="clear" w:color="auto" w:fill="D2EDF0"/>
          </w:tcPr>
          <w:p>
            <w:pPr>
              <w:ind w:left="60"/>
              <w:spacing w:after="0"/>
              <w:rPr>
                <w:sz w:val="20"/>
                <w:szCs w:val="20"/>
                <w:color w:val="auto"/>
              </w:rPr>
            </w:pPr>
            <w:r>
              <w:rPr>
                <w:rFonts w:ascii="Arial" w:cs="Arial" w:eastAsia="Arial" w:hAnsi="Arial"/>
                <w:sz w:val="20"/>
                <w:szCs w:val="20"/>
                <w:color w:val="auto"/>
              </w:rPr>
              <w:t>Acquisition-related expenses</w:t>
            </w:r>
          </w:p>
        </w:tc>
        <w:tc>
          <w:tcPr>
            <w:tcW w:w="200" w:type="dxa"/>
            <w:vAlign w:val="bottom"/>
            <w:shd w:val="clear" w:color="auto" w:fill="D2EDF0"/>
          </w:tcPr>
          <w:p>
            <w:pPr>
              <w:spacing w:after="0"/>
              <w:rPr>
                <w:sz w:val="24"/>
                <w:szCs w:val="24"/>
                <w:color w:val="auto"/>
              </w:rPr>
            </w:pP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2,642</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6,901</w:t>
            </w:r>
          </w:p>
        </w:tc>
      </w:tr>
      <w:tr>
        <w:trPr>
          <w:trHeight w:val="300"/>
        </w:trPr>
        <w:tc>
          <w:tcPr>
            <w:tcW w:w="6320" w:type="dxa"/>
            <w:vAlign w:val="bottom"/>
          </w:tcPr>
          <w:p>
            <w:pPr>
              <w:ind w:left="60"/>
              <w:spacing w:after="0"/>
              <w:rPr>
                <w:sz w:val="20"/>
                <w:szCs w:val="20"/>
                <w:color w:val="auto"/>
              </w:rPr>
            </w:pPr>
            <w:r>
              <w:rPr>
                <w:rFonts w:ascii="Arial" w:cs="Arial" w:eastAsia="Arial" w:hAnsi="Arial"/>
                <w:sz w:val="20"/>
                <w:szCs w:val="20"/>
                <w:color w:val="auto"/>
              </w:rPr>
              <w:t>Costs related to intra-entity asset transfers</w:t>
            </w:r>
            <w:r>
              <w:rPr>
                <w:rFonts w:ascii="Arial" w:cs="Arial" w:eastAsia="Arial" w:hAnsi="Arial"/>
                <w:sz w:val="26"/>
                <w:szCs w:val="26"/>
                <w:color w:val="auto"/>
                <w:vertAlign w:val="superscript"/>
              </w:rPr>
              <w:t>(1)</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838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0"/>
        </w:trPr>
        <w:tc>
          <w:tcPr>
            <w:tcW w:w="632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20"/>
                <w:szCs w:val="20"/>
                <w:color w:val="auto"/>
              </w:rPr>
              <w:t>Amortization of acquired intangible assets</w:t>
            </w:r>
          </w:p>
        </w:tc>
        <w:tc>
          <w:tcPr>
            <w:tcW w:w="200" w:type="dxa"/>
            <w:vAlign w:val="bottom"/>
            <w:tcBorders>
              <w:bottom w:val="single" w:sz="8" w:color="auto"/>
            </w:tcBorders>
            <w:shd w:val="clear" w:color="auto" w:fill="D2EDF0"/>
          </w:tcPr>
          <w:p>
            <w:pPr>
              <w:spacing w:after="0"/>
              <w:rPr>
                <w:sz w:val="24"/>
                <w:szCs w:val="24"/>
                <w:color w:val="auto"/>
              </w:rPr>
            </w:pPr>
          </w:p>
        </w:tc>
        <w:tc>
          <w:tcPr>
            <w:tcW w:w="11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11,372</w:t>
            </w:r>
          </w:p>
        </w:tc>
        <w:tc>
          <w:tcPr>
            <w:tcW w:w="80" w:type="dxa"/>
            <w:vAlign w:val="bottom"/>
            <w:tcBorders>
              <w:bottom w:val="single" w:sz="8" w:color="D2EDF0"/>
            </w:tcBorders>
            <w:shd w:val="clear" w:color="auto" w:fill="D2EDF0"/>
          </w:tcPr>
          <w:p>
            <w:pPr>
              <w:spacing w:after="0"/>
              <w:rPr>
                <w:sz w:val="24"/>
                <w:szCs w:val="24"/>
                <w:color w:val="auto"/>
              </w:rPr>
            </w:pP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6,447</w:t>
            </w:r>
          </w:p>
        </w:tc>
      </w:tr>
      <w:tr>
        <w:trPr>
          <w:trHeight w:val="260"/>
        </w:trPr>
        <w:tc>
          <w:tcPr>
            <w:tcW w:w="6320" w:type="dxa"/>
            <w:vAlign w:val="bottom"/>
          </w:tcPr>
          <w:p>
            <w:pPr>
              <w:ind w:left="280"/>
              <w:spacing w:after="0"/>
              <w:rPr>
                <w:sz w:val="20"/>
                <w:szCs w:val="20"/>
                <w:color w:val="auto"/>
              </w:rPr>
            </w:pPr>
            <w:r>
              <w:rPr>
                <w:rFonts w:ascii="Arial" w:cs="Arial" w:eastAsia="Arial" w:hAnsi="Arial"/>
                <w:sz w:val="20"/>
                <w:szCs w:val="20"/>
                <w:color w:val="auto"/>
              </w:rPr>
              <w:t>Non-GAAP income from operations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67,670</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50,985</w:t>
            </w:r>
          </w:p>
        </w:tc>
      </w:tr>
      <w:tr>
        <w:trPr>
          <w:trHeight w:val="20"/>
        </w:trPr>
        <w:tc>
          <w:tcPr>
            <w:tcW w:w="6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-37465</wp:posOffset>
            </wp:positionV>
            <wp:extent cx="170497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04975" cy="3810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w:t>
      </w:r>
    </w:p>
    <w:p>
      <w:pPr>
        <w:ind w:left="720" w:hanging="720"/>
        <w:spacing w:after="0"/>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costs related to the intra-entity asset transfers resulted from our internal restructuring of Cymptom.</w:t>
      </w:r>
    </w:p>
    <w:p>
      <w:pPr>
        <w:spacing w:after="0" w:line="245"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Non-GAAP Net Income and Non-GAAP Earnings Per Share</w:t>
      </w:r>
    </w:p>
    <w:p>
      <w:pPr>
        <w:spacing w:after="0" w:line="249" w:lineRule="exact"/>
        <w:rPr>
          <w:sz w:val="20"/>
          <w:szCs w:val="20"/>
          <w:color w:val="auto"/>
        </w:rPr>
      </w:pPr>
    </w:p>
    <w:p>
      <w:pPr>
        <w:ind w:right="160" w:firstLine="360"/>
        <w:spacing w:after="0" w:line="256" w:lineRule="auto"/>
        <w:rPr>
          <w:sz w:val="20"/>
          <w:szCs w:val="20"/>
          <w:color w:val="auto"/>
        </w:rPr>
      </w:pPr>
      <w:r>
        <w:rPr>
          <w:rFonts w:ascii="Arial" w:cs="Arial" w:eastAsia="Arial" w:hAnsi="Arial"/>
          <w:sz w:val="20"/>
          <w:szCs w:val="20"/>
          <w:color w:val="auto"/>
        </w:rPr>
        <w:t>We use non-GAAP net income, which excludes stock-based compensation, acquisition-related expenses and amortization of acquired intangible assets, as well as the related tax impacts, and the tax impact and related costs of intra-entity asset transfers resulting from the internal restructuring of legal entities as well as deferred income tax benefits recognized in connection with acquisitions, to calculate non-GAAP earnings per share. We believe that these non-GAAP measures provide important information because they facilitate comparisons of our core operating results over multiple periods.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1880" w:h="15480" w:orient="portrait"/>
          <w:cols w:equalWidth="0" w:num="1">
            <w:col w:w="9000"/>
          </w:cols>
          <w:pgMar w:left="1440" w:top="1204" w:right="1440" w:bottom="0" w:gutter="0" w:footer="0" w:header="0"/>
          <w:type w:val="continuous"/>
        </w:sectPr>
      </w:pPr>
    </w:p>
    <w:bookmarkStart w:id="89" w:name="page90"/>
    <w:bookmarkEnd w:id="89"/>
    <w:p>
      <w:pPr>
        <w:ind w:right="280" w:firstLine="360"/>
        <w:spacing w:after="0" w:line="268" w:lineRule="auto"/>
        <w:rPr>
          <w:sz w:val="20"/>
          <w:szCs w:val="20"/>
          <w:color w:val="auto"/>
        </w:rPr>
      </w:pPr>
      <w:r>
        <w:rPr>
          <w:rFonts w:ascii="Arial" w:cs="Arial" w:eastAsia="Arial" w:hAnsi="Arial"/>
          <w:sz w:val="20"/>
          <w:szCs w:val="20"/>
          <w:color w:val="auto"/>
        </w:rPr>
        <w:t>The following table presents a reconciliation of net loss and net loss per share, the most comparable financial measures calculated in accordance with GAAP, to non-GAAP net income and non-GAAP earnings per share.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80"/>
        </w:trPr>
        <w:tc>
          <w:tcPr>
            <w:tcW w:w="632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 except for per share amounts)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90"/>
        </w:trPr>
        <w:tc>
          <w:tcPr>
            <w:tcW w:w="6320" w:type="dxa"/>
            <w:vAlign w:val="bottom"/>
            <w:shd w:val="clear" w:color="auto" w:fill="D2EDF0"/>
          </w:tcPr>
          <w:p>
            <w:pPr>
              <w:ind w:left="60"/>
              <w:spacing w:after="0"/>
              <w:rPr>
                <w:sz w:val="20"/>
                <w:szCs w:val="20"/>
                <w:color w:val="auto"/>
              </w:rPr>
            </w:pPr>
            <w:r>
              <w:rPr>
                <w:rFonts w:ascii="Arial" w:cs="Arial" w:eastAsia="Arial" w:hAnsi="Arial"/>
                <w:sz w:val="20"/>
                <w:szCs w:val="20"/>
                <w:color w:val="auto"/>
              </w:rPr>
              <w:t>Net loss</w:t>
            </w: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(92,222)</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(46,677)</w:t>
            </w:r>
          </w:p>
        </w:tc>
        <w:tc>
          <w:tcPr>
            <w:tcW w:w="0" w:type="dxa"/>
            <w:vAlign w:val="bottom"/>
          </w:tcPr>
          <w:p>
            <w:pPr>
              <w:spacing w:after="0"/>
              <w:rPr>
                <w:sz w:val="1"/>
                <w:szCs w:val="1"/>
                <w:color w:val="auto"/>
              </w:rPr>
            </w:pPr>
          </w:p>
        </w:tc>
      </w:tr>
      <w:tr>
        <w:trPr>
          <w:trHeight w:val="296"/>
        </w:trPr>
        <w:tc>
          <w:tcPr>
            <w:tcW w:w="6320" w:type="dxa"/>
            <w:vAlign w:val="bottom"/>
          </w:tcPr>
          <w:p>
            <w:pPr>
              <w:ind w:left="60"/>
              <w:spacing w:after="0"/>
              <w:rPr>
                <w:sz w:val="20"/>
                <w:szCs w:val="20"/>
                <w:color w:val="auto"/>
              </w:rPr>
            </w:pPr>
            <w:r>
              <w:rPr>
                <w:rFonts w:ascii="Arial" w:cs="Arial" w:eastAsia="Arial" w:hAnsi="Arial"/>
                <w:sz w:val="20"/>
                <w:szCs w:val="20"/>
                <w:color w:val="auto"/>
              </w:rPr>
              <w:t>Stock-based compensation</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120,633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79,405</w:t>
            </w:r>
          </w:p>
        </w:tc>
        <w:tc>
          <w:tcPr>
            <w:tcW w:w="0" w:type="dxa"/>
            <w:vAlign w:val="bottom"/>
          </w:tcPr>
          <w:p>
            <w:pPr>
              <w:spacing w:after="0"/>
              <w:rPr>
                <w:sz w:val="1"/>
                <w:szCs w:val="1"/>
                <w:color w:val="auto"/>
              </w:rPr>
            </w:pPr>
          </w:p>
        </w:tc>
      </w:tr>
      <w:tr>
        <w:trPr>
          <w:trHeight w:val="304"/>
        </w:trPr>
        <w:tc>
          <w:tcPr>
            <w:tcW w:w="6320" w:type="dxa"/>
            <w:vAlign w:val="bottom"/>
            <w:shd w:val="clear" w:color="auto" w:fill="D2EDF0"/>
          </w:tcPr>
          <w:p>
            <w:pPr>
              <w:ind w:left="60"/>
              <w:spacing w:after="0"/>
              <w:rPr>
                <w:sz w:val="20"/>
                <w:szCs w:val="20"/>
                <w:color w:val="auto"/>
              </w:rPr>
            </w:pPr>
            <w:r>
              <w:rPr>
                <w:rFonts w:ascii="Arial" w:cs="Arial" w:eastAsia="Arial" w:hAnsi="Arial"/>
                <w:sz w:val="20"/>
                <w:szCs w:val="20"/>
                <w:color w:val="auto"/>
              </w:rPr>
              <w:t>Tax impact of stock-based compensation</w:t>
            </w:r>
            <w:r>
              <w:rPr>
                <w:rFonts w:ascii="Arial" w:cs="Arial" w:eastAsia="Arial" w:hAnsi="Arial"/>
                <w:sz w:val="26"/>
                <w:szCs w:val="26"/>
                <w:color w:val="auto"/>
                <w:vertAlign w:val="superscript"/>
              </w:rPr>
              <w:t>(1)</w:t>
            </w:r>
          </w:p>
        </w:tc>
        <w:tc>
          <w:tcPr>
            <w:tcW w:w="200" w:type="dxa"/>
            <w:vAlign w:val="bottom"/>
            <w:shd w:val="clear" w:color="auto" w:fill="D2EDF0"/>
          </w:tcPr>
          <w:p>
            <w:pPr>
              <w:spacing w:after="0"/>
              <w:rPr>
                <w:sz w:val="24"/>
                <w:szCs w:val="24"/>
                <w:color w:val="auto"/>
              </w:rPr>
            </w:pP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2,103</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617</w:t>
            </w:r>
          </w:p>
        </w:tc>
        <w:tc>
          <w:tcPr>
            <w:tcW w:w="0" w:type="dxa"/>
            <w:vAlign w:val="bottom"/>
          </w:tcPr>
          <w:p>
            <w:pPr>
              <w:spacing w:after="0"/>
              <w:rPr>
                <w:sz w:val="1"/>
                <w:szCs w:val="1"/>
                <w:color w:val="auto"/>
              </w:rPr>
            </w:pPr>
          </w:p>
        </w:tc>
      </w:tr>
      <w:tr>
        <w:trPr>
          <w:trHeight w:val="300"/>
        </w:trPr>
        <w:tc>
          <w:tcPr>
            <w:tcW w:w="6320" w:type="dxa"/>
            <w:vAlign w:val="bottom"/>
          </w:tcPr>
          <w:p>
            <w:pPr>
              <w:ind w:left="60"/>
              <w:spacing w:after="0"/>
              <w:rPr>
                <w:sz w:val="20"/>
                <w:szCs w:val="20"/>
                <w:color w:val="auto"/>
              </w:rPr>
            </w:pPr>
            <w:r>
              <w:rPr>
                <w:rFonts w:ascii="Arial" w:cs="Arial" w:eastAsia="Arial" w:hAnsi="Arial"/>
                <w:sz w:val="20"/>
                <w:szCs w:val="20"/>
                <w:color w:val="auto"/>
              </w:rPr>
              <w:t>Acquisition-related expenses</w:t>
            </w:r>
            <w:r>
              <w:rPr>
                <w:rFonts w:ascii="Arial" w:cs="Arial" w:eastAsia="Arial" w:hAnsi="Arial"/>
                <w:sz w:val="26"/>
                <w:szCs w:val="26"/>
                <w:color w:val="auto"/>
                <w:vertAlign w:val="superscript"/>
              </w:rPr>
              <w:t>(2)</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2,642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6,901</w:t>
            </w:r>
          </w:p>
        </w:tc>
        <w:tc>
          <w:tcPr>
            <w:tcW w:w="0" w:type="dxa"/>
            <w:vAlign w:val="bottom"/>
          </w:tcPr>
          <w:p>
            <w:pPr>
              <w:spacing w:after="0"/>
              <w:rPr>
                <w:sz w:val="1"/>
                <w:szCs w:val="1"/>
                <w:color w:val="auto"/>
              </w:rPr>
            </w:pPr>
          </w:p>
        </w:tc>
      </w:tr>
      <w:tr>
        <w:trPr>
          <w:trHeight w:val="300"/>
        </w:trPr>
        <w:tc>
          <w:tcPr>
            <w:tcW w:w="6320" w:type="dxa"/>
            <w:vAlign w:val="bottom"/>
            <w:shd w:val="clear" w:color="auto" w:fill="D2EDF0"/>
          </w:tcPr>
          <w:p>
            <w:pPr>
              <w:ind w:left="60"/>
              <w:spacing w:after="0"/>
              <w:rPr>
                <w:sz w:val="20"/>
                <w:szCs w:val="20"/>
                <w:color w:val="auto"/>
              </w:rPr>
            </w:pPr>
            <w:r>
              <w:rPr>
                <w:rFonts w:ascii="Arial" w:cs="Arial" w:eastAsia="Arial" w:hAnsi="Arial"/>
                <w:sz w:val="20"/>
                <w:szCs w:val="20"/>
                <w:color w:val="auto"/>
              </w:rPr>
              <w:t>Costs related to intra-entity asset transfers</w:t>
            </w:r>
            <w:r>
              <w:rPr>
                <w:rFonts w:ascii="Arial" w:cs="Arial" w:eastAsia="Arial" w:hAnsi="Arial"/>
                <w:sz w:val="26"/>
                <w:szCs w:val="26"/>
                <w:color w:val="auto"/>
                <w:vertAlign w:val="superscript"/>
              </w:rPr>
              <w:t>(3)</w:t>
            </w:r>
          </w:p>
        </w:tc>
        <w:tc>
          <w:tcPr>
            <w:tcW w:w="200" w:type="dxa"/>
            <w:vAlign w:val="bottom"/>
            <w:shd w:val="clear" w:color="auto" w:fill="D2EDF0"/>
          </w:tcPr>
          <w:p>
            <w:pPr>
              <w:spacing w:after="0"/>
              <w:rPr>
                <w:sz w:val="24"/>
                <w:szCs w:val="24"/>
                <w:color w:val="auto"/>
              </w:rPr>
            </w:pP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838</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0"/>
        </w:trPr>
        <w:tc>
          <w:tcPr>
            <w:tcW w:w="6320" w:type="dxa"/>
            <w:vAlign w:val="bottom"/>
          </w:tcPr>
          <w:p>
            <w:pPr>
              <w:ind w:left="60"/>
              <w:spacing w:after="0"/>
              <w:rPr>
                <w:sz w:val="20"/>
                <w:szCs w:val="20"/>
                <w:color w:val="auto"/>
              </w:rPr>
            </w:pPr>
            <w:r>
              <w:rPr>
                <w:rFonts w:ascii="Arial" w:cs="Arial" w:eastAsia="Arial" w:hAnsi="Arial"/>
                <w:sz w:val="20"/>
                <w:szCs w:val="20"/>
                <w:color w:val="auto"/>
              </w:rPr>
              <w:t>Amortization of acquired intangible assets</w:t>
            </w:r>
            <w:r>
              <w:rPr>
                <w:rFonts w:ascii="Arial" w:cs="Arial" w:eastAsia="Arial" w:hAnsi="Arial"/>
                <w:sz w:val="26"/>
                <w:szCs w:val="26"/>
                <w:color w:val="auto"/>
                <w:vertAlign w:val="superscript"/>
              </w:rPr>
              <w:t>(4)</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11,372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6,447</w:t>
            </w:r>
          </w:p>
        </w:tc>
        <w:tc>
          <w:tcPr>
            <w:tcW w:w="0" w:type="dxa"/>
            <w:vAlign w:val="bottom"/>
          </w:tcPr>
          <w:p>
            <w:pPr>
              <w:spacing w:after="0"/>
              <w:rPr>
                <w:sz w:val="1"/>
                <w:szCs w:val="1"/>
                <w:color w:val="auto"/>
              </w:rPr>
            </w:pPr>
          </w:p>
        </w:tc>
      </w:tr>
      <w:tr>
        <w:trPr>
          <w:trHeight w:val="300"/>
        </w:trPr>
        <w:tc>
          <w:tcPr>
            <w:tcW w:w="6320" w:type="dxa"/>
            <w:vAlign w:val="bottom"/>
            <w:shd w:val="clear" w:color="auto" w:fill="D2EDF0"/>
          </w:tcPr>
          <w:p>
            <w:pPr>
              <w:ind w:left="60"/>
              <w:spacing w:after="0"/>
              <w:rPr>
                <w:sz w:val="20"/>
                <w:szCs w:val="20"/>
                <w:color w:val="auto"/>
              </w:rPr>
            </w:pPr>
            <w:r>
              <w:rPr>
                <w:rFonts w:ascii="Arial" w:cs="Arial" w:eastAsia="Arial" w:hAnsi="Arial"/>
                <w:sz w:val="20"/>
                <w:szCs w:val="20"/>
                <w:color w:val="auto"/>
              </w:rPr>
              <w:t>Tax impact of acquisitions</w:t>
            </w:r>
            <w:r>
              <w:rPr>
                <w:rFonts w:ascii="Arial" w:cs="Arial" w:eastAsia="Arial" w:hAnsi="Arial"/>
                <w:sz w:val="26"/>
                <w:szCs w:val="26"/>
                <w:color w:val="auto"/>
                <w:vertAlign w:val="superscript"/>
              </w:rPr>
              <w:t>(5)</w:t>
            </w:r>
          </w:p>
        </w:tc>
        <w:tc>
          <w:tcPr>
            <w:tcW w:w="200" w:type="dxa"/>
            <w:vAlign w:val="bottom"/>
            <w:shd w:val="clear" w:color="auto" w:fill="D2EDF0"/>
          </w:tcPr>
          <w:p>
            <w:pPr>
              <w:spacing w:after="0"/>
              <w:rPr>
                <w:sz w:val="24"/>
                <w:szCs w:val="24"/>
                <w:color w:val="auto"/>
              </w:rPr>
            </w:pP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(3,703)</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(10,560)</w:t>
            </w:r>
          </w:p>
        </w:tc>
        <w:tc>
          <w:tcPr>
            <w:tcW w:w="0" w:type="dxa"/>
            <w:vAlign w:val="bottom"/>
          </w:tcPr>
          <w:p>
            <w:pPr>
              <w:spacing w:after="0"/>
              <w:rPr>
                <w:sz w:val="1"/>
                <w:szCs w:val="1"/>
                <w:color w:val="auto"/>
              </w:rPr>
            </w:pPr>
          </w:p>
        </w:tc>
      </w:tr>
      <w:tr>
        <w:trPr>
          <w:trHeight w:val="290"/>
        </w:trPr>
        <w:tc>
          <w:tcPr>
            <w:tcW w:w="6320" w:type="dxa"/>
            <w:vAlign w:val="bottom"/>
            <w:tcBorders>
              <w:bottom w:val="single" w:sz="8" w:color="D2EDF0"/>
            </w:tcBorders>
          </w:tcPr>
          <w:p>
            <w:pPr>
              <w:ind w:left="60"/>
              <w:spacing w:after="0" w:line="290" w:lineRule="exact"/>
              <w:rPr>
                <w:sz w:val="20"/>
                <w:szCs w:val="20"/>
                <w:color w:val="auto"/>
              </w:rPr>
            </w:pPr>
            <w:r>
              <w:rPr>
                <w:rFonts w:ascii="Arial" w:cs="Arial" w:eastAsia="Arial" w:hAnsi="Arial"/>
                <w:sz w:val="20"/>
                <w:szCs w:val="20"/>
                <w:color w:val="auto"/>
              </w:rPr>
              <w:t>Tax impact of intra-entity asset transfers</w:t>
            </w:r>
            <w:r>
              <w:rPr>
                <w:rFonts w:ascii="Arial" w:cs="Arial" w:eastAsia="Arial" w:hAnsi="Arial"/>
                <w:sz w:val="26"/>
                <w:szCs w:val="26"/>
                <w:color w:val="auto"/>
                <w:vertAlign w:val="superscript"/>
              </w:rPr>
              <w:t>(6)</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2,652</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2,808</w:t>
            </w:r>
          </w:p>
        </w:tc>
        <w:tc>
          <w:tcPr>
            <w:tcW w:w="0" w:type="dxa"/>
            <w:vAlign w:val="bottom"/>
          </w:tcPr>
          <w:p>
            <w:pPr>
              <w:spacing w:after="0"/>
              <w:rPr>
                <w:sz w:val="1"/>
                <w:szCs w:val="1"/>
                <w:color w:val="auto"/>
              </w:rPr>
            </w:pPr>
          </w:p>
        </w:tc>
      </w:tr>
      <w:tr>
        <w:trPr>
          <w:trHeight w:val="280"/>
        </w:trPr>
        <w:tc>
          <w:tcPr>
            <w:tcW w:w="6320" w:type="dxa"/>
            <w:vAlign w:val="bottom"/>
            <w:shd w:val="clear" w:color="auto" w:fill="D2EDF0"/>
          </w:tcPr>
          <w:p>
            <w:pPr>
              <w:ind w:left="280"/>
              <w:spacing w:after="0"/>
              <w:rPr>
                <w:sz w:val="20"/>
                <w:szCs w:val="20"/>
                <w:color w:val="auto"/>
              </w:rPr>
            </w:pPr>
            <w:r>
              <w:rPr>
                <w:rFonts w:ascii="Arial" w:cs="Arial" w:eastAsia="Arial" w:hAnsi="Arial"/>
                <w:sz w:val="20"/>
                <w:szCs w:val="20"/>
                <w:color w:val="auto"/>
              </w:rPr>
              <w:t>Non-GAAP net income</w:t>
            </w: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44,315</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38,941</w:t>
            </w:r>
          </w:p>
        </w:tc>
        <w:tc>
          <w:tcPr>
            <w:tcW w:w="0" w:type="dxa"/>
            <w:vAlign w:val="bottom"/>
          </w:tcPr>
          <w:p>
            <w:pPr>
              <w:spacing w:after="0"/>
              <w:rPr>
                <w:sz w:val="1"/>
                <w:szCs w:val="1"/>
                <w:color w:val="auto"/>
              </w:rPr>
            </w:pPr>
          </w:p>
        </w:tc>
      </w:tr>
      <w:tr>
        <w:trPr>
          <w:trHeight w:val="20"/>
        </w:trPr>
        <w:tc>
          <w:tcPr>
            <w:tcW w:w="6320" w:type="dxa"/>
            <w:vAlign w:val="bottom"/>
            <w:tcBorders>
              <w:top w:val="single" w:sz="8" w:color="D2EDF0"/>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6320" w:type="dxa"/>
            <w:vAlign w:val="bottom"/>
            <w:shd w:val="clear" w:color="auto" w:fill="D2EDF0"/>
          </w:tcPr>
          <w:p>
            <w:pPr>
              <w:ind w:left="60"/>
              <w:spacing w:after="0"/>
              <w:rPr>
                <w:sz w:val="20"/>
                <w:szCs w:val="20"/>
                <w:color w:val="auto"/>
              </w:rPr>
            </w:pPr>
            <w:r>
              <w:rPr>
                <w:rFonts w:ascii="Arial" w:cs="Arial" w:eastAsia="Arial" w:hAnsi="Arial"/>
                <w:sz w:val="20"/>
                <w:szCs w:val="20"/>
                <w:color w:val="auto"/>
              </w:rPr>
              <w:t>Net loss per share, diluted</w:t>
            </w: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(0.83)</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(0.44)</w:t>
            </w:r>
          </w:p>
        </w:tc>
        <w:tc>
          <w:tcPr>
            <w:tcW w:w="0" w:type="dxa"/>
            <w:vAlign w:val="bottom"/>
          </w:tcPr>
          <w:p>
            <w:pPr>
              <w:spacing w:after="0"/>
              <w:rPr>
                <w:sz w:val="1"/>
                <w:szCs w:val="1"/>
                <w:color w:val="auto"/>
              </w:rPr>
            </w:pPr>
          </w:p>
        </w:tc>
      </w:tr>
      <w:tr>
        <w:trPr>
          <w:trHeight w:val="296"/>
        </w:trPr>
        <w:tc>
          <w:tcPr>
            <w:tcW w:w="6320" w:type="dxa"/>
            <w:vAlign w:val="bottom"/>
          </w:tcPr>
          <w:p>
            <w:pPr>
              <w:ind w:left="60"/>
              <w:spacing w:after="0"/>
              <w:rPr>
                <w:sz w:val="20"/>
                <w:szCs w:val="20"/>
                <w:color w:val="auto"/>
              </w:rPr>
            </w:pPr>
            <w:r>
              <w:rPr>
                <w:rFonts w:ascii="Arial" w:cs="Arial" w:eastAsia="Arial" w:hAnsi="Arial"/>
                <w:sz w:val="20"/>
                <w:szCs w:val="20"/>
                <w:color w:val="auto"/>
              </w:rPr>
              <w:t>Stock-based compensation</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0.75</w:t>
            </w:r>
          </w:p>
        </w:tc>
        <w:tc>
          <w:tcPr>
            <w:tcW w:w="0" w:type="dxa"/>
            <w:vAlign w:val="bottom"/>
          </w:tcPr>
          <w:p>
            <w:pPr>
              <w:spacing w:after="0"/>
              <w:rPr>
                <w:sz w:val="1"/>
                <w:szCs w:val="1"/>
                <w:color w:val="auto"/>
              </w:rPr>
            </w:pPr>
          </w:p>
        </w:tc>
      </w:tr>
      <w:tr>
        <w:trPr>
          <w:trHeight w:val="304"/>
        </w:trPr>
        <w:tc>
          <w:tcPr>
            <w:tcW w:w="6320" w:type="dxa"/>
            <w:vAlign w:val="bottom"/>
            <w:shd w:val="clear" w:color="auto" w:fill="D2EDF0"/>
          </w:tcPr>
          <w:p>
            <w:pPr>
              <w:ind w:left="60"/>
              <w:spacing w:after="0"/>
              <w:rPr>
                <w:sz w:val="20"/>
                <w:szCs w:val="20"/>
                <w:color w:val="auto"/>
              </w:rPr>
            </w:pPr>
            <w:r>
              <w:rPr>
                <w:rFonts w:ascii="Arial" w:cs="Arial" w:eastAsia="Arial" w:hAnsi="Arial"/>
                <w:sz w:val="20"/>
                <w:szCs w:val="20"/>
                <w:color w:val="auto"/>
              </w:rPr>
              <w:t>Tax impact of stock-based compensation</w:t>
            </w:r>
            <w:r>
              <w:rPr>
                <w:rFonts w:ascii="Arial" w:cs="Arial" w:eastAsia="Arial" w:hAnsi="Arial"/>
                <w:sz w:val="26"/>
                <w:szCs w:val="26"/>
                <w:color w:val="auto"/>
                <w:vertAlign w:val="superscript"/>
              </w:rPr>
              <w:t>(1)</w:t>
            </w:r>
          </w:p>
        </w:tc>
        <w:tc>
          <w:tcPr>
            <w:tcW w:w="200" w:type="dxa"/>
            <w:vAlign w:val="bottom"/>
            <w:shd w:val="clear" w:color="auto" w:fill="D2EDF0"/>
          </w:tcPr>
          <w:p>
            <w:pPr>
              <w:spacing w:after="0"/>
              <w:rPr>
                <w:sz w:val="24"/>
                <w:szCs w:val="24"/>
                <w:color w:val="auto"/>
              </w:rPr>
            </w:pP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0.02</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0.01</w:t>
            </w:r>
          </w:p>
        </w:tc>
        <w:tc>
          <w:tcPr>
            <w:tcW w:w="0" w:type="dxa"/>
            <w:vAlign w:val="bottom"/>
          </w:tcPr>
          <w:p>
            <w:pPr>
              <w:spacing w:after="0"/>
              <w:rPr>
                <w:sz w:val="1"/>
                <w:szCs w:val="1"/>
                <w:color w:val="auto"/>
              </w:rPr>
            </w:pPr>
          </w:p>
        </w:tc>
      </w:tr>
      <w:tr>
        <w:trPr>
          <w:trHeight w:val="300"/>
        </w:trPr>
        <w:tc>
          <w:tcPr>
            <w:tcW w:w="6320" w:type="dxa"/>
            <w:vAlign w:val="bottom"/>
          </w:tcPr>
          <w:p>
            <w:pPr>
              <w:ind w:left="60"/>
              <w:spacing w:after="0"/>
              <w:rPr>
                <w:sz w:val="20"/>
                <w:szCs w:val="20"/>
                <w:color w:val="auto"/>
              </w:rPr>
            </w:pPr>
            <w:r>
              <w:rPr>
                <w:rFonts w:ascii="Arial" w:cs="Arial" w:eastAsia="Arial" w:hAnsi="Arial"/>
                <w:sz w:val="20"/>
                <w:szCs w:val="20"/>
                <w:color w:val="auto"/>
              </w:rPr>
              <w:t>Acquisition-related expenses</w:t>
            </w:r>
            <w:r>
              <w:rPr>
                <w:rFonts w:ascii="Arial" w:cs="Arial" w:eastAsia="Arial" w:hAnsi="Arial"/>
                <w:sz w:val="26"/>
                <w:szCs w:val="26"/>
                <w:color w:val="auto"/>
                <w:vertAlign w:val="superscript"/>
              </w:rPr>
              <w:t>(2)</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0.02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0.06</w:t>
            </w:r>
          </w:p>
        </w:tc>
        <w:tc>
          <w:tcPr>
            <w:tcW w:w="0" w:type="dxa"/>
            <w:vAlign w:val="bottom"/>
          </w:tcPr>
          <w:p>
            <w:pPr>
              <w:spacing w:after="0"/>
              <w:rPr>
                <w:sz w:val="1"/>
                <w:szCs w:val="1"/>
                <w:color w:val="auto"/>
              </w:rPr>
            </w:pPr>
          </w:p>
        </w:tc>
      </w:tr>
      <w:tr>
        <w:trPr>
          <w:trHeight w:val="300"/>
        </w:trPr>
        <w:tc>
          <w:tcPr>
            <w:tcW w:w="6320" w:type="dxa"/>
            <w:vAlign w:val="bottom"/>
            <w:shd w:val="clear" w:color="auto" w:fill="D2EDF0"/>
          </w:tcPr>
          <w:p>
            <w:pPr>
              <w:ind w:left="60"/>
              <w:spacing w:after="0"/>
              <w:rPr>
                <w:sz w:val="20"/>
                <w:szCs w:val="20"/>
                <w:color w:val="auto"/>
              </w:rPr>
            </w:pPr>
            <w:r>
              <w:rPr>
                <w:rFonts w:ascii="Arial" w:cs="Arial" w:eastAsia="Arial" w:hAnsi="Arial"/>
                <w:sz w:val="20"/>
                <w:szCs w:val="20"/>
                <w:color w:val="auto"/>
              </w:rPr>
              <w:t>Costs related to intra-entity asset transfers</w:t>
            </w:r>
            <w:r>
              <w:rPr>
                <w:rFonts w:ascii="Arial" w:cs="Arial" w:eastAsia="Arial" w:hAnsi="Arial"/>
                <w:sz w:val="26"/>
                <w:szCs w:val="26"/>
                <w:color w:val="auto"/>
                <w:vertAlign w:val="superscript"/>
              </w:rPr>
              <w:t>(3)</w:t>
            </w:r>
          </w:p>
        </w:tc>
        <w:tc>
          <w:tcPr>
            <w:tcW w:w="200" w:type="dxa"/>
            <w:vAlign w:val="bottom"/>
            <w:shd w:val="clear" w:color="auto" w:fill="D2EDF0"/>
          </w:tcPr>
          <w:p>
            <w:pPr>
              <w:spacing w:after="0"/>
              <w:rPr>
                <w:sz w:val="24"/>
                <w:szCs w:val="24"/>
                <w:color w:val="auto"/>
              </w:rPr>
            </w:pP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0.01</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0"/>
        </w:trPr>
        <w:tc>
          <w:tcPr>
            <w:tcW w:w="6320" w:type="dxa"/>
            <w:vAlign w:val="bottom"/>
          </w:tcPr>
          <w:p>
            <w:pPr>
              <w:ind w:left="60"/>
              <w:spacing w:after="0"/>
              <w:rPr>
                <w:sz w:val="20"/>
                <w:szCs w:val="20"/>
                <w:color w:val="auto"/>
              </w:rPr>
            </w:pPr>
            <w:r>
              <w:rPr>
                <w:rFonts w:ascii="Arial" w:cs="Arial" w:eastAsia="Arial" w:hAnsi="Arial"/>
                <w:sz w:val="20"/>
                <w:szCs w:val="20"/>
                <w:color w:val="auto"/>
              </w:rPr>
              <w:t>Amortization of acquired intangible assets</w:t>
            </w:r>
            <w:r>
              <w:rPr>
                <w:rFonts w:ascii="Arial" w:cs="Arial" w:eastAsia="Arial" w:hAnsi="Arial"/>
                <w:sz w:val="26"/>
                <w:szCs w:val="26"/>
                <w:color w:val="auto"/>
                <w:vertAlign w:val="superscript"/>
              </w:rPr>
              <w:t>(4)</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0.10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0.06</w:t>
            </w:r>
          </w:p>
        </w:tc>
        <w:tc>
          <w:tcPr>
            <w:tcW w:w="0" w:type="dxa"/>
            <w:vAlign w:val="bottom"/>
          </w:tcPr>
          <w:p>
            <w:pPr>
              <w:spacing w:after="0"/>
              <w:rPr>
                <w:sz w:val="1"/>
                <w:szCs w:val="1"/>
                <w:color w:val="auto"/>
              </w:rPr>
            </w:pPr>
          </w:p>
        </w:tc>
      </w:tr>
      <w:tr>
        <w:trPr>
          <w:trHeight w:val="300"/>
        </w:trPr>
        <w:tc>
          <w:tcPr>
            <w:tcW w:w="6320" w:type="dxa"/>
            <w:vAlign w:val="bottom"/>
            <w:shd w:val="clear" w:color="auto" w:fill="D2EDF0"/>
          </w:tcPr>
          <w:p>
            <w:pPr>
              <w:ind w:left="60"/>
              <w:spacing w:after="0"/>
              <w:rPr>
                <w:sz w:val="20"/>
                <w:szCs w:val="20"/>
                <w:color w:val="auto"/>
              </w:rPr>
            </w:pPr>
            <w:r>
              <w:rPr>
                <w:rFonts w:ascii="Arial" w:cs="Arial" w:eastAsia="Arial" w:hAnsi="Arial"/>
                <w:sz w:val="20"/>
                <w:szCs w:val="20"/>
                <w:color w:val="auto"/>
              </w:rPr>
              <w:t>Tax impact of acquisitions</w:t>
            </w:r>
            <w:r>
              <w:rPr>
                <w:rFonts w:ascii="Arial" w:cs="Arial" w:eastAsia="Arial" w:hAnsi="Arial"/>
                <w:sz w:val="26"/>
                <w:szCs w:val="26"/>
                <w:color w:val="auto"/>
                <w:vertAlign w:val="superscript"/>
              </w:rPr>
              <w:t>(5)</w:t>
            </w:r>
          </w:p>
        </w:tc>
        <w:tc>
          <w:tcPr>
            <w:tcW w:w="200" w:type="dxa"/>
            <w:vAlign w:val="bottom"/>
            <w:shd w:val="clear" w:color="auto" w:fill="D2EDF0"/>
          </w:tcPr>
          <w:p>
            <w:pPr>
              <w:spacing w:after="0"/>
              <w:rPr>
                <w:sz w:val="24"/>
                <w:szCs w:val="24"/>
                <w:color w:val="auto"/>
              </w:rPr>
            </w:pP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(0.03)</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(0.10)</w:t>
            </w:r>
          </w:p>
        </w:tc>
        <w:tc>
          <w:tcPr>
            <w:tcW w:w="0" w:type="dxa"/>
            <w:vAlign w:val="bottom"/>
          </w:tcPr>
          <w:p>
            <w:pPr>
              <w:spacing w:after="0"/>
              <w:rPr>
                <w:sz w:val="1"/>
                <w:szCs w:val="1"/>
                <w:color w:val="auto"/>
              </w:rPr>
            </w:pPr>
          </w:p>
        </w:tc>
      </w:tr>
      <w:tr>
        <w:trPr>
          <w:trHeight w:val="300"/>
        </w:trPr>
        <w:tc>
          <w:tcPr>
            <w:tcW w:w="6320" w:type="dxa"/>
            <w:vAlign w:val="bottom"/>
          </w:tcPr>
          <w:p>
            <w:pPr>
              <w:ind w:left="60"/>
              <w:spacing w:after="0"/>
              <w:rPr>
                <w:sz w:val="20"/>
                <w:szCs w:val="20"/>
                <w:color w:val="auto"/>
              </w:rPr>
            </w:pPr>
            <w:r>
              <w:rPr>
                <w:rFonts w:ascii="Arial" w:cs="Arial" w:eastAsia="Arial" w:hAnsi="Arial"/>
                <w:sz w:val="20"/>
                <w:szCs w:val="20"/>
                <w:color w:val="auto"/>
              </w:rPr>
              <w:t>Tax impact of intra-entity asset transfers</w:t>
            </w:r>
            <w:r>
              <w:rPr>
                <w:rFonts w:ascii="Arial" w:cs="Arial" w:eastAsia="Arial" w:hAnsi="Arial"/>
                <w:sz w:val="26"/>
                <w:szCs w:val="26"/>
                <w:color w:val="auto"/>
                <w:vertAlign w:val="superscript"/>
              </w:rPr>
              <w:t>(6)</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0.03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0.03</w:t>
            </w:r>
          </w:p>
        </w:tc>
        <w:tc>
          <w:tcPr>
            <w:tcW w:w="0" w:type="dxa"/>
            <w:vAlign w:val="bottom"/>
          </w:tcPr>
          <w:p>
            <w:pPr>
              <w:spacing w:after="0"/>
              <w:rPr>
                <w:sz w:val="1"/>
                <w:szCs w:val="1"/>
                <w:color w:val="auto"/>
              </w:rPr>
            </w:pPr>
          </w:p>
        </w:tc>
      </w:tr>
      <w:tr>
        <w:trPr>
          <w:trHeight w:val="290"/>
        </w:trPr>
        <w:tc>
          <w:tcPr>
            <w:tcW w:w="6320" w:type="dxa"/>
            <w:vAlign w:val="bottom"/>
            <w:tcBorders>
              <w:bottom w:val="single" w:sz="8" w:color="D2EDF0"/>
            </w:tcBorders>
            <w:shd w:val="clear" w:color="auto" w:fill="D2EDF0"/>
          </w:tcPr>
          <w:p>
            <w:pPr>
              <w:ind w:left="60"/>
              <w:spacing w:after="0" w:line="290" w:lineRule="exact"/>
              <w:rPr>
                <w:sz w:val="20"/>
                <w:szCs w:val="20"/>
                <w:color w:val="auto"/>
              </w:rPr>
            </w:pPr>
            <w:r>
              <w:rPr>
                <w:rFonts w:ascii="Arial" w:cs="Arial" w:eastAsia="Arial" w:hAnsi="Arial"/>
                <w:sz w:val="20"/>
                <w:szCs w:val="20"/>
                <w:color w:val="auto"/>
              </w:rPr>
              <w:t>Adjustment to diluted earnings per share</w:t>
            </w:r>
            <w:r>
              <w:rPr>
                <w:rFonts w:ascii="Arial" w:cs="Arial" w:eastAsia="Arial" w:hAnsi="Arial"/>
                <w:sz w:val="26"/>
                <w:szCs w:val="26"/>
                <w:color w:val="auto"/>
                <w:vertAlign w:val="superscript"/>
              </w:rPr>
              <w:t>(7)</w:t>
            </w:r>
          </w:p>
        </w:tc>
        <w:tc>
          <w:tcPr>
            <w:tcW w:w="200" w:type="dxa"/>
            <w:vAlign w:val="bottom"/>
            <w:tcBorders>
              <w:bottom w:val="single" w:sz="8" w:color="auto"/>
            </w:tcBorders>
            <w:shd w:val="clear" w:color="auto" w:fill="D2EDF0"/>
          </w:tcPr>
          <w:p>
            <w:pPr>
              <w:spacing w:after="0"/>
              <w:rPr>
                <w:sz w:val="24"/>
                <w:szCs w:val="24"/>
                <w:color w:val="auto"/>
              </w:rPr>
            </w:pPr>
          </w:p>
        </w:tc>
        <w:tc>
          <w:tcPr>
            <w:tcW w:w="11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(0.02)</w:t>
            </w:r>
          </w:p>
        </w:tc>
        <w:tc>
          <w:tcPr>
            <w:tcW w:w="80" w:type="dxa"/>
            <w:vAlign w:val="bottom"/>
            <w:tcBorders>
              <w:bottom w:val="single" w:sz="8" w:color="D2EDF0"/>
            </w:tcBorders>
            <w:shd w:val="clear" w:color="auto" w:fill="D2EDF0"/>
          </w:tcPr>
          <w:p>
            <w:pPr>
              <w:spacing w:after="0"/>
              <w:rPr>
                <w:sz w:val="24"/>
                <w:szCs w:val="24"/>
                <w:color w:val="auto"/>
              </w:rPr>
            </w:pP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(0.03)</w:t>
            </w:r>
          </w:p>
        </w:tc>
        <w:tc>
          <w:tcPr>
            <w:tcW w:w="0" w:type="dxa"/>
            <w:vAlign w:val="bottom"/>
          </w:tcPr>
          <w:p>
            <w:pPr>
              <w:spacing w:after="0"/>
              <w:rPr>
                <w:sz w:val="1"/>
                <w:szCs w:val="1"/>
                <w:color w:val="auto"/>
              </w:rPr>
            </w:pPr>
          </w:p>
        </w:tc>
      </w:tr>
      <w:tr>
        <w:trPr>
          <w:trHeight w:val="260"/>
        </w:trPr>
        <w:tc>
          <w:tcPr>
            <w:tcW w:w="6320" w:type="dxa"/>
            <w:vAlign w:val="bottom"/>
          </w:tcPr>
          <w:p>
            <w:pPr>
              <w:ind w:left="280"/>
              <w:spacing w:after="0"/>
              <w:rPr>
                <w:sz w:val="20"/>
                <w:szCs w:val="20"/>
                <w:color w:val="auto"/>
              </w:rPr>
            </w:pPr>
            <w:r>
              <w:rPr>
                <w:rFonts w:ascii="Arial" w:cs="Arial" w:eastAsia="Arial" w:hAnsi="Arial"/>
                <w:sz w:val="20"/>
                <w:szCs w:val="20"/>
                <w:color w:val="auto"/>
              </w:rPr>
              <w:t>Non-GAAP earnings per share, diluted</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0.38</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0.34</w:t>
            </w:r>
          </w:p>
        </w:tc>
        <w:tc>
          <w:tcPr>
            <w:tcW w:w="0" w:type="dxa"/>
            <w:vAlign w:val="bottom"/>
          </w:tcPr>
          <w:p>
            <w:pPr>
              <w:spacing w:after="0"/>
              <w:rPr>
                <w:sz w:val="1"/>
                <w:szCs w:val="1"/>
                <w:color w:val="auto"/>
              </w:rPr>
            </w:pPr>
          </w:p>
        </w:tc>
      </w:tr>
      <w:tr>
        <w:trPr>
          <w:trHeight w:val="20"/>
        </w:trPr>
        <w:tc>
          <w:tcPr>
            <w:tcW w:w="6320" w:type="dxa"/>
            <w:vAlign w:val="bottom"/>
            <w:tcBorders>
              <w:bottom w:val="single" w:sz="8" w:color="D2EDF0"/>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shd w:val="clear" w:color="auto" w:fill="D2EDF0"/>
          </w:tcPr>
          <w:p>
            <w:pPr>
              <w:spacing w:after="0"/>
              <w:rPr>
                <w:sz w:val="23"/>
                <w:szCs w:val="23"/>
                <w:color w:val="auto"/>
              </w:rPr>
            </w:pPr>
          </w:p>
        </w:tc>
        <w:tc>
          <w:tcPr>
            <w:tcW w:w="200" w:type="dxa"/>
            <w:vAlign w:val="bottom"/>
            <w:shd w:val="clear" w:color="auto" w:fill="D2EDF0"/>
          </w:tcPr>
          <w:p>
            <w:pPr>
              <w:spacing w:after="0"/>
              <w:rPr>
                <w:sz w:val="23"/>
                <w:szCs w:val="23"/>
                <w:color w:val="auto"/>
              </w:rPr>
            </w:pPr>
          </w:p>
        </w:tc>
        <w:tc>
          <w:tcPr>
            <w:tcW w:w="1100" w:type="dxa"/>
            <w:vAlign w:val="bottom"/>
            <w:shd w:val="clear" w:color="auto" w:fill="D2EDF0"/>
          </w:tcPr>
          <w:p>
            <w:pPr>
              <w:spacing w:after="0"/>
              <w:rPr>
                <w:sz w:val="23"/>
                <w:szCs w:val="23"/>
                <w:color w:val="auto"/>
              </w:rPr>
            </w:pPr>
          </w:p>
        </w:tc>
        <w:tc>
          <w:tcPr>
            <w:tcW w:w="80" w:type="dxa"/>
            <w:vAlign w:val="bottom"/>
            <w:shd w:val="clear" w:color="auto" w:fill="D2EDF0"/>
          </w:tcPr>
          <w:p>
            <w:pPr>
              <w:spacing w:after="0"/>
              <w:rPr>
                <w:sz w:val="23"/>
                <w:szCs w:val="23"/>
                <w:color w:val="auto"/>
              </w:rPr>
            </w:pPr>
          </w:p>
        </w:tc>
        <w:tc>
          <w:tcPr>
            <w:tcW w:w="300" w:type="dxa"/>
            <w:vAlign w:val="bottom"/>
            <w:shd w:val="clear" w:color="auto" w:fill="D2EDF0"/>
          </w:tcPr>
          <w:p>
            <w:pPr>
              <w:spacing w:after="0"/>
              <w:rPr>
                <w:sz w:val="23"/>
                <w:szCs w:val="23"/>
                <w:color w:val="auto"/>
              </w:rPr>
            </w:pPr>
          </w:p>
        </w:tc>
        <w:tc>
          <w:tcPr>
            <w:tcW w:w="1000" w:type="dxa"/>
            <w:vAlign w:val="bottom"/>
            <w:shd w:val="clear" w:color="auto" w:fill="D2EDF0"/>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60"/>
              <w:spacing w:after="0" w:line="223" w:lineRule="exact"/>
              <w:rPr>
                <w:sz w:val="20"/>
                <w:szCs w:val="20"/>
                <w:color w:val="auto"/>
              </w:rPr>
            </w:pPr>
            <w:r>
              <w:rPr>
                <w:rFonts w:ascii="Arial" w:cs="Arial" w:eastAsia="Arial" w:hAnsi="Arial"/>
                <w:sz w:val="20"/>
                <w:szCs w:val="20"/>
                <w:color w:val="auto"/>
              </w:rPr>
              <w:t>Weighted-average shares used to compute GAAP net loss per share,</w:t>
            </w:r>
          </w:p>
        </w:tc>
        <w:tc>
          <w:tcPr>
            <w:tcW w:w="20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111,321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106,387</w:t>
            </w:r>
          </w:p>
        </w:tc>
        <w:tc>
          <w:tcPr>
            <w:tcW w:w="0" w:type="dxa"/>
            <w:vAlign w:val="bottom"/>
          </w:tcPr>
          <w:p>
            <w:pPr>
              <w:spacing w:after="0"/>
              <w:rPr>
                <w:sz w:val="1"/>
                <w:szCs w:val="1"/>
                <w:color w:val="auto"/>
              </w:rPr>
            </w:pPr>
          </w:p>
        </w:tc>
      </w:tr>
      <w:tr>
        <w:trPr>
          <w:trHeight w:val="269"/>
        </w:trPr>
        <w:tc>
          <w:tcPr>
            <w:tcW w:w="6320" w:type="dxa"/>
            <w:vAlign w:val="bottom"/>
          </w:tcPr>
          <w:p>
            <w:pPr>
              <w:ind w:left="140"/>
              <w:spacing w:after="0"/>
              <w:rPr>
                <w:sz w:val="20"/>
                <w:szCs w:val="20"/>
                <w:color w:val="auto"/>
              </w:rPr>
            </w:pPr>
            <w:r>
              <w:rPr>
                <w:rFonts w:ascii="Arial" w:cs="Arial" w:eastAsia="Arial" w:hAnsi="Arial"/>
                <w:sz w:val="20"/>
                <w:szCs w:val="20"/>
                <w:color w:val="auto"/>
              </w:rPr>
              <w:t>diluted</w:t>
            </w:r>
          </w:p>
        </w:tc>
        <w:tc>
          <w:tcPr>
            <w:tcW w:w="200" w:type="dxa"/>
            <w:vAlign w:val="bottom"/>
          </w:tcPr>
          <w:p>
            <w:pPr>
              <w:spacing w:after="0"/>
              <w:rPr>
                <w:sz w:val="23"/>
                <w:szCs w:val="23"/>
                <w:color w:val="auto"/>
              </w:rPr>
            </w:pPr>
          </w:p>
        </w:tc>
        <w:tc>
          <w:tcPr>
            <w:tcW w:w="11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632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110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320" w:type="dxa"/>
            <w:vAlign w:val="bottom"/>
          </w:tcPr>
          <w:p>
            <w:pPr>
              <w:ind w:left="60"/>
              <w:spacing w:after="0" w:line="208" w:lineRule="exact"/>
              <w:rPr>
                <w:sz w:val="20"/>
                <w:szCs w:val="20"/>
                <w:color w:val="auto"/>
              </w:rPr>
            </w:pPr>
            <w:r>
              <w:rPr>
                <w:rFonts w:ascii="Arial" w:cs="Arial" w:eastAsia="Arial" w:hAnsi="Arial"/>
                <w:sz w:val="20"/>
                <w:szCs w:val="20"/>
                <w:color w:val="auto"/>
              </w:rPr>
              <w:t>Weighted-average shares used to compute non-GAAP earnings per</w:t>
            </w:r>
          </w:p>
        </w:tc>
        <w:tc>
          <w:tcPr>
            <w:tcW w:w="20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117,534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114,825</w:t>
            </w:r>
          </w:p>
        </w:tc>
        <w:tc>
          <w:tcPr>
            <w:tcW w:w="0" w:type="dxa"/>
            <w:vAlign w:val="bottom"/>
          </w:tcPr>
          <w:p>
            <w:pPr>
              <w:spacing w:after="0"/>
              <w:rPr>
                <w:sz w:val="1"/>
                <w:szCs w:val="1"/>
                <w:color w:val="auto"/>
              </w:rPr>
            </w:pPr>
          </w:p>
        </w:tc>
      </w:tr>
      <w:tr>
        <w:trPr>
          <w:trHeight w:val="265"/>
        </w:trPr>
        <w:tc>
          <w:tcPr>
            <w:tcW w:w="6320" w:type="dxa"/>
            <w:vAlign w:val="bottom"/>
          </w:tcPr>
          <w:p>
            <w:pPr>
              <w:ind w:left="140"/>
              <w:spacing w:after="0"/>
              <w:rPr>
                <w:sz w:val="20"/>
                <w:szCs w:val="20"/>
                <w:color w:val="auto"/>
              </w:rPr>
            </w:pPr>
            <w:r>
              <w:rPr>
                <w:rFonts w:ascii="Arial" w:cs="Arial" w:eastAsia="Arial" w:hAnsi="Arial"/>
                <w:sz w:val="20"/>
                <w:szCs w:val="20"/>
                <w:color w:val="auto"/>
              </w:rPr>
              <w:t>share, diluted</w:t>
            </w:r>
          </w:p>
        </w:tc>
        <w:tc>
          <w:tcPr>
            <w:tcW w:w="200" w:type="dxa"/>
            <w:vAlign w:val="bottom"/>
          </w:tcPr>
          <w:p>
            <w:pPr>
              <w:spacing w:after="0"/>
              <w:rPr>
                <w:sz w:val="23"/>
                <w:szCs w:val="23"/>
                <w:color w:val="auto"/>
              </w:rPr>
            </w:pPr>
          </w:p>
        </w:tc>
        <w:tc>
          <w:tcPr>
            <w:tcW w:w="11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-3100070</wp:posOffset>
            </wp:positionV>
            <wp:extent cx="170497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04975" cy="3810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-1014095</wp:posOffset>
            </wp:positionV>
            <wp:extent cx="170497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04975" cy="3810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w:t>
      </w:r>
    </w:p>
    <w:p>
      <w:pPr>
        <w:ind w:right="620"/>
        <w:spacing w:after="0" w:line="285" w:lineRule="auto"/>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tax impact of stock-based compensation is based on the tax treatment for the applicable tax jurisdictions.</w:t>
      </w:r>
    </w:p>
    <w:p>
      <w:pPr>
        <w:ind w:left="720" w:hanging="720"/>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tax impact of acquisition-related expenses is not material.</w:t>
      </w:r>
    </w:p>
    <w:p>
      <w:pPr>
        <w:spacing w:after="0" w:line="69" w:lineRule="exact"/>
        <w:rPr>
          <w:rFonts w:ascii="Arial" w:cs="Arial" w:eastAsia="Arial" w:hAnsi="Arial"/>
          <w:sz w:val="18"/>
          <w:szCs w:val="18"/>
          <w:color w:val="auto"/>
        </w:rPr>
      </w:pPr>
    </w:p>
    <w:p>
      <w:pPr>
        <w:ind w:left="720" w:hanging="720"/>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costs related to the intra-entity asset transfers resulted from our internal restructuring of Cymptom.</w:t>
      </w:r>
    </w:p>
    <w:p>
      <w:pPr>
        <w:spacing w:after="0" w:line="69" w:lineRule="exact"/>
        <w:rPr>
          <w:rFonts w:ascii="Arial" w:cs="Arial" w:eastAsia="Arial" w:hAnsi="Arial"/>
          <w:sz w:val="18"/>
          <w:szCs w:val="18"/>
          <w:color w:val="auto"/>
        </w:rPr>
      </w:pPr>
    </w:p>
    <w:p>
      <w:pPr>
        <w:ind w:right="780"/>
        <w:spacing w:after="0" w:line="285" w:lineRule="auto"/>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tax impact of the amortization of acquired intangible assets is included in the tax impact of acquisitions.</w:t>
      </w:r>
    </w:p>
    <w:p>
      <w:pPr>
        <w:ind w:right="120"/>
        <w:spacing w:after="0" w:line="259" w:lineRule="auto"/>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tax impact of acquisitions in 2022 includes a deferred tax benefit of $1.2 million related to the Alsid acquisition and a reversal of the $2.5 million income tax benefit recognized for GAAP purposes related to the partial release of our valuation allowance associated with the Bit Discovery acquisition. The tax impact of acquisitions in 2021 includes a reversal of the $7.9 million income tax benefit recognized for GAAP purposes related to the partial release of our valuation allowance and a $2.6 million benefit related to Alsid.</w:t>
      </w:r>
    </w:p>
    <w:p>
      <w:pPr>
        <w:spacing w:after="0" w:line="23" w:lineRule="exact"/>
        <w:rPr>
          <w:rFonts w:ascii="Arial" w:cs="Arial" w:eastAsia="Arial" w:hAnsi="Arial"/>
          <w:sz w:val="18"/>
          <w:szCs w:val="18"/>
          <w:color w:val="auto"/>
        </w:rPr>
      </w:pPr>
    </w:p>
    <w:p>
      <w:pPr>
        <w:ind w:right="260"/>
        <w:spacing w:after="0" w:line="287" w:lineRule="auto"/>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tax impact of the intra-entity transfers are related to current tax expense based on the applicable Israeli tax rates resulting from our internal restructuring of Cymptom in 2022 and Indegy in 2021.</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1880" w:h="15480" w:orient="portrait"/>
          <w:cols w:equalWidth="0" w:num="1">
            <w:col w:w="9000"/>
          </w:cols>
          <w:pgMar w:left="1440" w:top="1204" w:right="1440" w:bottom="0" w:gutter="0" w:footer="0" w:header="0"/>
          <w:type w:val="continuous"/>
        </w:sectPr>
      </w:pPr>
    </w:p>
    <w:bookmarkStart w:id="90" w:name="page91"/>
    <w:bookmarkEnd w:id="90"/>
    <w:p>
      <w:pPr>
        <w:ind w:right="80"/>
        <w:spacing w:after="0" w:line="287" w:lineRule="auto"/>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adjustment to reconcile GAAP net loss per share, which excludes potentially dilutive shares, to non-GAAP earnings per share, which includes potentially dilutive shares.</w:t>
      </w:r>
    </w:p>
    <w:p>
      <w:pPr>
        <w:sectPr>
          <w:pgSz w:w="11880" w:h="15480" w:orient="portrait"/>
          <w:cols w:equalWidth="0" w:num="1">
            <w:col w:w="9000"/>
          </w:cols>
          <w:pgMar w:left="1440" w:top="120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1880" w:h="15480" w:orient="portrait"/>
          <w:cols w:equalWidth="0" w:num="1">
            <w:col w:w="9000"/>
          </w:cols>
          <w:pgMar w:left="1440" w:top="1209" w:right="1440" w:bottom="0" w:gutter="0" w:footer="0" w:header="0"/>
          <w:type w:val="continuous"/>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92" w:name="page93"/>
    <w:bookmarkEnd w:id="92"/>
    <w:p>
      <w:pPr>
        <w:jc w:val="center"/>
        <w:spacing w:after="0"/>
        <w:rPr>
          <w:sz w:val="20"/>
          <w:szCs w:val="20"/>
          <w:color w:val="auto"/>
        </w:rPr>
      </w:pPr>
      <w:r>
        <w:rPr>
          <w:rFonts w:ascii="Arial" w:cs="Arial" w:eastAsia="Arial" w:hAnsi="Arial"/>
          <w:sz w:val="28"/>
          <w:szCs w:val="28"/>
          <w:b w:val="1"/>
          <w:bCs w:val="1"/>
          <w:color w:val="auto"/>
        </w:rPr>
        <w:t>UNITED STATES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19" w:lineRule="exact"/>
        <w:rPr>
          <w:sz w:val="20"/>
          <w:szCs w:val="20"/>
          <w:color w:val="auto"/>
        </w:rPr>
      </w:pPr>
    </w:p>
    <w:p>
      <w:pPr>
        <w:ind w:left="3380"/>
        <w:spacing w:after="0"/>
        <w:rPr>
          <w:sz w:val="20"/>
          <w:szCs w:val="20"/>
          <w:color w:val="auto"/>
        </w:rPr>
      </w:pPr>
      <w:r>
        <w:rPr>
          <w:rFonts w:ascii="Arial" w:cs="Arial" w:eastAsia="Arial" w:hAnsi="Arial"/>
          <w:sz w:val="12"/>
          <w:szCs w:val="12"/>
          <w:b w:val="1"/>
          <w:bCs w:val="1"/>
          <w:color w:val="auto"/>
        </w:rPr>
        <w:t>______________________________________</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59" w:lineRule="exact"/>
        <w:rPr>
          <w:sz w:val="20"/>
          <w:szCs w:val="20"/>
          <w:color w:val="auto"/>
        </w:rPr>
      </w:pPr>
    </w:p>
    <w:p>
      <w:pPr>
        <w:ind w:left="3380"/>
        <w:spacing w:after="0"/>
        <w:rPr>
          <w:sz w:val="20"/>
          <w:szCs w:val="20"/>
          <w:color w:val="auto"/>
        </w:rPr>
      </w:pPr>
      <w:r>
        <w:rPr>
          <w:rFonts w:ascii="Arial" w:cs="Arial" w:eastAsia="Arial" w:hAnsi="Arial"/>
          <w:sz w:val="12"/>
          <w:szCs w:val="12"/>
          <w:b w:val="1"/>
          <w:bCs w:val="1"/>
          <w:color w:val="auto"/>
        </w:rPr>
        <w:t>______________________________________</w:t>
      </w:r>
    </w:p>
    <w:p>
      <w:pPr>
        <w:spacing w:after="0" w:line="155" w:lineRule="exact"/>
        <w:rPr>
          <w:sz w:val="20"/>
          <w:szCs w:val="20"/>
          <w:color w:val="auto"/>
        </w:rPr>
      </w:pPr>
    </w:p>
    <w:p>
      <w:pPr>
        <w:ind w:left="1020" w:hanging="467"/>
        <w:spacing w:after="0"/>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68" w:lineRule="exact"/>
        <w:rPr>
          <w:sz w:val="20"/>
          <w:szCs w:val="20"/>
          <w:color w:val="auto"/>
        </w:rPr>
      </w:pPr>
    </w:p>
    <w:p>
      <w:pPr>
        <w:ind w:left="1040" w:hanging="487"/>
        <w:spacing w:after="0"/>
        <w:tabs>
          <w:tab w:leader="none" w:pos="1040" w:val="left"/>
        </w:tabs>
        <w:numPr>
          <w:ilvl w:val="0"/>
          <w:numId w:val="79"/>
        </w:numPr>
        <w:rPr>
          <w:rFonts w:ascii="Arial" w:cs="Arial" w:eastAsia="Arial" w:hAnsi="Arial"/>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08" w:lineRule="exact"/>
        <w:rPr>
          <w:sz w:val="20"/>
          <w:szCs w:val="20"/>
          <w:color w:val="auto"/>
        </w:rPr>
      </w:pPr>
    </w:p>
    <w:p>
      <w:pPr>
        <w:ind w:left="2940"/>
        <w:spacing w:after="0"/>
        <w:rPr>
          <w:sz w:val="20"/>
          <w:szCs w:val="20"/>
          <w:color w:val="auto"/>
        </w:rPr>
      </w:pPr>
      <w:r>
        <w:rPr>
          <w:rFonts w:ascii="Arial" w:cs="Arial" w:eastAsia="Arial" w:hAnsi="Arial"/>
          <w:sz w:val="16"/>
          <w:szCs w:val="16"/>
          <w:b w:val="1"/>
          <w:bCs w:val="1"/>
          <w:color w:val="auto"/>
        </w:rPr>
        <w:t>For the transition period from _____ to _____</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001-38600</w:t>
      </w:r>
    </w:p>
    <w:p>
      <w:pPr>
        <w:spacing w:after="0" w:line="19" w:lineRule="exact"/>
        <w:rPr>
          <w:sz w:val="20"/>
          <w:szCs w:val="20"/>
          <w:color w:val="auto"/>
        </w:rPr>
      </w:pPr>
    </w:p>
    <w:p>
      <w:pPr>
        <w:ind w:left="3380"/>
        <w:spacing w:after="0"/>
        <w:rPr>
          <w:sz w:val="20"/>
          <w:szCs w:val="20"/>
          <w:color w:val="auto"/>
        </w:rPr>
      </w:pPr>
      <w:r>
        <w:rPr>
          <w:rFonts w:ascii="Arial" w:cs="Arial" w:eastAsia="Arial" w:hAnsi="Arial"/>
          <w:sz w:val="12"/>
          <w:szCs w:val="12"/>
          <w:b w:val="1"/>
          <w:bCs w:val="1"/>
          <w:color w:val="auto"/>
        </w:rPr>
        <w:t>______________________________________</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TENABLE HOLDINGS,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 w:lineRule="exact"/>
        <w:rPr>
          <w:sz w:val="20"/>
          <w:szCs w:val="20"/>
          <w:color w:val="auto"/>
        </w:rPr>
      </w:pPr>
    </w:p>
    <w:p>
      <w:pPr>
        <w:ind w:left="3380"/>
        <w:spacing w:after="0"/>
        <w:rPr>
          <w:sz w:val="20"/>
          <w:szCs w:val="20"/>
          <w:color w:val="auto"/>
        </w:rPr>
      </w:pPr>
      <w:r>
        <w:rPr>
          <w:rFonts w:ascii="Arial" w:cs="Arial" w:eastAsia="Arial" w:hAnsi="Arial"/>
          <w:sz w:val="12"/>
          <w:szCs w:val="12"/>
          <w:b w:val="1"/>
          <w:bCs w:val="1"/>
          <w:color w:val="auto"/>
        </w:rPr>
        <w:t>______________________________________</w:t>
      </w:r>
    </w:p>
    <w:p>
      <w:pPr>
        <w:sectPr>
          <w:pgSz w:w="11880" w:h="15480" w:orient="portrait"/>
          <w:cols w:equalWidth="0" w:num="1">
            <w:col w:w="9280"/>
          </w:cols>
          <w:pgMar w:left="1300" w:top="1180" w:right="1300" w:bottom="1152" w:gutter="0" w:footer="0" w:header="0"/>
        </w:sectPr>
      </w:pPr>
    </w:p>
    <w:p>
      <w:pPr>
        <w:spacing w:after="0" w:line="155" w:lineRule="exact"/>
        <w:rPr>
          <w:sz w:val="20"/>
          <w:szCs w:val="20"/>
          <w:color w:val="auto"/>
        </w:rPr>
      </w:pPr>
    </w:p>
    <w:p>
      <w:pPr>
        <w:ind w:left="23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47-5580846</w:t>
      </w:r>
    </w:p>
    <w:p>
      <w:pPr>
        <w:spacing w:after="0" w:line="57" w:lineRule="exact"/>
        <w:rPr>
          <w:sz w:val="20"/>
          <w:szCs w:val="20"/>
          <w:color w:val="auto"/>
        </w:rPr>
      </w:pPr>
    </w:p>
    <w:p>
      <w:pPr>
        <w:sectPr>
          <w:pgSz w:w="11880" w:h="15480" w:orient="portrait"/>
          <w:cols w:equalWidth="0" w:num="2">
            <w:col w:w="5840" w:space="720"/>
            <w:col w:w="2720"/>
          </w:cols>
          <w:pgMar w:left="1300" w:top="1180" w:right="1300" w:bottom="1152" w:gutter="0" w:footer="0" w:header="0"/>
          <w:type w:val="continuous"/>
        </w:sectPr>
      </w:pPr>
    </w:p>
    <w:p>
      <w:pPr>
        <w:ind w:left="58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Arial" w:cs="Arial" w:eastAsia="Arial" w:hAnsi="Arial"/>
          <w:sz w:val="15"/>
          <w:szCs w:val="15"/>
          <w:color w:val="auto"/>
        </w:rPr>
        <w:t>(I.R.S. Employer Identification Number)</w:t>
      </w:r>
    </w:p>
    <w:p>
      <w:pPr>
        <w:spacing w:after="0" w:line="167" w:lineRule="exact"/>
        <w:rPr>
          <w:sz w:val="20"/>
          <w:szCs w:val="20"/>
          <w:color w:val="auto"/>
        </w:rPr>
      </w:pPr>
    </w:p>
    <w:p>
      <w:pPr>
        <w:sectPr>
          <w:pgSz w:w="11880" w:h="15480" w:orient="portrait"/>
          <w:cols w:equalWidth="0" w:num="2">
            <w:col w:w="4880" w:space="720"/>
            <w:col w:w="3680"/>
          </w:cols>
          <w:pgMar w:left="1300" w:top="1180" w:right="1300" w:bottom="1152"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6100 Merriweather Drive, Columbia, Maryland 21044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(410) 872-0555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9" w:lineRule="exact"/>
        <w:rPr>
          <w:sz w:val="20"/>
          <w:szCs w:val="20"/>
          <w:color w:val="auto"/>
        </w:rPr>
      </w:pPr>
    </w:p>
    <w:p>
      <w:pPr>
        <w:ind w:left="3380"/>
        <w:spacing w:after="0"/>
        <w:rPr>
          <w:sz w:val="20"/>
          <w:szCs w:val="20"/>
          <w:color w:val="auto"/>
        </w:rPr>
      </w:pPr>
      <w:r>
        <w:rPr>
          <w:rFonts w:ascii="Arial" w:cs="Arial" w:eastAsia="Arial" w:hAnsi="Arial"/>
          <w:sz w:val="12"/>
          <w:szCs w:val="12"/>
          <w:b w:val="1"/>
          <w:bCs w:val="1"/>
          <w:color w:val="auto"/>
        </w:rPr>
        <w:t>______________________________________</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ectPr>
          <w:pgSz w:w="11880" w:h="15480" w:orient="portrait"/>
          <w:cols w:equalWidth="0" w:num="1">
            <w:col w:w="9280"/>
          </w:cols>
          <w:pgMar w:left="1300" w:top="1180" w:right="1300" w:bottom="1152" w:gutter="0" w:footer="0" w:header="0"/>
          <w:type w:val="continuous"/>
        </w:sectPr>
      </w:pPr>
    </w:p>
    <w:p>
      <w:pPr>
        <w:spacing w:after="0" w:line="55"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exchange on which registered</w:t>
      </w:r>
    </w:p>
    <w:p>
      <w:pPr>
        <w:spacing w:after="0" w:line="57" w:lineRule="exact"/>
        <w:rPr>
          <w:sz w:val="20"/>
          <w:szCs w:val="20"/>
          <w:color w:val="auto"/>
        </w:rPr>
      </w:pPr>
    </w:p>
    <w:p>
      <w:pPr>
        <w:sectPr>
          <w:pgSz w:w="11880" w:h="15480" w:orient="portrait"/>
          <w:cols w:equalWidth="0" w:num="3">
            <w:col w:w="3220" w:space="720"/>
            <w:col w:w="1640" w:space="720"/>
            <w:col w:w="2980"/>
          </w:cols>
          <w:pgMar w:left="1300" w:top="1180" w:right="1300" w:bottom="1152" w:gutter="0" w:footer="0" w:header="0"/>
          <w:type w:val="continuous"/>
        </w:sectPr>
      </w:pPr>
    </w:p>
    <w:p>
      <w:pPr>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TENB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Nasdaq Global Select Market</w:t>
      </w:r>
    </w:p>
    <w:p>
      <w:pPr>
        <w:spacing w:after="0" w:line="67" w:lineRule="exact"/>
        <w:rPr>
          <w:sz w:val="20"/>
          <w:szCs w:val="20"/>
          <w:color w:val="auto"/>
        </w:rPr>
      </w:pPr>
    </w:p>
    <w:p>
      <w:pPr>
        <w:sectPr>
          <w:pgSz w:w="11880" w:h="15480" w:orient="portrait"/>
          <w:cols w:equalWidth="0" w:num="3">
            <w:col w:w="3700" w:space="720"/>
            <w:col w:w="1620" w:space="720"/>
            <w:col w:w="2520"/>
          </w:cols>
          <w:pgMar w:left="1300" w:top="1180" w:right="1300" w:bottom="1152" w:gutter="0" w:footer="0" w:header="0"/>
          <w:type w:val="continuous"/>
        </w:sectPr>
      </w:pPr>
    </w:p>
    <w:p>
      <w:pPr>
        <w:jc w:val="center"/>
        <w:spacing w:after="0"/>
        <w:rPr>
          <w:sz w:val="20"/>
          <w:szCs w:val="20"/>
          <w:color w:val="auto"/>
        </w:rPr>
      </w:pPr>
      <w:r>
        <w:rPr>
          <w:rFonts w:ascii="Arial" w:cs="Arial" w:eastAsia="Arial" w:hAnsi="Arial"/>
          <w:sz w:val="15"/>
          <w:szCs w:val="15"/>
          <w:color w:val="auto"/>
        </w:rPr>
        <w:t>Securities registered pursuant to Section 12(g) of the Act: None</w:t>
      </w:r>
    </w:p>
    <w:p>
      <w:pPr>
        <w:sectPr>
          <w:pgSz w:w="11880" w:h="15480" w:orient="portrait"/>
          <w:cols w:equalWidth="0" w:num="1">
            <w:col w:w="9280"/>
          </w:cols>
          <w:pgMar w:left="1300" w:top="1180" w:right="1300" w:bottom="1152" w:gutter="0" w:footer="0" w:header="0"/>
          <w:type w:val="continuous"/>
        </w:sectPr>
      </w:pPr>
    </w:p>
    <w:p>
      <w:pPr>
        <w:spacing w:after="0" w:line="168" w:lineRule="exact"/>
        <w:rPr>
          <w:sz w:val="20"/>
          <w:szCs w:val="20"/>
          <w:color w:val="auto"/>
        </w:rPr>
      </w:pPr>
    </w:p>
    <w:p>
      <w:pPr>
        <w:jc w:val="center"/>
        <w:ind w:left="14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1" w:lineRule="exact"/>
        <w:rPr>
          <w:sz w:val="20"/>
          <w:szCs w:val="20"/>
          <w:color w:val="auto"/>
        </w:rPr>
      </w:pPr>
    </w:p>
    <w:p>
      <w:pPr>
        <w:sectPr>
          <w:pgSz w:w="11880" w:h="15480" w:orient="portrait"/>
          <w:cols w:equalWidth="0" w:num="3">
            <w:col w:w="8380" w:space="140"/>
            <w:col w:w="260" w:space="80"/>
            <w:col w:w="420"/>
          </w:cols>
          <w:pgMar w:left="1300" w:top="1180" w:right="1300" w:bottom="1152" w:gutter="0" w:footer="0" w:header="0"/>
          <w:type w:val="continuous"/>
        </w:sectPr>
      </w:pPr>
    </w:p>
    <w:p>
      <w:pPr>
        <w:ind w:left="140"/>
        <w:spacing w:after="0" w:line="202" w:lineRule="exact"/>
        <w:rPr>
          <w:sz w:val="20"/>
          <w:szCs w:val="20"/>
          <w:color w:val="auto"/>
        </w:rPr>
      </w:pPr>
      <w:r>
        <w:rPr>
          <w:rFonts w:ascii="Arial" w:cs="Arial" w:eastAsia="Arial" w:hAnsi="Arial"/>
          <w:sz w:val="16"/>
          <w:szCs w:val="16"/>
          <w:color w:val="auto"/>
        </w:rPr>
        <w:t xml:space="preserve">No </w:t>
      </w:r>
      <w:r>
        <w:rPr>
          <w:rFonts w:ascii="Arial Unicode MS" w:cs="Arial Unicode MS" w:eastAsia="Arial Unicode MS" w:hAnsi="Arial Unicode MS"/>
          <w:sz w:val="16"/>
          <w:szCs w:val="16"/>
          <w:color w:val="auto"/>
        </w:rPr>
        <w:t>☐</w:t>
      </w:r>
    </w:p>
    <w:p>
      <w:pPr>
        <w:sectPr>
          <w:pgSz w:w="11880" w:h="15480" w:orient="portrait"/>
          <w:cols w:equalWidth="0" w:num="1">
            <w:col w:w="9280"/>
          </w:cols>
          <w:pgMar w:left="1300" w:top="1180" w:right="1300" w:bottom="1152" w:gutter="0" w:footer="0" w:header="0"/>
          <w:type w:val="continuous"/>
        </w:sectPr>
      </w:pPr>
    </w:p>
    <w:p>
      <w:pPr>
        <w:spacing w:after="0" w:line="39" w:lineRule="exact"/>
        <w:rPr>
          <w:sz w:val="20"/>
          <w:szCs w:val="20"/>
          <w:color w:val="auto"/>
        </w:rPr>
      </w:pPr>
    </w:p>
    <w:p>
      <w:pPr>
        <w:jc w:val="center"/>
        <w:ind w:left="140"/>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1" w:lineRule="exact"/>
        <w:rPr>
          <w:sz w:val="20"/>
          <w:szCs w:val="20"/>
          <w:color w:val="auto"/>
        </w:rPr>
      </w:pPr>
    </w:p>
    <w:p>
      <w:pPr>
        <w:sectPr>
          <w:pgSz w:w="11880" w:h="15480" w:orient="portrait"/>
          <w:cols w:equalWidth="0" w:num="3">
            <w:col w:w="8480" w:space="140"/>
            <w:col w:w="260" w:space="80"/>
            <w:col w:w="320"/>
          </w:cols>
          <w:pgMar w:left="1300" w:top="1180" w:right="1300" w:bottom="1152" w:gutter="0" w:footer="0" w:header="0"/>
          <w:type w:val="continuous"/>
        </w:sectPr>
      </w:pPr>
    </w:p>
    <w:p>
      <w:pPr>
        <w:ind w:left="140"/>
        <w:spacing w:after="0" w:line="202" w:lineRule="exact"/>
        <w:rPr>
          <w:sz w:val="20"/>
          <w:szCs w:val="20"/>
          <w:color w:val="auto"/>
        </w:rPr>
      </w:pPr>
      <w:r>
        <w:rPr>
          <w:rFonts w:ascii="Arial" w:cs="Arial" w:eastAsia="Arial" w:hAnsi="Arial"/>
          <w:sz w:val="16"/>
          <w:szCs w:val="16"/>
          <w:color w:val="auto"/>
        </w:rPr>
        <w:t xml:space="preserve">No </w:t>
      </w:r>
      <w:r>
        <w:rPr>
          <w:rFonts w:ascii="Arial Unicode MS" w:cs="Arial Unicode MS" w:eastAsia="Arial Unicode MS" w:hAnsi="Arial Unicode MS"/>
          <w:sz w:val="16"/>
          <w:szCs w:val="16"/>
          <w:color w:val="auto"/>
        </w:rPr>
        <w:t>☒</w:t>
      </w:r>
    </w:p>
    <w:p>
      <w:pPr>
        <w:sectPr>
          <w:pgSz w:w="11880" w:h="15480" w:orient="portrait"/>
          <w:cols w:equalWidth="0" w:num="1">
            <w:col w:w="9280"/>
          </w:cols>
          <w:pgMar w:left="1300" w:top="1180" w:right="1300" w:bottom="1152" w:gutter="0" w:footer="0" w:header="0"/>
          <w:type w:val="continuous"/>
        </w:sectPr>
      </w:pPr>
    </w:p>
    <w:p>
      <w:pPr>
        <w:spacing w:after="0" w:line="39" w:lineRule="exact"/>
        <w:rPr>
          <w:sz w:val="20"/>
          <w:szCs w:val="20"/>
          <w:color w:val="auto"/>
        </w:rPr>
      </w:pPr>
    </w:p>
    <w:p>
      <w:pPr>
        <w:ind w:left="140" w:right="180"/>
        <w:spacing w:after="0" w:line="19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39" w:lineRule="exact"/>
        <w:rPr>
          <w:sz w:val="20"/>
          <w:szCs w:val="20"/>
          <w:color w:val="auto"/>
        </w:rPr>
      </w:pPr>
    </w:p>
    <w:p>
      <w:pPr>
        <w:jc w:val="both"/>
        <w:ind w:left="140" w:right="240"/>
        <w:spacing w:after="0" w:line="199"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39" w:lineRule="exact"/>
        <w:rPr>
          <w:sz w:val="20"/>
          <w:szCs w:val="20"/>
          <w:color w:val="auto"/>
        </w:rPr>
      </w:pPr>
    </w:p>
    <w:p>
      <w:pPr>
        <w:jc w:val="both"/>
        <w:ind w:left="140" w:right="220"/>
        <w:spacing w:after="0" w:line="26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0"/>
          <w:szCs w:val="20"/>
          <w:color w:val="auto"/>
        </w:rPr>
      </w:pPr>
    </w:p>
    <w:tbl>
      <w:tblPr>
        <w:tblLayout w:type="fixed"/>
        <w:tblInd w:w="200" w:type="dxa"/>
        <w:tblCellMar>
          <w:top w:w="0" w:type="dxa"/>
          <w:left w:w="0" w:type="dxa"/>
          <w:bottom w:w="0" w:type="dxa"/>
          <w:right w:w="0" w:type="dxa"/>
        </w:tblCellMar>
      </w:tblPr>
      <w:tr>
        <w:trPr>
          <w:trHeight w:val="224"/>
        </w:trPr>
        <w:tc>
          <w:tcPr>
            <w:tcW w:w="26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640" w:type="dxa"/>
            <w:vAlign w:val="bottom"/>
          </w:tcPr>
          <w:p>
            <w:pPr>
              <w:ind w:left="110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3280" w:type="dxa"/>
            <w:vAlign w:val="bottom"/>
          </w:tcPr>
          <w:p>
            <w:pPr>
              <w:ind w:left="440"/>
              <w:spacing w:after="0"/>
              <w:rPr>
                <w:sz w:val="20"/>
                <w:szCs w:val="20"/>
                <w:color w:val="auto"/>
              </w:rPr>
            </w:pPr>
            <w:r>
              <w:rPr>
                <w:rFonts w:ascii="Arial" w:cs="Arial" w:eastAsia="Arial" w:hAnsi="Arial"/>
                <w:sz w:val="16"/>
                <w:szCs w:val="16"/>
                <w:color w:val="auto"/>
              </w:rPr>
              <w:t>Accelerated filer</w:t>
            </w:r>
          </w:p>
        </w:tc>
        <w:tc>
          <w:tcPr>
            <w:tcW w:w="1060" w:type="dxa"/>
            <w:vAlign w:val="bottom"/>
          </w:tcPr>
          <w:p>
            <w:pPr>
              <w:ind w:left="940"/>
              <w:spacing w:after="0" w:line="215" w:lineRule="exact"/>
              <w:rPr>
                <w:sz w:val="20"/>
                <w:szCs w:val="20"/>
                <w:color w:val="auto"/>
              </w:rPr>
            </w:pPr>
            <w:r>
              <w:rPr>
                <w:rFonts w:ascii="Arial Unicode MS" w:cs="Arial Unicode MS" w:eastAsia="Arial Unicode MS" w:hAnsi="Arial Unicode MS"/>
                <w:sz w:val="16"/>
                <w:szCs w:val="16"/>
                <w:color w:val="auto"/>
                <w:w w:val="84"/>
              </w:rPr>
              <w:t>☐</w:t>
            </w:r>
          </w:p>
        </w:tc>
      </w:tr>
      <w:tr>
        <w:trPr>
          <w:trHeight w:val="240"/>
        </w:trPr>
        <w:tc>
          <w:tcPr>
            <w:tcW w:w="2660" w:type="dxa"/>
            <w:vAlign w:val="bottom"/>
          </w:tcPr>
          <w:p>
            <w:pPr>
              <w:spacing w:after="0"/>
              <w:rPr>
                <w:sz w:val="20"/>
                <w:szCs w:val="20"/>
                <w:color w:val="auto"/>
              </w:rPr>
            </w:pPr>
            <w:r>
              <w:rPr>
                <w:rFonts w:ascii="Arial" w:cs="Arial" w:eastAsia="Arial" w:hAnsi="Arial"/>
                <w:sz w:val="16"/>
                <w:szCs w:val="16"/>
                <w:color w:val="auto"/>
              </w:rPr>
              <w:t>Non-accelerated filer</w:t>
            </w:r>
          </w:p>
        </w:tc>
        <w:tc>
          <w:tcPr>
            <w:tcW w:w="1640" w:type="dxa"/>
            <w:vAlign w:val="bottom"/>
          </w:tcPr>
          <w:p>
            <w:pPr>
              <w:ind w:left="110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3280" w:type="dxa"/>
            <w:vAlign w:val="bottom"/>
          </w:tcPr>
          <w:p>
            <w:pPr>
              <w:ind w:left="440"/>
              <w:spacing w:after="0"/>
              <w:rPr>
                <w:sz w:val="20"/>
                <w:szCs w:val="20"/>
                <w:color w:val="auto"/>
              </w:rPr>
            </w:pPr>
            <w:r>
              <w:rPr>
                <w:rFonts w:ascii="Arial" w:cs="Arial" w:eastAsia="Arial" w:hAnsi="Arial"/>
                <w:sz w:val="16"/>
                <w:szCs w:val="16"/>
                <w:color w:val="auto"/>
              </w:rPr>
              <w:t>Smaller reporting company</w:t>
            </w:r>
          </w:p>
        </w:tc>
        <w:tc>
          <w:tcPr>
            <w:tcW w:w="1060" w:type="dxa"/>
            <w:vAlign w:val="bottom"/>
          </w:tcPr>
          <w:p>
            <w:pPr>
              <w:ind w:left="940"/>
              <w:spacing w:after="0" w:line="215" w:lineRule="exact"/>
              <w:rPr>
                <w:sz w:val="20"/>
                <w:szCs w:val="20"/>
                <w:color w:val="auto"/>
              </w:rPr>
            </w:pPr>
            <w:r>
              <w:rPr>
                <w:rFonts w:ascii="Arial Unicode MS" w:cs="Arial Unicode MS" w:eastAsia="Arial Unicode MS" w:hAnsi="Arial Unicode MS"/>
                <w:sz w:val="16"/>
                <w:szCs w:val="16"/>
                <w:color w:val="auto"/>
                <w:w w:val="84"/>
              </w:rPr>
              <w:t>☐</w:t>
            </w:r>
          </w:p>
        </w:tc>
      </w:tr>
      <w:tr>
        <w:trPr>
          <w:trHeight w:val="240"/>
        </w:trPr>
        <w:tc>
          <w:tcPr>
            <w:tcW w:w="26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80" w:type="dxa"/>
            <w:vAlign w:val="bottom"/>
          </w:tcPr>
          <w:p>
            <w:pPr>
              <w:ind w:left="440"/>
              <w:spacing w:after="0"/>
              <w:rPr>
                <w:sz w:val="20"/>
                <w:szCs w:val="20"/>
                <w:color w:val="auto"/>
              </w:rPr>
            </w:pPr>
            <w:r>
              <w:rPr>
                <w:rFonts w:ascii="Arial" w:cs="Arial" w:eastAsia="Arial" w:hAnsi="Arial"/>
                <w:sz w:val="16"/>
                <w:szCs w:val="16"/>
                <w:color w:val="auto"/>
              </w:rPr>
              <w:t>Emerging growth company</w:t>
            </w:r>
          </w:p>
        </w:tc>
        <w:tc>
          <w:tcPr>
            <w:tcW w:w="1060" w:type="dxa"/>
            <w:vAlign w:val="bottom"/>
          </w:tcPr>
          <w:p>
            <w:pPr>
              <w:ind w:left="940"/>
              <w:spacing w:after="0" w:line="215" w:lineRule="exact"/>
              <w:rPr>
                <w:sz w:val="20"/>
                <w:szCs w:val="20"/>
                <w:color w:val="auto"/>
              </w:rPr>
            </w:pPr>
            <w:r>
              <w:rPr>
                <w:rFonts w:ascii="Arial Unicode MS" w:cs="Arial Unicode MS" w:eastAsia="Arial Unicode MS" w:hAnsi="Arial Unicode MS"/>
                <w:sz w:val="16"/>
                <w:szCs w:val="16"/>
                <w:color w:val="auto"/>
                <w:w w:val="84"/>
              </w:rPr>
              <w:t>☐</w:t>
            </w:r>
          </w:p>
        </w:tc>
      </w:tr>
    </w:tbl>
    <w:p>
      <w:pPr>
        <w:spacing w:after="0" w:line="139" w:lineRule="exact"/>
        <w:rPr>
          <w:sz w:val="20"/>
          <w:szCs w:val="20"/>
          <w:color w:val="auto"/>
        </w:rPr>
      </w:pPr>
    </w:p>
    <w:p>
      <w:pPr>
        <w:ind w:left="200" w:right="220"/>
        <w:spacing w:after="0" w:line="239"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200"/>
        <w:spacing w:after="0" w:line="238" w:lineRule="auto"/>
        <w:rPr>
          <w:sz w:val="20"/>
          <w:szCs w:val="20"/>
          <w:color w:val="auto"/>
        </w:rPr>
      </w:pPr>
      <w:r>
        <w:rPr>
          <w:rFonts w:ascii="Wingdings" w:cs="Wingdings" w:eastAsia="Wingdings" w:hAnsi="Wingdings"/>
          <w:sz w:val="16"/>
          <w:szCs w:val="16"/>
          <w:color w:val="auto"/>
        </w:rPr>
        <w:t>o</w:t>
      </w:r>
    </w:p>
    <w:p>
      <w:pPr>
        <w:spacing w:after="0" w:line="114" w:lineRule="exact"/>
        <w:rPr>
          <w:sz w:val="20"/>
          <w:szCs w:val="20"/>
          <w:color w:val="auto"/>
        </w:rPr>
      </w:pPr>
    </w:p>
    <w:p>
      <w:pPr>
        <w:ind w:left="140" w:right="200"/>
        <w:spacing w:after="0" w:line="199"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39" w:lineRule="exact"/>
        <w:rPr>
          <w:sz w:val="20"/>
          <w:szCs w:val="20"/>
          <w:color w:val="auto"/>
        </w:rPr>
      </w:pPr>
    </w:p>
    <w:p>
      <w:pPr>
        <w:ind w:left="140" w:right="260"/>
        <w:spacing w:after="0" w:line="202"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auto"/>
        </w:rPr>
        <w:t>☐</w:t>
      </w:r>
    </w:p>
    <w:p>
      <w:pPr>
        <w:sectPr>
          <w:pgSz w:w="11880" w:h="15480" w:orient="portrait"/>
          <w:cols w:equalWidth="0" w:num="1">
            <w:col w:w="9280"/>
          </w:cols>
          <w:pgMar w:left="1300" w:top="1180" w:right="1300" w:bottom="1152" w:gutter="0" w:footer="0" w:header="0"/>
          <w:type w:val="continuous"/>
        </w:sectPr>
      </w:pPr>
    </w:p>
    <w:bookmarkStart w:id="93" w:name="page94"/>
    <w:bookmarkEnd w:id="93"/>
    <w:p>
      <w:pPr>
        <w:ind w:right="120"/>
        <w:spacing w:after="0" w:line="199"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6"/>
          <w:szCs w:val="16"/>
          <w:color w:val="auto"/>
        </w:rPr>
        <w:t>☐</w:t>
      </w:r>
    </w:p>
    <w:p>
      <w:pPr>
        <w:spacing w:after="0" w:line="28" w:lineRule="exact"/>
        <w:rPr>
          <w:sz w:val="20"/>
          <w:szCs w:val="20"/>
          <w:color w:val="auto"/>
        </w:rPr>
      </w:pPr>
    </w:p>
    <w:p>
      <w:pPr>
        <w:ind w:right="100"/>
        <w:spacing w:after="0" w:line="21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241" w:lineRule="exact"/>
        <w:rPr>
          <w:sz w:val="20"/>
          <w:szCs w:val="20"/>
          <w:color w:val="auto"/>
        </w:rPr>
      </w:pPr>
    </w:p>
    <w:p>
      <w:pPr>
        <w:ind w:right="1040"/>
        <w:spacing w:after="0" w:line="285" w:lineRule="auto"/>
        <w:rPr>
          <w:sz w:val="20"/>
          <w:szCs w:val="20"/>
          <w:color w:val="auto"/>
        </w:rPr>
      </w:pPr>
      <w:r>
        <w:rPr>
          <w:rFonts w:ascii="Arial" w:cs="Arial" w:eastAsia="Arial" w:hAnsi="Arial"/>
          <w:sz w:val="16"/>
          <w:szCs w:val="16"/>
          <w:color w:val="auto"/>
        </w:rPr>
        <w:t>As of June 30, 2022, the aggregate market value of the common stock of the registrant held by non-affiliates was approximately $5.0 billion.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February 21, 2023 was 113,648,357.</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69" w:lineRule="exact"/>
        <w:rPr>
          <w:sz w:val="20"/>
          <w:szCs w:val="20"/>
          <w:color w:val="auto"/>
        </w:rPr>
      </w:pPr>
    </w:p>
    <w:p>
      <w:pPr>
        <w:ind w:right="440" w:firstLine="360"/>
        <w:spacing w:after="0" w:line="268" w:lineRule="auto"/>
        <w:rPr>
          <w:sz w:val="20"/>
          <w:szCs w:val="20"/>
          <w:color w:val="auto"/>
        </w:rPr>
      </w:pPr>
      <w:r>
        <w:rPr>
          <w:rFonts w:ascii="Arial" w:cs="Arial" w:eastAsia="Arial" w:hAnsi="Arial"/>
          <w:sz w:val="16"/>
          <w:szCs w:val="16"/>
          <w:color w:val="auto"/>
        </w:rPr>
        <w:t>Portions of the registrant's definitive Proxy Statement relating to the 2023 Annual Meeting of Stockholders are incorporated herein by reference in Part III of this Annual Report on Form 10-K. The Proxy Statement will be filed with the Securities and Exchange Commission within 120 days after the year ended December 31, 2022.</w:t>
      </w:r>
    </w:p>
    <w:p>
      <w:pPr>
        <w:sectPr>
          <w:pgSz w:w="11880" w:h="15480" w:orient="portrait"/>
          <w:cols w:equalWidth="0" w:num="1">
            <w:col w:w="9000"/>
          </w:cols>
          <w:pgMar w:left="1440" w:top="1215"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20"/>
          <w:szCs w:val="20"/>
          <w:b w:val="1"/>
          <w:bCs w:val="1"/>
          <w:color w:val="auto"/>
        </w:rPr>
        <w:t>TENABLE HOLDINGS, INC.</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6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Page</w:t>
            </w:r>
          </w:p>
        </w:tc>
        <w:tc>
          <w:tcPr>
            <w:tcW w:w="0" w:type="dxa"/>
            <w:vAlign w:val="bottom"/>
          </w:tcPr>
          <w:p>
            <w:pPr>
              <w:spacing w:after="0"/>
              <w:rPr>
                <w:sz w:val="1"/>
                <w:szCs w:val="1"/>
                <w:color w:val="auto"/>
              </w:rPr>
            </w:pPr>
          </w:p>
        </w:tc>
      </w:tr>
      <w:tr>
        <w:trPr>
          <w:trHeight w:val="308"/>
        </w:trPr>
        <w:tc>
          <w:tcPr>
            <w:tcW w:w="860" w:type="dxa"/>
            <w:vAlign w:val="bottom"/>
          </w:tcPr>
          <w:p>
            <w:pPr>
              <w:spacing w:after="0"/>
              <w:rPr>
                <w:sz w:val="20"/>
                <w:szCs w:val="20"/>
                <w:color w:val="auto"/>
              </w:rPr>
            </w:pPr>
            <w:r>
              <w:rPr>
                <w:rFonts w:ascii="Arial" w:cs="Arial" w:eastAsia="Arial" w:hAnsi="Arial"/>
                <w:sz w:val="20"/>
                <w:szCs w:val="20"/>
                <w:b w:val="1"/>
                <w:bCs w:val="1"/>
                <w:color w:val="auto"/>
              </w:rPr>
              <w:t>PART I</w:t>
            </w:r>
          </w:p>
        </w:tc>
        <w:tc>
          <w:tcPr>
            <w:tcW w:w="7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860" w:type="dxa"/>
            <w:vAlign w:val="bottom"/>
          </w:tcPr>
          <w:p>
            <w:pPr>
              <w:spacing w:after="0"/>
              <w:rPr>
                <w:sz w:val="20"/>
                <w:szCs w:val="20"/>
                <w:color w:val="auto"/>
              </w:rPr>
            </w:pPr>
            <w:r>
              <w:rPr>
                <w:rFonts w:ascii="Arial" w:cs="Arial" w:eastAsia="Arial" w:hAnsi="Arial"/>
                <w:sz w:val="20"/>
                <w:szCs w:val="20"/>
                <w:color w:val="auto"/>
              </w:rPr>
              <w:t>Item 1.</w:t>
            </w:r>
          </w:p>
        </w:tc>
        <w:tc>
          <w:tcPr>
            <w:tcW w:w="7560" w:type="dxa"/>
            <w:vAlign w:val="bottom"/>
          </w:tcPr>
          <w:p>
            <w:pPr>
              <w:ind w:left="80"/>
              <w:spacing w:after="0"/>
              <w:rPr>
                <w:sz w:val="20"/>
                <w:szCs w:val="20"/>
                <w:color w:val="auto"/>
              </w:rPr>
            </w:pPr>
            <w:r>
              <w:rPr>
                <w:rFonts w:ascii="Arial" w:cs="Arial" w:eastAsia="Arial" w:hAnsi="Arial"/>
                <w:sz w:val="20"/>
                <w:szCs w:val="20"/>
                <w:color w:val="auto"/>
              </w:rPr>
              <w:t>Business</w:t>
            </w:r>
          </w:p>
        </w:tc>
        <w:tc>
          <w:tcPr>
            <w:tcW w:w="4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300"/>
        </w:trPr>
        <w:tc>
          <w:tcPr>
            <w:tcW w:w="860" w:type="dxa"/>
            <w:vAlign w:val="bottom"/>
          </w:tcPr>
          <w:p>
            <w:pPr>
              <w:spacing w:after="0"/>
              <w:rPr>
                <w:sz w:val="20"/>
                <w:szCs w:val="20"/>
                <w:color w:val="auto"/>
              </w:rPr>
            </w:pPr>
            <w:r>
              <w:rPr>
                <w:rFonts w:ascii="Arial" w:cs="Arial" w:eastAsia="Arial" w:hAnsi="Arial"/>
                <w:sz w:val="20"/>
                <w:szCs w:val="20"/>
                <w:color w:val="auto"/>
              </w:rPr>
              <w:t>Item 1A.</w:t>
            </w:r>
          </w:p>
        </w:tc>
        <w:tc>
          <w:tcPr>
            <w:tcW w:w="7560" w:type="dxa"/>
            <w:vAlign w:val="bottom"/>
          </w:tcPr>
          <w:p>
            <w:pPr>
              <w:ind w:left="80"/>
              <w:spacing w:after="0"/>
              <w:rPr>
                <w:sz w:val="20"/>
                <w:szCs w:val="20"/>
                <w:color w:val="auto"/>
              </w:rPr>
            </w:pPr>
            <w:r>
              <w:rPr>
                <w:rFonts w:ascii="Arial" w:cs="Arial" w:eastAsia="Arial" w:hAnsi="Arial"/>
                <w:sz w:val="20"/>
                <w:szCs w:val="20"/>
                <w:color w:val="auto"/>
              </w:rPr>
              <w:t>Risk Factors</w:t>
            </w:r>
          </w:p>
        </w:tc>
        <w:tc>
          <w:tcPr>
            <w:tcW w:w="46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300"/>
        </w:trPr>
        <w:tc>
          <w:tcPr>
            <w:tcW w:w="860" w:type="dxa"/>
            <w:vAlign w:val="bottom"/>
          </w:tcPr>
          <w:p>
            <w:pPr>
              <w:spacing w:after="0"/>
              <w:rPr>
                <w:sz w:val="20"/>
                <w:szCs w:val="20"/>
                <w:color w:val="auto"/>
              </w:rPr>
            </w:pPr>
            <w:r>
              <w:rPr>
                <w:rFonts w:ascii="Arial" w:cs="Arial" w:eastAsia="Arial" w:hAnsi="Arial"/>
                <w:sz w:val="20"/>
                <w:szCs w:val="20"/>
                <w:color w:val="auto"/>
              </w:rPr>
              <w:t>Item 1B.</w:t>
            </w:r>
          </w:p>
        </w:tc>
        <w:tc>
          <w:tcPr>
            <w:tcW w:w="7560" w:type="dxa"/>
            <w:vAlign w:val="bottom"/>
          </w:tcPr>
          <w:p>
            <w:pPr>
              <w:ind w:left="80"/>
              <w:spacing w:after="0"/>
              <w:rPr>
                <w:sz w:val="20"/>
                <w:szCs w:val="20"/>
                <w:color w:val="auto"/>
              </w:rPr>
            </w:pPr>
            <w:r>
              <w:rPr>
                <w:rFonts w:ascii="Arial" w:cs="Arial" w:eastAsia="Arial" w:hAnsi="Arial"/>
                <w:sz w:val="20"/>
                <w:szCs w:val="20"/>
                <w:color w:val="auto"/>
              </w:rPr>
              <w:t>Unresolved Staff Comments</w:t>
            </w:r>
          </w:p>
        </w:tc>
        <w:tc>
          <w:tcPr>
            <w:tcW w:w="46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300"/>
        </w:trPr>
        <w:tc>
          <w:tcPr>
            <w:tcW w:w="860" w:type="dxa"/>
            <w:vAlign w:val="bottom"/>
          </w:tcPr>
          <w:p>
            <w:pPr>
              <w:spacing w:after="0"/>
              <w:rPr>
                <w:sz w:val="20"/>
                <w:szCs w:val="20"/>
                <w:color w:val="auto"/>
              </w:rPr>
            </w:pPr>
            <w:r>
              <w:rPr>
                <w:rFonts w:ascii="Arial" w:cs="Arial" w:eastAsia="Arial" w:hAnsi="Arial"/>
                <w:sz w:val="20"/>
                <w:szCs w:val="20"/>
                <w:color w:val="auto"/>
              </w:rPr>
              <w:t>Item 2.</w:t>
            </w:r>
          </w:p>
        </w:tc>
        <w:tc>
          <w:tcPr>
            <w:tcW w:w="7560" w:type="dxa"/>
            <w:vAlign w:val="bottom"/>
          </w:tcPr>
          <w:p>
            <w:pPr>
              <w:ind w:left="80"/>
              <w:spacing w:after="0"/>
              <w:rPr>
                <w:sz w:val="20"/>
                <w:szCs w:val="20"/>
                <w:color w:val="auto"/>
              </w:rPr>
            </w:pPr>
            <w:r>
              <w:rPr>
                <w:rFonts w:ascii="Arial" w:cs="Arial" w:eastAsia="Arial" w:hAnsi="Arial"/>
                <w:sz w:val="20"/>
                <w:szCs w:val="20"/>
                <w:color w:val="auto"/>
              </w:rPr>
              <w:t>Properties</w:t>
            </w:r>
          </w:p>
        </w:tc>
        <w:tc>
          <w:tcPr>
            <w:tcW w:w="46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300"/>
        </w:trPr>
        <w:tc>
          <w:tcPr>
            <w:tcW w:w="860" w:type="dxa"/>
            <w:vAlign w:val="bottom"/>
          </w:tcPr>
          <w:p>
            <w:pPr>
              <w:spacing w:after="0"/>
              <w:rPr>
                <w:sz w:val="20"/>
                <w:szCs w:val="20"/>
                <w:color w:val="auto"/>
              </w:rPr>
            </w:pPr>
            <w:r>
              <w:rPr>
                <w:rFonts w:ascii="Arial" w:cs="Arial" w:eastAsia="Arial" w:hAnsi="Arial"/>
                <w:sz w:val="20"/>
                <w:szCs w:val="20"/>
                <w:color w:val="auto"/>
              </w:rPr>
              <w:t>Item 3.</w:t>
            </w:r>
          </w:p>
        </w:tc>
        <w:tc>
          <w:tcPr>
            <w:tcW w:w="7560" w:type="dxa"/>
            <w:vAlign w:val="bottom"/>
          </w:tcPr>
          <w:p>
            <w:pPr>
              <w:ind w:left="80"/>
              <w:spacing w:after="0"/>
              <w:rPr>
                <w:sz w:val="20"/>
                <w:szCs w:val="20"/>
                <w:color w:val="auto"/>
              </w:rPr>
            </w:pPr>
            <w:r>
              <w:rPr>
                <w:rFonts w:ascii="Arial" w:cs="Arial" w:eastAsia="Arial" w:hAnsi="Arial"/>
                <w:sz w:val="20"/>
                <w:szCs w:val="20"/>
                <w:color w:val="auto"/>
              </w:rPr>
              <w:t>Legal Proceedings</w:t>
            </w:r>
          </w:p>
        </w:tc>
        <w:tc>
          <w:tcPr>
            <w:tcW w:w="46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300"/>
        </w:trPr>
        <w:tc>
          <w:tcPr>
            <w:tcW w:w="860" w:type="dxa"/>
            <w:vAlign w:val="bottom"/>
          </w:tcPr>
          <w:p>
            <w:pPr>
              <w:spacing w:after="0"/>
              <w:rPr>
                <w:sz w:val="20"/>
                <w:szCs w:val="20"/>
                <w:color w:val="auto"/>
              </w:rPr>
            </w:pPr>
            <w:r>
              <w:rPr>
                <w:rFonts w:ascii="Arial" w:cs="Arial" w:eastAsia="Arial" w:hAnsi="Arial"/>
                <w:sz w:val="20"/>
                <w:szCs w:val="20"/>
                <w:color w:val="auto"/>
              </w:rPr>
              <w:t>Item 4.</w:t>
            </w:r>
          </w:p>
        </w:tc>
        <w:tc>
          <w:tcPr>
            <w:tcW w:w="7560" w:type="dxa"/>
            <w:vAlign w:val="bottom"/>
          </w:tcPr>
          <w:p>
            <w:pPr>
              <w:ind w:left="80"/>
              <w:spacing w:after="0"/>
              <w:rPr>
                <w:sz w:val="20"/>
                <w:szCs w:val="20"/>
                <w:color w:val="auto"/>
              </w:rPr>
            </w:pPr>
            <w:r>
              <w:rPr>
                <w:rFonts w:ascii="Arial" w:cs="Arial" w:eastAsia="Arial" w:hAnsi="Arial"/>
                <w:sz w:val="20"/>
                <w:szCs w:val="20"/>
                <w:color w:val="auto"/>
              </w:rPr>
              <w:t>Mine Safety Disclosures</w:t>
            </w:r>
          </w:p>
        </w:tc>
        <w:tc>
          <w:tcPr>
            <w:tcW w:w="46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610"/>
        </w:trPr>
        <w:tc>
          <w:tcPr>
            <w:tcW w:w="860" w:type="dxa"/>
            <w:vAlign w:val="bottom"/>
          </w:tcPr>
          <w:p>
            <w:pPr>
              <w:spacing w:after="0"/>
              <w:rPr>
                <w:sz w:val="20"/>
                <w:szCs w:val="20"/>
                <w:color w:val="auto"/>
              </w:rPr>
            </w:pPr>
            <w:r>
              <w:rPr>
                <w:rFonts w:ascii="Arial" w:cs="Arial" w:eastAsia="Arial" w:hAnsi="Arial"/>
                <w:sz w:val="20"/>
                <w:szCs w:val="20"/>
                <w:b w:val="1"/>
                <w:bCs w:val="1"/>
                <w:color w:val="auto"/>
              </w:rPr>
              <w:t>PART II</w:t>
            </w:r>
          </w:p>
        </w:tc>
        <w:tc>
          <w:tcPr>
            <w:tcW w:w="7560" w:type="dxa"/>
            <w:vAlign w:val="bottom"/>
            <w:vMerge w:val="restart"/>
          </w:tcPr>
          <w:p>
            <w:pPr>
              <w:ind w:left="80"/>
              <w:spacing w:after="0"/>
              <w:rPr>
                <w:sz w:val="20"/>
                <w:szCs w:val="20"/>
                <w:color w:val="auto"/>
              </w:rPr>
            </w:pPr>
            <w:r>
              <w:rPr>
                <w:rFonts w:ascii="Arial" w:cs="Arial" w:eastAsia="Arial" w:hAnsi="Arial"/>
                <w:sz w:val="20"/>
                <w:szCs w:val="20"/>
                <w:color w:val="auto"/>
              </w:rPr>
              <w:t>Market for Registrant's Common Equity, Related Stockholder Matters and Issuer</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60" w:type="dxa"/>
            <w:vAlign w:val="bottom"/>
            <w:vMerge w:val="restart"/>
          </w:tcPr>
          <w:p>
            <w:pPr>
              <w:spacing w:after="0"/>
              <w:rPr>
                <w:sz w:val="20"/>
                <w:szCs w:val="20"/>
                <w:color w:val="auto"/>
              </w:rPr>
            </w:pPr>
            <w:r>
              <w:rPr>
                <w:rFonts w:ascii="Arial" w:cs="Arial" w:eastAsia="Arial" w:hAnsi="Arial"/>
                <w:sz w:val="20"/>
                <w:szCs w:val="20"/>
                <w:color w:val="auto"/>
              </w:rPr>
              <w:t>Item 5.</w:t>
            </w:r>
          </w:p>
        </w:tc>
        <w:tc>
          <w:tcPr>
            <w:tcW w:w="7560" w:type="dxa"/>
            <w:vAlign w:val="bottom"/>
            <w:vMerge w:val="continue"/>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65"/>
        </w:trPr>
        <w:tc>
          <w:tcPr>
            <w:tcW w:w="860" w:type="dxa"/>
            <w:vAlign w:val="bottom"/>
            <w:vMerge w:val="continue"/>
          </w:tcPr>
          <w:p>
            <w:pPr>
              <w:spacing w:after="0"/>
              <w:rPr>
                <w:sz w:val="23"/>
                <w:szCs w:val="23"/>
                <w:color w:val="auto"/>
              </w:rPr>
            </w:pPr>
          </w:p>
        </w:tc>
        <w:tc>
          <w:tcPr>
            <w:tcW w:w="7560" w:type="dxa"/>
            <w:vAlign w:val="bottom"/>
          </w:tcPr>
          <w:p>
            <w:pPr>
              <w:ind w:left="80"/>
              <w:spacing w:after="0"/>
              <w:rPr>
                <w:sz w:val="20"/>
                <w:szCs w:val="20"/>
                <w:color w:val="auto"/>
              </w:rPr>
            </w:pPr>
            <w:r>
              <w:rPr>
                <w:rFonts w:ascii="Arial" w:cs="Arial" w:eastAsia="Arial" w:hAnsi="Arial"/>
                <w:sz w:val="20"/>
                <w:szCs w:val="20"/>
                <w:color w:val="auto"/>
              </w:rPr>
              <w:t>Purchases of Equity Securities</w:t>
            </w:r>
          </w:p>
        </w:tc>
        <w:tc>
          <w:tcPr>
            <w:tcW w:w="4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860" w:type="dxa"/>
            <w:vAlign w:val="bottom"/>
          </w:tcPr>
          <w:p>
            <w:pPr>
              <w:spacing w:after="0"/>
              <w:rPr>
                <w:sz w:val="20"/>
                <w:szCs w:val="20"/>
                <w:color w:val="auto"/>
              </w:rPr>
            </w:pPr>
            <w:r>
              <w:rPr>
                <w:rFonts w:ascii="Arial" w:cs="Arial" w:eastAsia="Arial" w:hAnsi="Arial"/>
                <w:sz w:val="20"/>
                <w:szCs w:val="20"/>
                <w:color w:val="auto"/>
              </w:rPr>
              <w:t>Item 6.</w:t>
            </w:r>
          </w:p>
        </w:tc>
        <w:tc>
          <w:tcPr>
            <w:tcW w:w="7560" w:type="dxa"/>
            <w:vAlign w:val="bottom"/>
          </w:tcPr>
          <w:p>
            <w:pPr>
              <w:ind w:left="80"/>
              <w:spacing w:after="0"/>
              <w:rPr>
                <w:sz w:val="20"/>
                <w:szCs w:val="20"/>
                <w:color w:val="auto"/>
              </w:rPr>
            </w:pPr>
            <w:r>
              <w:rPr>
                <w:rFonts w:ascii="Arial" w:cs="Arial" w:eastAsia="Arial" w:hAnsi="Arial"/>
                <w:sz w:val="20"/>
                <w:szCs w:val="20"/>
                <w:color w:val="auto"/>
              </w:rPr>
              <w:t>Selected Financial Data</w:t>
            </w:r>
          </w:p>
        </w:tc>
        <w:tc>
          <w:tcPr>
            <w:tcW w:w="46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20"/>
                <w:szCs w:val="20"/>
                <w:color w:val="auto"/>
              </w:rPr>
            </w:pPr>
            <w:r>
              <w:rPr>
                <w:rFonts w:ascii="Arial" w:cs="Arial" w:eastAsia="Arial" w:hAnsi="Arial"/>
                <w:sz w:val="20"/>
                <w:szCs w:val="20"/>
                <w:color w:val="auto"/>
              </w:rPr>
              <w:t>Item 7.</w:t>
            </w:r>
          </w:p>
        </w:tc>
        <w:tc>
          <w:tcPr>
            <w:tcW w:w="7560" w:type="dxa"/>
            <w:vAlign w:val="bottom"/>
          </w:tcPr>
          <w:p>
            <w:pPr>
              <w:ind w:left="80"/>
              <w:spacing w:after="0" w:line="216" w:lineRule="exact"/>
              <w:rPr>
                <w:sz w:val="20"/>
                <w:szCs w:val="20"/>
                <w:color w:val="auto"/>
              </w:rPr>
            </w:pPr>
            <w:r>
              <w:rPr>
                <w:rFonts w:ascii="Arial" w:cs="Arial" w:eastAsia="Arial" w:hAnsi="Arial"/>
                <w:sz w:val="20"/>
                <w:szCs w:val="20"/>
                <w:color w:val="auto"/>
              </w:rPr>
              <w:t>Management's Discussion and Analysis of Financial Condition and Results of</w:t>
            </w:r>
          </w:p>
        </w:tc>
        <w:tc>
          <w:tcPr>
            <w:tcW w:w="460" w:type="dxa"/>
            <w:vAlign w:val="bottom"/>
            <w:vMerge w:val="restart"/>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65"/>
        </w:trPr>
        <w:tc>
          <w:tcPr>
            <w:tcW w:w="860" w:type="dxa"/>
            <w:vAlign w:val="bottom"/>
            <w:vMerge w:val="continue"/>
          </w:tcPr>
          <w:p>
            <w:pPr>
              <w:spacing w:after="0"/>
              <w:rPr>
                <w:sz w:val="23"/>
                <w:szCs w:val="23"/>
                <w:color w:val="auto"/>
              </w:rPr>
            </w:pPr>
          </w:p>
        </w:tc>
        <w:tc>
          <w:tcPr>
            <w:tcW w:w="7560" w:type="dxa"/>
            <w:vAlign w:val="bottom"/>
          </w:tcPr>
          <w:p>
            <w:pPr>
              <w:ind w:left="80"/>
              <w:spacing w:after="0"/>
              <w:rPr>
                <w:sz w:val="20"/>
                <w:szCs w:val="20"/>
                <w:color w:val="auto"/>
              </w:rPr>
            </w:pPr>
            <w:r>
              <w:rPr>
                <w:rFonts w:ascii="Arial" w:cs="Arial" w:eastAsia="Arial" w:hAnsi="Arial"/>
                <w:sz w:val="20"/>
                <w:szCs w:val="20"/>
                <w:color w:val="auto"/>
              </w:rPr>
              <w:t>Operations</w:t>
            </w:r>
          </w:p>
        </w:tc>
        <w:tc>
          <w:tcPr>
            <w:tcW w:w="4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860" w:type="dxa"/>
            <w:vAlign w:val="bottom"/>
          </w:tcPr>
          <w:p>
            <w:pPr>
              <w:spacing w:after="0"/>
              <w:rPr>
                <w:sz w:val="20"/>
                <w:szCs w:val="20"/>
                <w:color w:val="auto"/>
              </w:rPr>
            </w:pPr>
            <w:r>
              <w:rPr>
                <w:rFonts w:ascii="Arial" w:cs="Arial" w:eastAsia="Arial" w:hAnsi="Arial"/>
                <w:sz w:val="20"/>
                <w:szCs w:val="20"/>
                <w:color w:val="auto"/>
              </w:rPr>
              <w:t>Item 7A.</w:t>
            </w:r>
          </w:p>
        </w:tc>
        <w:tc>
          <w:tcPr>
            <w:tcW w:w="7560" w:type="dxa"/>
            <w:vAlign w:val="bottom"/>
          </w:tcPr>
          <w:p>
            <w:pPr>
              <w:ind w:left="80"/>
              <w:spacing w:after="0"/>
              <w:rPr>
                <w:sz w:val="20"/>
                <w:szCs w:val="20"/>
                <w:color w:val="auto"/>
              </w:rPr>
            </w:pPr>
            <w:r>
              <w:rPr>
                <w:rFonts w:ascii="Arial" w:cs="Arial" w:eastAsia="Arial" w:hAnsi="Arial"/>
                <w:sz w:val="20"/>
                <w:szCs w:val="20"/>
                <w:color w:val="auto"/>
              </w:rPr>
              <w:t>Quantitative and Qualitative Disclosures about Market Risk</w:t>
            </w:r>
          </w:p>
        </w:tc>
        <w:tc>
          <w:tcPr>
            <w:tcW w:w="460" w:type="dxa"/>
            <w:vAlign w:val="bottom"/>
          </w:tcPr>
          <w:p>
            <w:pPr>
              <w:jc w:val="right"/>
              <w:spacing w:after="0"/>
              <w:rPr>
                <w:sz w:val="20"/>
                <w:szCs w:val="20"/>
                <w:color w:val="auto"/>
              </w:rPr>
            </w:pPr>
            <w:r>
              <w:rPr>
                <w:rFonts w:ascii="Arial" w:cs="Arial" w:eastAsia="Arial" w:hAnsi="Arial"/>
                <w:sz w:val="20"/>
                <w:szCs w:val="20"/>
                <w:color w:val="auto"/>
              </w:rPr>
              <w:t>77</w:t>
            </w:r>
          </w:p>
        </w:tc>
        <w:tc>
          <w:tcPr>
            <w:tcW w:w="0" w:type="dxa"/>
            <w:vAlign w:val="bottom"/>
          </w:tcPr>
          <w:p>
            <w:pPr>
              <w:spacing w:after="0"/>
              <w:rPr>
                <w:sz w:val="1"/>
                <w:szCs w:val="1"/>
                <w:color w:val="auto"/>
              </w:rPr>
            </w:pPr>
          </w:p>
        </w:tc>
      </w:tr>
      <w:tr>
        <w:trPr>
          <w:trHeight w:val="285"/>
        </w:trPr>
        <w:tc>
          <w:tcPr>
            <w:tcW w:w="860" w:type="dxa"/>
            <w:vAlign w:val="bottom"/>
          </w:tcPr>
          <w:p>
            <w:pPr>
              <w:spacing w:after="0"/>
              <w:rPr>
                <w:sz w:val="20"/>
                <w:szCs w:val="20"/>
                <w:color w:val="auto"/>
              </w:rPr>
            </w:pPr>
            <w:r>
              <w:rPr>
                <w:rFonts w:ascii="Arial" w:cs="Arial" w:eastAsia="Arial" w:hAnsi="Arial"/>
                <w:sz w:val="20"/>
                <w:szCs w:val="20"/>
                <w:color w:val="auto"/>
              </w:rPr>
              <w:t>Item 8.</w:t>
            </w:r>
          </w:p>
        </w:tc>
        <w:tc>
          <w:tcPr>
            <w:tcW w:w="7560" w:type="dxa"/>
            <w:vAlign w:val="bottom"/>
          </w:tcPr>
          <w:p>
            <w:pPr>
              <w:ind w:left="80"/>
              <w:spacing w:after="0"/>
              <w:rPr>
                <w:sz w:val="20"/>
                <w:szCs w:val="20"/>
                <w:color w:val="auto"/>
              </w:rPr>
            </w:pPr>
            <w:r>
              <w:rPr>
                <w:rFonts w:ascii="Arial" w:cs="Arial" w:eastAsia="Arial" w:hAnsi="Arial"/>
                <w:sz w:val="20"/>
                <w:szCs w:val="20"/>
                <w:color w:val="auto"/>
              </w:rPr>
              <w:t>Financial Statements and Supplementary Data</w:t>
            </w:r>
          </w:p>
        </w:tc>
        <w:tc>
          <w:tcPr>
            <w:tcW w:w="460" w:type="dxa"/>
            <w:vAlign w:val="bottom"/>
          </w:tcPr>
          <w:p>
            <w:pPr>
              <w:jc w:val="right"/>
              <w:spacing w:after="0"/>
              <w:rPr>
                <w:sz w:val="20"/>
                <w:szCs w:val="20"/>
                <w:color w:val="auto"/>
              </w:rPr>
            </w:pPr>
            <w:r>
              <w:rPr>
                <w:rFonts w:ascii="Arial" w:cs="Arial" w:eastAsia="Arial" w:hAnsi="Arial"/>
                <w:sz w:val="20"/>
                <w:szCs w:val="20"/>
                <w:color w:val="auto"/>
              </w:rPr>
              <w:t>79</w:t>
            </w: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20"/>
                <w:szCs w:val="20"/>
                <w:color w:val="auto"/>
              </w:rPr>
            </w:pPr>
            <w:r>
              <w:rPr>
                <w:rFonts w:ascii="Arial" w:cs="Arial" w:eastAsia="Arial" w:hAnsi="Arial"/>
                <w:sz w:val="20"/>
                <w:szCs w:val="20"/>
                <w:color w:val="auto"/>
              </w:rPr>
              <w:t>Item 9.</w:t>
            </w:r>
          </w:p>
        </w:tc>
        <w:tc>
          <w:tcPr>
            <w:tcW w:w="7560" w:type="dxa"/>
            <w:vAlign w:val="bottom"/>
          </w:tcPr>
          <w:p>
            <w:pPr>
              <w:ind w:left="80"/>
              <w:spacing w:after="0" w:line="216" w:lineRule="exact"/>
              <w:rPr>
                <w:sz w:val="20"/>
                <w:szCs w:val="20"/>
                <w:color w:val="auto"/>
              </w:rPr>
            </w:pPr>
            <w:r>
              <w:rPr>
                <w:rFonts w:ascii="Arial" w:cs="Arial" w:eastAsia="Arial" w:hAnsi="Arial"/>
                <w:sz w:val="20"/>
                <w:szCs w:val="20"/>
                <w:color w:val="auto"/>
              </w:rPr>
              <w:t>Changes in and Disagreements with Accountants on Accounting and Financial</w:t>
            </w:r>
          </w:p>
        </w:tc>
        <w:tc>
          <w:tcPr>
            <w:tcW w:w="460" w:type="dxa"/>
            <w:vAlign w:val="bottom"/>
            <w:vMerge w:val="restart"/>
          </w:tcPr>
          <w:p>
            <w:pPr>
              <w:jc w:val="right"/>
              <w:spacing w:after="0"/>
              <w:rPr>
                <w:sz w:val="20"/>
                <w:szCs w:val="20"/>
                <w:color w:val="auto"/>
              </w:rPr>
            </w:pPr>
            <w:r>
              <w:rPr>
                <w:rFonts w:ascii="Arial" w:cs="Arial" w:eastAsia="Arial" w:hAnsi="Arial"/>
                <w:sz w:val="20"/>
                <w:szCs w:val="20"/>
                <w:color w:val="auto"/>
              </w:rPr>
              <w:t>115</w:t>
            </w:r>
          </w:p>
        </w:tc>
        <w:tc>
          <w:tcPr>
            <w:tcW w:w="0" w:type="dxa"/>
            <w:vAlign w:val="bottom"/>
          </w:tcPr>
          <w:p>
            <w:pPr>
              <w:spacing w:after="0"/>
              <w:rPr>
                <w:sz w:val="1"/>
                <w:szCs w:val="1"/>
                <w:color w:val="auto"/>
              </w:rPr>
            </w:pPr>
          </w:p>
        </w:tc>
      </w:tr>
      <w:tr>
        <w:trPr>
          <w:trHeight w:val="265"/>
        </w:trPr>
        <w:tc>
          <w:tcPr>
            <w:tcW w:w="860" w:type="dxa"/>
            <w:vAlign w:val="bottom"/>
            <w:vMerge w:val="continue"/>
          </w:tcPr>
          <w:p>
            <w:pPr>
              <w:spacing w:after="0"/>
              <w:rPr>
                <w:sz w:val="23"/>
                <w:szCs w:val="23"/>
                <w:color w:val="auto"/>
              </w:rPr>
            </w:pPr>
          </w:p>
        </w:tc>
        <w:tc>
          <w:tcPr>
            <w:tcW w:w="7560" w:type="dxa"/>
            <w:vAlign w:val="bottom"/>
          </w:tcPr>
          <w:p>
            <w:pPr>
              <w:ind w:left="80"/>
              <w:spacing w:after="0"/>
              <w:rPr>
                <w:sz w:val="20"/>
                <w:szCs w:val="20"/>
                <w:color w:val="auto"/>
              </w:rPr>
            </w:pPr>
            <w:r>
              <w:rPr>
                <w:rFonts w:ascii="Arial" w:cs="Arial" w:eastAsia="Arial" w:hAnsi="Arial"/>
                <w:sz w:val="20"/>
                <w:szCs w:val="20"/>
                <w:color w:val="auto"/>
              </w:rPr>
              <w:t>Disclosure</w:t>
            </w:r>
          </w:p>
        </w:tc>
        <w:tc>
          <w:tcPr>
            <w:tcW w:w="4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860" w:type="dxa"/>
            <w:vAlign w:val="bottom"/>
          </w:tcPr>
          <w:p>
            <w:pPr>
              <w:spacing w:after="0"/>
              <w:rPr>
                <w:sz w:val="20"/>
                <w:szCs w:val="20"/>
                <w:color w:val="auto"/>
              </w:rPr>
            </w:pPr>
            <w:r>
              <w:rPr>
                <w:rFonts w:ascii="Arial" w:cs="Arial" w:eastAsia="Arial" w:hAnsi="Arial"/>
                <w:sz w:val="20"/>
                <w:szCs w:val="20"/>
                <w:color w:val="auto"/>
              </w:rPr>
              <w:t>Item 9A.</w:t>
            </w:r>
          </w:p>
        </w:tc>
        <w:tc>
          <w:tcPr>
            <w:tcW w:w="7560" w:type="dxa"/>
            <w:vAlign w:val="bottom"/>
          </w:tcPr>
          <w:p>
            <w:pPr>
              <w:ind w:left="80"/>
              <w:spacing w:after="0"/>
              <w:rPr>
                <w:sz w:val="20"/>
                <w:szCs w:val="20"/>
                <w:color w:val="auto"/>
              </w:rPr>
            </w:pPr>
            <w:r>
              <w:rPr>
                <w:rFonts w:ascii="Arial" w:cs="Arial" w:eastAsia="Arial" w:hAnsi="Arial"/>
                <w:sz w:val="20"/>
                <w:szCs w:val="20"/>
                <w:color w:val="auto"/>
              </w:rPr>
              <w:t>Controls and Procedures</w:t>
            </w:r>
          </w:p>
        </w:tc>
        <w:tc>
          <w:tcPr>
            <w:tcW w:w="460" w:type="dxa"/>
            <w:vAlign w:val="bottom"/>
          </w:tcPr>
          <w:p>
            <w:pPr>
              <w:jc w:val="right"/>
              <w:spacing w:after="0"/>
              <w:rPr>
                <w:sz w:val="20"/>
                <w:szCs w:val="20"/>
                <w:color w:val="auto"/>
              </w:rPr>
            </w:pPr>
            <w:r>
              <w:rPr>
                <w:rFonts w:ascii="Arial" w:cs="Arial" w:eastAsia="Arial" w:hAnsi="Arial"/>
                <w:sz w:val="20"/>
                <w:szCs w:val="20"/>
                <w:color w:val="auto"/>
              </w:rPr>
              <w:t>115</w:t>
            </w:r>
          </w:p>
        </w:tc>
        <w:tc>
          <w:tcPr>
            <w:tcW w:w="0" w:type="dxa"/>
            <w:vAlign w:val="bottom"/>
          </w:tcPr>
          <w:p>
            <w:pPr>
              <w:spacing w:after="0"/>
              <w:rPr>
                <w:sz w:val="1"/>
                <w:szCs w:val="1"/>
                <w:color w:val="auto"/>
              </w:rPr>
            </w:pPr>
          </w:p>
        </w:tc>
      </w:tr>
      <w:tr>
        <w:trPr>
          <w:trHeight w:val="300"/>
        </w:trPr>
        <w:tc>
          <w:tcPr>
            <w:tcW w:w="860" w:type="dxa"/>
            <w:vAlign w:val="bottom"/>
          </w:tcPr>
          <w:p>
            <w:pPr>
              <w:spacing w:after="0"/>
              <w:rPr>
                <w:sz w:val="20"/>
                <w:szCs w:val="20"/>
                <w:color w:val="auto"/>
              </w:rPr>
            </w:pPr>
            <w:r>
              <w:rPr>
                <w:rFonts w:ascii="Arial" w:cs="Arial" w:eastAsia="Arial" w:hAnsi="Arial"/>
                <w:sz w:val="20"/>
                <w:szCs w:val="20"/>
                <w:color w:val="auto"/>
              </w:rPr>
              <w:t>Item 9B.</w:t>
            </w:r>
          </w:p>
        </w:tc>
        <w:tc>
          <w:tcPr>
            <w:tcW w:w="7560" w:type="dxa"/>
            <w:vAlign w:val="bottom"/>
          </w:tcPr>
          <w:p>
            <w:pPr>
              <w:ind w:left="80"/>
              <w:spacing w:after="0"/>
              <w:rPr>
                <w:sz w:val="20"/>
                <w:szCs w:val="20"/>
                <w:color w:val="auto"/>
              </w:rPr>
            </w:pPr>
            <w:r>
              <w:rPr>
                <w:rFonts w:ascii="Arial" w:cs="Arial" w:eastAsia="Arial" w:hAnsi="Arial"/>
                <w:sz w:val="20"/>
                <w:szCs w:val="20"/>
                <w:color w:val="auto"/>
              </w:rPr>
              <w:t>Other Information</w:t>
            </w:r>
          </w:p>
        </w:tc>
        <w:tc>
          <w:tcPr>
            <w:tcW w:w="460" w:type="dxa"/>
            <w:vAlign w:val="bottom"/>
          </w:tcPr>
          <w:p>
            <w:pPr>
              <w:jc w:val="right"/>
              <w:spacing w:after="0"/>
              <w:rPr>
                <w:sz w:val="20"/>
                <w:szCs w:val="20"/>
                <w:color w:val="auto"/>
              </w:rPr>
            </w:pPr>
            <w:r>
              <w:rPr>
                <w:rFonts w:ascii="Arial" w:cs="Arial" w:eastAsia="Arial" w:hAnsi="Arial"/>
                <w:sz w:val="20"/>
                <w:szCs w:val="20"/>
                <w:color w:val="auto"/>
              </w:rPr>
              <w:t>116</w:t>
            </w:r>
          </w:p>
        </w:tc>
        <w:tc>
          <w:tcPr>
            <w:tcW w:w="0" w:type="dxa"/>
            <w:vAlign w:val="bottom"/>
          </w:tcPr>
          <w:p>
            <w:pPr>
              <w:spacing w:after="0"/>
              <w:rPr>
                <w:sz w:val="1"/>
                <w:szCs w:val="1"/>
                <w:color w:val="auto"/>
              </w:rPr>
            </w:pPr>
          </w:p>
        </w:tc>
      </w:tr>
      <w:tr>
        <w:trPr>
          <w:trHeight w:val="300"/>
        </w:trPr>
        <w:tc>
          <w:tcPr>
            <w:tcW w:w="860" w:type="dxa"/>
            <w:vAlign w:val="bottom"/>
          </w:tcPr>
          <w:p>
            <w:pPr>
              <w:spacing w:after="0"/>
              <w:rPr>
                <w:sz w:val="20"/>
                <w:szCs w:val="20"/>
                <w:color w:val="auto"/>
              </w:rPr>
            </w:pPr>
            <w:r>
              <w:rPr>
                <w:rFonts w:ascii="Arial" w:cs="Arial" w:eastAsia="Arial" w:hAnsi="Arial"/>
                <w:sz w:val="20"/>
                <w:szCs w:val="20"/>
                <w:color w:val="auto"/>
              </w:rPr>
              <w:t>Item 9C.</w:t>
            </w:r>
          </w:p>
        </w:tc>
        <w:tc>
          <w:tcPr>
            <w:tcW w:w="7560" w:type="dxa"/>
            <w:vAlign w:val="bottom"/>
          </w:tcPr>
          <w:p>
            <w:pPr>
              <w:ind w:left="80"/>
              <w:spacing w:after="0"/>
              <w:rPr>
                <w:sz w:val="20"/>
                <w:szCs w:val="20"/>
                <w:color w:val="auto"/>
              </w:rPr>
            </w:pPr>
            <w:r>
              <w:rPr>
                <w:rFonts w:ascii="Arial" w:cs="Arial" w:eastAsia="Arial" w:hAnsi="Arial"/>
                <w:sz w:val="20"/>
                <w:szCs w:val="20"/>
                <w:color w:val="auto"/>
              </w:rPr>
              <w:t>Disclosure Regarding Foreign Jurisdictions that Prevent Inspections</w:t>
            </w:r>
          </w:p>
        </w:tc>
        <w:tc>
          <w:tcPr>
            <w:tcW w:w="460" w:type="dxa"/>
            <w:vAlign w:val="bottom"/>
          </w:tcPr>
          <w:p>
            <w:pPr>
              <w:jc w:val="right"/>
              <w:spacing w:after="0"/>
              <w:rPr>
                <w:sz w:val="20"/>
                <w:szCs w:val="20"/>
                <w:color w:val="auto"/>
              </w:rPr>
            </w:pPr>
            <w:r>
              <w:rPr>
                <w:rFonts w:ascii="Arial" w:cs="Arial" w:eastAsia="Arial" w:hAnsi="Arial"/>
                <w:sz w:val="20"/>
                <w:szCs w:val="20"/>
                <w:color w:val="auto"/>
              </w:rPr>
              <w:t>116</w:t>
            </w:r>
          </w:p>
        </w:tc>
        <w:tc>
          <w:tcPr>
            <w:tcW w:w="0" w:type="dxa"/>
            <w:vAlign w:val="bottom"/>
          </w:tcPr>
          <w:p>
            <w:pPr>
              <w:spacing w:after="0"/>
              <w:rPr>
                <w:sz w:val="1"/>
                <w:szCs w:val="1"/>
                <w:color w:val="auto"/>
              </w:rPr>
            </w:pPr>
          </w:p>
        </w:tc>
      </w:tr>
      <w:tr>
        <w:trPr>
          <w:trHeight w:val="580"/>
        </w:trPr>
        <w:tc>
          <w:tcPr>
            <w:tcW w:w="860" w:type="dxa"/>
            <w:vAlign w:val="bottom"/>
          </w:tcPr>
          <w:p>
            <w:pPr>
              <w:spacing w:after="0"/>
              <w:rPr>
                <w:sz w:val="20"/>
                <w:szCs w:val="20"/>
                <w:color w:val="auto"/>
              </w:rPr>
            </w:pPr>
            <w:r>
              <w:rPr>
                <w:rFonts w:ascii="Arial" w:cs="Arial" w:eastAsia="Arial" w:hAnsi="Arial"/>
                <w:sz w:val="20"/>
                <w:szCs w:val="20"/>
                <w:b w:val="1"/>
                <w:bCs w:val="1"/>
                <w:color w:val="auto"/>
              </w:rPr>
              <w:t>PART III</w:t>
            </w:r>
          </w:p>
        </w:tc>
        <w:tc>
          <w:tcPr>
            <w:tcW w:w="7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860" w:type="dxa"/>
            <w:vAlign w:val="bottom"/>
          </w:tcPr>
          <w:p>
            <w:pPr>
              <w:spacing w:after="0"/>
              <w:rPr>
                <w:sz w:val="20"/>
                <w:szCs w:val="20"/>
                <w:color w:val="auto"/>
              </w:rPr>
            </w:pPr>
            <w:r>
              <w:rPr>
                <w:rFonts w:ascii="Arial" w:cs="Arial" w:eastAsia="Arial" w:hAnsi="Arial"/>
                <w:sz w:val="20"/>
                <w:szCs w:val="20"/>
                <w:color w:val="auto"/>
              </w:rPr>
              <w:t>Item 10.</w:t>
            </w:r>
          </w:p>
        </w:tc>
        <w:tc>
          <w:tcPr>
            <w:tcW w:w="7560" w:type="dxa"/>
            <w:vAlign w:val="bottom"/>
          </w:tcPr>
          <w:p>
            <w:pPr>
              <w:ind w:left="80"/>
              <w:spacing w:after="0"/>
              <w:rPr>
                <w:sz w:val="20"/>
                <w:szCs w:val="20"/>
                <w:color w:val="auto"/>
              </w:rPr>
            </w:pPr>
            <w:r>
              <w:rPr>
                <w:rFonts w:ascii="Arial" w:cs="Arial" w:eastAsia="Arial" w:hAnsi="Arial"/>
                <w:sz w:val="20"/>
                <w:szCs w:val="20"/>
                <w:color w:val="auto"/>
              </w:rPr>
              <w:t>Directors, Executive Officers and Corporate Governance</w:t>
            </w:r>
          </w:p>
        </w:tc>
        <w:tc>
          <w:tcPr>
            <w:tcW w:w="460" w:type="dxa"/>
            <w:vAlign w:val="bottom"/>
          </w:tcPr>
          <w:p>
            <w:pPr>
              <w:jc w:val="right"/>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300"/>
        </w:trPr>
        <w:tc>
          <w:tcPr>
            <w:tcW w:w="860" w:type="dxa"/>
            <w:vAlign w:val="bottom"/>
          </w:tcPr>
          <w:p>
            <w:pPr>
              <w:spacing w:after="0"/>
              <w:rPr>
                <w:sz w:val="20"/>
                <w:szCs w:val="20"/>
                <w:color w:val="auto"/>
              </w:rPr>
            </w:pPr>
            <w:r>
              <w:rPr>
                <w:rFonts w:ascii="Arial" w:cs="Arial" w:eastAsia="Arial" w:hAnsi="Arial"/>
                <w:sz w:val="20"/>
                <w:szCs w:val="20"/>
                <w:color w:val="auto"/>
              </w:rPr>
              <w:t>Item 11.</w:t>
            </w:r>
          </w:p>
        </w:tc>
        <w:tc>
          <w:tcPr>
            <w:tcW w:w="7560" w:type="dxa"/>
            <w:vAlign w:val="bottom"/>
          </w:tcPr>
          <w:p>
            <w:pPr>
              <w:ind w:left="80"/>
              <w:spacing w:after="0"/>
              <w:rPr>
                <w:sz w:val="20"/>
                <w:szCs w:val="20"/>
                <w:color w:val="auto"/>
              </w:rPr>
            </w:pPr>
            <w:r>
              <w:rPr>
                <w:rFonts w:ascii="Arial" w:cs="Arial" w:eastAsia="Arial" w:hAnsi="Arial"/>
                <w:sz w:val="20"/>
                <w:szCs w:val="20"/>
                <w:color w:val="auto"/>
              </w:rPr>
              <w:t>Executive Compensation</w:t>
            </w:r>
          </w:p>
        </w:tc>
        <w:tc>
          <w:tcPr>
            <w:tcW w:w="460" w:type="dxa"/>
            <w:vAlign w:val="bottom"/>
          </w:tcPr>
          <w:p>
            <w:pPr>
              <w:jc w:val="right"/>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216"/>
        </w:trPr>
        <w:tc>
          <w:tcPr>
            <w:tcW w:w="860" w:type="dxa"/>
            <w:vAlign w:val="bottom"/>
          </w:tcPr>
          <w:p>
            <w:pPr>
              <w:spacing w:after="0" w:line="216" w:lineRule="exact"/>
              <w:rPr>
                <w:sz w:val="20"/>
                <w:szCs w:val="20"/>
                <w:color w:val="auto"/>
              </w:rPr>
            </w:pPr>
            <w:r>
              <w:rPr>
                <w:rFonts w:ascii="Arial" w:cs="Arial" w:eastAsia="Arial" w:hAnsi="Arial"/>
                <w:sz w:val="20"/>
                <w:szCs w:val="20"/>
                <w:color w:val="auto"/>
              </w:rPr>
              <w:t>Item 12.</w:t>
            </w:r>
          </w:p>
        </w:tc>
        <w:tc>
          <w:tcPr>
            <w:tcW w:w="7560" w:type="dxa"/>
            <w:vAlign w:val="bottom"/>
          </w:tcPr>
          <w:p>
            <w:pPr>
              <w:ind w:left="80"/>
              <w:spacing w:after="0" w:line="216" w:lineRule="exact"/>
              <w:rPr>
                <w:sz w:val="20"/>
                <w:szCs w:val="20"/>
                <w:color w:val="auto"/>
              </w:rPr>
            </w:pPr>
            <w:r>
              <w:rPr>
                <w:rFonts w:ascii="Arial" w:cs="Arial" w:eastAsia="Arial" w:hAnsi="Arial"/>
                <w:sz w:val="20"/>
                <w:szCs w:val="20"/>
                <w:color w:val="auto"/>
              </w:rPr>
              <w:t>Security Ownership of Certain Beneficial Owners and Management and Related</w:t>
            </w:r>
          </w:p>
        </w:tc>
        <w:tc>
          <w:tcPr>
            <w:tcW w:w="460" w:type="dxa"/>
            <w:vAlign w:val="bottom"/>
            <w:vMerge w:val="restart"/>
          </w:tcPr>
          <w:p>
            <w:pPr>
              <w:jc w:val="right"/>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7560" w:type="dxa"/>
            <w:vAlign w:val="bottom"/>
          </w:tcPr>
          <w:p>
            <w:pPr>
              <w:ind w:left="80"/>
              <w:spacing w:after="0"/>
              <w:rPr>
                <w:sz w:val="20"/>
                <w:szCs w:val="20"/>
                <w:color w:val="auto"/>
              </w:rPr>
            </w:pPr>
            <w:r>
              <w:rPr>
                <w:rFonts w:ascii="Arial" w:cs="Arial" w:eastAsia="Arial" w:hAnsi="Arial"/>
                <w:sz w:val="20"/>
                <w:szCs w:val="20"/>
                <w:color w:val="auto"/>
              </w:rPr>
              <w:t>Stockholder Matters</w:t>
            </w:r>
          </w:p>
        </w:tc>
        <w:tc>
          <w:tcPr>
            <w:tcW w:w="4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860" w:type="dxa"/>
            <w:vAlign w:val="bottom"/>
          </w:tcPr>
          <w:p>
            <w:pPr>
              <w:spacing w:after="0"/>
              <w:rPr>
                <w:sz w:val="20"/>
                <w:szCs w:val="20"/>
                <w:color w:val="auto"/>
              </w:rPr>
            </w:pPr>
            <w:r>
              <w:rPr>
                <w:rFonts w:ascii="Arial" w:cs="Arial" w:eastAsia="Arial" w:hAnsi="Arial"/>
                <w:sz w:val="20"/>
                <w:szCs w:val="20"/>
                <w:color w:val="auto"/>
              </w:rPr>
              <w:t>Item 13.</w:t>
            </w:r>
          </w:p>
        </w:tc>
        <w:tc>
          <w:tcPr>
            <w:tcW w:w="7560" w:type="dxa"/>
            <w:vAlign w:val="bottom"/>
          </w:tcPr>
          <w:p>
            <w:pPr>
              <w:ind w:left="80"/>
              <w:spacing w:after="0"/>
              <w:rPr>
                <w:sz w:val="20"/>
                <w:szCs w:val="20"/>
                <w:color w:val="auto"/>
              </w:rPr>
            </w:pPr>
            <w:r>
              <w:rPr>
                <w:rFonts w:ascii="Arial" w:cs="Arial" w:eastAsia="Arial" w:hAnsi="Arial"/>
                <w:sz w:val="20"/>
                <w:szCs w:val="20"/>
                <w:color w:val="auto"/>
              </w:rPr>
              <w:t>Certain Relationships and Related Transactions and Director Independence</w:t>
            </w:r>
          </w:p>
        </w:tc>
        <w:tc>
          <w:tcPr>
            <w:tcW w:w="460" w:type="dxa"/>
            <w:vAlign w:val="bottom"/>
          </w:tcPr>
          <w:p>
            <w:pPr>
              <w:jc w:val="right"/>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300"/>
        </w:trPr>
        <w:tc>
          <w:tcPr>
            <w:tcW w:w="860" w:type="dxa"/>
            <w:vAlign w:val="bottom"/>
          </w:tcPr>
          <w:p>
            <w:pPr>
              <w:spacing w:after="0"/>
              <w:rPr>
                <w:sz w:val="20"/>
                <w:szCs w:val="20"/>
                <w:color w:val="auto"/>
              </w:rPr>
            </w:pPr>
            <w:r>
              <w:rPr>
                <w:rFonts w:ascii="Arial" w:cs="Arial" w:eastAsia="Arial" w:hAnsi="Arial"/>
                <w:sz w:val="20"/>
                <w:szCs w:val="20"/>
                <w:color w:val="auto"/>
              </w:rPr>
              <w:t>Item 14.</w:t>
            </w:r>
          </w:p>
        </w:tc>
        <w:tc>
          <w:tcPr>
            <w:tcW w:w="7560" w:type="dxa"/>
            <w:vAlign w:val="bottom"/>
          </w:tcPr>
          <w:p>
            <w:pPr>
              <w:ind w:left="80"/>
              <w:spacing w:after="0"/>
              <w:rPr>
                <w:sz w:val="20"/>
                <w:szCs w:val="20"/>
                <w:color w:val="auto"/>
              </w:rPr>
            </w:pPr>
            <w:r>
              <w:rPr>
                <w:rFonts w:ascii="Arial" w:cs="Arial" w:eastAsia="Arial" w:hAnsi="Arial"/>
                <w:sz w:val="20"/>
                <w:szCs w:val="20"/>
                <w:color w:val="auto"/>
              </w:rPr>
              <w:t>Principal Accountant Fees and Services</w:t>
            </w:r>
          </w:p>
        </w:tc>
        <w:tc>
          <w:tcPr>
            <w:tcW w:w="460" w:type="dxa"/>
            <w:vAlign w:val="bottom"/>
          </w:tcPr>
          <w:p>
            <w:pPr>
              <w:jc w:val="right"/>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610"/>
        </w:trPr>
        <w:tc>
          <w:tcPr>
            <w:tcW w:w="860" w:type="dxa"/>
            <w:vAlign w:val="bottom"/>
          </w:tcPr>
          <w:p>
            <w:pPr>
              <w:spacing w:after="0"/>
              <w:rPr>
                <w:sz w:val="20"/>
                <w:szCs w:val="20"/>
                <w:color w:val="auto"/>
              </w:rPr>
            </w:pPr>
            <w:r>
              <w:rPr>
                <w:rFonts w:ascii="Arial" w:cs="Arial" w:eastAsia="Arial" w:hAnsi="Arial"/>
                <w:sz w:val="20"/>
                <w:szCs w:val="20"/>
                <w:b w:val="1"/>
                <w:bCs w:val="1"/>
                <w:color w:val="auto"/>
              </w:rPr>
              <w:t>PART IV</w:t>
            </w:r>
          </w:p>
        </w:tc>
        <w:tc>
          <w:tcPr>
            <w:tcW w:w="7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60" w:type="dxa"/>
            <w:vAlign w:val="bottom"/>
          </w:tcPr>
          <w:p>
            <w:pPr>
              <w:spacing w:after="0"/>
              <w:rPr>
                <w:sz w:val="20"/>
                <w:szCs w:val="20"/>
                <w:color w:val="auto"/>
              </w:rPr>
            </w:pPr>
            <w:r>
              <w:rPr>
                <w:rFonts w:ascii="Arial" w:cs="Arial" w:eastAsia="Arial" w:hAnsi="Arial"/>
                <w:sz w:val="20"/>
                <w:szCs w:val="20"/>
                <w:color w:val="auto"/>
              </w:rPr>
              <w:t>Item 15.</w:t>
            </w:r>
          </w:p>
        </w:tc>
        <w:tc>
          <w:tcPr>
            <w:tcW w:w="7560" w:type="dxa"/>
            <w:vAlign w:val="bottom"/>
          </w:tcPr>
          <w:p>
            <w:pPr>
              <w:ind w:left="80"/>
              <w:spacing w:after="0"/>
              <w:rPr>
                <w:sz w:val="20"/>
                <w:szCs w:val="20"/>
                <w:color w:val="auto"/>
              </w:rPr>
            </w:pPr>
            <w:r>
              <w:rPr>
                <w:rFonts w:ascii="Arial" w:cs="Arial" w:eastAsia="Arial" w:hAnsi="Arial"/>
                <w:sz w:val="20"/>
                <w:szCs w:val="20"/>
                <w:color w:val="auto"/>
              </w:rPr>
              <w:t>Exhibits, Financial Statement Schedules</w:t>
            </w:r>
          </w:p>
        </w:tc>
        <w:tc>
          <w:tcPr>
            <w:tcW w:w="460" w:type="dxa"/>
            <w:vAlign w:val="bottom"/>
          </w:tcPr>
          <w:p>
            <w:pPr>
              <w:jc w:val="right"/>
              <w:spacing w:after="0"/>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300"/>
        </w:trPr>
        <w:tc>
          <w:tcPr>
            <w:tcW w:w="860" w:type="dxa"/>
            <w:vAlign w:val="bottom"/>
          </w:tcPr>
          <w:p>
            <w:pPr>
              <w:spacing w:after="0"/>
              <w:rPr>
                <w:sz w:val="20"/>
                <w:szCs w:val="20"/>
                <w:color w:val="auto"/>
              </w:rPr>
            </w:pPr>
            <w:r>
              <w:rPr>
                <w:rFonts w:ascii="Arial" w:cs="Arial" w:eastAsia="Arial" w:hAnsi="Arial"/>
                <w:sz w:val="20"/>
                <w:szCs w:val="20"/>
                <w:color w:val="auto"/>
              </w:rPr>
              <w:t>Item 16.</w:t>
            </w:r>
          </w:p>
        </w:tc>
        <w:tc>
          <w:tcPr>
            <w:tcW w:w="7560" w:type="dxa"/>
            <w:vAlign w:val="bottom"/>
          </w:tcPr>
          <w:p>
            <w:pPr>
              <w:ind w:left="80"/>
              <w:spacing w:after="0"/>
              <w:rPr>
                <w:sz w:val="20"/>
                <w:szCs w:val="20"/>
                <w:color w:val="auto"/>
              </w:rPr>
            </w:pPr>
            <w:r>
              <w:rPr>
                <w:rFonts w:ascii="Arial" w:cs="Arial" w:eastAsia="Arial" w:hAnsi="Arial"/>
                <w:sz w:val="20"/>
                <w:szCs w:val="20"/>
                <w:color w:val="auto"/>
              </w:rPr>
              <w:t>Form 10-K Summary</w:t>
            </w:r>
          </w:p>
        </w:tc>
        <w:tc>
          <w:tcPr>
            <w:tcW w:w="460" w:type="dxa"/>
            <w:vAlign w:val="bottom"/>
          </w:tcPr>
          <w:p>
            <w:pPr>
              <w:jc w:val="right"/>
              <w:spacing w:after="0"/>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300"/>
        </w:trPr>
        <w:tc>
          <w:tcPr>
            <w:tcW w:w="860" w:type="dxa"/>
            <w:vAlign w:val="bottom"/>
          </w:tcPr>
          <w:p>
            <w:pPr>
              <w:spacing w:after="0"/>
              <w:rPr>
                <w:sz w:val="24"/>
                <w:szCs w:val="24"/>
                <w:color w:val="auto"/>
              </w:rPr>
            </w:pPr>
          </w:p>
        </w:tc>
        <w:tc>
          <w:tcPr>
            <w:tcW w:w="7560" w:type="dxa"/>
            <w:vAlign w:val="bottom"/>
          </w:tcPr>
          <w:p>
            <w:pPr>
              <w:ind w:left="80"/>
              <w:spacing w:after="0"/>
              <w:rPr>
                <w:sz w:val="20"/>
                <w:szCs w:val="20"/>
                <w:color w:val="auto"/>
              </w:rPr>
            </w:pPr>
            <w:r>
              <w:rPr>
                <w:rFonts w:ascii="Arial" w:cs="Arial" w:eastAsia="Arial" w:hAnsi="Arial"/>
                <w:sz w:val="20"/>
                <w:szCs w:val="20"/>
                <w:color w:val="auto"/>
              </w:rPr>
              <w:t>Signatures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880" w:h="15480" w:orient="portrait"/>
          <w:cols w:equalWidth="0" w:num="1">
            <w:col w:w="9000"/>
          </w:cols>
          <w:pgMar w:left="1440" w:top="1203" w:right="1440" w:bottom="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20"/>
          <w:szCs w:val="20"/>
          <w:b w:val="1"/>
          <w:bCs w:val="1"/>
          <w:color w:val="auto"/>
        </w:rPr>
        <w:t>PART I</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Forward-Looking Statements</w:t>
      </w:r>
    </w:p>
    <w:p>
      <w:pPr>
        <w:spacing w:after="0" w:line="251" w:lineRule="exact"/>
        <w:rPr>
          <w:sz w:val="20"/>
          <w:szCs w:val="20"/>
          <w:color w:val="auto"/>
        </w:rPr>
      </w:pPr>
    </w:p>
    <w:p>
      <w:pPr>
        <w:ind w:firstLine="360"/>
        <w:spacing w:after="0" w:line="253" w:lineRule="auto"/>
        <w:rPr>
          <w:sz w:val="20"/>
          <w:szCs w:val="20"/>
          <w:color w:val="auto"/>
        </w:rPr>
      </w:pPr>
      <w:r>
        <w:rPr>
          <w:rFonts w:ascii="Arial" w:cs="Arial" w:eastAsia="Arial" w:hAnsi="Arial"/>
          <w:sz w:val="20"/>
          <w:szCs w:val="20"/>
          <w:color w:val="auto"/>
        </w:rPr>
        <w:t>This Annual Report on Form 10-K, including the sections entitled "Business," "Risk Factors," and "Management's Discussion and Analysis of Financial Condition and Results of Operations," contains forward-looking statements that involve known and unknown risks, uncertainties and other factors that may cause our actual results, levels of activity, performance or achievements to be materially different from the information expressed or implied by these forward-looking statements. Statements that are not purely historical are forward-looking statements within the meaning of Section 27A of the Securities Act of 1933, as amended,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forward-looking statements include, but are not limited to, statements concerning the following:</w:t>
      </w:r>
    </w:p>
    <w:p>
      <w:pPr>
        <w:spacing w:after="0" w:line="31" w:lineRule="exact"/>
        <w:rPr>
          <w:sz w:val="20"/>
          <w:szCs w:val="20"/>
          <w:color w:val="auto"/>
        </w:rPr>
      </w:pPr>
    </w:p>
    <w:p>
      <w:pPr>
        <w:ind w:left="720" w:right="160" w:hanging="360"/>
        <w:spacing w:after="0" w:line="268" w:lineRule="auto"/>
        <w:tabs>
          <w:tab w:leader="none" w:pos="7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anticipated impact of the global economic uncertainty and financial market conditions on our business, results of operations and financial condition, including on our sales and our revenue growth rate;</w:t>
      </w:r>
    </w:p>
    <w:p>
      <w:pPr>
        <w:spacing w:after="0" w:line="9" w:lineRule="exact"/>
        <w:rPr>
          <w:rFonts w:ascii="Arial" w:cs="Arial" w:eastAsia="Arial" w:hAnsi="Arial"/>
          <w:sz w:val="20"/>
          <w:szCs w:val="20"/>
          <w:color w:val="auto"/>
        </w:rPr>
      </w:pPr>
    </w:p>
    <w:p>
      <w:pPr>
        <w:ind w:left="720" w:hanging="360"/>
        <w:spacing w:after="0"/>
        <w:tabs>
          <w:tab w:leader="none" w:pos="7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our market opportunity;</w:t>
      </w:r>
    </w:p>
    <w:p>
      <w:pPr>
        <w:spacing w:after="0" w:line="70" w:lineRule="exact"/>
        <w:rPr>
          <w:rFonts w:ascii="Arial" w:cs="Arial" w:eastAsia="Arial" w:hAnsi="Arial"/>
          <w:sz w:val="20"/>
          <w:szCs w:val="20"/>
          <w:color w:val="auto"/>
        </w:rPr>
      </w:pPr>
    </w:p>
    <w:p>
      <w:pPr>
        <w:ind w:left="720" w:right="20" w:hanging="360"/>
        <w:spacing w:after="0" w:line="281" w:lineRule="auto"/>
        <w:tabs>
          <w:tab w:leader="none" w:pos="7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effects of increased competition as well as innovations by new and existing competitors in our market;</w:t>
      </w:r>
    </w:p>
    <w:p>
      <w:pPr>
        <w:spacing w:after="0" w:line="1" w:lineRule="exact"/>
        <w:rPr>
          <w:rFonts w:ascii="Arial" w:cs="Arial" w:eastAsia="Arial" w:hAnsi="Arial"/>
          <w:sz w:val="20"/>
          <w:szCs w:val="20"/>
          <w:color w:val="auto"/>
        </w:rPr>
      </w:pPr>
    </w:p>
    <w:p>
      <w:pPr>
        <w:ind w:left="720" w:right="200" w:hanging="360"/>
        <w:spacing w:after="0" w:line="281" w:lineRule="auto"/>
        <w:tabs>
          <w:tab w:leader="none" w:pos="7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our ability to adapt to technological change, release new products and product features and effectively enhance, innovate and scale our enterprise platform and solutions;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our ability to effectively manage or sustain our growth and to achieve profitability;</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our ability to maintain and expand our customer base, including by attracting new customers;</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our relationships with third parties, including channel partners;</w:t>
      </w:r>
    </w:p>
    <w:p>
      <w:pPr>
        <w:spacing w:after="0" w:line="70" w:lineRule="exact"/>
        <w:rPr>
          <w:rFonts w:ascii="Arial" w:cs="Arial" w:eastAsia="Arial" w:hAnsi="Arial"/>
          <w:sz w:val="20"/>
          <w:szCs w:val="20"/>
          <w:color w:val="auto"/>
        </w:rPr>
      </w:pPr>
    </w:p>
    <w:p>
      <w:pPr>
        <w:ind w:left="720" w:right="600" w:hanging="360"/>
        <w:spacing w:after="0" w:line="281" w:lineRule="auto"/>
        <w:tabs>
          <w:tab w:leader="none" w:pos="7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completed and potential acquisitions and integration of complementary businesses and technologies;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our ability to maintain, or strengthen awareness of, our brand;</w:t>
      </w:r>
    </w:p>
    <w:p>
      <w:pPr>
        <w:spacing w:after="0" w:line="70" w:lineRule="exact"/>
        <w:rPr>
          <w:rFonts w:ascii="Arial" w:cs="Arial" w:eastAsia="Arial" w:hAnsi="Arial"/>
          <w:sz w:val="20"/>
          <w:szCs w:val="20"/>
          <w:color w:val="auto"/>
        </w:rPr>
      </w:pPr>
    </w:p>
    <w:p>
      <w:pPr>
        <w:ind w:left="720" w:right="120" w:hanging="360"/>
        <w:spacing w:after="0" w:line="281" w:lineRule="auto"/>
        <w:tabs>
          <w:tab w:leader="none" w:pos="7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perceived or actual problems with the security, integrity, reliability, compatibility and quality of our platform and solutions;</w:t>
      </w:r>
    </w:p>
    <w:p>
      <w:pPr>
        <w:spacing w:after="0" w:line="1" w:lineRule="exact"/>
        <w:rPr>
          <w:rFonts w:ascii="Arial" w:cs="Arial" w:eastAsia="Arial" w:hAnsi="Arial"/>
          <w:sz w:val="20"/>
          <w:szCs w:val="20"/>
          <w:color w:val="auto"/>
        </w:rPr>
      </w:pPr>
    </w:p>
    <w:p>
      <w:pPr>
        <w:ind w:left="720" w:right="180" w:hanging="360"/>
        <w:spacing w:after="0" w:line="281" w:lineRule="auto"/>
        <w:tabs>
          <w:tab w:leader="none" w:pos="7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future revenue, hiring plans, expenses, capital expenditures, capital requirements and stock performance;</w:t>
      </w:r>
    </w:p>
    <w:p>
      <w:pPr>
        <w:spacing w:after="0" w:line="1" w:lineRule="exact"/>
        <w:rPr>
          <w:rFonts w:ascii="Arial" w:cs="Arial" w:eastAsia="Arial" w:hAnsi="Arial"/>
          <w:sz w:val="20"/>
          <w:szCs w:val="20"/>
          <w:color w:val="auto"/>
        </w:rPr>
      </w:pPr>
    </w:p>
    <w:p>
      <w:pPr>
        <w:ind w:left="720" w:right="60" w:hanging="360"/>
        <w:spacing w:after="0" w:line="281" w:lineRule="auto"/>
        <w:tabs>
          <w:tab w:leader="none" w:pos="7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our ability to attract and retain qualified employees and key personnel and further expand our overall headcount;</w:t>
      </w:r>
    </w:p>
    <w:p>
      <w:pPr>
        <w:spacing w:after="0" w:line="1" w:lineRule="exact"/>
        <w:rPr>
          <w:rFonts w:ascii="Arial" w:cs="Arial" w:eastAsia="Arial" w:hAnsi="Arial"/>
          <w:sz w:val="20"/>
          <w:szCs w:val="20"/>
          <w:color w:val="auto"/>
        </w:rPr>
      </w:pPr>
    </w:p>
    <w:p>
      <w:pPr>
        <w:ind w:left="720" w:right="520" w:hanging="360"/>
        <w:spacing w:after="0" w:line="281" w:lineRule="auto"/>
        <w:tabs>
          <w:tab w:leader="none" w:pos="7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our ability to stay abreast of new or modified laws and regulations that currently apply or become applicable to our business both in the United States and internationally;</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our ability to maintain, protect and enhance our intellectual property;</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costs associated with defending intellectual property infringement and other claims; and</w:t>
      </w:r>
    </w:p>
    <w:p>
      <w:pPr>
        <w:spacing w:after="0" w:line="70" w:lineRule="exact"/>
        <w:rPr>
          <w:rFonts w:ascii="Arial" w:cs="Arial" w:eastAsia="Arial" w:hAnsi="Arial"/>
          <w:sz w:val="20"/>
          <w:szCs w:val="20"/>
          <w:color w:val="auto"/>
        </w:rPr>
      </w:pPr>
    </w:p>
    <w:p>
      <w:pPr>
        <w:ind w:left="720" w:hanging="360"/>
        <w:spacing w:after="0" w:line="287" w:lineRule="auto"/>
        <w:tabs>
          <w:tab w:leader="none" w:pos="7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future trading prices of our common stock and the impact of securities analysts’ reports on these prices.</w:t>
      </w:r>
    </w:p>
    <w:p>
      <w:pPr>
        <w:spacing w:after="0" w:line="170" w:lineRule="exact"/>
        <w:rPr>
          <w:sz w:val="20"/>
          <w:szCs w:val="20"/>
          <w:color w:val="auto"/>
        </w:rPr>
      </w:pPr>
    </w:p>
    <w:p>
      <w:pPr>
        <w:ind w:right="220" w:firstLine="360"/>
        <w:spacing w:after="0" w:line="276" w:lineRule="auto"/>
        <w:rPr>
          <w:sz w:val="20"/>
          <w:szCs w:val="20"/>
          <w:color w:val="auto"/>
        </w:rPr>
      </w:pPr>
      <w:r>
        <w:rPr>
          <w:rFonts w:ascii="Arial" w:cs="Arial" w:eastAsia="Arial" w:hAnsi="Arial"/>
          <w:sz w:val="19"/>
          <w:szCs w:val="19"/>
          <w:color w:val="auto"/>
        </w:rPr>
        <w:t>These statements represent the beliefs and assumptions of our management based on information currently available to us.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880" w:h="15480" w:orient="portrait"/>
          <w:cols w:equalWidth="0" w:num="1">
            <w:col w:w="9000"/>
          </w:cols>
          <w:pgMar w:left="1440" w:top="1203" w:right="1440" w:bottom="0" w:gutter="0" w:footer="0" w:header="0"/>
          <w:type w:val="continuous"/>
        </w:sectPr>
      </w:pPr>
    </w:p>
    <w:bookmarkStart w:id="96" w:name="page97"/>
    <w:bookmarkEnd w:id="96"/>
    <w:p>
      <w:pPr>
        <w:spacing w:after="0" w:line="259" w:lineRule="auto"/>
        <w:rPr>
          <w:sz w:val="20"/>
          <w:szCs w:val="20"/>
          <w:color w:val="auto"/>
        </w:rPr>
      </w:pPr>
      <w:r>
        <w:rPr>
          <w:rFonts w:ascii="Arial" w:cs="Arial" w:eastAsia="Arial" w:hAnsi="Arial"/>
          <w:sz w:val="20"/>
          <w:szCs w:val="20"/>
          <w:color w:val="auto"/>
        </w:rPr>
        <w:t>those discussed in the section titled “Risk Factors” included under Part I, Item 1A.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that occur after the date of this report.</w:t>
      </w:r>
    </w:p>
    <w:p>
      <w:pPr>
        <w:spacing w:after="0" w:line="198"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9"/>
          <w:szCs w:val="19"/>
          <w:b w:val="1"/>
          <w:bCs w:val="1"/>
          <w:color w:val="auto"/>
        </w:rPr>
        <w:t>Business</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Overview</w:t>
      </w:r>
    </w:p>
    <w:p>
      <w:pPr>
        <w:spacing w:after="0" w:line="251" w:lineRule="exact"/>
        <w:rPr>
          <w:sz w:val="20"/>
          <w:szCs w:val="20"/>
          <w:color w:val="auto"/>
        </w:rPr>
      </w:pPr>
    </w:p>
    <w:p>
      <w:pPr>
        <w:ind w:right="220" w:firstLine="360"/>
        <w:spacing w:after="0" w:line="268" w:lineRule="auto"/>
        <w:rPr>
          <w:sz w:val="20"/>
          <w:szCs w:val="20"/>
          <w:color w:val="auto"/>
        </w:rPr>
      </w:pPr>
      <w:r>
        <w:rPr>
          <w:rFonts w:ascii="Arial" w:cs="Arial" w:eastAsia="Arial" w:hAnsi="Arial"/>
          <w:sz w:val="20"/>
          <w:szCs w:val="20"/>
          <w:color w:val="auto"/>
        </w:rPr>
        <w:t>We are a leading provider of exposure management solutions. Exposure management is an effective discipline for managing, measuring and comparing cybersecurity risk in today's complex IT environments.</w:t>
      </w:r>
    </w:p>
    <w:p>
      <w:pPr>
        <w:spacing w:after="0" w:line="190" w:lineRule="exact"/>
        <w:rPr>
          <w:sz w:val="20"/>
          <w:szCs w:val="20"/>
          <w:color w:val="auto"/>
        </w:rPr>
      </w:pPr>
    </w:p>
    <w:p>
      <w:pPr>
        <w:ind w:right="240" w:firstLine="360"/>
        <w:spacing w:after="0" w:line="262" w:lineRule="auto"/>
        <w:rPr>
          <w:sz w:val="20"/>
          <w:szCs w:val="20"/>
          <w:color w:val="auto"/>
        </w:rPr>
      </w:pPr>
      <w:r>
        <w:rPr>
          <w:rFonts w:ascii="Arial" w:cs="Arial" w:eastAsia="Arial" w:hAnsi="Arial"/>
          <w:sz w:val="20"/>
          <w:szCs w:val="20"/>
          <w:color w:val="auto"/>
        </w:rPr>
        <w:t>Organizations around the globe are accelerating their adoption of public and private cloud infrastructure, introducing internet-facing applications and embracing new identity management systems. The rapid adoption of these and other digital technologies is expanding the modern attack surface.</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For most organizations, the modern attack surface includes:</w:t>
      </w:r>
    </w:p>
    <w:p>
      <w:pPr>
        <w:spacing w:after="0" w:line="130" w:lineRule="exact"/>
        <w:rPr>
          <w:sz w:val="20"/>
          <w:szCs w:val="20"/>
          <w:color w:val="auto"/>
        </w:rPr>
      </w:pPr>
    </w:p>
    <w:p>
      <w:pPr>
        <w:ind w:left="720" w:right="440" w:hanging="360"/>
        <w:spacing w:after="0" w:line="281" w:lineRule="auto"/>
        <w:tabs>
          <w:tab w:leader="none" w:pos="7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Identity and access management systems used to control user privileges, which are vulnerable to misconfigurations that can open up attack pathways within an organization;</w:t>
      </w:r>
    </w:p>
    <w:p>
      <w:pPr>
        <w:spacing w:after="0" w:line="1" w:lineRule="exact"/>
        <w:rPr>
          <w:rFonts w:ascii="Arial" w:cs="Arial" w:eastAsia="Arial" w:hAnsi="Arial"/>
          <w:sz w:val="20"/>
          <w:szCs w:val="20"/>
          <w:color w:val="auto"/>
        </w:rPr>
      </w:pPr>
    </w:p>
    <w:p>
      <w:pPr>
        <w:ind w:left="720" w:right="60" w:hanging="360"/>
        <w:spacing w:after="0" w:line="268" w:lineRule="auto"/>
        <w:tabs>
          <w:tab w:leader="none" w:pos="7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An assortment of operational technology, or OT — such as industrial control systems, or ICS, and supervisory control and data acquisition, or SCADA, systems — which is increasingly internet-facing and is often linked to existing IT systems;</w:t>
      </w:r>
    </w:p>
    <w:p>
      <w:pPr>
        <w:spacing w:after="0" w:line="9" w:lineRule="exact"/>
        <w:rPr>
          <w:rFonts w:ascii="Arial" w:cs="Arial" w:eastAsia="Arial" w:hAnsi="Arial"/>
          <w:sz w:val="20"/>
          <w:szCs w:val="20"/>
          <w:color w:val="auto"/>
        </w:rPr>
      </w:pPr>
    </w:p>
    <w:p>
      <w:pPr>
        <w:ind w:left="720" w:right="100" w:hanging="360"/>
        <w:spacing w:after="0" w:line="268" w:lineRule="auto"/>
        <w:tabs>
          <w:tab w:leader="none" w:pos="7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Personal devices, including mobile phones and tablets, internet of things, or IoT, devices and other types of “shadow IT” used by employees, often without the knowledge of the IT and security teams; and</w:t>
      </w:r>
    </w:p>
    <w:p>
      <w:pPr>
        <w:spacing w:after="0" w:line="9" w:lineRule="exact"/>
        <w:rPr>
          <w:rFonts w:ascii="Arial" w:cs="Arial" w:eastAsia="Arial" w:hAnsi="Arial"/>
          <w:sz w:val="20"/>
          <w:szCs w:val="20"/>
          <w:color w:val="auto"/>
        </w:rPr>
      </w:pPr>
    </w:p>
    <w:p>
      <w:pPr>
        <w:ind w:left="720" w:right="260" w:hanging="360"/>
        <w:spacing w:after="0" w:line="287" w:lineRule="auto"/>
        <w:tabs>
          <w:tab w:leader="none" w:pos="7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Virtual machines, microservices, open-source code repositories, containers and other tools used by DevOps teams.</w:t>
      </w:r>
    </w:p>
    <w:p>
      <w:pPr>
        <w:spacing w:after="0" w:line="170" w:lineRule="exact"/>
        <w:rPr>
          <w:sz w:val="20"/>
          <w:szCs w:val="20"/>
          <w:color w:val="auto"/>
        </w:rPr>
      </w:pPr>
    </w:p>
    <w:p>
      <w:pPr>
        <w:ind w:firstLine="360"/>
        <w:spacing w:after="0" w:line="257" w:lineRule="auto"/>
        <w:rPr>
          <w:sz w:val="20"/>
          <w:szCs w:val="20"/>
          <w:color w:val="auto"/>
        </w:rPr>
      </w:pPr>
      <w:r>
        <w:rPr>
          <w:rFonts w:ascii="Arial" w:cs="Arial" w:eastAsia="Arial" w:hAnsi="Arial"/>
          <w:sz w:val="20"/>
          <w:szCs w:val="20"/>
          <w:color w:val="auto"/>
        </w:rPr>
        <w:t>The complexity of the modern attack surface is a key driver behind the growing need for exposure management programs. Security teams are overwhelmed with the constant influx of data from the array of point solutions they are using to manage interconnected vulnerabilities, web applications, identity systems and cloud assets. They are also challenged with effectively analyzing all that data to make informed, proactive decisions about which exposures represent the greatest risk to the organization.</w:t>
      </w:r>
    </w:p>
    <w:p>
      <w:pPr>
        <w:spacing w:after="0" w:line="202" w:lineRule="exact"/>
        <w:rPr>
          <w:sz w:val="20"/>
          <w:szCs w:val="20"/>
          <w:color w:val="auto"/>
        </w:rPr>
      </w:pPr>
    </w:p>
    <w:p>
      <w:pPr>
        <w:ind w:right="580" w:firstLine="360"/>
        <w:spacing w:after="0" w:line="289" w:lineRule="auto"/>
        <w:rPr>
          <w:sz w:val="20"/>
          <w:szCs w:val="20"/>
          <w:color w:val="auto"/>
        </w:rPr>
      </w:pPr>
      <w:r>
        <w:rPr>
          <w:rFonts w:ascii="Arial" w:cs="Arial" w:eastAsia="Arial" w:hAnsi="Arial"/>
          <w:sz w:val="19"/>
          <w:szCs w:val="19"/>
          <w:color w:val="auto"/>
        </w:rPr>
        <w:t>The combination of all these factors presents cybersecurity teams with obstacles that reach beyond the scope of existing point tools. We see three distinct real-world challenges facing cybersecurity professionals that can be addressed with an exposure management program:</w:t>
      </w:r>
    </w:p>
    <w:p>
      <w:pPr>
        <w:spacing w:after="0" w:line="51" w:lineRule="exact"/>
        <w:rPr>
          <w:sz w:val="20"/>
          <w:szCs w:val="20"/>
          <w:color w:val="auto"/>
        </w:rPr>
      </w:pPr>
    </w:p>
    <w:p>
      <w:pPr>
        <w:ind w:left="720" w:hanging="360"/>
        <w:spacing w:after="0"/>
        <w:tabs>
          <w:tab w:leader="none" w:pos="7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Security programs today are reactive when they should be proactive;</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attack surface isn’t siloed, but security programs often are; and</w:t>
      </w:r>
    </w:p>
    <w:p>
      <w:pPr>
        <w:spacing w:after="0" w:line="70" w:lineRule="exact"/>
        <w:rPr>
          <w:rFonts w:ascii="Arial" w:cs="Arial" w:eastAsia="Arial" w:hAnsi="Arial"/>
          <w:sz w:val="20"/>
          <w:szCs w:val="20"/>
          <w:color w:val="auto"/>
        </w:rPr>
      </w:pPr>
    </w:p>
    <w:p>
      <w:pPr>
        <w:ind w:left="720" w:right="480" w:hanging="360"/>
        <w:spacing w:after="0" w:line="287" w:lineRule="auto"/>
        <w:tabs>
          <w:tab w:leader="none" w:pos="7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There’s more data available than ever before, yet it’s difficult for security professionals to prioritize and apply the information in meaningful ways.</w:t>
      </w:r>
    </w:p>
    <w:p>
      <w:pPr>
        <w:spacing w:after="0" w:line="170" w:lineRule="exact"/>
        <w:rPr>
          <w:sz w:val="20"/>
          <w:szCs w:val="20"/>
          <w:color w:val="auto"/>
        </w:rPr>
      </w:pPr>
    </w:p>
    <w:p>
      <w:pPr>
        <w:jc w:val="both"/>
        <w:ind w:right="180" w:firstLine="360"/>
        <w:spacing w:after="0" w:line="268" w:lineRule="auto"/>
        <w:rPr>
          <w:sz w:val="20"/>
          <w:szCs w:val="20"/>
          <w:color w:val="auto"/>
        </w:rPr>
      </w:pPr>
      <w:r>
        <w:rPr>
          <w:rFonts w:ascii="Arial" w:cs="Arial" w:eastAsia="Arial" w:hAnsi="Arial"/>
          <w:sz w:val="20"/>
          <w:szCs w:val="20"/>
          <w:color w:val="auto"/>
        </w:rPr>
        <w:t>An exposure management program, underpinned by a technology platform such as our Tenable One Exposure Management Platform, or Tenable One, can help address these real-world problems. Successfully implemented, an exposure management platform allows organizations to:</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880" w:h="15480" w:orient="portrait"/>
          <w:cols w:equalWidth="0" w:num="1">
            <w:col w:w="9000"/>
          </w:cols>
          <w:pgMar w:left="1440" w:top="1204" w:right="1440" w:bottom="0" w:gutter="0" w:footer="0" w:header="0"/>
          <w:type w:val="continuous"/>
        </w:sectPr>
      </w:pPr>
    </w:p>
    <w:bookmarkStart w:id="97" w:name="page98"/>
    <w:bookmarkEnd w:id="97"/>
    <w:p>
      <w:pPr>
        <w:ind w:left="720" w:hanging="360"/>
        <w:spacing w:after="0"/>
        <w:tabs>
          <w:tab w:leader="none" w:pos="720" w:val="left"/>
        </w:tabs>
        <w:numPr>
          <w:ilvl w:val="0"/>
          <w:numId w:val="83"/>
        </w:numPr>
        <w:rPr>
          <w:rFonts w:ascii="Arial" w:cs="Arial" w:eastAsia="Arial" w:hAnsi="Arial"/>
          <w:sz w:val="20"/>
          <w:szCs w:val="20"/>
          <w:color w:val="auto"/>
        </w:rPr>
      </w:pPr>
      <w:r>
        <w:rPr>
          <w:rFonts w:ascii="Arial" w:cs="Arial" w:eastAsia="Arial" w:hAnsi="Arial"/>
          <w:sz w:val="20"/>
          <w:szCs w:val="20"/>
          <w:color w:val="auto"/>
        </w:rPr>
        <w:t>Gain comprehensive visibility across the modern attack surface;</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83"/>
        </w:numPr>
        <w:rPr>
          <w:rFonts w:ascii="Arial" w:cs="Arial" w:eastAsia="Arial" w:hAnsi="Arial"/>
          <w:sz w:val="20"/>
          <w:szCs w:val="20"/>
          <w:color w:val="auto"/>
        </w:rPr>
      </w:pPr>
      <w:r>
        <w:rPr>
          <w:rFonts w:ascii="Arial" w:cs="Arial" w:eastAsia="Arial" w:hAnsi="Arial"/>
          <w:sz w:val="20"/>
          <w:szCs w:val="20"/>
          <w:color w:val="auto"/>
        </w:rPr>
        <w:t>Anticipate threats and prioritize efforts to prevent attacks; and</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83"/>
        </w:numPr>
        <w:rPr>
          <w:rFonts w:ascii="Arial" w:cs="Arial" w:eastAsia="Arial" w:hAnsi="Arial"/>
          <w:sz w:val="20"/>
          <w:szCs w:val="20"/>
          <w:color w:val="auto"/>
        </w:rPr>
      </w:pPr>
      <w:r>
        <w:rPr>
          <w:rFonts w:ascii="Arial" w:cs="Arial" w:eastAsia="Arial" w:hAnsi="Arial"/>
          <w:sz w:val="20"/>
          <w:szCs w:val="20"/>
          <w:color w:val="auto"/>
        </w:rPr>
        <w:t>Communicate cyber risk to make better decisions.</w:t>
      </w:r>
    </w:p>
    <w:p>
      <w:pPr>
        <w:spacing w:after="0" w:line="250" w:lineRule="exact"/>
        <w:rPr>
          <w:sz w:val="20"/>
          <w:szCs w:val="20"/>
          <w:color w:val="auto"/>
        </w:rPr>
      </w:pPr>
    </w:p>
    <w:p>
      <w:pPr>
        <w:ind w:right="40" w:firstLine="415"/>
        <w:spacing w:after="0" w:line="273" w:lineRule="auto"/>
        <w:rPr>
          <w:sz w:val="20"/>
          <w:szCs w:val="20"/>
          <w:color w:val="auto"/>
        </w:rPr>
      </w:pPr>
      <w:r>
        <w:rPr>
          <w:rFonts w:ascii="Arial" w:cs="Arial" w:eastAsia="Arial" w:hAnsi="Arial"/>
          <w:sz w:val="19"/>
          <w:szCs w:val="19"/>
          <w:color w:val="auto"/>
        </w:rPr>
        <w:t>In order to be effective, we believe an exposure management platform must extend beyond traditional vulnerability management, which concentrates on the discovery and remediation of publicly disclosed Common Vulnerabilities and Exposures, or CVEs. To be a functional part of an exposure management program, the platform needs to include information about configuration issues, vulnerabilities and attack paths across a spectrum of assets and technologies — including identity solutions, such as Active Directory; cloud configurations and deployments; and web applications.</w:t>
      </w:r>
    </w:p>
    <w:p>
      <w:pPr>
        <w:spacing w:after="0" w:line="189" w:lineRule="exact"/>
        <w:rPr>
          <w:sz w:val="20"/>
          <w:szCs w:val="20"/>
          <w:color w:val="auto"/>
        </w:rPr>
      </w:pPr>
    </w:p>
    <w:p>
      <w:pPr>
        <w:ind w:right="520" w:firstLine="360"/>
        <w:spacing w:after="0" w:line="273" w:lineRule="auto"/>
        <w:rPr>
          <w:sz w:val="20"/>
          <w:szCs w:val="20"/>
          <w:color w:val="auto"/>
        </w:rPr>
      </w:pPr>
      <w:r>
        <w:rPr>
          <w:rFonts w:ascii="Arial" w:cs="Arial" w:eastAsia="Arial" w:hAnsi="Arial"/>
          <w:sz w:val="19"/>
          <w:szCs w:val="19"/>
          <w:color w:val="auto"/>
        </w:rPr>
        <w:t>With these considerations in mind, we launched Tenable One in October 2022. Tenable One unifies a variety of data sources into a single exposure view to help organizations gain visibility, prioritize efforts and communicate cyber risks. Building on our existing products, Tenable One is designed to take advantage of the integrations that already exist with our partners and form the foundation of an exposure management program, alongside the other tools, such as endpoint detection and response, or EDR, and firewalls, and required business processes.</w:t>
      </w:r>
    </w:p>
    <w:p>
      <w:pPr>
        <w:spacing w:after="0" w:line="189" w:lineRule="exact"/>
        <w:rPr>
          <w:sz w:val="20"/>
          <w:szCs w:val="20"/>
          <w:color w:val="auto"/>
        </w:rPr>
      </w:pPr>
    </w:p>
    <w:p>
      <w:pPr>
        <w:ind w:right="80" w:firstLine="360"/>
        <w:spacing w:after="0" w:line="259" w:lineRule="auto"/>
        <w:rPr>
          <w:sz w:val="20"/>
          <w:szCs w:val="20"/>
          <w:color w:val="auto"/>
        </w:rPr>
      </w:pPr>
      <w:r>
        <w:rPr>
          <w:rFonts w:ascii="Arial" w:cs="Arial" w:eastAsia="Arial" w:hAnsi="Arial"/>
          <w:sz w:val="20"/>
          <w:szCs w:val="20"/>
          <w:color w:val="auto"/>
        </w:rPr>
        <w:t>In 2022, 2021 and 2020 our total revenue was $683.2 million, $541.1 million and $440.2 million, respectively, representing year-over-year growth rates of 26% from 2021 to 2022 and 23% from 2020 to 2021. Our net loss was $92.2 million, $46.7 million and $42.7 million in 2022, 2021 and 2020, respectively. Our cash flows from operating activities were $131.2 million, $96.8 million and $64.2 million in 2022, 2021 and 2020, respectively.</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Our Solutions</w:t>
      </w:r>
    </w:p>
    <w:p>
      <w:pPr>
        <w:spacing w:after="0" w:line="249" w:lineRule="exact"/>
        <w:rPr>
          <w:sz w:val="20"/>
          <w:szCs w:val="20"/>
          <w:color w:val="auto"/>
        </w:rPr>
      </w:pPr>
    </w:p>
    <w:p>
      <w:pPr>
        <w:ind w:firstLine="360"/>
        <w:spacing w:after="0" w:line="256" w:lineRule="auto"/>
        <w:rPr>
          <w:sz w:val="20"/>
          <w:szCs w:val="20"/>
          <w:color w:val="auto"/>
        </w:rPr>
      </w:pPr>
      <w:r>
        <w:rPr>
          <w:rFonts w:ascii="Arial" w:cs="Arial" w:eastAsia="Arial" w:hAnsi="Arial"/>
          <w:sz w:val="20"/>
          <w:szCs w:val="20"/>
          <w:color w:val="auto"/>
        </w:rPr>
        <w:t>With Tenable One, organizations can translate technical data about assets, vulnerabilities and threats into clear business insights and actionable intelligence for security executives and practitioners. The platform combines the broad, industry leading, vulnerability coverage, spanning IT assets, cloud resources, containers, web apps and identity systems. Tenable One builds on the speed and breadth of vulnerability coverage from our research team of cybersecurity and data science experts, or Tenable Research, and adds aggregated exposure view analytics, guidance on mitigating attack pathways and a centralized asset inventory.</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Tenable One incorporates these Tenable products:</w:t>
      </w:r>
    </w:p>
    <w:p>
      <w:pPr>
        <w:spacing w:after="0" w:line="249" w:lineRule="exact"/>
        <w:rPr>
          <w:sz w:val="20"/>
          <w:szCs w:val="20"/>
          <w:color w:val="auto"/>
        </w:rPr>
      </w:pPr>
    </w:p>
    <w:p>
      <w:pPr>
        <w:ind w:left="720" w:right="100" w:hanging="360"/>
        <w:spacing w:after="0" w:line="256" w:lineRule="auto"/>
        <w:tabs>
          <w:tab w:leader="none" w:pos="720" w:val="left"/>
        </w:tabs>
        <w:numPr>
          <w:ilvl w:val="0"/>
          <w:numId w:val="84"/>
        </w:numPr>
        <w:rPr>
          <w:rFonts w:ascii="Arial" w:cs="Arial" w:eastAsia="Arial" w:hAnsi="Arial"/>
          <w:sz w:val="20"/>
          <w:szCs w:val="20"/>
          <w:color w:val="auto"/>
        </w:rPr>
      </w:pPr>
      <w:r>
        <w:rPr>
          <w:rFonts w:ascii="Arial" w:cs="Arial" w:eastAsia="Arial" w:hAnsi="Arial"/>
          <w:sz w:val="20"/>
          <w:szCs w:val="20"/>
          <w:b w:val="1"/>
          <w:bCs w:val="1"/>
          <w:color w:val="auto"/>
        </w:rPr>
        <w:t>Tenable.io</w:t>
      </w:r>
      <w:r>
        <w:rPr>
          <w:rFonts w:ascii="Arial" w:cs="Arial" w:eastAsia="Arial" w:hAnsi="Arial"/>
          <w:sz w:val="20"/>
          <w:szCs w:val="20"/>
          <w:color w:val="auto"/>
        </w:rPr>
        <w:t>: our cloud-delivered software-as-a-service, or SaaS, Vulnerability Management</w:t>
      </w:r>
      <w:r>
        <w:rPr>
          <w:rFonts w:ascii="Arial" w:cs="Arial" w:eastAsia="Arial" w:hAnsi="Arial"/>
          <w:sz w:val="20"/>
          <w:szCs w:val="20"/>
          <w:b w:val="1"/>
          <w:bCs w:val="1"/>
          <w:color w:val="auto"/>
        </w:rPr>
        <w:t xml:space="preserve"> </w:t>
      </w:r>
      <w:r>
        <w:rPr>
          <w:rFonts w:ascii="Arial" w:cs="Arial" w:eastAsia="Arial" w:hAnsi="Arial"/>
          <w:sz w:val="20"/>
          <w:szCs w:val="20"/>
          <w:color w:val="auto"/>
        </w:rPr>
        <w:t>offering that provides organizations with a risk-based view of traditional and modern attack surfaces. Tenable.io is designed with views, workflows and dashboards to deliver a complete and continuous view of all assets, both known and previously unknown, and any associated vulnerabilities, internal and regulatory compliance violations, misconfigurations and other cybersecurity issues, prioritize these issues for remediation based on risk assessment and predictive analytics, and provide insightful remediation guidance.</w:t>
      </w:r>
    </w:p>
    <w:p>
      <w:pPr>
        <w:spacing w:after="0" w:line="82" w:lineRule="exact"/>
        <w:rPr>
          <w:rFonts w:ascii="Arial" w:cs="Arial" w:eastAsia="Arial" w:hAnsi="Arial"/>
          <w:sz w:val="20"/>
          <w:szCs w:val="20"/>
          <w:color w:val="auto"/>
        </w:rPr>
      </w:pPr>
    </w:p>
    <w:p>
      <w:pPr>
        <w:ind w:left="720" w:right="160" w:hanging="360"/>
        <w:spacing w:after="0" w:line="262" w:lineRule="auto"/>
        <w:tabs>
          <w:tab w:leader="none" w:pos="720" w:val="left"/>
        </w:tabs>
        <w:numPr>
          <w:ilvl w:val="0"/>
          <w:numId w:val="84"/>
        </w:numPr>
        <w:rPr>
          <w:rFonts w:ascii="Arial" w:cs="Arial" w:eastAsia="Arial" w:hAnsi="Arial"/>
          <w:sz w:val="20"/>
          <w:szCs w:val="20"/>
          <w:color w:val="auto"/>
        </w:rPr>
      </w:pPr>
      <w:r>
        <w:rPr>
          <w:rFonts w:ascii="Arial" w:cs="Arial" w:eastAsia="Arial" w:hAnsi="Arial"/>
          <w:sz w:val="20"/>
          <w:szCs w:val="20"/>
          <w:b w:val="1"/>
          <w:bCs w:val="1"/>
          <w:color w:val="auto"/>
        </w:rPr>
        <w:t>Tenable.io Web Application Scanning</w:t>
      </w:r>
      <w:r>
        <w:rPr>
          <w:rFonts w:ascii="Arial" w:cs="Arial" w:eastAsia="Arial" w:hAnsi="Arial"/>
          <w:sz w:val="20"/>
          <w:szCs w:val="20"/>
          <w:color w:val="auto"/>
        </w:rPr>
        <w:t>: our easy-to-use, comprehensive and automated</w:t>
      </w:r>
      <w:r>
        <w:rPr>
          <w:rFonts w:ascii="Arial" w:cs="Arial" w:eastAsia="Arial" w:hAnsi="Arial"/>
          <w:sz w:val="20"/>
          <w:szCs w:val="20"/>
          <w:b w:val="1"/>
          <w:bCs w:val="1"/>
          <w:color w:val="auto"/>
        </w:rPr>
        <w:t xml:space="preserve"> </w:t>
      </w:r>
      <w:r>
        <w:rPr>
          <w:rFonts w:ascii="Arial" w:cs="Arial" w:eastAsia="Arial" w:hAnsi="Arial"/>
          <w:sz w:val="20"/>
          <w:szCs w:val="20"/>
          <w:color w:val="auto"/>
        </w:rPr>
        <w:t>Vulnerability Scanning for modern web applications, which allows organizations to quickly configure and manage web app scans, enabling them to identify vulnerabilities and prioritize remediation.</w:t>
      </w:r>
    </w:p>
    <w:p>
      <w:pPr>
        <w:spacing w:after="0" w:line="75" w:lineRule="exact"/>
        <w:rPr>
          <w:rFonts w:ascii="Arial" w:cs="Arial" w:eastAsia="Arial" w:hAnsi="Arial"/>
          <w:sz w:val="20"/>
          <w:szCs w:val="20"/>
          <w:color w:val="auto"/>
        </w:rPr>
      </w:pPr>
    </w:p>
    <w:p>
      <w:pPr>
        <w:ind w:left="720" w:right="200" w:hanging="360"/>
        <w:spacing w:after="0" w:line="281" w:lineRule="auto"/>
        <w:tabs>
          <w:tab w:leader="none" w:pos="720" w:val="left"/>
        </w:tabs>
        <w:numPr>
          <w:ilvl w:val="0"/>
          <w:numId w:val="84"/>
        </w:numPr>
        <w:rPr>
          <w:rFonts w:ascii="Arial" w:cs="Arial" w:eastAsia="Arial" w:hAnsi="Arial"/>
          <w:sz w:val="19"/>
          <w:szCs w:val="19"/>
          <w:color w:val="auto"/>
        </w:rPr>
      </w:pPr>
      <w:r>
        <w:rPr>
          <w:rFonts w:ascii="Arial" w:cs="Arial" w:eastAsia="Arial" w:hAnsi="Arial"/>
          <w:sz w:val="19"/>
          <w:szCs w:val="19"/>
          <w:b w:val="1"/>
          <w:bCs w:val="1"/>
          <w:color w:val="auto"/>
        </w:rPr>
        <w:t>Tenable Lumin Exposure View</w:t>
      </w:r>
      <w:r>
        <w:rPr>
          <w:rFonts w:ascii="Arial" w:cs="Arial" w:eastAsia="Arial" w:hAnsi="Arial"/>
          <w:sz w:val="19"/>
          <w:szCs w:val="19"/>
          <w:color w:val="auto"/>
        </w:rPr>
        <w:t>: our measurement tool, which leverages our expansive</w:t>
      </w:r>
      <w:r>
        <w:rPr>
          <w:rFonts w:ascii="Arial" w:cs="Arial" w:eastAsia="Arial" w:hAnsi="Arial"/>
          <w:sz w:val="19"/>
          <w:szCs w:val="19"/>
          <w:b w:val="1"/>
          <w:bCs w:val="1"/>
          <w:color w:val="auto"/>
        </w:rPr>
        <w:t xml:space="preserve"> </w:t>
      </w:r>
      <w:r>
        <w:rPr>
          <w:rFonts w:ascii="Arial" w:cs="Arial" w:eastAsia="Arial" w:hAnsi="Arial"/>
          <w:sz w:val="19"/>
          <w:szCs w:val="19"/>
          <w:color w:val="auto"/>
        </w:rPr>
        <w:t>knowledge base of assets and vulnerabilities coupled with data science insights, to help our customers objectively score, trend and benchmark cyber risk across their organizations, including by business unit or geography, for comparison and best practices. We believe this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880" w:h="15480" w:orient="portrait"/>
          <w:cols w:equalWidth="0" w:num="1">
            <w:col w:w="9000"/>
          </w:cols>
          <w:pgMar w:left="1440" w:top="1204" w:right="1440" w:bottom="0" w:gutter="0" w:footer="0" w:header="0"/>
          <w:type w:val="continuous"/>
        </w:sectPr>
      </w:pPr>
    </w:p>
    <w:bookmarkStart w:id="98" w:name="page99"/>
    <w:bookmarkEnd w:id="98"/>
    <w:p>
      <w:pPr>
        <w:ind w:left="720" w:right="180"/>
        <w:spacing w:after="0" w:line="262" w:lineRule="auto"/>
        <w:rPr>
          <w:sz w:val="20"/>
          <w:szCs w:val="20"/>
          <w:color w:val="auto"/>
        </w:rPr>
      </w:pPr>
      <w:r>
        <w:rPr>
          <w:rFonts w:ascii="Arial" w:cs="Arial" w:eastAsia="Arial" w:hAnsi="Arial"/>
          <w:sz w:val="20"/>
          <w:szCs w:val="20"/>
          <w:color w:val="auto"/>
        </w:rPr>
        <w:t>capability is critical to help security executives effectively translate technical information and communicate cybersecurity risk to a non-technical audience, including the C-suite and the board of directors, to enable them to make better strategic decisions on where to focus investment to maximize cybersecurity risk reduction.</w:t>
      </w:r>
    </w:p>
    <w:p>
      <w:pPr>
        <w:spacing w:after="0" w:line="75" w:lineRule="exact"/>
        <w:rPr>
          <w:sz w:val="20"/>
          <w:szCs w:val="20"/>
          <w:color w:val="auto"/>
        </w:rPr>
      </w:pPr>
    </w:p>
    <w:p>
      <w:pPr>
        <w:ind w:left="720" w:hanging="360"/>
        <w:spacing w:after="0" w:line="259" w:lineRule="auto"/>
        <w:tabs>
          <w:tab w:leader="none" w:pos="720" w:val="left"/>
        </w:tabs>
        <w:numPr>
          <w:ilvl w:val="0"/>
          <w:numId w:val="85"/>
        </w:numPr>
        <w:rPr>
          <w:rFonts w:ascii="Arial" w:cs="Arial" w:eastAsia="Arial" w:hAnsi="Arial"/>
          <w:sz w:val="20"/>
          <w:szCs w:val="20"/>
          <w:color w:val="auto"/>
        </w:rPr>
      </w:pPr>
      <w:r>
        <w:rPr>
          <w:rFonts w:ascii="Arial" w:cs="Arial" w:eastAsia="Arial" w:hAnsi="Arial"/>
          <w:sz w:val="20"/>
          <w:szCs w:val="20"/>
          <w:b w:val="1"/>
          <w:bCs w:val="1"/>
          <w:color w:val="auto"/>
        </w:rPr>
        <w:t>Tenable.cs</w:t>
      </w:r>
      <w:r>
        <w:rPr>
          <w:rFonts w:ascii="Arial" w:cs="Arial" w:eastAsia="Arial" w:hAnsi="Arial"/>
          <w:sz w:val="20"/>
          <w:szCs w:val="20"/>
          <w:color w:val="auto"/>
        </w:rPr>
        <w:t>: our cloud-native Cloud Security solution enables security teams to continuously</w:t>
      </w:r>
      <w:r>
        <w:rPr>
          <w:rFonts w:ascii="Arial" w:cs="Arial" w:eastAsia="Arial" w:hAnsi="Arial"/>
          <w:sz w:val="20"/>
          <w:szCs w:val="20"/>
          <w:b w:val="1"/>
          <w:bCs w:val="1"/>
          <w:color w:val="auto"/>
        </w:rPr>
        <w:t xml:space="preserve"> </w:t>
      </w:r>
      <w:r>
        <w:rPr>
          <w:rFonts w:ascii="Arial" w:cs="Arial" w:eastAsia="Arial" w:hAnsi="Arial"/>
          <w:sz w:val="20"/>
          <w:szCs w:val="20"/>
          <w:color w:val="auto"/>
        </w:rPr>
        <w:t>assess the security posture of their cloud environments by maintaining a current inventory of cloud assets for proactive analysis whenever a new vulnerability is published. Tenable.cs provides cloud security teams the tools they need to apply, monitor and report on security and compliance policies across multi-cloud environments.</w:t>
      </w:r>
    </w:p>
    <w:p>
      <w:pPr>
        <w:spacing w:after="0" w:line="79" w:lineRule="exact"/>
        <w:rPr>
          <w:rFonts w:ascii="Arial" w:cs="Arial" w:eastAsia="Arial" w:hAnsi="Arial"/>
          <w:sz w:val="20"/>
          <w:szCs w:val="20"/>
          <w:color w:val="auto"/>
        </w:rPr>
      </w:pPr>
    </w:p>
    <w:p>
      <w:pPr>
        <w:ind w:left="720" w:right="300" w:hanging="360"/>
        <w:spacing w:after="0" w:line="269" w:lineRule="auto"/>
        <w:tabs>
          <w:tab w:leader="none" w:pos="720" w:val="left"/>
        </w:tabs>
        <w:numPr>
          <w:ilvl w:val="0"/>
          <w:numId w:val="85"/>
        </w:numPr>
        <w:rPr>
          <w:rFonts w:ascii="Arial" w:cs="Arial" w:eastAsia="Arial" w:hAnsi="Arial"/>
          <w:sz w:val="20"/>
          <w:szCs w:val="20"/>
          <w:color w:val="auto"/>
        </w:rPr>
      </w:pPr>
      <w:r>
        <w:rPr>
          <w:rFonts w:ascii="Arial" w:cs="Arial" w:eastAsia="Arial" w:hAnsi="Arial"/>
          <w:sz w:val="20"/>
          <w:szCs w:val="20"/>
          <w:b w:val="1"/>
          <w:bCs w:val="1"/>
          <w:color w:val="auto"/>
        </w:rPr>
        <w:t>Tenable.ad</w:t>
      </w:r>
      <w:r>
        <w:rPr>
          <w:rFonts w:ascii="Arial" w:cs="Arial" w:eastAsia="Arial" w:hAnsi="Arial"/>
          <w:sz w:val="20"/>
          <w:szCs w:val="20"/>
          <w:color w:val="auto"/>
        </w:rPr>
        <w:t>: our solution to secure Active Directory environments by enabling users to find</w:t>
      </w:r>
      <w:r>
        <w:rPr>
          <w:rFonts w:ascii="Arial" w:cs="Arial" w:eastAsia="Arial" w:hAnsi="Arial"/>
          <w:sz w:val="20"/>
          <w:szCs w:val="20"/>
          <w:b w:val="1"/>
          <w:bCs w:val="1"/>
          <w:color w:val="auto"/>
        </w:rPr>
        <w:t xml:space="preserve"> </w:t>
      </w:r>
      <w:r>
        <w:rPr>
          <w:rFonts w:ascii="Arial" w:cs="Arial" w:eastAsia="Arial" w:hAnsi="Arial"/>
          <w:sz w:val="20"/>
          <w:szCs w:val="20"/>
          <w:color w:val="auto"/>
        </w:rPr>
        <w:t>and fix existing weaknesses before they are exploited and detect and respond to ongoing attacks in real time without the need to deploy agents or use privileged accounts.</w:t>
      </w:r>
    </w:p>
    <w:p>
      <w:pPr>
        <w:spacing w:after="0" w:line="66" w:lineRule="exact"/>
        <w:rPr>
          <w:rFonts w:ascii="Arial" w:cs="Arial" w:eastAsia="Arial" w:hAnsi="Arial"/>
          <w:sz w:val="20"/>
          <w:szCs w:val="20"/>
          <w:color w:val="auto"/>
        </w:rPr>
      </w:pPr>
    </w:p>
    <w:p>
      <w:pPr>
        <w:ind w:left="720" w:hanging="360"/>
        <w:spacing w:after="0" w:line="269" w:lineRule="auto"/>
        <w:tabs>
          <w:tab w:leader="none" w:pos="720" w:val="left"/>
        </w:tabs>
        <w:numPr>
          <w:ilvl w:val="0"/>
          <w:numId w:val="85"/>
        </w:numPr>
        <w:rPr>
          <w:rFonts w:ascii="Arial" w:cs="Arial" w:eastAsia="Arial" w:hAnsi="Arial"/>
          <w:sz w:val="20"/>
          <w:szCs w:val="20"/>
          <w:color w:val="auto"/>
        </w:rPr>
      </w:pPr>
      <w:r>
        <w:rPr>
          <w:rFonts w:ascii="Arial" w:cs="Arial" w:eastAsia="Arial" w:hAnsi="Arial"/>
          <w:sz w:val="20"/>
          <w:szCs w:val="20"/>
          <w:b w:val="1"/>
          <w:bCs w:val="1"/>
          <w:color w:val="auto"/>
        </w:rPr>
        <w:t>Tenable.asm</w:t>
      </w:r>
      <w:r>
        <w:rPr>
          <w:rFonts w:ascii="Arial" w:cs="Arial" w:eastAsia="Arial" w:hAnsi="Arial"/>
          <w:sz w:val="20"/>
          <w:szCs w:val="20"/>
          <w:color w:val="auto"/>
        </w:rPr>
        <w:t>: our External Attack Surface Management solution continuously maps the</w:t>
      </w:r>
      <w:r>
        <w:rPr>
          <w:rFonts w:ascii="Arial" w:cs="Arial" w:eastAsia="Arial" w:hAnsi="Arial"/>
          <w:sz w:val="20"/>
          <w:szCs w:val="20"/>
          <w:b w:val="1"/>
          <w:bCs w:val="1"/>
          <w:color w:val="auto"/>
        </w:rPr>
        <w:t xml:space="preserve"> </w:t>
      </w:r>
      <w:r>
        <w:rPr>
          <w:rFonts w:ascii="Arial" w:cs="Arial" w:eastAsia="Arial" w:hAnsi="Arial"/>
          <w:sz w:val="20"/>
          <w:szCs w:val="20"/>
          <w:color w:val="auto"/>
        </w:rPr>
        <w:t>internet, enabling security teams to discover connections to internet-facing assets so they can assess the cybersecurity posture of their entire external attack surface.</w:t>
      </w:r>
    </w:p>
    <w:p>
      <w:pPr>
        <w:spacing w:after="0" w:line="187" w:lineRule="exact"/>
        <w:rPr>
          <w:sz w:val="20"/>
          <w:szCs w:val="20"/>
          <w:color w:val="auto"/>
        </w:rPr>
      </w:pPr>
    </w:p>
    <w:p>
      <w:pPr>
        <w:ind w:right="380" w:firstLine="360"/>
        <w:spacing w:after="0" w:line="287" w:lineRule="auto"/>
        <w:rPr>
          <w:sz w:val="20"/>
          <w:szCs w:val="20"/>
          <w:color w:val="auto"/>
        </w:rPr>
      </w:pPr>
      <w:r>
        <w:rPr>
          <w:rFonts w:ascii="Arial" w:cs="Arial" w:eastAsia="Arial" w:hAnsi="Arial"/>
          <w:sz w:val="20"/>
          <w:szCs w:val="20"/>
          <w:color w:val="auto"/>
        </w:rPr>
        <w:t>All of the above products, now available in Tenable One, continue to be offered as standalone solutions, alongside the following:</w:t>
      </w:r>
    </w:p>
    <w:p>
      <w:pPr>
        <w:spacing w:after="0" w:line="49" w:lineRule="exact"/>
        <w:rPr>
          <w:sz w:val="20"/>
          <w:szCs w:val="20"/>
          <w:color w:val="auto"/>
        </w:rPr>
      </w:pPr>
    </w:p>
    <w:p>
      <w:pPr>
        <w:ind w:left="720" w:right="260" w:hanging="360"/>
        <w:spacing w:after="0" w:line="262" w:lineRule="auto"/>
        <w:tabs>
          <w:tab w:leader="none" w:pos="720" w:val="left"/>
        </w:tabs>
        <w:numPr>
          <w:ilvl w:val="0"/>
          <w:numId w:val="86"/>
        </w:numPr>
        <w:rPr>
          <w:rFonts w:ascii="Arial" w:cs="Arial" w:eastAsia="Arial" w:hAnsi="Arial"/>
          <w:sz w:val="20"/>
          <w:szCs w:val="20"/>
          <w:color w:val="auto"/>
        </w:rPr>
      </w:pPr>
      <w:r>
        <w:rPr>
          <w:rFonts w:ascii="Arial" w:cs="Arial" w:eastAsia="Arial" w:hAnsi="Arial"/>
          <w:sz w:val="20"/>
          <w:szCs w:val="20"/>
          <w:b w:val="1"/>
          <w:bCs w:val="1"/>
          <w:color w:val="auto"/>
        </w:rPr>
        <w:t>Tenable.sc</w:t>
      </w:r>
      <w:r>
        <w:rPr>
          <w:rFonts w:ascii="Arial" w:cs="Arial" w:eastAsia="Arial" w:hAnsi="Arial"/>
          <w:sz w:val="20"/>
          <w:szCs w:val="20"/>
          <w:color w:val="auto"/>
        </w:rPr>
        <w:t>: our on-premises Vulnerability Management offering that provides a risk-based</w:t>
      </w:r>
      <w:r>
        <w:rPr>
          <w:rFonts w:ascii="Arial" w:cs="Arial" w:eastAsia="Arial" w:hAnsi="Arial"/>
          <w:sz w:val="20"/>
          <w:szCs w:val="20"/>
          <w:b w:val="1"/>
          <w:bCs w:val="1"/>
          <w:color w:val="auto"/>
        </w:rPr>
        <w:t xml:space="preserve"> </w:t>
      </w:r>
      <w:r>
        <w:rPr>
          <w:rFonts w:ascii="Arial" w:cs="Arial" w:eastAsia="Arial" w:hAnsi="Arial"/>
          <w:sz w:val="20"/>
          <w:szCs w:val="20"/>
          <w:color w:val="auto"/>
        </w:rPr>
        <w:t>view of an organization’s IT, security and compliance posture so organizations can quickly identify, investigate and prioritize their assets and vulnerabilities based on risk assessment and predictive analytics, and provide insightful remediation guidance.</w:t>
      </w:r>
    </w:p>
    <w:p>
      <w:pPr>
        <w:spacing w:after="0" w:line="75" w:lineRule="exact"/>
        <w:rPr>
          <w:rFonts w:ascii="Arial" w:cs="Arial" w:eastAsia="Arial" w:hAnsi="Arial"/>
          <w:sz w:val="20"/>
          <w:szCs w:val="20"/>
          <w:color w:val="auto"/>
        </w:rPr>
      </w:pPr>
    </w:p>
    <w:p>
      <w:pPr>
        <w:ind w:left="720" w:right="100" w:hanging="360"/>
        <w:spacing w:after="0" w:line="262" w:lineRule="auto"/>
        <w:tabs>
          <w:tab w:leader="none" w:pos="72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Tenable.ot</w:t>
      </w:r>
      <w:r>
        <w:rPr>
          <w:rFonts w:ascii="Arial" w:cs="Arial" w:eastAsia="Arial" w:hAnsi="Arial"/>
          <w:sz w:val="20"/>
          <w:szCs w:val="20"/>
          <w:color w:val="auto"/>
        </w:rPr>
        <w:t>: our Operational Technology Security solution that provides threat detection,</w:t>
      </w:r>
      <w:r>
        <w:rPr>
          <w:rFonts w:ascii="Arial" w:cs="Arial" w:eastAsia="Arial" w:hAnsi="Arial"/>
          <w:sz w:val="20"/>
          <w:szCs w:val="20"/>
          <w:b w:val="1"/>
          <w:bCs w:val="1"/>
          <w:color w:val="auto"/>
        </w:rPr>
        <w:t xml:space="preserve"> </w:t>
      </w:r>
      <w:r>
        <w:rPr>
          <w:rFonts w:ascii="Arial" w:cs="Arial" w:eastAsia="Arial" w:hAnsi="Arial"/>
          <w:sz w:val="20"/>
          <w:szCs w:val="20"/>
          <w:color w:val="auto"/>
        </w:rPr>
        <w:t>asset tracking, vulnerability management, and configuration control capabilities to protect OT environments, including industrial networks. Tenable.ot is sold as a stand-alone solution and integrates with Tenable.io and Tenable.sc.</w:t>
      </w:r>
    </w:p>
    <w:p>
      <w:pPr>
        <w:spacing w:after="0" w:line="196" w:lineRule="exact"/>
        <w:rPr>
          <w:sz w:val="20"/>
          <w:szCs w:val="20"/>
          <w:color w:val="auto"/>
        </w:rPr>
      </w:pPr>
    </w:p>
    <w:p>
      <w:pPr>
        <w:ind w:right="40" w:firstLine="360"/>
        <w:spacing w:after="0" w:line="255" w:lineRule="auto"/>
        <w:rPr>
          <w:sz w:val="20"/>
          <w:szCs w:val="20"/>
          <w:color w:val="auto"/>
        </w:rPr>
      </w:pPr>
      <w:r>
        <w:rPr>
          <w:rFonts w:ascii="Arial" w:cs="Arial" w:eastAsia="Arial" w:hAnsi="Arial"/>
          <w:sz w:val="20"/>
          <w:szCs w:val="20"/>
          <w:color w:val="auto"/>
        </w:rPr>
        <w:t xml:space="preserve">In addition, our </w:t>
      </w:r>
      <w:r>
        <w:rPr>
          <w:rFonts w:ascii="Arial" w:cs="Arial" w:eastAsia="Arial" w:hAnsi="Arial"/>
          <w:sz w:val="20"/>
          <w:szCs w:val="20"/>
          <w:b w:val="1"/>
          <w:bCs w:val="1"/>
          <w:color w:val="auto"/>
        </w:rPr>
        <w:t>Nessus</w:t>
      </w:r>
      <w:r>
        <w:rPr>
          <w:rFonts w:ascii="Arial" w:cs="Arial" w:eastAsia="Arial" w:hAnsi="Arial"/>
          <w:sz w:val="20"/>
          <w:szCs w:val="20"/>
          <w:color w:val="auto"/>
        </w:rPr>
        <w:t xml:space="preserve"> product line is one of the most widely deployed vulnerability assessment solutions in the cybersecurity industry and underpins our enterprise platform. Since the introduction of Nessus in 1998, an extensive community of Nessus users has emerged. We continue to cultivate knowledge and affinity within this user base, which, when combined with our enterprise customers and Tenable Research, creates powerful network effects in the form of a continuous feedback loop of data and insights. We use these learnings to expand our assessment capabilities and coverage, continually optimize our solutions and inform our product strategy and innovation priorities. We believe these data and insights will also fuel and strengthen our benchmarking capabilities over time.</w:t>
      </w:r>
    </w:p>
    <w:p>
      <w:pPr>
        <w:spacing w:after="0" w:line="205" w:lineRule="exact"/>
        <w:rPr>
          <w:sz w:val="20"/>
          <w:szCs w:val="20"/>
          <w:color w:val="auto"/>
        </w:rPr>
      </w:pPr>
    </w:p>
    <w:p>
      <w:pPr>
        <w:ind w:right="60" w:firstLine="360"/>
        <w:spacing w:after="0" w:line="257" w:lineRule="auto"/>
        <w:rPr>
          <w:sz w:val="20"/>
          <w:szCs w:val="20"/>
          <w:color w:val="auto"/>
        </w:rPr>
      </w:pPr>
      <w:r>
        <w:rPr>
          <w:rFonts w:ascii="Arial" w:cs="Arial" w:eastAsia="Arial" w:hAnsi="Arial"/>
          <w:sz w:val="20"/>
          <w:szCs w:val="20"/>
          <w:color w:val="auto"/>
        </w:rPr>
        <w:t xml:space="preserve">In July 2022, we introduced </w:t>
      </w:r>
      <w:r>
        <w:rPr>
          <w:rFonts w:ascii="Arial" w:cs="Arial" w:eastAsia="Arial" w:hAnsi="Arial"/>
          <w:sz w:val="20"/>
          <w:szCs w:val="20"/>
          <w:b w:val="1"/>
          <w:bCs w:val="1"/>
          <w:color w:val="auto"/>
        </w:rPr>
        <w:t>Nessus Expert</w:t>
      </w:r>
      <w:r>
        <w:rPr>
          <w:rFonts w:ascii="Arial" w:cs="Arial" w:eastAsia="Arial" w:hAnsi="Arial"/>
          <w:sz w:val="20"/>
          <w:szCs w:val="20"/>
          <w:color w:val="auto"/>
        </w:rPr>
        <w:t>, which adds Infrastructure as Code, or IaC, scanning along with external attack surface discovery capabilities to identify all domains and subdomains that make up an organization’s external-facing attack surface. Nessus Expert enables users to programmatically detect cloud infrastructure misconfigurations and vulnerabilities in the design and build phases of the software development lifecycle and continuously discover and inventory an organization's internet-facing assets from an attacker's perspective.</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Our Technology Ecosystem</w:t>
      </w:r>
    </w:p>
    <w:p>
      <w:pPr>
        <w:spacing w:after="0" w:line="251" w:lineRule="exact"/>
        <w:rPr>
          <w:sz w:val="20"/>
          <w:szCs w:val="20"/>
          <w:color w:val="auto"/>
        </w:rPr>
      </w:pPr>
    </w:p>
    <w:p>
      <w:pPr>
        <w:jc w:val="both"/>
        <w:ind w:right="240" w:firstLine="360"/>
        <w:spacing w:after="0" w:line="262" w:lineRule="auto"/>
        <w:rPr>
          <w:sz w:val="20"/>
          <w:szCs w:val="20"/>
          <w:color w:val="auto"/>
        </w:rPr>
      </w:pPr>
      <w:r>
        <w:rPr>
          <w:rFonts w:ascii="Arial" w:cs="Arial" w:eastAsia="Arial" w:hAnsi="Arial"/>
          <w:sz w:val="20"/>
          <w:szCs w:val="20"/>
          <w:color w:val="auto"/>
        </w:rPr>
        <w:t>We have partnered and/or integrated with market leading technology companies to pioneer the industry’s first exposure management ecosystem to help organizations build resilient cybersecurity programs. Our ecosystem consists of a variety of third-party data import sources integrated into our platform offerings, as well as export of our data out to third-party IT systems. Our technology</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880" w:h="15480" w:orient="portrait"/>
          <w:cols w:equalWidth="0" w:num="1">
            <w:col w:w="9000"/>
          </w:cols>
          <w:pgMar w:left="1440" w:top="1204" w:right="1440" w:bottom="0" w:gutter="0" w:footer="0" w:header="0"/>
          <w:type w:val="continuous"/>
        </w:sectPr>
      </w:pPr>
    </w:p>
    <w:bookmarkStart w:id="99" w:name="page100"/>
    <w:bookmarkEnd w:id="99"/>
    <w:p>
      <w:pPr>
        <w:ind w:right="920"/>
        <w:spacing w:after="0" w:line="287" w:lineRule="auto"/>
        <w:rPr>
          <w:sz w:val="20"/>
          <w:szCs w:val="20"/>
          <w:color w:val="auto"/>
        </w:rPr>
      </w:pPr>
      <w:r>
        <w:rPr>
          <w:rFonts w:ascii="Arial" w:cs="Arial" w:eastAsia="Arial" w:hAnsi="Arial"/>
          <w:sz w:val="20"/>
          <w:szCs w:val="20"/>
          <w:color w:val="auto"/>
        </w:rPr>
        <w:t>ecosystem connects disparate solutions and data to automate processes and accelerate an organization’s ability to understand, manage and reduce its cyber risk.</w:t>
      </w:r>
    </w:p>
    <w:p>
      <w:pPr>
        <w:spacing w:after="0" w:line="170" w:lineRule="exact"/>
        <w:rPr>
          <w:sz w:val="20"/>
          <w:szCs w:val="20"/>
          <w:color w:val="auto"/>
        </w:rPr>
      </w:pPr>
    </w:p>
    <w:p>
      <w:pPr>
        <w:ind w:right="120" w:firstLine="360"/>
        <w:spacing w:after="0" w:line="262" w:lineRule="auto"/>
        <w:rPr>
          <w:sz w:val="20"/>
          <w:szCs w:val="20"/>
          <w:color w:val="auto"/>
        </w:rPr>
      </w:pPr>
      <w:r>
        <w:rPr>
          <w:rFonts w:ascii="Arial" w:cs="Arial" w:eastAsia="Arial" w:hAnsi="Arial"/>
          <w:sz w:val="20"/>
          <w:szCs w:val="20"/>
          <w:color w:val="auto"/>
        </w:rPr>
        <w:t>We integrate a variety of third-party data sources, including ticketing, configuration management databases, or CMDBs, and systems management, into our platform to augment our native data collection and help with analysis and remediation prioritization. Furthermore, our data is exported out to enrich third-party IT management and security systems.</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Our Growth Strategy</w:t>
      </w:r>
    </w:p>
    <w:p>
      <w:pPr>
        <w:spacing w:after="0" w:line="251" w:lineRule="exact"/>
        <w:rPr>
          <w:sz w:val="20"/>
          <w:szCs w:val="20"/>
          <w:color w:val="auto"/>
        </w:rPr>
      </w:pPr>
    </w:p>
    <w:p>
      <w:pPr>
        <w:ind w:firstLine="360"/>
        <w:spacing w:after="0" w:line="287" w:lineRule="auto"/>
        <w:rPr>
          <w:sz w:val="20"/>
          <w:szCs w:val="20"/>
          <w:color w:val="auto"/>
        </w:rPr>
      </w:pPr>
      <w:r>
        <w:rPr>
          <w:rFonts w:ascii="Arial" w:cs="Arial" w:eastAsia="Arial" w:hAnsi="Arial"/>
          <w:sz w:val="20"/>
          <w:szCs w:val="20"/>
          <w:color w:val="auto"/>
        </w:rPr>
        <w:t>Our objectives are to maintain our market leadership in exposure management and to capture our large market opportunity. To accomplish these objectives, we intend to:</w:t>
      </w:r>
    </w:p>
    <w:p>
      <w:pPr>
        <w:spacing w:after="0" w:line="50" w:lineRule="exact"/>
        <w:rPr>
          <w:sz w:val="20"/>
          <w:szCs w:val="20"/>
          <w:color w:val="auto"/>
        </w:rPr>
      </w:pPr>
    </w:p>
    <w:p>
      <w:pPr>
        <w:ind w:left="720" w:right="40" w:hanging="360"/>
        <w:spacing w:after="0" w:line="257" w:lineRule="auto"/>
        <w:tabs>
          <w:tab w:leader="none" w:pos="720" w:val="left"/>
        </w:tabs>
        <w:numPr>
          <w:ilvl w:val="0"/>
          <w:numId w:val="8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Continue to acquire new enterprise platform customers. </w:t>
      </w:r>
      <w:r>
        <w:rPr>
          <w:rFonts w:ascii="Arial" w:cs="Arial" w:eastAsia="Arial" w:hAnsi="Arial"/>
          <w:sz w:val="20"/>
          <w:szCs w:val="20"/>
          <w:color w:val="auto"/>
        </w:rPr>
        <w:t>We believe there is a substantial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opportunity to increase adoption of our enterprise platform offerings. We have experienced growth in new enterprise platform customers due to improved product capabilities and investments in sales and marketing. We intend to continue to aggressively pursue new domestic and international customers by adding sales capacity and leveraging our network of channel partnerships around the world.</w:t>
      </w:r>
    </w:p>
    <w:p>
      <w:pPr>
        <w:spacing w:after="0" w:line="82" w:lineRule="exact"/>
        <w:rPr>
          <w:rFonts w:ascii="Arial" w:cs="Arial" w:eastAsia="Arial" w:hAnsi="Arial"/>
          <w:sz w:val="20"/>
          <w:szCs w:val="20"/>
          <w:color w:val="auto"/>
        </w:rPr>
      </w:pPr>
    </w:p>
    <w:p>
      <w:pPr>
        <w:ind w:left="720" w:hanging="360"/>
        <w:spacing w:after="0" w:line="259" w:lineRule="auto"/>
        <w:tabs>
          <w:tab w:leader="none" w:pos="720" w:val="left"/>
        </w:tabs>
        <w:numPr>
          <w:ilvl w:val="0"/>
          <w:numId w:val="87"/>
        </w:numPr>
        <w:rPr>
          <w:rFonts w:ascii="Arial" w:cs="Arial" w:eastAsia="Arial" w:hAnsi="Arial"/>
          <w:sz w:val="20"/>
          <w:szCs w:val="20"/>
          <w:color w:val="auto"/>
        </w:rPr>
      </w:pPr>
      <w:r>
        <w:rPr>
          <w:rFonts w:ascii="Arial" w:cs="Arial" w:eastAsia="Arial" w:hAnsi="Arial"/>
          <w:sz w:val="20"/>
          <w:szCs w:val="20"/>
          <w:b w:val="1"/>
          <w:bCs w:val="1"/>
          <w:i w:val="1"/>
          <w:iCs w:val="1"/>
          <w:color w:val="auto"/>
        </w:rPr>
        <w:t>Expand asset coverage within our customer base</w:t>
      </w:r>
      <w:r>
        <w:rPr>
          <w:rFonts w:ascii="Arial" w:cs="Arial" w:eastAsia="Arial" w:hAnsi="Arial"/>
          <w:sz w:val="20"/>
          <w:szCs w:val="20"/>
          <w:color w:val="auto"/>
        </w:rPr>
        <w:t>. We believe we have a significant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opportunity to expand our relationships with our existing customers by targeting additional teams, business units or geographies, pursuing broad enterprise deployments and generally expanding our coverage of their network-connected assets and cross-selling new applications and solutions.</w:t>
      </w:r>
    </w:p>
    <w:p>
      <w:pPr>
        <w:spacing w:after="0" w:line="79" w:lineRule="exact"/>
        <w:rPr>
          <w:rFonts w:ascii="Arial" w:cs="Arial" w:eastAsia="Arial" w:hAnsi="Arial"/>
          <w:sz w:val="20"/>
          <w:szCs w:val="20"/>
          <w:color w:val="auto"/>
        </w:rPr>
      </w:pPr>
    </w:p>
    <w:p>
      <w:pPr>
        <w:ind w:left="720" w:right="20" w:hanging="360"/>
        <w:spacing w:after="0" w:line="256" w:lineRule="auto"/>
        <w:tabs>
          <w:tab w:leader="none" w:pos="720" w:val="left"/>
        </w:tabs>
        <w:numPr>
          <w:ilvl w:val="0"/>
          <w:numId w:val="87"/>
        </w:numPr>
        <w:rPr>
          <w:rFonts w:ascii="Arial" w:cs="Arial" w:eastAsia="Arial" w:hAnsi="Arial"/>
          <w:sz w:val="20"/>
          <w:szCs w:val="20"/>
          <w:color w:val="auto"/>
        </w:rPr>
      </w:pPr>
      <w:r>
        <w:rPr>
          <w:rFonts w:ascii="Arial" w:cs="Arial" w:eastAsia="Arial" w:hAnsi="Arial"/>
          <w:sz w:val="20"/>
          <w:szCs w:val="20"/>
          <w:b w:val="1"/>
          <w:bCs w:val="1"/>
          <w:i w:val="1"/>
          <w:iCs w:val="1"/>
          <w:color w:val="auto"/>
        </w:rPr>
        <w:t>Invest in our technology platform</w:t>
      </w:r>
      <w:r>
        <w:rPr>
          <w:rFonts w:ascii="Arial" w:cs="Arial" w:eastAsia="Arial" w:hAnsi="Arial"/>
          <w:sz w:val="20"/>
          <w:szCs w:val="20"/>
          <w:color w:val="auto"/>
        </w:rPr>
        <w:t>. We intend to continue to innovate, develop and broaden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our exposure and traditional vulnerability management solutions, including expanding the coverage of emerging attack surfaces and asset types and the addition of analytical capabilities, to help our customers measure and manage their cyber exposure. As we collect more data and ingest more data from third-party sources, we believe our data set will become even more valuable over time, which will allow us to continue to develop new analytical products and capabilities to our existing product suite over time.</w:t>
      </w:r>
    </w:p>
    <w:p>
      <w:pPr>
        <w:spacing w:after="0" w:line="82" w:lineRule="exact"/>
        <w:rPr>
          <w:rFonts w:ascii="Arial" w:cs="Arial" w:eastAsia="Arial" w:hAnsi="Arial"/>
          <w:sz w:val="20"/>
          <w:szCs w:val="20"/>
          <w:color w:val="auto"/>
        </w:rPr>
      </w:pPr>
    </w:p>
    <w:p>
      <w:pPr>
        <w:ind w:left="720" w:right="80" w:hanging="360"/>
        <w:spacing w:after="0" w:line="268" w:lineRule="auto"/>
        <w:tabs>
          <w:tab w:leader="none" w:pos="720" w:val="left"/>
        </w:tabs>
        <w:numPr>
          <w:ilvl w:val="0"/>
          <w:numId w:val="87"/>
        </w:numPr>
        <w:rPr>
          <w:rFonts w:ascii="Arial" w:cs="Arial" w:eastAsia="Arial" w:hAnsi="Arial"/>
          <w:sz w:val="20"/>
          <w:szCs w:val="20"/>
          <w:color w:val="auto"/>
        </w:rPr>
      </w:pPr>
      <w:r>
        <w:rPr>
          <w:rFonts w:ascii="Arial" w:cs="Arial" w:eastAsia="Arial" w:hAnsi="Arial"/>
          <w:sz w:val="20"/>
          <w:szCs w:val="20"/>
          <w:b w:val="1"/>
          <w:bCs w:val="1"/>
          <w:i w:val="1"/>
          <w:iCs w:val="1"/>
          <w:color w:val="auto"/>
        </w:rPr>
        <w:t>Explore acquisition opportunities</w:t>
      </w:r>
      <w:r>
        <w:rPr>
          <w:rFonts w:ascii="Arial" w:cs="Arial" w:eastAsia="Arial" w:hAnsi="Arial"/>
          <w:sz w:val="20"/>
          <w:szCs w:val="20"/>
          <w:color w:val="auto"/>
        </w:rPr>
        <w:t>. We intend to acquire other businesses, technology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development personnel that will expand and enhance the functionality of our platform offerings.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Customers</w:t>
      </w:r>
    </w:p>
    <w:p>
      <w:pPr>
        <w:spacing w:after="0" w:line="251" w:lineRule="exact"/>
        <w:rPr>
          <w:sz w:val="20"/>
          <w:szCs w:val="20"/>
          <w:color w:val="auto"/>
        </w:rPr>
      </w:pPr>
    </w:p>
    <w:p>
      <w:pPr>
        <w:ind w:right="40" w:firstLine="360"/>
        <w:spacing w:after="0" w:line="259" w:lineRule="auto"/>
        <w:rPr>
          <w:sz w:val="20"/>
          <w:szCs w:val="20"/>
          <w:color w:val="auto"/>
        </w:rPr>
      </w:pPr>
      <w:r>
        <w:rPr>
          <w:rFonts w:ascii="Arial" w:cs="Arial" w:eastAsia="Arial" w:hAnsi="Arial"/>
          <w:sz w:val="20"/>
          <w:szCs w:val="20"/>
          <w:color w:val="auto"/>
        </w:rPr>
        <w:t>We sell and market our enterprise platform offerings through our sales force that works closely with our channel partners, which includes a network of distributors and resellers, in developing sales opportunities. We use a two-tiered channel model whereby we sell our enterprise platform offerings to our distributors, which in turn sell to our resellers, which then sell to end users, which we call customers.</w:t>
      </w:r>
    </w:p>
    <w:p>
      <w:pPr>
        <w:spacing w:after="0" w:line="199" w:lineRule="exact"/>
        <w:rPr>
          <w:sz w:val="20"/>
          <w:szCs w:val="20"/>
          <w:color w:val="auto"/>
        </w:rPr>
      </w:pPr>
    </w:p>
    <w:p>
      <w:pPr>
        <w:ind w:right="220" w:firstLine="360"/>
        <w:spacing w:after="0" w:line="262" w:lineRule="auto"/>
        <w:rPr>
          <w:sz w:val="20"/>
          <w:szCs w:val="20"/>
          <w:color w:val="auto"/>
        </w:rPr>
      </w:pPr>
      <w:r>
        <w:rPr>
          <w:rFonts w:ascii="Arial" w:cs="Arial" w:eastAsia="Arial" w:hAnsi="Arial"/>
          <w:sz w:val="20"/>
          <w:szCs w:val="20"/>
          <w:color w:val="auto"/>
        </w:rPr>
        <w:t>Our customers are located in over 170 countries and include enterprises of all sizes and span a wide range of industries, including manufacturing, energy and industrials; technology, media and telecommunications; banking, insurance and finance; government, education and non-profit; healthcare; and retail and consumer.</w:t>
      </w:r>
    </w:p>
    <w:p>
      <w:pPr>
        <w:spacing w:after="0" w:line="196" w:lineRule="exact"/>
        <w:rPr>
          <w:sz w:val="20"/>
          <w:szCs w:val="20"/>
          <w:color w:val="auto"/>
        </w:rPr>
      </w:pPr>
    </w:p>
    <w:p>
      <w:pPr>
        <w:ind w:firstLine="360"/>
        <w:spacing w:after="0" w:line="314" w:lineRule="auto"/>
        <w:rPr>
          <w:sz w:val="20"/>
          <w:szCs w:val="20"/>
          <w:color w:val="auto"/>
        </w:rPr>
      </w:pPr>
      <w:r>
        <w:rPr>
          <w:rFonts w:ascii="Arial" w:cs="Arial" w:eastAsia="Arial" w:hAnsi="Arial"/>
          <w:sz w:val="19"/>
          <w:szCs w:val="19"/>
          <w:color w:val="auto"/>
        </w:rPr>
        <w:t>At December 31, 2022, we had approximately 43,000 customers. At December 31, 2022 our customers included approximately 60% of the Fortune 500 and approximately 40% of the Global 2000</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880" w:h="15480" w:orient="portrait"/>
          <w:cols w:equalWidth="0" w:num="1">
            <w:col w:w="9000"/>
          </w:cols>
          <w:pgMar w:left="1440" w:top="1204" w:right="1440" w:bottom="0" w:gutter="0" w:footer="0" w:header="0"/>
          <w:type w:val="continuous"/>
        </w:sectPr>
      </w:pPr>
    </w:p>
    <w:bookmarkStart w:id="100" w:name="page101"/>
    <w:bookmarkEnd w:id="100"/>
    <w:p>
      <w:pPr>
        <w:ind w:right="120"/>
        <w:spacing w:after="0" w:line="287" w:lineRule="auto"/>
        <w:rPr>
          <w:sz w:val="20"/>
          <w:szCs w:val="20"/>
          <w:color w:val="auto"/>
        </w:rPr>
      </w:pPr>
      <w:r>
        <w:rPr>
          <w:rFonts w:ascii="Arial" w:cs="Arial" w:eastAsia="Arial" w:hAnsi="Arial"/>
          <w:sz w:val="20"/>
          <w:szCs w:val="20"/>
          <w:color w:val="auto"/>
        </w:rPr>
        <w:t>and large government agencies. In 2022, 2021 and 2020, no single customer represented more than 2% of our revenue.</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Sales and Marketing</w:t>
      </w:r>
    </w:p>
    <w:p>
      <w:pPr>
        <w:spacing w:after="0" w:line="251" w:lineRule="exact"/>
        <w:rPr>
          <w:sz w:val="20"/>
          <w:szCs w:val="20"/>
          <w:color w:val="auto"/>
        </w:rPr>
      </w:pPr>
    </w:p>
    <w:p>
      <w:pPr>
        <w:ind w:right="20" w:firstLine="360"/>
        <w:spacing w:after="0" w:line="257" w:lineRule="auto"/>
        <w:rPr>
          <w:sz w:val="20"/>
          <w:szCs w:val="20"/>
          <w:color w:val="auto"/>
        </w:rPr>
      </w:pPr>
      <w:r>
        <w:rPr>
          <w:rFonts w:ascii="Arial" w:cs="Arial" w:eastAsia="Arial" w:hAnsi="Arial"/>
          <w:sz w:val="20"/>
          <w:szCs w:val="20"/>
          <w:color w:val="auto"/>
        </w:rPr>
        <w:t>Our sales strategy employs both a direct-touch approach through our sales forces and a low-touch approach through sales closed by our channel partners and transacted on our e-commerce website. Both direct-touch and channel-originated sales are fulfilled through our channel partnerships. Our sales and customer success renewal teams collaborate closely with our channel partners to prospect, manage and support our customers, developing and maintaining close relationships with all of our enterprise platform customers.</w:t>
      </w:r>
    </w:p>
    <w:p>
      <w:pPr>
        <w:spacing w:after="0" w:line="202" w:lineRule="exact"/>
        <w:rPr>
          <w:sz w:val="20"/>
          <w:szCs w:val="20"/>
          <w:color w:val="auto"/>
        </w:rPr>
      </w:pPr>
    </w:p>
    <w:p>
      <w:pPr>
        <w:ind w:right="280" w:firstLine="360"/>
        <w:spacing w:after="0" w:line="268" w:lineRule="auto"/>
        <w:rPr>
          <w:sz w:val="20"/>
          <w:szCs w:val="20"/>
          <w:color w:val="auto"/>
        </w:rPr>
      </w:pPr>
      <w:r>
        <w:rPr>
          <w:rFonts w:ascii="Arial" w:cs="Arial" w:eastAsia="Arial" w:hAnsi="Arial"/>
          <w:sz w:val="20"/>
          <w:szCs w:val="20"/>
          <w:color w:val="auto"/>
        </w:rPr>
        <w:t>We sell to organizations of all sizes across a broad range of industries, with a specific focus on enterprise accounts. Our sales team is divided by customer size and geography, including the Americas; Europe, the Middle East and Africa, or EMEA; and Asia Pacific and Japan.</w:t>
      </w:r>
    </w:p>
    <w:p>
      <w:pPr>
        <w:spacing w:after="0" w:line="190" w:lineRule="exact"/>
        <w:rPr>
          <w:sz w:val="20"/>
          <w:szCs w:val="20"/>
          <w:color w:val="auto"/>
        </w:rPr>
      </w:pPr>
    </w:p>
    <w:p>
      <w:pPr>
        <w:ind w:right="260" w:firstLine="360"/>
        <w:spacing w:after="0" w:line="262" w:lineRule="auto"/>
        <w:rPr>
          <w:sz w:val="20"/>
          <w:szCs w:val="20"/>
          <w:color w:val="auto"/>
        </w:rPr>
      </w:pPr>
      <w:r>
        <w:rPr>
          <w:rFonts w:ascii="Arial" w:cs="Arial" w:eastAsia="Arial" w:hAnsi="Arial"/>
          <w:sz w:val="20"/>
          <w:szCs w:val="20"/>
          <w:color w:val="auto"/>
        </w:rPr>
        <w:t>Our partner ecosystem provides us with a number of advantages, including increased in-bound registered sales leads, broader geographic reach and greater deal velocity. Our channel partners include distributors, value-added resellers, system integrators and managed security service providers.</w:t>
      </w:r>
    </w:p>
    <w:p>
      <w:pPr>
        <w:spacing w:after="0" w:line="76" w:lineRule="exact"/>
        <w:rPr>
          <w:sz w:val="20"/>
          <w:szCs w:val="20"/>
          <w:color w:val="auto"/>
        </w:rPr>
      </w:pPr>
    </w:p>
    <w:p>
      <w:pPr>
        <w:ind w:right="20" w:firstLine="360"/>
        <w:spacing w:after="0" w:line="254" w:lineRule="auto"/>
        <w:rPr>
          <w:sz w:val="20"/>
          <w:szCs w:val="20"/>
          <w:color w:val="auto"/>
        </w:rPr>
      </w:pPr>
      <w:r>
        <w:rPr>
          <w:rFonts w:ascii="Arial" w:cs="Arial" w:eastAsia="Arial" w:hAnsi="Arial"/>
          <w:sz w:val="20"/>
          <w:szCs w:val="20"/>
          <w:color w:val="auto"/>
        </w:rPr>
        <w:t>Our marketing efforts focus on cultivating brand awareness and leveraging our brand strength with Nessus, building demand across all segments with a specific emphasis on our enterprise customers and delivering tailored marketing programs focused on security executives, functional managers, security practitioners, managed service providers and consultants. Our marketing efforts are also designed around building community and establishing the Tenable brand as a trusted resource of credible educational information. We provide a variety of educational resources for cybersecurity practitioners and leaders, as well as DevOps teams, OT practitioners and identity and access management practitioners, including a community forum where customers can ask questions of our experts and their peers. We execute marketing programs targeted at new customer acquisition, customer retention and cross-selling and up-selling of products across our platform.</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Research and Development</w:t>
      </w:r>
    </w:p>
    <w:p>
      <w:pPr>
        <w:spacing w:after="0" w:line="251" w:lineRule="exact"/>
        <w:rPr>
          <w:sz w:val="20"/>
          <w:szCs w:val="20"/>
          <w:color w:val="auto"/>
        </w:rPr>
      </w:pPr>
    </w:p>
    <w:p>
      <w:pPr>
        <w:ind w:right="60" w:firstLine="360"/>
        <w:spacing w:after="0" w:line="262" w:lineRule="auto"/>
        <w:rPr>
          <w:sz w:val="20"/>
          <w:szCs w:val="20"/>
          <w:color w:val="auto"/>
        </w:rPr>
      </w:pPr>
      <w:r>
        <w:rPr>
          <w:rFonts w:ascii="Arial" w:cs="Arial" w:eastAsia="Arial" w:hAnsi="Arial"/>
          <w:sz w:val="20"/>
          <w:szCs w:val="20"/>
          <w:color w:val="auto"/>
        </w:rPr>
        <w:t>We continue to invest substantial resources in research and development to enhance our platform offerings by developing new features, functionality, and applications. Our engineering expertise combines extensive security product development experience with individuals who possess deep cloud and user interface design backgrounds.</w:t>
      </w:r>
    </w:p>
    <w:p>
      <w:pPr>
        <w:spacing w:after="0" w:line="196" w:lineRule="exact"/>
        <w:rPr>
          <w:sz w:val="20"/>
          <w:szCs w:val="20"/>
          <w:color w:val="auto"/>
        </w:rPr>
      </w:pPr>
    </w:p>
    <w:p>
      <w:pPr>
        <w:ind w:right="20" w:firstLine="360"/>
        <w:spacing w:after="0" w:line="262" w:lineRule="auto"/>
        <w:rPr>
          <w:sz w:val="20"/>
          <w:szCs w:val="20"/>
          <w:color w:val="auto"/>
        </w:rPr>
      </w:pPr>
      <w:r>
        <w:rPr>
          <w:rFonts w:ascii="Arial" w:cs="Arial" w:eastAsia="Arial" w:hAnsi="Arial"/>
          <w:sz w:val="20"/>
          <w:szCs w:val="20"/>
          <w:color w:val="auto"/>
        </w:rPr>
        <w:t>Additionally, our Tenable Research team is staffed by cybersecurity and data science experts who deliver exposure management intelligence, data science insights, alerts and security advisories. Frequent updates from Tenable Research ensure the latest vulnerability checks, zero-day research, and configuration benchmarks are available within our exposure management solutions.</w:t>
      </w:r>
    </w:p>
    <w:p>
      <w:pPr>
        <w:spacing w:after="0" w:line="196" w:lineRule="exact"/>
        <w:rPr>
          <w:sz w:val="20"/>
          <w:szCs w:val="20"/>
          <w:color w:val="auto"/>
        </w:rPr>
      </w:pPr>
    </w:p>
    <w:p>
      <w:pPr>
        <w:ind w:right="340" w:firstLine="360"/>
        <w:spacing w:after="0" w:line="268" w:lineRule="auto"/>
        <w:rPr>
          <w:sz w:val="20"/>
          <w:szCs w:val="20"/>
          <w:color w:val="auto"/>
        </w:rPr>
      </w:pPr>
      <w:r>
        <w:rPr>
          <w:rFonts w:ascii="Arial" w:cs="Arial" w:eastAsia="Arial" w:hAnsi="Arial"/>
          <w:sz w:val="20"/>
          <w:szCs w:val="20"/>
          <w:color w:val="auto"/>
        </w:rPr>
        <w:t>We believe ongoing and timely development of new products and features is imperative to maintaining our competitive position. We continue to invest in development of our solutions across our global research and development team.</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Backlog</w:t>
      </w:r>
    </w:p>
    <w:p>
      <w:pPr>
        <w:spacing w:after="0" w:line="251" w:lineRule="exact"/>
        <w:rPr>
          <w:sz w:val="20"/>
          <w:szCs w:val="20"/>
          <w:color w:val="auto"/>
        </w:rPr>
      </w:pPr>
    </w:p>
    <w:p>
      <w:pPr>
        <w:ind w:right="40" w:firstLine="360"/>
        <w:spacing w:after="0" w:line="289" w:lineRule="auto"/>
        <w:rPr>
          <w:sz w:val="20"/>
          <w:szCs w:val="20"/>
          <w:color w:val="auto"/>
        </w:rPr>
      </w:pPr>
      <w:r>
        <w:rPr>
          <w:rFonts w:ascii="Arial" w:cs="Arial" w:eastAsia="Arial" w:hAnsi="Arial"/>
          <w:sz w:val="19"/>
          <w:szCs w:val="19"/>
          <w:color w:val="auto"/>
        </w:rPr>
        <w:t>We define backlog as contractually committed orders to be invoiced under our existing agreements that are not included in deferred revenue on our consolidated balance sheets. We expect the amount of backlog to change from period to period due to the timing of billings for our solutions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880" w:h="15480" w:orient="portrait"/>
          <w:cols w:equalWidth="0" w:num="1">
            <w:col w:w="9000"/>
          </w:cols>
          <w:pgMar w:left="1440" w:top="1204" w:right="1440" w:bottom="0" w:gutter="0" w:footer="0" w:header="0"/>
          <w:type w:val="continuous"/>
        </w:sectPr>
      </w:pPr>
    </w:p>
    <w:bookmarkStart w:id="101" w:name="page102"/>
    <w:bookmarkEnd w:id="101"/>
    <w:p>
      <w:pPr>
        <w:jc w:val="both"/>
        <w:ind w:right="440"/>
        <w:spacing w:after="0" w:line="268" w:lineRule="auto"/>
        <w:rPr>
          <w:sz w:val="20"/>
          <w:szCs w:val="20"/>
          <w:color w:val="auto"/>
        </w:rPr>
      </w:pPr>
      <w:r>
        <w:rPr>
          <w:rFonts w:ascii="Arial" w:cs="Arial" w:eastAsia="Arial" w:hAnsi="Arial"/>
          <w:sz w:val="20"/>
          <w:szCs w:val="20"/>
          <w:color w:val="auto"/>
        </w:rPr>
        <w:t>and professional services. At December 31, 2022 and 2021, we had backlog of $14.7 million and $27.7 million, respectively. We expect substantially all of the backlog at December 31, 2022 to be invoiced within the following 12 months.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Competition</w:t>
      </w:r>
    </w:p>
    <w:p>
      <w:pPr>
        <w:spacing w:after="0" w:line="251" w:lineRule="exact"/>
        <w:rPr>
          <w:sz w:val="20"/>
          <w:szCs w:val="20"/>
          <w:color w:val="auto"/>
        </w:rPr>
      </w:pPr>
    </w:p>
    <w:p>
      <w:pPr>
        <w:ind w:right="40" w:firstLine="360"/>
        <w:spacing w:after="0" w:line="268" w:lineRule="auto"/>
        <w:rPr>
          <w:sz w:val="20"/>
          <w:szCs w:val="20"/>
          <w:color w:val="auto"/>
        </w:rPr>
      </w:pPr>
      <w:r>
        <w:rPr>
          <w:rFonts w:ascii="Arial" w:cs="Arial" w:eastAsia="Arial" w:hAnsi="Arial"/>
          <w:sz w:val="19"/>
          <w:szCs w:val="19"/>
          <w:color w:val="auto"/>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diversified security software and services vendors; endpoint security vendors with vulnerability assessment capabilities, including CrowdStrike; public cloud vendors and companies, such as Palo Alto Networks, that offer solutions for cloud security (private, public and hybrid cloud); and providers of point solutions that compete with some of the features present in our solutions. Many organizations also choose to build their own solutions in-house, often using open-source code rather than purchasing external solutions, and we compete against these internally-developed efforts as well.</w:t>
      </w:r>
    </w:p>
    <w:p>
      <w:pPr>
        <w:spacing w:after="0" w:line="196" w:lineRule="exact"/>
        <w:rPr>
          <w:sz w:val="20"/>
          <w:szCs w:val="20"/>
          <w:color w:val="auto"/>
        </w:rPr>
      </w:pPr>
    </w:p>
    <w:p>
      <w:pPr>
        <w:ind w:firstLine="360"/>
        <w:spacing w:after="0" w:line="254" w:lineRule="auto"/>
        <w:rPr>
          <w:sz w:val="20"/>
          <w:szCs w:val="20"/>
          <w:color w:val="auto"/>
        </w:rPr>
      </w:pPr>
      <w:r>
        <w:rPr>
          <w:rFonts w:ascii="Arial" w:cs="Arial" w:eastAsia="Arial" w:hAnsi="Arial"/>
          <w:sz w:val="20"/>
          <w:szCs w:val="20"/>
          <w:color w:val="auto"/>
        </w:rPr>
        <w:t>We believe that the principal competitive factors affecting the market for cybersecurity solutions include product functionality, breadth and depth of offerings, flexibility of delivery models, ease of deployment and use, integration capabilities such as open APIs and scalability, uptime and performance. We believe that our suite of solutions generally competes favorably with respect to these factors and may serve as a complement to the solutions offered by our competitors in some cases. Some of our more established actual and potential competitors have greater name recognition, longer operating histories, more established customer relationships, larger marketing budgets and significantly greater resources than we do. In addition, as our market grows and rapidly changes, we expect it will continue to attract new competitors, including companies that are larger and more established than us and smaller emerging companies, which could introduce new products and services.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Intellectual Property</w:t>
      </w:r>
    </w:p>
    <w:p>
      <w:pPr>
        <w:spacing w:after="0" w:line="251" w:lineRule="exact"/>
        <w:rPr>
          <w:sz w:val="20"/>
          <w:szCs w:val="20"/>
          <w:color w:val="auto"/>
        </w:rPr>
      </w:pPr>
    </w:p>
    <w:p>
      <w:pPr>
        <w:ind w:right="260" w:firstLine="360"/>
        <w:spacing w:after="0" w:line="262" w:lineRule="auto"/>
        <w:rPr>
          <w:sz w:val="20"/>
          <w:szCs w:val="20"/>
          <w:color w:val="auto"/>
        </w:rPr>
      </w:pPr>
      <w:r>
        <w:rPr>
          <w:rFonts w:ascii="Arial" w:cs="Arial" w:eastAsia="Arial" w:hAnsi="Arial"/>
          <w:sz w:val="20"/>
          <w:szCs w:val="20"/>
          <w:color w:val="auto"/>
        </w:rPr>
        <w:t>Our success depends in part upon our ability to protect our core technology and intellectual property. We rely on a combination of trade secrets, copyrights, patents and trademarks, as well as contractual protections, to establish and protect our intellectual property rights and protect our proprietary technology.</w:t>
      </w:r>
    </w:p>
    <w:p>
      <w:pPr>
        <w:spacing w:after="0" w:line="196" w:lineRule="exact"/>
        <w:rPr>
          <w:sz w:val="20"/>
          <w:szCs w:val="20"/>
          <w:color w:val="auto"/>
        </w:rPr>
      </w:pPr>
    </w:p>
    <w:p>
      <w:pPr>
        <w:ind w:right="220" w:firstLine="360"/>
        <w:spacing w:after="0" w:line="257" w:lineRule="auto"/>
        <w:rPr>
          <w:sz w:val="20"/>
          <w:szCs w:val="20"/>
          <w:color w:val="auto"/>
        </w:rPr>
      </w:pPr>
      <w:r>
        <w:rPr>
          <w:rFonts w:ascii="Arial" w:cs="Arial" w:eastAsia="Arial" w:hAnsi="Arial"/>
          <w:sz w:val="20"/>
          <w:szCs w:val="20"/>
          <w:color w:val="auto"/>
        </w:rPr>
        <w:t>At December 31, 2022, we had 26 issued patents and 25 patent applications pending in the United States. Our issued patents expire between 2027 and 2040 and cover our network scanning, monitoring and analysis technologies and additional features of our platform offerings. At December 31, 2022, we had 18 registered trademarks and 2 trademark applications pending in the United States. We view our copyrights, trade secrets and know-how as a significant component of our intellectual property assets.</w:t>
      </w:r>
    </w:p>
    <w:p>
      <w:pPr>
        <w:spacing w:after="0" w:line="202" w:lineRule="exact"/>
        <w:rPr>
          <w:sz w:val="20"/>
          <w:szCs w:val="20"/>
          <w:color w:val="auto"/>
        </w:rPr>
      </w:pPr>
    </w:p>
    <w:p>
      <w:pPr>
        <w:jc w:val="both"/>
        <w:ind w:right="380" w:firstLine="360"/>
        <w:spacing w:after="0" w:line="289" w:lineRule="auto"/>
        <w:rPr>
          <w:sz w:val="20"/>
          <w:szCs w:val="20"/>
          <w:color w:val="auto"/>
        </w:rPr>
      </w:pPr>
      <w:r>
        <w:rPr>
          <w:rFonts w:ascii="Arial" w:cs="Arial" w:eastAsia="Arial" w:hAnsi="Arial"/>
          <w:sz w:val="19"/>
          <w:szCs w:val="19"/>
          <w:color w:val="auto"/>
        </w:rPr>
        <w:t>We also license certain software from third parties for integration into our solutions, including open source software and other software available on commercially reasonable terms. We cannot assure you that such third parties will maintain such software or continue to make it available.</w:t>
      </w:r>
    </w:p>
    <w:p>
      <w:pPr>
        <w:spacing w:after="0" w:line="171" w:lineRule="exact"/>
        <w:rPr>
          <w:sz w:val="20"/>
          <w:szCs w:val="20"/>
          <w:color w:val="auto"/>
        </w:rPr>
      </w:pPr>
    </w:p>
    <w:p>
      <w:pPr>
        <w:ind w:firstLine="360"/>
        <w:spacing w:after="0" w:line="280" w:lineRule="auto"/>
        <w:rPr>
          <w:sz w:val="20"/>
          <w:szCs w:val="20"/>
          <w:color w:val="auto"/>
        </w:rPr>
      </w:pPr>
      <w:r>
        <w:rPr>
          <w:rFonts w:ascii="Arial" w:cs="Arial" w:eastAsia="Arial" w:hAnsi="Arial"/>
          <w:sz w:val="19"/>
          <w:szCs w:val="19"/>
          <w:color w:val="auto"/>
        </w:rPr>
        <w:t>We control access to and use of our proprietary software and other confidential information through the use of internal and external controls, including contractual protections with employees, contractors, customers and partners, and our software is protected by U.S. and international copyright and trade secret laws. Despite our efforts to protect our trade secrets and proprietary rights through</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880" w:h="15480" w:orient="portrait"/>
          <w:cols w:equalWidth="0" w:num="1">
            <w:col w:w="9000"/>
          </w:cols>
          <w:pgMar w:left="1440" w:top="1204" w:right="1440" w:bottom="0" w:gutter="0" w:footer="0" w:header="0"/>
          <w:type w:val="continuous"/>
        </w:sectPr>
      </w:pPr>
    </w:p>
    <w:bookmarkStart w:id="102" w:name="page103"/>
    <w:bookmarkEnd w:id="102"/>
    <w:p>
      <w:pPr>
        <w:ind w:right="220"/>
        <w:spacing w:after="0" w:line="259" w:lineRule="auto"/>
        <w:rPr>
          <w:sz w:val="20"/>
          <w:szCs w:val="20"/>
          <w:color w:val="auto"/>
        </w:rPr>
      </w:pPr>
      <w:r>
        <w:rPr>
          <w:rFonts w:ascii="Arial" w:cs="Arial" w:eastAsia="Arial" w:hAnsi="Arial"/>
          <w:sz w:val="20"/>
          <w:szCs w:val="20"/>
          <w:color w:val="auto"/>
        </w:rPr>
        <w:t>intellectual property rights, licenses and confidentiality and invention assignment agreements, unauthorized parties may still attempt to copy, reverse engineer, misappropriate or otherwise obtain and use our software and technology. In addition, we intend to continue to expand our international operations, and effective patent, copyright, trademark and trade secret protection may not be available or may be limited in foreign countries.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Government Regulation</w:t>
      </w:r>
    </w:p>
    <w:p>
      <w:pPr>
        <w:spacing w:after="0" w:line="251" w:lineRule="exact"/>
        <w:rPr>
          <w:sz w:val="20"/>
          <w:szCs w:val="20"/>
          <w:color w:val="auto"/>
        </w:rPr>
      </w:pPr>
    </w:p>
    <w:p>
      <w:pPr>
        <w:ind w:right="220" w:firstLine="360"/>
        <w:spacing w:after="0" w:line="287" w:lineRule="auto"/>
        <w:rPr>
          <w:sz w:val="20"/>
          <w:szCs w:val="20"/>
          <w:color w:val="auto"/>
        </w:rPr>
      </w:pPr>
      <w:r>
        <w:rPr>
          <w:rFonts w:ascii="Arial" w:cs="Arial" w:eastAsia="Arial" w:hAnsi="Arial"/>
          <w:sz w:val="20"/>
          <w:szCs w:val="20"/>
          <w:color w:val="auto"/>
        </w:rPr>
        <w:t>Various federal, state and foreign legislative and regulatory bodies have legislation pending that could affect our business.</w:t>
      </w:r>
    </w:p>
    <w:p>
      <w:pPr>
        <w:spacing w:after="0" w:line="170" w:lineRule="exact"/>
        <w:rPr>
          <w:sz w:val="20"/>
          <w:szCs w:val="20"/>
          <w:color w:val="auto"/>
        </w:rPr>
      </w:pPr>
    </w:p>
    <w:p>
      <w:pPr>
        <w:ind w:firstLine="360"/>
        <w:spacing w:after="0" w:line="255" w:lineRule="auto"/>
        <w:rPr>
          <w:sz w:val="20"/>
          <w:szCs w:val="20"/>
          <w:color w:val="auto"/>
        </w:rPr>
      </w:pPr>
      <w:r>
        <w:rPr>
          <w:rFonts w:ascii="Arial" w:cs="Arial" w:eastAsia="Arial" w:hAnsi="Arial"/>
          <w:sz w:val="20"/>
          <w:szCs w:val="20"/>
          <w:color w:val="auto"/>
        </w:rPr>
        <w:t>In the ordinary course of our business, we process personal information. Accordingly, we are, or may become, subject to numerous data privacy and security obligations, including federal, state, local, and foreign laws, regulations, guidance, and industry standards related to data privacy and security. Such obligations may include, without limitation, the Federal Trade Commission Act, the California Consumer Privacy Act of 2018, or the CCPA, the Colorado Privacy Act, Virginia’s Consumer Data Protection Act, the European Union’s General Data Protection Regulation 2016/679, or EU GDPR, the EU GDPR as it forms part of the United Kingdom law by virtue of section 3 of the European Union (Withdrawal) Act of 2018, or UK GDPR, and the ePrivacy Directive.</w:t>
      </w:r>
    </w:p>
    <w:p>
      <w:pPr>
        <w:spacing w:after="0" w:line="205" w:lineRule="exact"/>
        <w:rPr>
          <w:sz w:val="20"/>
          <w:szCs w:val="20"/>
          <w:color w:val="auto"/>
        </w:rPr>
      </w:pPr>
    </w:p>
    <w:p>
      <w:pPr>
        <w:ind w:right="80" w:firstLine="360"/>
        <w:spacing w:after="0" w:line="256" w:lineRule="auto"/>
        <w:rPr>
          <w:sz w:val="20"/>
          <w:szCs w:val="20"/>
          <w:color w:val="auto"/>
        </w:rPr>
      </w:pPr>
      <w:r>
        <w:rPr>
          <w:rFonts w:ascii="Arial" w:cs="Arial" w:eastAsia="Arial" w:hAnsi="Arial"/>
          <w:sz w:val="20"/>
          <w:szCs w:val="20"/>
          <w:color w:val="auto"/>
        </w:rPr>
        <w:t>Like other U.S.-based IT security products, our products are subject to U.S. export control laws and regulations, specifically the Export Administration Regulations, or EAR, U.S. economic and trade sanctions regulations and applicable foreign government import, export and use requirements. These laws prohibit or restrict the export of our products and services to certain countries, regions, governments, entities or persons subject to trade restrictions. For more information on the potential impacts of government regulations affecting our business, see “Risk Factors” included under Part I, Item 1A.</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Human Capital</w:t>
      </w:r>
    </w:p>
    <w:p>
      <w:pPr>
        <w:spacing w:after="0" w:line="251" w:lineRule="exact"/>
        <w:rPr>
          <w:sz w:val="20"/>
          <w:szCs w:val="20"/>
          <w:color w:val="auto"/>
        </w:rPr>
      </w:pPr>
    </w:p>
    <w:p>
      <w:pPr>
        <w:ind w:right="40" w:firstLine="360"/>
        <w:spacing w:after="0" w:line="259" w:lineRule="auto"/>
        <w:rPr>
          <w:sz w:val="20"/>
          <w:szCs w:val="20"/>
          <w:color w:val="auto"/>
        </w:rPr>
      </w:pPr>
      <w:r>
        <w:rPr>
          <w:rFonts w:ascii="Arial" w:cs="Arial" w:eastAsia="Arial" w:hAnsi="Arial"/>
          <w:sz w:val="20"/>
          <w:szCs w:val="20"/>
          <w:color w:val="auto"/>
        </w:rPr>
        <w:t>At December 31, 2022, we had 1,900 employees, including 796 employees located outside of the United States. None of our U.S. employees are represented by a labor union or covered by a collective bargaining agreement. Certain international employees are subject to collective bargaining agreements in connection with local labor laws. We have not experienced any work stoppages, and we consider our relations with our employees to be good.</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We believe in upholding a core set of values for our entire global workforce:</w:t>
      </w:r>
    </w:p>
    <w:p>
      <w:pPr>
        <w:spacing w:after="0" w:line="130" w:lineRule="exact"/>
        <w:rPr>
          <w:sz w:val="20"/>
          <w:szCs w:val="20"/>
          <w:color w:val="auto"/>
        </w:rPr>
      </w:pPr>
    </w:p>
    <w:p>
      <w:pPr>
        <w:ind w:left="720" w:right="640" w:hanging="360"/>
        <w:spacing w:after="0" w:line="281" w:lineRule="auto"/>
        <w:tabs>
          <w:tab w:leader="none" w:pos="720" w:val="left"/>
        </w:tabs>
        <w:numPr>
          <w:ilvl w:val="0"/>
          <w:numId w:val="88"/>
        </w:numPr>
        <w:rPr>
          <w:rFonts w:ascii="Arial" w:cs="Arial" w:eastAsia="Arial" w:hAnsi="Arial"/>
          <w:sz w:val="20"/>
          <w:szCs w:val="20"/>
          <w:color w:val="auto"/>
        </w:rPr>
      </w:pPr>
      <w:r>
        <w:rPr>
          <w:rFonts w:ascii="Arial" w:cs="Arial" w:eastAsia="Arial" w:hAnsi="Arial"/>
          <w:sz w:val="20"/>
          <w:szCs w:val="20"/>
          <w:b w:val="1"/>
          <w:bCs w:val="1"/>
          <w:i w:val="1"/>
          <w:iCs w:val="1"/>
          <w:color w:val="auto"/>
        </w:rPr>
        <w:t>One Tenable</w:t>
      </w:r>
      <w:r>
        <w:rPr>
          <w:rFonts w:ascii="Arial" w:cs="Arial" w:eastAsia="Arial" w:hAnsi="Arial"/>
          <w:sz w:val="20"/>
          <w:szCs w:val="20"/>
          <w:color w:val="auto"/>
        </w:rPr>
        <w:t>: We are united as one Tenable team. We win together. We are one team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internally, with our customers, with our partners and in the market.</w:t>
      </w:r>
    </w:p>
    <w:p>
      <w:pPr>
        <w:spacing w:after="0" w:line="1" w:lineRule="exact"/>
        <w:rPr>
          <w:rFonts w:ascii="Arial" w:cs="Arial" w:eastAsia="Arial" w:hAnsi="Arial"/>
          <w:sz w:val="20"/>
          <w:szCs w:val="20"/>
          <w:color w:val="auto"/>
        </w:rPr>
      </w:pPr>
    </w:p>
    <w:p>
      <w:pPr>
        <w:ind w:left="720" w:right="1080" w:hanging="360"/>
        <w:spacing w:after="0" w:line="281" w:lineRule="auto"/>
        <w:tabs>
          <w:tab w:leader="none" w:pos="720" w:val="left"/>
        </w:tabs>
        <w:numPr>
          <w:ilvl w:val="0"/>
          <w:numId w:val="88"/>
        </w:numPr>
        <w:rPr>
          <w:rFonts w:ascii="Arial" w:cs="Arial" w:eastAsia="Arial" w:hAnsi="Arial"/>
          <w:sz w:val="20"/>
          <w:szCs w:val="20"/>
          <w:color w:val="auto"/>
        </w:rPr>
      </w:pPr>
      <w:r>
        <w:rPr>
          <w:rFonts w:ascii="Arial" w:cs="Arial" w:eastAsia="Arial" w:hAnsi="Arial"/>
          <w:sz w:val="20"/>
          <w:szCs w:val="20"/>
          <w:b w:val="1"/>
          <w:bCs w:val="1"/>
          <w:i w:val="1"/>
          <w:iCs w:val="1"/>
          <w:color w:val="auto"/>
        </w:rPr>
        <w:t>We Care</w:t>
      </w:r>
      <w:r>
        <w:rPr>
          <w:rFonts w:ascii="Arial" w:cs="Arial" w:eastAsia="Arial" w:hAnsi="Arial"/>
          <w:sz w:val="20"/>
          <w:szCs w:val="20"/>
          <w:color w:val="auto"/>
        </w:rPr>
        <w:t>: About our work, about our customers, about one another and about our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communities. We speak straight and we do the right thing.</w:t>
      </w:r>
    </w:p>
    <w:p>
      <w:pPr>
        <w:spacing w:after="0" w:line="1" w:lineRule="exact"/>
        <w:rPr>
          <w:rFonts w:ascii="Arial" w:cs="Arial" w:eastAsia="Arial" w:hAnsi="Arial"/>
          <w:sz w:val="20"/>
          <w:szCs w:val="20"/>
          <w:color w:val="auto"/>
        </w:rPr>
      </w:pPr>
    </w:p>
    <w:p>
      <w:pPr>
        <w:ind w:left="720" w:right="380" w:hanging="360"/>
        <w:spacing w:after="0" w:line="281" w:lineRule="auto"/>
        <w:tabs>
          <w:tab w:leader="none" w:pos="720" w:val="left"/>
        </w:tabs>
        <w:numPr>
          <w:ilvl w:val="0"/>
          <w:numId w:val="88"/>
        </w:numPr>
        <w:rPr>
          <w:rFonts w:ascii="Arial" w:cs="Arial" w:eastAsia="Arial" w:hAnsi="Arial"/>
          <w:sz w:val="20"/>
          <w:szCs w:val="20"/>
          <w:color w:val="auto"/>
        </w:rPr>
      </w:pPr>
      <w:r>
        <w:rPr>
          <w:rFonts w:ascii="Arial" w:cs="Arial" w:eastAsia="Arial" w:hAnsi="Arial"/>
          <w:sz w:val="20"/>
          <w:szCs w:val="20"/>
          <w:b w:val="1"/>
          <w:bCs w:val="1"/>
          <w:i w:val="1"/>
          <w:iCs w:val="1"/>
          <w:color w:val="auto"/>
        </w:rPr>
        <w:t>Deliver Results</w:t>
      </w:r>
      <w:r>
        <w:rPr>
          <w:rFonts w:ascii="Arial" w:cs="Arial" w:eastAsia="Arial" w:hAnsi="Arial"/>
          <w:sz w:val="20"/>
          <w:szCs w:val="20"/>
          <w:color w:val="auto"/>
        </w:rPr>
        <w:t>: We set high goals, take bold risks, measure honestly and deliver results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that exceed expectations.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88"/>
        </w:numPr>
        <w:rPr>
          <w:rFonts w:ascii="Arial" w:cs="Arial" w:eastAsia="Arial" w:hAnsi="Arial"/>
          <w:sz w:val="20"/>
          <w:szCs w:val="20"/>
          <w:color w:val="auto"/>
        </w:rPr>
      </w:pPr>
      <w:r>
        <w:rPr>
          <w:rFonts w:ascii="Arial" w:cs="Arial" w:eastAsia="Arial" w:hAnsi="Arial"/>
          <w:sz w:val="20"/>
          <w:szCs w:val="20"/>
          <w:b w:val="1"/>
          <w:bCs w:val="1"/>
          <w:i w:val="1"/>
          <w:iCs w:val="1"/>
          <w:color w:val="auto"/>
        </w:rPr>
        <w:t>What We Do Matters</w:t>
      </w:r>
      <w:r>
        <w:rPr>
          <w:rFonts w:ascii="Arial" w:cs="Arial" w:eastAsia="Arial" w:hAnsi="Arial"/>
          <w:sz w:val="20"/>
          <w:szCs w:val="20"/>
          <w:color w:val="auto"/>
        </w:rPr>
        <w:t>: The work that we do makes a difference in the world.</w:t>
      </w:r>
    </w:p>
    <w:p>
      <w:pPr>
        <w:spacing w:after="0" w:line="250" w:lineRule="exact"/>
        <w:rPr>
          <w:sz w:val="20"/>
          <w:szCs w:val="20"/>
          <w:color w:val="auto"/>
        </w:rPr>
      </w:pPr>
    </w:p>
    <w:p>
      <w:pPr>
        <w:ind w:right="60" w:firstLine="360"/>
        <w:spacing w:after="0" w:line="259" w:lineRule="auto"/>
        <w:rPr>
          <w:sz w:val="20"/>
          <w:szCs w:val="20"/>
          <w:color w:val="auto"/>
        </w:rPr>
      </w:pPr>
      <w:r>
        <w:rPr>
          <w:rFonts w:ascii="Arial" w:cs="Arial" w:eastAsia="Arial" w:hAnsi="Arial"/>
          <w:sz w:val="20"/>
          <w:szCs w:val="20"/>
          <w:color w:val="auto"/>
        </w:rPr>
        <w:t>Our key human capital objectives are to attract, retain and develop our highly talented existing and future employees, while cultivating a diverse and inclusive workforce and environment to achieve exceptional business results. We strive to be a career destination where employees from all backgrounds are welcome and empowered, are treated with fairness and respect, can make a difference, and have the opportunity to grow.</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9000"/>
          </w:cols>
          <w:pgMar w:left="1440" w:top="1204" w:right="1440" w:bottom="0" w:gutter="0" w:footer="0" w:header="0"/>
          <w:type w:val="continuous"/>
        </w:sectPr>
      </w:pPr>
    </w:p>
    <w:bookmarkStart w:id="103" w:name="page104"/>
    <w:bookmarkEnd w:id="103"/>
    <w:p>
      <w:pPr>
        <w:ind w:left="360"/>
        <w:spacing w:after="0"/>
        <w:rPr>
          <w:sz w:val="20"/>
          <w:szCs w:val="20"/>
          <w:color w:val="auto"/>
        </w:rPr>
      </w:pPr>
      <w:r>
        <w:rPr>
          <w:rFonts w:ascii="Arial" w:cs="Arial" w:eastAsia="Arial" w:hAnsi="Arial"/>
          <w:sz w:val="20"/>
          <w:szCs w:val="20"/>
          <w:b w:val="1"/>
          <w:bCs w:val="1"/>
          <w:i w:val="1"/>
          <w:iCs w:val="1"/>
          <w:color w:val="auto"/>
        </w:rPr>
        <w:t>Compensation, Benefits and Talent Development</w:t>
      </w:r>
    </w:p>
    <w:p>
      <w:pPr>
        <w:spacing w:after="0" w:line="249" w:lineRule="exact"/>
        <w:rPr>
          <w:sz w:val="20"/>
          <w:szCs w:val="20"/>
          <w:color w:val="auto"/>
        </w:rPr>
      </w:pPr>
    </w:p>
    <w:p>
      <w:pPr>
        <w:ind w:right="80" w:firstLine="360"/>
        <w:spacing w:after="0" w:line="254" w:lineRule="auto"/>
        <w:rPr>
          <w:sz w:val="20"/>
          <w:szCs w:val="20"/>
          <w:color w:val="auto"/>
        </w:rPr>
      </w:pPr>
      <w:r>
        <w:rPr>
          <w:rFonts w:ascii="Arial" w:cs="Arial" w:eastAsia="Arial" w:hAnsi="Arial"/>
          <w:sz w:val="20"/>
          <w:szCs w:val="20"/>
          <w:color w:val="auto"/>
        </w:rPr>
        <w:t>We provide robust compensation and benefits packages to attract and retain our talent. We aim to incentivize our employees by aligning a portion of their compensation with the overall success of our business. In addition to base salary, our benefits packages include annual bonuses, equity awards, an employee stock purchase plan, retirement plans, along with health and wellness benefits. Equity awards of restricted stock units that vest over time are granted to new hires and to most employees on an annual basis. Eligible employees can participate in our Employee Stock Purchase Plan, in which employees may contribute a percentage of their compensation to purchase shares of our common stock at a discount. Our health and welfare benefits include health and life insurance, paid time off, family leave, and employee assistance programs. We are committed to a hybrid workplace strategy where employees have the flexibility to define the environment where they can do their best work.</w:t>
      </w:r>
    </w:p>
    <w:p>
      <w:pPr>
        <w:spacing w:after="0" w:line="203" w:lineRule="exact"/>
        <w:rPr>
          <w:sz w:val="20"/>
          <w:szCs w:val="20"/>
          <w:color w:val="auto"/>
        </w:rPr>
      </w:pPr>
    </w:p>
    <w:p>
      <w:pPr>
        <w:ind w:right="220" w:firstLine="360"/>
        <w:spacing w:after="0" w:line="259" w:lineRule="auto"/>
        <w:rPr>
          <w:sz w:val="20"/>
          <w:szCs w:val="20"/>
          <w:color w:val="auto"/>
        </w:rPr>
      </w:pPr>
      <w:r>
        <w:rPr>
          <w:rFonts w:ascii="Arial" w:cs="Arial" w:eastAsia="Arial" w:hAnsi="Arial"/>
          <w:sz w:val="20"/>
          <w:szCs w:val="20"/>
          <w:color w:val="auto"/>
        </w:rPr>
        <w:t>We promote and support employee development and organizational effectiveness by providing high-quality learning and development programs as well as tuition assistance programs. These programs are designed to meet individual, team and organizational needs and objectives. We strive to enhance learning and development programs to create a better workplace environment and to build a better Tenable.</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Diversity and Inclusion</w:t>
      </w:r>
    </w:p>
    <w:p>
      <w:pPr>
        <w:spacing w:after="0" w:line="249" w:lineRule="exact"/>
        <w:rPr>
          <w:sz w:val="20"/>
          <w:szCs w:val="20"/>
          <w:color w:val="auto"/>
        </w:rPr>
      </w:pPr>
    </w:p>
    <w:p>
      <w:pPr>
        <w:ind w:right="280" w:firstLine="360"/>
        <w:spacing w:after="0" w:line="259" w:lineRule="auto"/>
        <w:rPr>
          <w:sz w:val="20"/>
          <w:szCs w:val="20"/>
          <w:color w:val="auto"/>
        </w:rPr>
      </w:pPr>
      <w:r>
        <w:rPr>
          <w:rFonts w:ascii="Arial" w:cs="Arial" w:eastAsia="Arial" w:hAnsi="Arial"/>
          <w:sz w:val="20"/>
          <w:szCs w:val="20"/>
          <w:color w:val="auto"/>
        </w:rPr>
        <w:t>We seek to cultivate a diverse and inclusive workforce and environment to achieve exceptional business results. When we value and celebrate differences, we drive more innovation and grow closer to our customers, partners, and communities. We strive to be a career destination where employees from all backgrounds are welcome and empowered, treated with fairness and respect, presented with opportunities to make a difference, and provided opportunities to grow.</w:t>
      </w:r>
    </w:p>
    <w:p>
      <w:pPr>
        <w:spacing w:after="0" w:line="199" w:lineRule="exact"/>
        <w:rPr>
          <w:sz w:val="20"/>
          <w:szCs w:val="20"/>
          <w:color w:val="auto"/>
        </w:rPr>
      </w:pPr>
    </w:p>
    <w:p>
      <w:pPr>
        <w:ind w:firstLine="360"/>
        <w:spacing w:after="0" w:line="254" w:lineRule="auto"/>
        <w:rPr>
          <w:sz w:val="20"/>
          <w:szCs w:val="20"/>
          <w:color w:val="auto"/>
        </w:rPr>
      </w:pPr>
      <w:r>
        <w:rPr>
          <w:rFonts w:ascii="Arial" w:cs="Arial" w:eastAsia="Arial" w:hAnsi="Arial"/>
          <w:sz w:val="20"/>
          <w:szCs w:val="20"/>
          <w:color w:val="auto"/>
        </w:rPr>
        <w:t>We undertake numerous efforts to increase diversity in our employee population and to foster a culture of fairness and belonging through a number of measures in our recruiting, engagement, retention, and outreach practices. Our dedicated Diversity and Inclusion Council and Employee Resource Groups – along with our committed leaders and managers – strive to attract and hire employees who bring broad diversity of background, thought and style into the company and foster a sense of inclusion to make them want to stay. To support these initiatives, we build partnerships within our communities to support organizations and events that strive for greater representation of women and underrepresented minorities in cybersecurity, hold inclusion and bias mitigation training and offer targeted development opportunities to assist with career advancement. In addition to our global talent acquisition team receiving a diversity sourcing and recruiting certification, we have hired a team to help spearhead these initiatives.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Environmental Stewardship</w:t>
      </w:r>
    </w:p>
    <w:p>
      <w:pPr>
        <w:spacing w:after="0" w:line="249" w:lineRule="exact"/>
        <w:rPr>
          <w:sz w:val="20"/>
          <w:szCs w:val="20"/>
          <w:color w:val="auto"/>
        </w:rPr>
      </w:pPr>
    </w:p>
    <w:p>
      <w:pPr>
        <w:ind w:right="420" w:firstLine="360"/>
        <w:spacing w:after="0" w:line="262" w:lineRule="auto"/>
        <w:rPr>
          <w:sz w:val="20"/>
          <w:szCs w:val="20"/>
          <w:color w:val="auto"/>
        </w:rPr>
      </w:pPr>
      <w:r>
        <w:rPr>
          <w:rFonts w:ascii="Arial" w:cs="Arial" w:eastAsia="Arial" w:hAnsi="Arial"/>
          <w:sz w:val="20"/>
          <w:szCs w:val="20"/>
          <w:color w:val="auto"/>
        </w:rPr>
        <w:t>Our Board and management team recognize that we have a role to play in environmental stewardship. We believe that environmentally responsible operating practices are important to generating value for our stockholders, being a good partner with our customers and being a good employer to our employees.</w:t>
      </w:r>
    </w:p>
    <w:p>
      <w:pPr>
        <w:spacing w:after="0" w:line="196" w:lineRule="exact"/>
        <w:rPr>
          <w:sz w:val="20"/>
          <w:szCs w:val="20"/>
          <w:color w:val="auto"/>
        </w:rPr>
      </w:pPr>
    </w:p>
    <w:p>
      <w:pPr>
        <w:ind w:right="120" w:firstLine="360"/>
        <w:spacing w:after="0" w:line="259" w:lineRule="auto"/>
        <w:rPr>
          <w:sz w:val="20"/>
          <w:szCs w:val="20"/>
          <w:color w:val="auto"/>
        </w:rPr>
      </w:pPr>
      <w:r>
        <w:rPr>
          <w:rFonts w:ascii="Arial" w:cs="Arial" w:eastAsia="Arial" w:hAnsi="Arial"/>
          <w:sz w:val="20"/>
          <w:szCs w:val="20"/>
          <w:color w:val="auto"/>
        </w:rPr>
        <w:t>Energy consumption and usage within data centers is an important component of our day-to-day operations of our business. We outsource our data center needs to Amazon Web Services, or AWS. In 2014, AWS shared its long-term commitment to achieve 100 percent renewable energy usage for the global AWS infrastructure footprint. Additionally, our corporate headquarters is a LEED Certified Gold for Core Construction.</w:t>
      </w:r>
    </w:p>
    <w:p>
      <w:pPr>
        <w:sectPr>
          <w:pgSz w:w="11880" w:h="15480" w:orient="portrait"/>
          <w:cols w:equalWidth="0" w:num="1">
            <w:col w:w="9000"/>
          </w:cols>
          <w:pgMar w:left="1440" w:top="12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880" w:h="15480" w:orient="portrait"/>
          <w:cols w:equalWidth="0" w:num="1">
            <w:col w:w="9000"/>
          </w:cols>
          <w:pgMar w:left="1440" w:top="1205" w:right="1440" w:bottom="0" w:gutter="0" w:footer="0" w:header="0"/>
          <w:type w:val="continuous"/>
        </w:sectPr>
      </w:pPr>
    </w:p>
    <w:bookmarkStart w:id="104" w:name="page105"/>
    <w:bookmarkEnd w:id="104"/>
    <w:p>
      <w:pPr>
        <w:ind w:left="360"/>
        <w:spacing w:after="0"/>
        <w:rPr>
          <w:sz w:val="20"/>
          <w:szCs w:val="20"/>
          <w:color w:val="auto"/>
        </w:rPr>
      </w:pPr>
      <w:r>
        <w:rPr>
          <w:rFonts w:ascii="Arial" w:cs="Arial" w:eastAsia="Arial" w:hAnsi="Arial"/>
          <w:sz w:val="20"/>
          <w:szCs w:val="20"/>
          <w:b w:val="1"/>
          <w:bCs w:val="1"/>
          <w:color w:val="auto"/>
        </w:rPr>
        <w:t>Financial Information and Segments</w:t>
      </w:r>
    </w:p>
    <w:p>
      <w:pPr>
        <w:spacing w:after="0" w:line="251" w:lineRule="exact"/>
        <w:rPr>
          <w:sz w:val="20"/>
          <w:szCs w:val="20"/>
          <w:color w:val="auto"/>
        </w:rPr>
      </w:pPr>
    </w:p>
    <w:p>
      <w:pPr>
        <w:ind w:right="100" w:firstLine="360"/>
        <w:spacing w:after="0" w:line="268" w:lineRule="auto"/>
        <w:rPr>
          <w:sz w:val="20"/>
          <w:szCs w:val="20"/>
          <w:color w:val="auto"/>
        </w:rPr>
      </w:pPr>
      <w:r>
        <w:rPr>
          <w:rFonts w:ascii="Arial" w:cs="Arial" w:eastAsia="Arial" w:hAnsi="Arial"/>
          <w:sz w:val="20"/>
          <w:szCs w:val="20"/>
          <w:color w:val="auto"/>
        </w:rPr>
        <w:t>Segment and geographic information required by Part I, Item 1 of Form 10-K can be found in Note 1 and Note 13 of the Notes to our Consolidated Financial Statements included in Part II, Item 8, Financial Statements, of this Form 10-K.</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Corporate Information</w:t>
      </w:r>
    </w:p>
    <w:p>
      <w:pPr>
        <w:spacing w:after="0" w:line="251" w:lineRule="exact"/>
        <w:rPr>
          <w:sz w:val="20"/>
          <w:szCs w:val="20"/>
          <w:color w:val="auto"/>
        </w:rPr>
      </w:pPr>
    </w:p>
    <w:p>
      <w:pPr>
        <w:ind w:right="120" w:firstLine="360"/>
        <w:spacing w:after="0" w:line="262" w:lineRule="auto"/>
        <w:rPr>
          <w:sz w:val="20"/>
          <w:szCs w:val="20"/>
          <w:color w:val="auto"/>
        </w:rPr>
      </w:pPr>
      <w:r>
        <w:rPr>
          <w:rFonts w:ascii="Arial" w:cs="Arial" w:eastAsia="Arial" w:hAnsi="Arial"/>
          <w:sz w:val="20"/>
          <w:szCs w:val="20"/>
          <w:color w:val="auto"/>
        </w:rPr>
        <w:t>Tenable Network Security, Inc., our predecessor, was incorporated under the laws of the State of Delaware in 2002. Tenable Holdings, Inc. was incorporated in Delaware in October 2015. In November 2015, Tenable Network Security, Inc. was merged into a wholly owned subsidiary and in 2017 was renamed as Tenable, Inc.</w:t>
      </w:r>
    </w:p>
    <w:p>
      <w:pPr>
        <w:spacing w:after="0" w:line="196" w:lineRule="exact"/>
        <w:rPr>
          <w:sz w:val="20"/>
          <w:szCs w:val="20"/>
          <w:color w:val="auto"/>
        </w:rPr>
      </w:pPr>
    </w:p>
    <w:p>
      <w:pPr>
        <w:ind w:right="500" w:firstLine="360"/>
        <w:spacing w:after="0" w:line="259" w:lineRule="auto"/>
        <w:rPr>
          <w:sz w:val="20"/>
          <w:szCs w:val="20"/>
          <w:color w:val="auto"/>
        </w:rPr>
      </w:pPr>
      <w:r>
        <w:rPr>
          <w:rFonts w:ascii="Arial" w:cs="Arial" w:eastAsia="Arial" w:hAnsi="Arial"/>
          <w:sz w:val="20"/>
          <w:szCs w:val="20"/>
          <w:color w:val="auto"/>
        </w:rPr>
        <w:t>Our principal executive offices are located at 6100 Merriweather Drive, Columbia, Maryland 21044. Our telephone number is (410) 872-0555. Our website address is www.tenable.com. The information contained on, or that can be accessed through, our website is not incorporated by reference, and you should not consider any information contained on, or that can be accessed through, our website as part of this Annual Report on Form 10-K.</w:t>
      </w:r>
    </w:p>
    <w:p>
      <w:pPr>
        <w:spacing w:after="0" w:line="199" w:lineRule="exact"/>
        <w:rPr>
          <w:sz w:val="20"/>
          <w:szCs w:val="20"/>
          <w:color w:val="auto"/>
        </w:rPr>
      </w:pPr>
    </w:p>
    <w:p>
      <w:pPr>
        <w:ind w:right="160" w:firstLine="360"/>
        <w:spacing w:after="0" w:line="263" w:lineRule="auto"/>
        <w:rPr>
          <w:sz w:val="20"/>
          <w:szCs w:val="20"/>
          <w:color w:val="auto"/>
        </w:rPr>
      </w:pPr>
      <w:r>
        <w:rPr>
          <w:rFonts w:ascii="Arial" w:cs="Arial" w:eastAsia="Arial" w:hAnsi="Arial"/>
          <w:sz w:val="19"/>
          <w:szCs w:val="19"/>
          <w:color w:val="auto"/>
        </w:rPr>
        <w:t>“Tenable,” “Nessus,” the Tenable logo and other trademarks or service marks of Tenable Holdings, Inc. appearing in this Annual Report on Form 10-K are the property of Tenable Holdings, Inc. This Annual Report on Form 10-K contains additional trade names, trademarks and service marks of others, which are the property of their respective owners. Solely for convenience, trademarks and trade names referred to in this Annual Report on Form 10-K may appear without the</w:t>
      </w:r>
    </w:p>
    <w:p>
      <w:pPr>
        <w:spacing w:after="0" w:line="3" w:lineRule="exact"/>
        <w:rPr>
          <w:sz w:val="20"/>
          <w:szCs w:val="20"/>
          <w:color w:val="auto"/>
        </w:rPr>
      </w:pPr>
    </w:p>
    <w:p>
      <w:pPr>
        <w:ind w:left="200" w:hanging="200"/>
        <w:spacing w:after="0"/>
        <w:tabs>
          <w:tab w:leader="none" w:pos="200" w:val="left"/>
        </w:tabs>
        <w:numPr>
          <w:ilvl w:val="0"/>
          <w:numId w:val="89"/>
        </w:numPr>
        <w:rPr>
          <w:rFonts w:ascii="Arial" w:cs="Arial" w:eastAsia="Arial" w:hAnsi="Arial"/>
          <w:sz w:val="20"/>
          <w:szCs w:val="20"/>
          <w:color w:val="auto"/>
        </w:rPr>
      </w:pPr>
      <w:r>
        <w:rPr>
          <w:rFonts w:ascii="Arial" w:cs="Arial" w:eastAsia="Arial" w:hAnsi="Arial"/>
          <w:sz w:val="20"/>
          <w:szCs w:val="20"/>
          <w:color w:val="auto"/>
        </w:rPr>
        <w:t>or TM symbols.</w:t>
      </w:r>
    </w:p>
    <w:p>
      <w:pPr>
        <w:spacing w:after="0" w:line="249" w:lineRule="exact"/>
        <w:rPr>
          <w:rFonts w:ascii="Arial" w:cs="Arial" w:eastAsia="Arial" w:hAnsi="Arial"/>
          <w:sz w:val="20"/>
          <w:szCs w:val="20"/>
          <w:color w:val="auto"/>
        </w:rPr>
      </w:pPr>
    </w:p>
    <w:p>
      <w:pPr>
        <w:ind w:left="360"/>
        <w:spacing w:after="0"/>
        <w:rPr>
          <w:rFonts w:ascii="Arial" w:cs="Arial" w:eastAsia="Arial" w:hAnsi="Arial"/>
          <w:sz w:val="20"/>
          <w:szCs w:val="20"/>
          <w:color w:val="auto"/>
        </w:rPr>
      </w:pPr>
      <w:r>
        <w:rPr>
          <w:rFonts w:ascii="Arial" w:cs="Arial" w:eastAsia="Arial" w:hAnsi="Arial"/>
          <w:sz w:val="20"/>
          <w:szCs w:val="20"/>
          <w:b w:val="1"/>
          <w:bCs w:val="1"/>
          <w:color w:val="auto"/>
        </w:rPr>
        <w:t>Available Information</w:t>
      </w:r>
    </w:p>
    <w:p>
      <w:pPr>
        <w:spacing w:after="0" w:line="251" w:lineRule="exact"/>
        <w:rPr>
          <w:sz w:val="20"/>
          <w:szCs w:val="20"/>
          <w:color w:val="auto"/>
        </w:rPr>
      </w:pPr>
    </w:p>
    <w:p>
      <w:pPr>
        <w:ind w:right="160" w:firstLine="360"/>
        <w:spacing w:after="0" w:line="257" w:lineRule="auto"/>
        <w:rPr>
          <w:sz w:val="20"/>
          <w:szCs w:val="20"/>
          <w:color w:val="auto"/>
        </w:rPr>
      </w:pPr>
      <w:r>
        <w:rPr>
          <w:rFonts w:ascii="Arial" w:cs="Arial" w:eastAsia="Arial" w:hAnsi="Arial"/>
          <w:sz w:val="20"/>
          <w:szCs w:val="20"/>
          <w:color w:val="auto"/>
        </w:rPr>
        <w:t>Our Annual Report on Form 10-K, Quarterly Reports on Form 10-Q, Current Reports on Form 8-K, Proxy Statement, and amendments to reports filed pursuant to Sections 13(a) and 15(d) of the Exchange Act, are available for download free of charge from our investor relations website https:// investors.tenable.com after we file them with the Securities and Exchange Commission, or the SEC. The SEC’s website https://www.sec.gov contains reports, proxy and information statements, and other information regarding issuers that file electronically with the SEC.</w:t>
      </w:r>
    </w:p>
    <w:p>
      <w:pPr>
        <w:spacing w:after="0" w:line="202" w:lineRule="exact"/>
        <w:rPr>
          <w:sz w:val="20"/>
          <w:szCs w:val="20"/>
          <w:color w:val="auto"/>
        </w:rPr>
      </w:pPr>
    </w:p>
    <w:p>
      <w:pPr>
        <w:ind w:right="60" w:firstLine="360"/>
        <w:spacing w:after="0" w:line="287" w:lineRule="auto"/>
        <w:rPr>
          <w:sz w:val="20"/>
          <w:szCs w:val="20"/>
          <w:color w:val="auto"/>
        </w:rPr>
      </w:pPr>
      <w:r>
        <w:rPr>
          <w:rFonts w:ascii="Arial" w:cs="Arial" w:eastAsia="Arial" w:hAnsi="Arial"/>
          <w:sz w:val="20"/>
          <w:szCs w:val="20"/>
          <w:color w:val="auto"/>
        </w:rPr>
        <w:t>The contents of any website referred to in this Form 10-K are not intended to be incorporated into this Annual Report on Form 10-K or in any other report or document we file with the SEC.</w:t>
      </w:r>
    </w:p>
    <w:p>
      <w:pPr>
        <w:spacing w:after="0" w:line="169"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52" w:lineRule="exact"/>
        <w:rPr>
          <w:sz w:val="20"/>
          <w:szCs w:val="20"/>
          <w:color w:val="auto"/>
        </w:rPr>
      </w:pPr>
    </w:p>
    <w:p>
      <w:pPr>
        <w:ind w:right="40" w:firstLine="360"/>
        <w:spacing w:after="0" w:line="255" w:lineRule="auto"/>
        <w:rPr>
          <w:sz w:val="20"/>
          <w:szCs w:val="20"/>
          <w:color w:val="auto"/>
        </w:rPr>
      </w:pPr>
      <w:r>
        <w:rPr>
          <w:rFonts w:ascii="Arial" w:cs="Arial" w:eastAsia="Arial" w:hAnsi="Arial"/>
          <w:sz w:val="20"/>
          <w:szCs w:val="20"/>
          <w:i w:val="1"/>
          <w:iCs w:val="1"/>
          <w:color w:val="auto"/>
        </w:rPr>
        <w:t>Our operations and financial results are subject to significant risks and uncertainties including those described below. You should carefully consider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880" w:h="15480" w:orient="portrait"/>
          <w:cols w:equalWidth="0" w:num="1">
            <w:col w:w="9000"/>
          </w:cols>
          <w:pgMar w:left="1440" w:top="1203" w:right="1440" w:bottom="0" w:gutter="0" w:footer="0" w:header="0"/>
          <w:type w:val="continuous"/>
        </w:sectPr>
      </w:pPr>
    </w:p>
    <w:bookmarkStart w:id="105" w:name="page106"/>
    <w:bookmarkEnd w:id="105"/>
    <w:p>
      <w:pPr>
        <w:ind w:left="360"/>
        <w:spacing w:after="0"/>
        <w:rPr>
          <w:sz w:val="20"/>
          <w:szCs w:val="20"/>
          <w:color w:val="auto"/>
        </w:rPr>
      </w:pPr>
      <w:r>
        <w:rPr>
          <w:rFonts w:ascii="Arial" w:cs="Arial" w:eastAsia="Arial" w:hAnsi="Arial"/>
          <w:sz w:val="20"/>
          <w:szCs w:val="20"/>
          <w:b w:val="1"/>
          <w:bCs w:val="1"/>
          <w:color w:val="auto"/>
        </w:rPr>
        <w:t>Selected Risks Affecting Our Business</w:t>
      </w:r>
    </w:p>
    <w:p>
      <w:pPr>
        <w:spacing w:after="0" w:line="251" w:lineRule="exact"/>
        <w:rPr>
          <w:sz w:val="20"/>
          <w:szCs w:val="20"/>
          <w:color w:val="auto"/>
        </w:rPr>
      </w:pPr>
    </w:p>
    <w:p>
      <w:pPr>
        <w:ind w:right="380" w:firstLine="360"/>
        <w:spacing w:after="0" w:line="268" w:lineRule="auto"/>
        <w:rPr>
          <w:sz w:val="20"/>
          <w:szCs w:val="20"/>
          <w:color w:val="auto"/>
        </w:rPr>
      </w:pPr>
      <w:r>
        <w:rPr>
          <w:rFonts w:ascii="Arial" w:cs="Arial" w:eastAsia="Arial" w:hAnsi="Arial"/>
          <w:sz w:val="20"/>
          <w:szCs w:val="20"/>
          <w:color w:val="auto"/>
        </w:rPr>
        <w:t>Our business is subject to a number of risks of which you should be aware before making a decision to invest in our common stock. These risks are more fully described in this “Risk Factors” section, including the following:</w:t>
      </w:r>
    </w:p>
    <w:p>
      <w:pPr>
        <w:spacing w:after="0" w:line="70" w:lineRule="exact"/>
        <w:rPr>
          <w:sz w:val="20"/>
          <w:szCs w:val="20"/>
          <w:color w:val="auto"/>
        </w:rPr>
      </w:pPr>
    </w:p>
    <w:p>
      <w:pPr>
        <w:ind w:left="720" w:hanging="360"/>
        <w:spacing w:after="0"/>
        <w:tabs>
          <w:tab w:leader="none" w:pos="7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We have a history of losses and may not achieve or maintain profitability in the future.</w:t>
      </w:r>
    </w:p>
    <w:p>
      <w:pPr>
        <w:spacing w:after="0" w:line="70" w:lineRule="exact"/>
        <w:rPr>
          <w:rFonts w:ascii="Arial" w:cs="Arial" w:eastAsia="Arial" w:hAnsi="Arial"/>
          <w:sz w:val="20"/>
          <w:szCs w:val="20"/>
          <w:color w:val="auto"/>
        </w:rPr>
      </w:pPr>
    </w:p>
    <w:p>
      <w:pPr>
        <w:ind w:left="720" w:right="720" w:hanging="360"/>
        <w:spacing w:after="0" w:line="281" w:lineRule="auto"/>
        <w:tabs>
          <w:tab w:leader="none" w:pos="7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We face intense competition. If we do not continue to innovate and offer solutions that address the dynamic cybersecurity landscape, we may not remain competitive.</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We may not be able to sustain our revenue growth rate in the future.</w:t>
      </w:r>
    </w:p>
    <w:p>
      <w:pPr>
        <w:spacing w:after="0" w:line="70" w:lineRule="exact"/>
        <w:rPr>
          <w:rFonts w:ascii="Arial" w:cs="Arial" w:eastAsia="Arial" w:hAnsi="Arial"/>
          <w:sz w:val="20"/>
          <w:szCs w:val="20"/>
          <w:color w:val="auto"/>
        </w:rPr>
      </w:pPr>
    </w:p>
    <w:p>
      <w:pPr>
        <w:ind w:left="720" w:right="340" w:hanging="360"/>
        <w:spacing w:after="0" w:line="281" w:lineRule="auto"/>
        <w:tabs>
          <w:tab w:leader="none" w:pos="7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We may not be able to scale our business quickly enough to meet our customers’ growing needs.</w:t>
      </w:r>
    </w:p>
    <w:p>
      <w:pPr>
        <w:spacing w:after="0" w:line="1" w:lineRule="exact"/>
        <w:rPr>
          <w:rFonts w:ascii="Arial" w:cs="Arial" w:eastAsia="Arial" w:hAnsi="Arial"/>
          <w:sz w:val="20"/>
          <w:szCs w:val="20"/>
          <w:color w:val="auto"/>
        </w:rPr>
      </w:pPr>
    </w:p>
    <w:p>
      <w:pPr>
        <w:ind w:left="720" w:hanging="360"/>
        <w:spacing w:after="0" w:line="255" w:lineRule="auto"/>
        <w:tabs>
          <w:tab w:leader="none" w:pos="7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Our brand, reputation and ability to attract, retain and serve our customers are dependent in part upon the reliability and accuracy of our data, solutions, infrastructure and those of third parties upon which we rely. If our information technology systems or data, or those of third parties upon which we rely, are or were compromised, or if our solutions fail to detect vulnerabilities or incorrectly detect vulnerabilities, or if they contain undetected errors or defects, we could experience adverse consequences, including but not limited to regulatory investigations or actions; litigation; fines and penalties; disruptions of our business operations; reputational harm; loss of revenue or profits; loss of customers or sales; and other adverse consequences.</w:t>
      </w:r>
    </w:p>
    <w:p>
      <w:pPr>
        <w:spacing w:after="0" w:line="20" w:lineRule="exact"/>
        <w:rPr>
          <w:rFonts w:ascii="Arial" w:cs="Arial" w:eastAsia="Arial" w:hAnsi="Arial"/>
          <w:sz w:val="20"/>
          <w:szCs w:val="20"/>
          <w:color w:val="auto"/>
        </w:rPr>
      </w:pPr>
    </w:p>
    <w:p>
      <w:pPr>
        <w:ind w:left="720" w:right="480" w:hanging="360"/>
        <w:spacing w:after="0" w:line="281" w:lineRule="auto"/>
        <w:tabs>
          <w:tab w:leader="none" w:pos="7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Our future quarterly results of operations are likely to fluctuate significantly due to a wide range of factors, which makes our future results difficult to predict.</w:t>
      </w:r>
    </w:p>
    <w:p>
      <w:pPr>
        <w:spacing w:after="0" w:line="1" w:lineRule="exact"/>
        <w:rPr>
          <w:rFonts w:ascii="Arial" w:cs="Arial" w:eastAsia="Arial" w:hAnsi="Arial"/>
          <w:sz w:val="20"/>
          <w:szCs w:val="20"/>
          <w:color w:val="auto"/>
        </w:rPr>
      </w:pPr>
    </w:p>
    <w:p>
      <w:pPr>
        <w:ind w:left="720" w:right="60" w:hanging="360"/>
        <w:spacing w:after="0" w:line="259" w:lineRule="auto"/>
        <w:tabs>
          <w:tab w:leader="none" w:pos="7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spacing w:after="0" w:line="19" w:lineRule="exact"/>
        <w:rPr>
          <w:rFonts w:ascii="Arial" w:cs="Arial" w:eastAsia="Arial" w:hAnsi="Arial"/>
          <w:sz w:val="20"/>
          <w:szCs w:val="20"/>
          <w:color w:val="auto"/>
        </w:rPr>
      </w:pPr>
    </w:p>
    <w:p>
      <w:pPr>
        <w:ind w:left="720" w:right="1220" w:hanging="360"/>
        <w:spacing w:after="0" w:line="281" w:lineRule="auto"/>
        <w:tabs>
          <w:tab w:leader="none" w:pos="7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We rely on third parties to maintain and operate certain elements of our network infrastructure.</w:t>
      </w:r>
    </w:p>
    <w:p>
      <w:pPr>
        <w:spacing w:after="0" w:line="1" w:lineRule="exact"/>
        <w:rPr>
          <w:rFonts w:ascii="Arial" w:cs="Arial" w:eastAsia="Arial" w:hAnsi="Arial"/>
          <w:sz w:val="20"/>
          <w:szCs w:val="20"/>
          <w:color w:val="auto"/>
        </w:rPr>
      </w:pPr>
    </w:p>
    <w:p>
      <w:pPr>
        <w:ind w:left="720" w:right="120" w:hanging="360"/>
        <w:spacing w:after="0" w:line="276" w:lineRule="auto"/>
        <w:tabs>
          <w:tab w:leader="none" w:pos="720" w:val="left"/>
        </w:tabs>
        <w:numPr>
          <w:ilvl w:val="0"/>
          <w:numId w:val="90"/>
        </w:numPr>
        <w:rPr>
          <w:rFonts w:ascii="Arial" w:cs="Arial" w:eastAsia="Arial" w:hAnsi="Arial"/>
          <w:sz w:val="19"/>
          <w:szCs w:val="19"/>
          <w:color w:val="auto"/>
        </w:rPr>
      </w:pPr>
      <w:r>
        <w:rPr>
          <w:rFonts w:ascii="Arial" w:cs="Arial" w:eastAsia="Arial" w:hAnsi="Arial"/>
          <w:sz w:val="19"/>
          <w:szCs w:val="19"/>
          <w:color w:val="auto"/>
        </w:rPr>
        <w:t>We are subject to stringent and changing laws, regulations, rules, contractual obligations, policies, and other obligations related to data privacy and security. Our failure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3" w:lineRule="exact"/>
        <w:rPr>
          <w:rFonts w:ascii="Arial" w:cs="Arial" w:eastAsia="Arial" w:hAnsi="Arial"/>
          <w:sz w:val="19"/>
          <w:szCs w:val="19"/>
          <w:color w:val="auto"/>
        </w:rPr>
      </w:pPr>
    </w:p>
    <w:p>
      <w:pPr>
        <w:ind w:left="720" w:right="140" w:hanging="360"/>
        <w:spacing w:after="0" w:line="250" w:lineRule="auto"/>
        <w:tabs>
          <w:tab w:leader="none" w:pos="7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We rely on our third-party channel partner network of distributors and resellers to generate a substantial amount of our revenue.</w:t>
      </w:r>
    </w:p>
    <w:p>
      <w:pPr>
        <w:ind w:left="720" w:right="20" w:hanging="360"/>
        <w:spacing w:after="0" w:line="262" w:lineRule="auto"/>
        <w:tabs>
          <w:tab w:leader="none" w:pos="7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We rely on the performance of highly skilled personnel, including senior management and our engineering, professional services, sales and technology professionals, and our ability to increase our customer base will depend to a significant extent on our ability to expand our sales and marketing operations.</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Risks Related to Our Business and Industry</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We have a history of losses and may not achieve or maintain profitability in the future.</w:t>
      </w:r>
    </w:p>
    <w:p>
      <w:pPr>
        <w:spacing w:after="0" w:line="249" w:lineRule="exact"/>
        <w:rPr>
          <w:sz w:val="20"/>
          <w:szCs w:val="20"/>
          <w:color w:val="auto"/>
        </w:rPr>
      </w:pPr>
    </w:p>
    <w:p>
      <w:pPr>
        <w:jc w:val="both"/>
        <w:ind w:right="240" w:firstLine="360"/>
        <w:spacing w:after="0" w:line="289" w:lineRule="auto"/>
        <w:rPr>
          <w:sz w:val="20"/>
          <w:szCs w:val="20"/>
          <w:color w:val="auto"/>
        </w:rPr>
      </w:pPr>
      <w:r>
        <w:rPr>
          <w:rFonts w:ascii="Arial" w:cs="Arial" w:eastAsia="Arial" w:hAnsi="Arial"/>
          <w:sz w:val="19"/>
          <w:szCs w:val="19"/>
          <w:color w:val="auto"/>
        </w:rPr>
        <w:t>We have historically incurred net losses, including net losses of $92.2 million, $46.7 million and $42.7 million in 2022, 2021 and 2020, respectively. At December 31, 2022, we had an accumulated deficit of $746.8 million. Because the market for our offerings is highly competitive and rapidly</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880" w:h="15480" w:orient="portrait"/>
          <w:cols w:equalWidth="0" w:num="1">
            <w:col w:w="9000"/>
          </w:cols>
          <w:pgMar w:left="1440" w:top="1203" w:right="1440" w:bottom="0" w:gutter="0" w:footer="0" w:header="0"/>
          <w:type w:val="continuous"/>
        </w:sectPr>
      </w:pPr>
    </w:p>
    <w:bookmarkStart w:id="106" w:name="page107"/>
    <w:bookmarkEnd w:id="106"/>
    <w:p>
      <w:pPr>
        <w:ind w:right="140"/>
        <w:spacing w:after="0" w:line="287" w:lineRule="auto"/>
        <w:rPr>
          <w:sz w:val="20"/>
          <w:szCs w:val="20"/>
          <w:color w:val="auto"/>
        </w:rPr>
      </w:pPr>
      <w:r>
        <w:rPr>
          <w:rFonts w:ascii="Arial" w:cs="Arial" w:eastAsia="Arial" w:hAnsi="Arial"/>
          <w:sz w:val="20"/>
          <w:szCs w:val="20"/>
          <w:color w:val="auto"/>
        </w:rPr>
        <w:t>evolving and these solutions have not yet reached widespread adoption, it is difficult for us to predict our future results of operations.</w:t>
      </w:r>
    </w:p>
    <w:p>
      <w:pPr>
        <w:spacing w:after="0" w:line="170" w:lineRule="exact"/>
        <w:rPr>
          <w:sz w:val="20"/>
          <w:szCs w:val="20"/>
          <w:color w:val="auto"/>
        </w:rPr>
      </w:pPr>
    </w:p>
    <w:p>
      <w:pPr>
        <w:ind w:right="180" w:firstLine="360"/>
        <w:spacing w:after="0" w:line="257" w:lineRule="auto"/>
        <w:rPr>
          <w:sz w:val="20"/>
          <w:szCs w:val="20"/>
          <w:color w:val="auto"/>
        </w:rPr>
      </w:pPr>
      <w:r>
        <w:rPr>
          <w:rFonts w:ascii="Arial" w:cs="Arial" w:eastAsia="Arial" w:hAnsi="Arial"/>
          <w:sz w:val="20"/>
          <w:szCs w:val="20"/>
          <w:color w:val="auto"/>
        </w:rPr>
        <w:t>While we have experienced significant revenue growth in recent periods, we are not certain whether or when we will obtain a high enough volume of sales of our offerings to sustain or increase our growth or achieve or maintain profitability in the future. We also expect our costs to increase in future periods, which could negatively affect our future operating results if our revenue does not increase at a greater rate. In particular, we expect to continue to expend substantial financial and other resources on:</w:t>
      </w:r>
    </w:p>
    <w:p>
      <w:pPr>
        <w:spacing w:after="0" w:line="82" w:lineRule="exact"/>
        <w:rPr>
          <w:sz w:val="20"/>
          <w:szCs w:val="20"/>
          <w:color w:val="auto"/>
        </w:rPr>
      </w:pPr>
    </w:p>
    <w:p>
      <w:pPr>
        <w:ind w:left="720" w:hanging="360"/>
        <w:spacing w:after="0"/>
        <w:tabs>
          <w:tab w:leader="none" w:pos="720" w:val="left"/>
        </w:tabs>
        <w:numPr>
          <w:ilvl w:val="0"/>
          <w:numId w:val="91"/>
        </w:numPr>
        <w:rPr>
          <w:rFonts w:ascii="Arial" w:cs="Arial" w:eastAsia="Arial" w:hAnsi="Arial"/>
          <w:sz w:val="20"/>
          <w:szCs w:val="20"/>
          <w:color w:val="auto"/>
        </w:rPr>
      </w:pPr>
      <w:r>
        <w:rPr>
          <w:rFonts w:ascii="Arial" w:cs="Arial" w:eastAsia="Arial" w:hAnsi="Arial"/>
          <w:sz w:val="20"/>
          <w:szCs w:val="20"/>
          <w:color w:val="auto"/>
        </w:rPr>
        <w:t>public cloud infrastructure and computing costs;</w:t>
      </w:r>
    </w:p>
    <w:p>
      <w:pPr>
        <w:spacing w:after="0" w:line="70" w:lineRule="exact"/>
        <w:rPr>
          <w:rFonts w:ascii="Arial" w:cs="Arial" w:eastAsia="Arial" w:hAnsi="Arial"/>
          <w:sz w:val="20"/>
          <w:szCs w:val="20"/>
          <w:color w:val="auto"/>
        </w:rPr>
      </w:pPr>
    </w:p>
    <w:p>
      <w:pPr>
        <w:ind w:left="720" w:right="60" w:hanging="360"/>
        <w:spacing w:after="0" w:line="281" w:lineRule="auto"/>
        <w:tabs>
          <w:tab w:leader="none" w:pos="720" w:val="left"/>
        </w:tabs>
        <w:numPr>
          <w:ilvl w:val="0"/>
          <w:numId w:val="91"/>
        </w:numPr>
        <w:rPr>
          <w:rFonts w:ascii="Arial" w:cs="Arial" w:eastAsia="Arial" w:hAnsi="Arial"/>
          <w:sz w:val="20"/>
          <w:szCs w:val="20"/>
          <w:color w:val="auto"/>
        </w:rPr>
      </w:pPr>
      <w:r>
        <w:rPr>
          <w:rFonts w:ascii="Arial" w:cs="Arial" w:eastAsia="Arial" w:hAnsi="Arial"/>
          <w:sz w:val="20"/>
          <w:szCs w:val="20"/>
          <w:color w:val="auto"/>
        </w:rPr>
        <w:t>research and development related to our offerings, including investments in our research and development team;</w:t>
      </w:r>
    </w:p>
    <w:p>
      <w:pPr>
        <w:spacing w:after="0" w:line="1" w:lineRule="exact"/>
        <w:rPr>
          <w:rFonts w:ascii="Arial" w:cs="Arial" w:eastAsia="Arial" w:hAnsi="Arial"/>
          <w:sz w:val="20"/>
          <w:szCs w:val="20"/>
          <w:color w:val="auto"/>
        </w:rPr>
      </w:pPr>
    </w:p>
    <w:p>
      <w:pPr>
        <w:ind w:left="720" w:right="780" w:hanging="360"/>
        <w:spacing w:after="0" w:line="281" w:lineRule="auto"/>
        <w:tabs>
          <w:tab w:leader="none" w:pos="720" w:val="left"/>
        </w:tabs>
        <w:numPr>
          <w:ilvl w:val="0"/>
          <w:numId w:val="91"/>
        </w:numPr>
        <w:rPr>
          <w:rFonts w:ascii="Arial" w:cs="Arial" w:eastAsia="Arial" w:hAnsi="Arial"/>
          <w:sz w:val="20"/>
          <w:szCs w:val="20"/>
          <w:color w:val="auto"/>
        </w:rPr>
      </w:pPr>
      <w:r>
        <w:rPr>
          <w:rFonts w:ascii="Arial" w:cs="Arial" w:eastAsia="Arial" w:hAnsi="Arial"/>
          <w:sz w:val="20"/>
          <w:szCs w:val="20"/>
          <w:color w:val="auto"/>
        </w:rPr>
        <w:t>sales and marketing, including a significant expansion of our sales organization, both domestically and internationally;</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91"/>
        </w:numPr>
        <w:rPr>
          <w:rFonts w:ascii="Arial" w:cs="Arial" w:eastAsia="Arial" w:hAnsi="Arial"/>
          <w:sz w:val="20"/>
          <w:szCs w:val="20"/>
          <w:color w:val="auto"/>
        </w:rPr>
      </w:pPr>
      <w:r>
        <w:rPr>
          <w:rFonts w:ascii="Arial" w:cs="Arial" w:eastAsia="Arial" w:hAnsi="Arial"/>
          <w:sz w:val="20"/>
          <w:szCs w:val="20"/>
          <w:color w:val="auto"/>
        </w:rPr>
        <w:t>continued international expansion of our business; and</w:t>
      </w:r>
    </w:p>
    <w:p>
      <w:pPr>
        <w:spacing w:after="0" w:line="70" w:lineRule="exact"/>
        <w:rPr>
          <w:rFonts w:ascii="Arial" w:cs="Arial" w:eastAsia="Arial" w:hAnsi="Arial"/>
          <w:sz w:val="20"/>
          <w:szCs w:val="20"/>
          <w:color w:val="auto"/>
        </w:rPr>
      </w:pPr>
    </w:p>
    <w:p>
      <w:pPr>
        <w:ind w:left="720" w:right="540" w:hanging="360"/>
        <w:spacing w:after="0" w:line="287" w:lineRule="auto"/>
        <w:tabs>
          <w:tab w:leader="none" w:pos="720" w:val="left"/>
        </w:tabs>
        <w:numPr>
          <w:ilvl w:val="0"/>
          <w:numId w:val="91"/>
        </w:numPr>
        <w:rPr>
          <w:rFonts w:ascii="Arial" w:cs="Arial" w:eastAsia="Arial" w:hAnsi="Arial"/>
          <w:sz w:val="20"/>
          <w:szCs w:val="20"/>
          <w:color w:val="auto"/>
        </w:rPr>
      </w:pPr>
      <w:r>
        <w:rPr>
          <w:rFonts w:ascii="Arial" w:cs="Arial" w:eastAsia="Arial" w:hAnsi="Arial"/>
          <w:sz w:val="20"/>
          <w:szCs w:val="20"/>
          <w:color w:val="auto"/>
        </w:rPr>
        <w:t>general and administrative expense, including legal and accounting expenses related to being a public company.</w:t>
      </w:r>
    </w:p>
    <w:p>
      <w:pPr>
        <w:spacing w:after="0" w:line="170" w:lineRule="exact"/>
        <w:rPr>
          <w:sz w:val="20"/>
          <w:szCs w:val="20"/>
          <w:color w:val="auto"/>
        </w:rPr>
      </w:pPr>
    </w:p>
    <w:p>
      <w:pPr>
        <w:ind w:right="160" w:firstLine="360"/>
        <w:spacing w:after="0" w:line="272" w:lineRule="auto"/>
        <w:rPr>
          <w:sz w:val="20"/>
          <w:szCs w:val="20"/>
          <w:color w:val="auto"/>
        </w:rPr>
      </w:pPr>
      <w:r>
        <w:rPr>
          <w:rFonts w:ascii="Arial" w:cs="Arial" w:eastAsia="Arial" w:hAnsi="Arial"/>
          <w:sz w:val="19"/>
          <w:szCs w:val="19"/>
          <w:color w:val="auto"/>
        </w:rPr>
        <w:t>These investments may not result in increased revenue or growth in our business. If we are unable to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achieve or maintain profitability in the future.</w:t>
      </w:r>
    </w:p>
    <w:p>
      <w:pPr>
        <w:spacing w:after="0" w:line="188" w:lineRule="exact"/>
        <w:rPr>
          <w:sz w:val="20"/>
          <w:szCs w:val="20"/>
          <w:color w:val="auto"/>
        </w:rPr>
      </w:pPr>
    </w:p>
    <w:p>
      <w:pPr>
        <w:ind w:right="440" w:firstLine="360"/>
        <w:spacing w:after="0" w:line="296" w:lineRule="auto"/>
        <w:rPr>
          <w:sz w:val="20"/>
          <w:szCs w:val="20"/>
          <w:color w:val="auto"/>
        </w:rPr>
      </w:pPr>
      <w:r>
        <w:rPr>
          <w:rFonts w:ascii="Arial" w:cs="Arial" w:eastAsia="Arial" w:hAnsi="Arial"/>
          <w:sz w:val="20"/>
          <w:szCs w:val="20"/>
          <w:b w:val="1"/>
          <w:bCs w:val="1"/>
          <w:i w:val="1"/>
          <w:iCs w:val="1"/>
          <w:color w:val="auto"/>
        </w:rPr>
        <w:t>We face intense competition. If we do not continue to innovate and offer solutions that address the dynamic cybersecurity landscape, we may not remain competitive.</w:t>
      </w:r>
    </w:p>
    <w:p>
      <w:pPr>
        <w:spacing w:after="0" w:line="152" w:lineRule="exact"/>
        <w:rPr>
          <w:sz w:val="20"/>
          <w:szCs w:val="20"/>
          <w:color w:val="auto"/>
        </w:rPr>
      </w:pPr>
    </w:p>
    <w:p>
      <w:pPr>
        <w:ind w:right="40" w:firstLine="360"/>
        <w:spacing w:after="0" w:line="254" w:lineRule="auto"/>
        <w:rPr>
          <w:sz w:val="20"/>
          <w:szCs w:val="20"/>
          <w:color w:val="auto"/>
        </w:rPr>
      </w:pPr>
      <w:r>
        <w:rPr>
          <w:rFonts w:ascii="Arial" w:cs="Arial" w:eastAsia="Arial" w:hAnsi="Arial"/>
          <w:sz w:val="20"/>
          <w:szCs w:val="20"/>
          <w:color w:val="auto"/>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diversified security software and services vendors; endpoint security vendors with nascent vulnerability assessment capabilities, including CrowdStrike; public cloud vendors and companies, such as Palo Alto Networks, that offer solutions for cloud security (private, public and hybrid cloud); and providers of point solutions that compete with some of the features present in our solutions. We also compete against internally-developed efforts that often use open source solutions.</w:t>
      </w:r>
    </w:p>
    <w:p>
      <w:pPr>
        <w:spacing w:after="0" w:line="206" w:lineRule="exact"/>
        <w:rPr>
          <w:sz w:val="20"/>
          <w:szCs w:val="20"/>
          <w:color w:val="auto"/>
        </w:rPr>
      </w:pPr>
    </w:p>
    <w:p>
      <w:pPr>
        <w:ind w:right="20" w:firstLine="360"/>
        <w:spacing w:after="0" w:line="255" w:lineRule="auto"/>
        <w:rPr>
          <w:sz w:val="20"/>
          <w:szCs w:val="20"/>
          <w:color w:val="auto"/>
        </w:rPr>
      </w:pPr>
      <w:r>
        <w:rPr>
          <w:rFonts w:ascii="Arial" w:cs="Arial" w:eastAsia="Arial" w:hAnsi="Arial"/>
          <w:sz w:val="20"/>
          <w:szCs w:val="20"/>
          <w:color w:val="auto"/>
        </w:rPr>
        <w:t>Some of our actual and potential competitors have significant advantages over us, such as longer operating histories, significantly greater financial, technical, marketing or other resources, stronger brand and business user recognition, larger intellectual property portfolios, government certifications and broader global distribution and presence. In addition, our industry is evolving rapidly and is becoming increasingly competitive. Companies that are larger and more established than us are focusing on cybersecurity and could directly compete with us. For example, Microsoft has a vulnerability management offering and has continued to acquire security solutions for their cybersecurity platform. Smaller companies could also launch new products and services that we do not offer and that could gain market acceptance quickly.</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880" w:h="15480" w:orient="portrait"/>
          <w:cols w:equalWidth="0" w:num="1">
            <w:col w:w="9000"/>
          </w:cols>
          <w:pgMar w:left="1440" w:top="1204" w:right="1440" w:bottom="0" w:gutter="0" w:footer="0" w:header="0"/>
          <w:type w:val="continuous"/>
        </w:sectPr>
      </w:pPr>
    </w:p>
    <w:bookmarkStart w:id="107" w:name="page108"/>
    <w:bookmarkEnd w:id="107"/>
    <w:p>
      <w:pPr>
        <w:ind w:firstLine="360"/>
        <w:spacing w:after="0" w:line="254" w:lineRule="auto"/>
        <w:rPr>
          <w:sz w:val="20"/>
          <w:szCs w:val="20"/>
          <w:color w:val="auto"/>
        </w:rPr>
      </w:pPr>
      <w:r>
        <w:rPr>
          <w:rFonts w:ascii="Arial" w:cs="Arial" w:eastAsia="Arial" w:hAnsi="Arial"/>
          <w:sz w:val="20"/>
          <w:szCs w:val="20"/>
          <w:color w:val="auto"/>
        </w:rPr>
        <w:t>In addition, some of our larger competitors have substantially broader product offerings and can bundle competing products and services with other software offerings which customers may choose even if individual products have more limited functionality than our solutions. These competitors may also offer their products at a lower price, which could increase pricing pressure on our offerings and cause the average sales price for our offerings to decline. These larger competitors are also often better positioned to withstand any significant reduction in capital spending, and will therefore not be as susceptible to economic downturns. One component of our enterprise platform involves assessing Cyber Exposure in a public cloud environment. We are dependent upon the providers to allow our solutions to access their cloud offerings. If one or more cloud providers elected to offer exclusively their own cloud security product or otherwise eliminate the ability of our solutions to access their cloud on behalf of our customers, our business and financial results could be harmed.</w:t>
      </w:r>
    </w:p>
    <w:p>
      <w:pPr>
        <w:spacing w:after="0" w:line="203" w:lineRule="exact"/>
        <w:rPr>
          <w:sz w:val="20"/>
          <w:szCs w:val="20"/>
          <w:color w:val="auto"/>
        </w:rPr>
      </w:pPr>
    </w:p>
    <w:p>
      <w:pPr>
        <w:ind w:right="60" w:firstLine="360"/>
        <w:spacing w:after="0" w:line="253" w:lineRule="auto"/>
        <w:rPr>
          <w:sz w:val="20"/>
          <w:szCs w:val="20"/>
          <w:color w:val="auto"/>
        </w:rPr>
      </w:pPr>
      <w:r>
        <w:rPr>
          <w:rFonts w:ascii="Arial" w:cs="Arial" w:eastAsia="Arial" w:hAnsi="Arial"/>
          <w:sz w:val="20"/>
          <w:szCs w:val="20"/>
          <w:color w:val="auto"/>
        </w:rPr>
        <w:t>Additionally, the cybersecurity market is characterized by very rapid technological advances, changes in customer requirements, frequent new product introductions and enhancements and evolving industry standards. Our success depends on continued innovation to provide features that make our solutions responsive to the cybersecurity landscape, including the shift to employees working from home or in hybrid environments and the increasing adoption by organizations of cloud or hybrid cloud architectures. Developing new solutions and product enhancements is uncertain, expensive and time-consuming, and there is no assurance that such activities will result in significant cost savings, revenue or other expected benefits. If we spend significant time and effort on research and development and are unable to generate an adequate return on our investment, our business and results of operations may be materially and adversely affected. Further, we may not be able to successfully anticipate or adapt to changing technology or customer requirements or the dynamic threat landscape on a timely basis, or at all, which would impair our ability to execute on our business strategy. Our competitors may be able to respond more quickly and effectively than we can to new or changing opportunities, technologies, standards or customer requirements or new or evolving attacks by, or indicators of compromise that identify, cyber bad actors.</w:t>
      </w:r>
    </w:p>
    <w:p>
      <w:pPr>
        <w:spacing w:after="0" w:line="203" w:lineRule="exact"/>
        <w:rPr>
          <w:sz w:val="20"/>
          <w:szCs w:val="20"/>
          <w:color w:val="auto"/>
        </w:rPr>
      </w:pPr>
    </w:p>
    <w:p>
      <w:pPr>
        <w:ind w:right="100" w:firstLine="360"/>
        <w:spacing w:after="0" w:line="255" w:lineRule="auto"/>
        <w:rPr>
          <w:sz w:val="20"/>
          <w:szCs w:val="20"/>
          <w:color w:val="auto"/>
        </w:rPr>
      </w:pPr>
      <w:r>
        <w:rPr>
          <w:rFonts w:ascii="Arial" w:cs="Arial" w:eastAsia="Arial" w:hAnsi="Arial"/>
          <w:sz w:val="20"/>
          <w:szCs w:val="20"/>
          <w:color w:val="auto"/>
        </w:rPr>
        <w:t>Furthermore, our current and potential competitors may establish cooperative relationships among themselves or with third parties that may further enhance their resources and products and services offerings in the markets we address. In addition, current or potential competitors may be acquired by third parties with greater available resources, which may enable them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We may not be able to sustain our revenue growth rate in the future.</w:t>
      </w:r>
    </w:p>
    <w:p>
      <w:pPr>
        <w:spacing w:after="0" w:line="249" w:lineRule="exact"/>
        <w:rPr>
          <w:sz w:val="20"/>
          <w:szCs w:val="20"/>
          <w:color w:val="auto"/>
        </w:rPr>
      </w:pPr>
    </w:p>
    <w:p>
      <w:pPr>
        <w:ind w:right="320" w:firstLine="360"/>
        <w:spacing w:after="0" w:line="257" w:lineRule="auto"/>
        <w:rPr>
          <w:sz w:val="20"/>
          <w:szCs w:val="20"/>
          <w:color w:val="auto"/>
        </w:rPr>
      </w:pPr>
      <w:r>
        <w:rPr>
          <w:rFonts w:ascii="Arial" w:cs="Arial" w:eastAsia="Arial" w:hAnsi="Arial"/>
          <w:sz w:val="20"/>
          <w:szCs w:val="20"/>
          <w:color w:val="auto"/>
        </w:rPr>
        <w:t>From 2021 to 2022, our revenue grew from $541.1 million to $683.2 million, representing year over year growth of 26%. This growth was primarily from an increase in subscription revenue. Although we have experienced rapid growth historically and currently have high customer renewal rates, we may not continue to grow as rapidly in the future due to a decline in our renewal rates, failure to attract new customers or other factors. Any success that we may experience in the future will depend in large part on our ability to, among other things:</w:t>
      </w:r>
    </w:p>
    <w:p>
      <w:pPr>
        <w:spacing w:after="0" w:line="82" w:lineRule="exact"/>
        <w:rPr>
          <w:sz w:val="20"/>
          <w:szCs w:val="20"/>
          <w:color w:val="auto"/>
        </w:rPr>
      </w:pPr>
    </w:p>
    <w:p>
      <w:pPr>
        <w:ind w:left="720" w:hanging="360"/>
        <w:spacing w:after="0"/>
        <w:tabs>
          <w:tab w:leader="none" w:pos="720" w:val="left"/>
        </w:tabs>
        <w:numPr>
          <w:ilvl w:val="0"/>
          <w:numId w:val="92"/>
        </w:numPr>
        <w:rPr>
          <w:rFonts w:ascii="Arial" w:cs="Arial" w:eastAsia="Arial" w:hAnsi="Arial"/>
          <w:sz w:val="20"/>
          <w:szCs w:val="20"/>
          <w:color w:val="auto"/>
        </w:rPr>
      </w:pPr>
      <w:r>
        <w:rPr>
          <w:rFonts w:ascii="Arial" w:cs="Arial" w:eastAsia="Arial" w:hAnsi="Arial"/>
          <w:sz w:val="20"/>
          <w:szCs w:val="20"/>
          <w:color w:val="auto"/>
        </w:rPr>
        <w:t>maintain and expand our customer base;</w:t>
      </w:r>
    </w:p>
    <w:p>
      <w:pPr>
        <w:spacing w:after="0" w:line="70" w:lineRule="exact"/>
        <w:rPr>
          <w:rFonts w:ascii="Arial" w:cs="Arial" w:eastAsia="Arial" w:hAnsi="Arial"/>
          <w:sz w:val="20"/>
          <w:szCs w:val="20"/>
          <w:color w:val="auto"/>
        </w:rPr>
      </w:pPr>
    </w:p>
    <w:p>
      <w:pPr>
        <w:ind w:left="720" w:right="180" w:hanging="360"/>
        <w:spacing w:after="0" w:line="281" w:lineRule="auto"/>
        <w:tabs>
          <w:tab w:leader="none" w:pos="720" w:val="left"/>
        </w:tabs>
        <w:numPr>
          <w:ilvl w:val="0"/>
          <w:numId w:val="92"/>
        </w:numPr>
        <w:rPr>
          <w:rFonts w:ascii="Arial" w:cs="Arial" w:eastAsia="Arial" w:hAnsi="Arial"/>
          <w:sz w:val="20"/>
          <w:szCs w:val="20"/>
          <w:color w:val="auto"/>
        </w:rPr>
      </w:pPr>
      <w:r>
        <w:rPr>
          <w:rFonts w:ascii="Arial" w:cs="Arial" w:eastAsia="Arial" w:hAnsi="Arial"/>
          <w:sz w:val="20"/>
          <w:szCs w:val="20"/>
          <w:color w:val="auto"/>
        </w:rPr>
        <w:t>increase revenue from existing customers through increased or broader use of our offerings within their organizations;</w:t>
      </w:r>
    </w:p>
    <w:p>
      <w:pPr>
        <w:spacing w:after="0" w:line="1" w:lineRule="exact"/>
        <w:rPr>
          <w:rFonts w:ascii="Arial" w:cs="Arial" w:eastAsia="Arial" w:hAnsi="Arial"/>
          <w:sz w:val="20"/>
          <w:szCs w:val="20"/>
          <w:color w:val="auto"/>
        </w:rPr>
      </w:pPr>
    </w:p>
    <w:p>
      <w:pPr>
        <w:ind w:left="720" w:right="80" w:hanging="360"/>
        <w:spacing w:after="0" w:line="287" w:lineRule="auto"/>
        <w:tabs>
          <w:tab w:leader="none" w:pos="720" w:val="left"/>
        </w:tabs>
        <w:numPr>
          <w:ilvl w:val="0"/>
          <w:numId w:val="92"/>
        </w:numPr>
        <w:rPr>
          <w:rFonts w:ascii="Arial" w:cs="Arial" w:eastAsia="Arial" w:hAnsi="Arial"/>
          <w:sz w:val="20"/>
          <w:szCs w:val="20"/>
          <w:color w:val="auto"/>
        </w:rPr>
      </w:pPr>
      <w:r>
        <w:rPr>
          <w:rFonts w:ascii="Arial" w:cs="Arial" w:eastAsia="Arial" w:hAnsi="Arial"/>
          <w:sz w:val="20"/>
          <w:szCs w:val="20"/>
          <w:color w:val="auto"/>
        </w:rPr>
        <w:t>improve the performance and capabilities of our offerings through research and development or the integration of acquired products and capabilities;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880" w:h="15480" w:orient="portrait"/>
          <w:cols w:equalWidth="0" w:num="1">
            <w:col w:w="9000"/>
          </w:cols>
          <w:pgMar w:left="1440" w:top="1204" w:right="1440" w:bottom="0" w:gutter="0" w:footer="0" w:header="0"/>
          <w:type w:val="continuous"/>
        </w:sectPr>
      </w:pPr>
    </w:p>
    <w:bookmarkStart w:id="108" w:name="page109"/>
    <w:bookmarkEnd w:id="108"/>
    <w:p>
      <w:pPr>
        <w:ind w:left="720" w:hanging="360"/>
        <w:spacing w:after="0"/>
        <w:tabs>
          <w:tab w:leader="none" w:pos="7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continue to develop and expand our enterprise platform;</w:t>
      </w:r>
    </w:p>
    <w:p>
      <w:pPr>
        <w:spacing w:after="0" w:line="70" w:lineRule="exact"/>
        <w:rPr>
          <w:rFonts w:ascii="Arial" w:cs="Arial" w:eastAsia="Arial" w:hAnsi="Arial"/>
          <w:sz w:val="20"/>
          <w:szCs w:val="20"/>
          <w:color w:val="auto"/>
        </w:rPr>
      </w:pPr>
    </w:p>
    <w:p>
      <w:pPr>
        <w:ind w:left="720" w:right="320" w:hanging="360"/>
        <w:spacing w:after="0" w:line="281" w:lineRule="auto"/>
        <w:tabs>
          <w:tab w:leader="none" w:pos="7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maintain or increase the rate at which customers purchase and renew subscriptions to our enterprise platform offerings;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continue to successfully expand our business domestically and internationally; and</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successfully compete with other companies.</w:t>
      </w:r>
    </w:p>
    <w:p>
      <w:pPr>
        <w:spacing w:after="0" w:line="250" w:lineRule="exact"/>
        <w:rPr>
          <w:sz w:val="20"/>
          <w:szCs w:val="20"/>
          <w:color w:val="auto"/>
        </w:rPr>
      </w:pPr>
    </w:p>
    <w:p>
      <w:pPr>
        <w:ind w:right="220" w:firstLine="360"/>
        <w:spacing w:after="0" w:line="262" w:lineRule="auto"/>
        <w:rPr>
          <w:sz w:val="20"/>
          <w:szCs w:val="20"/>
          <w:color w:val="auto"/>
        </w:rPr>
      </w:pPr>
      <w:r>
        <w:rPr>
          <w:rFonts w:ascii="Arial" w:cs="Arial" w:eastAsia="Arial" w:hAnsi="Arial"/>
          <w:sz w:val="20"/>
          <w:szCs w:val="20"/>
          <w:color w:val="auto"/>
        </w:rPr>
        <w:t>If we are unable to maintain consistent revenue or revenue growth, including as a result of macroeconomic conditions, our stock price could be volatile, and it may be difficult to achieve and maintain profitability. You should not rely on our revenue for any prior quarterly or annual periods as any indication of our future revenue or revenue growth.</w:t>
      </w:r>
    </w:p>
    <w:p>
      <w:pPr>
        <w:spacing w:after="0" w:line="196" w:lineRule="exact"/>
        <w:rPr>
          <w:sz w:val="20"/>
          <w:szCs w:val="20"/>
          <w:color w:val="auto"/>
        </w:rPr>
      </w:pPr>
    </w:p>
    <w:p>
      <w:pPr>
        <w:ind w:right="400" w:firstLine="360"/>
        <w:spacing w:after="0" w:line="287" w:lineRule="auto"/>
        <w:rPr>
          <w:sz w:val="20"/>
          <w:szCs w:val="20"/>
          <w:color w:val="auto"/>
        </w:rPr>
      </w:pPr>
      <w:r>
        <w:rPr>
          <w:rFonts w:ascii="Arial" w:cs="Arial" w:eastAsia="Arial" w:hAnsi="Arial"/>
          <w:sz w:val="20"/>
          <w:szCs w:val="20"/>
          <w:color w:val="auto"/>
        </w:rPr>
        <w:t>We may be unable to rapidly and efficiently adjust our cost structure in response to significant revenue declines, which could adversely affect our operating results.</w:t>
      </w:r>
    </w:p>
    <w:p>
      <w:pPr>
        <w:spacing w:after="0" w:line="171" w:lineRule="exact"/>
        <w:rPr>
          <w:sz w:val="20"/>
          <w:szCs w:val="20"/>
          <w:color w:val="auto"/>
        </w:rPr>
      </w:pPr>
    </w:p>
    <w:p>
      <w:pPr>
        <w:ind w:right="120" w:firstLine="360"/>
        <w:spacing w:after="0" w:line="273" w:lineRule="auto"/>
        <w:rPr>
          <w:sz w:val="20"/>
          <w:szCs w:val="20"/>
          <w:color w:val="auto"/>
        </w:rPr>
      </w:pPr>
      <w:r>
        <w:rPr>
          <w:rFonts w:ascii="Arial" w:cs="Arial" w:eastAsia="Arial" w:hAnsi="Arial"/>
          <w:sz w:val="20"/>
          <w:szCs w:val="20"/>
          <w:b w:val="1"/>
          <w:bCs w:val="1"/>
          <w:i w:val="1"/>
          <w:iCs w:val="1"/>
          <w:color w:val="auto"/>
        </w:rPr>
        <w:t>We recognize substantially all of our revenue ratably over the term of our subscriptions and, to a lesser extent, perpetual licenses ratably over an expected period of benefit and, as a result, downturns in sales may not be immediately reflected in our operating results.</w:t>
      </w:r>
    </w:p>
    <w:p>
      <w:pPr>
        <w:spacing w:after="0" w:line="174" w:lineRule="exact"/>
        <w:rPr>
          <w:sz w:val="20"/>
          <w:szCs w:val="20"/>
          <w:color w:val="auto"/>
        </w:rPr>
      </w:pPr>
    </w:p>
    <w:p>
      <w:pPr>
        <w:ind w:firstLine="360"/>
        <w:spacing w:after="0" w:line="253" w:lineRule="auto"/>
        <w:rPr>
          <w:sz w:val="20"/>
          <w:szCs w:val="20"/>
          <w:color w:val="auto"/>
        </w:rPr>
      </w:pPr>
      <w:r>
        <w:rPr>
          <w:rFonts w:ascii="Arial" w:cs="Arial" w:eastAsia="Arial" w:hAnsi="Arial"/>
          <w:sz w:val="20"/>
          <w:szCs w:val="20"/>
          <w:color w:val="auto"/>
        </w:rPr>
        <w:t>We recognize substantially all of our revenue ratably over the terms of our subscriptions with customers, which generally occurs over a one-year period and, for our perpetual licenses, over a five-year expected period of benefit. As a result, a substantial portion of the revenue that we report in each period will be derived from the recognition of deferred revenue relating to agreements entered into during previous periods. Consequently, a decline in new sales or renewals in any one period, including as a result of macroeconomic conditions, may not be immediately reflected in our revenue results for that period. This decline, however, would negatively affect our revenue in future periods. Accordingly, the effect of significant downturns in sales and market acceptance of our solutions and potential changes in our rate of renewals may not be fully reflected in our results of operations until future periods. This also makes it difficult for us to rapidly increase our revenue growth through additional sales in any period, as revenue from new customers generally will be recognized over the term of the applicable agreement.</w:t>
      </w:r>
    </w:p>
    <w:p>
      <w:pPr>
        <w:spacing w:after="0" w:line="212" w:lineRule="exact"/>
        <w:rPr>
          <w:sz w:val="20"/>
          <w:szCs w:val="20"/>
          <w:color w:val="auto"/>
        </w:rPr>
      </w:pPr>
    </w:p>
    <w:p>
      <w:pPr>
        <w:ind w:right="60" w:firstLine="360"/>
        <w:spacing w:after="0" w:line="296" w:lineRule="auto"/>
        <w:rPr>
          <w:sz w:val="20"/>
          <w:szCs w:val="20"/>
          <w:color w:val="auto"/>
        </w:rPr>
      </w:pPr>
      <w:r>
        <w:rPr>
          <w:rFonts w:ascii="Arial" w:cs="Arial" w:eastAsia="Arial" w:hAnsi="Arial"/>
          <w:sz w:val="20"/>
          <w:szCs w:val="20"/>
          <w:b w:val="1"/>
          <w:bCs w:val="1"/>
          <w:i w:val="1"/>
          <w:iCs w:val="1"/>
          <w:color w:val="auto"/>
        </w:rPr>
        <w:t>We may not be able to scale our business quickly enough to meet our customers’ growing needs.</w:t>
      </w:r>
    </w:p>
    <w:p>
      <w:pPr>
        <w:spacing w:after="0" w:line="152" w:lineRule="exact"/>
        <w:rPr>
          <w:sz w:val="20"/>
          <w:szCs w:val="20"/>
          <w:color w:val="auto"/>
        </w:rPr>
      </w:pPr>
    </w:p>
    <w:p>
      <w:pPr>
        <w:ind w:right="20" w:firstLine="360"/>
        <w:spacing w:after="0" w:line="252" w:lineRule="auto"/>
        <w:rPr>
          <w:sz w:val="20"/>
          <w:szCs w:val="20"/>
          <w:color w:val="auto"/>
        </w:rPr>
      </w:pPr>
      <w:r>
        <w:rPr>
          <w:rFonts w:ascii="Arial" w:cs="Arial" w:eastAsia="Arial" w:hAnsi="Arial"/>
          <w:sz w:val="20"/>
          <w:szCs w:val="20"/>
          <w:color w:val="auto"/>
        </w:rPr>
        <w:t>As usage of our enterprise platform grows, and as customers expand in size or expand the number of IT assets or IP addresses under their subscriptions, we may need to devote additional resources to improving our technology architecture, integrating with third-party systems and maintaining infrastructure performance. In addition, we will need to appropriately scale our sales and marketing headcount, as well as grow our third-party channel partner network, to serve our growing customer base. If we are unable to scale our business appropriately, it could reduce the attractiveness of our solutions to customers, resulting in decreased sales to new customers, lower renewal rates by existing customers or the issuance of service credits or requested refunds, each of which could hurt our revenue growth and our reputation. Even if we are able to upgrade our systems and expand our personnel,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impact our financial results.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880" w:h="15480" w:orient="portrait"/>
          <w:cols w:equalWidth="0" w:num="1">
            <w:col w:w="9000"/>
          </w:cols>
          <w:pgMar w:left="1440" w:top="1204" w:right="1440" w:bottom="0" w:gutter="0" w:footer="0" w:header="0"/>
          <w:type w:val="continuous"/>
        </w:sectPr>
      </w:pPr>
    </w:p>
    <w:bookmarkStart w:id="109" w:name="page110"/>
    <w:bookmarkEnd w:id="109"/>
    <w:p>
      <w:pPr>
        <w:ind w:right="300" w:firstLine="360"/>
        <w:spacing w:after="0" w:line="273" w:lineRule="auto"/>
        <w:rPr>
          <w:sz w:val="20"/>
          <w:szCs w:val="20"/>
          <w:color w:val="auto"/>
        </w:rPr>
      </w:pPr>
      <w:r>
        <w:rPr>
          <w:rFonts w:ascii="Arial" w:cs="Arial" w:eastAsia="Arial" w:hAnsi="Arial"/>
          <w:sz w:val="20"/>
          <w:szCs w:val="20"/>
          <w:b w:val="1"/>
          <w:bCs w:val="1"/>
          <w:i w:val="1"/>
          <w:iCs w:val="1"/>
          <w:color w:val="auto"/>
        </w:rPr>
        <w:t>If our enterprise platform offerings do not interoperate with our customers’ network and security infrastructure, including remote devices, or with third-party products, websites or services, our results of operations may be harmed.</w:t>
      </w:r>
    </w:p>
    <w:p>
      <w:pPr>
        <w:spacing w:after="0" w:line="174" w:lineRule="exact"/>
        <w:rPr>
          <w:sz w:val="20"/>
          <w:szCs w:val="20"/>
          <w:color w:val="auto"/>
        </w:rPr>
      </w:pPr>
    </w:p>
    <w:p>
      <w:pPr>
        <w:ind w:right="20" w:firstLine="360"/>
        <w:spacing w:after="0" w:line="253" w:lineRule="auto"/>
        <w:rPr>
          <w:sz w:val="20"/>
          <w:szCs w:val="20"/>
          <w:color w:val="auto"/>
        </w:rPr>
      </w:pPr>
      <w:r>
        <w:rPr>
          <w:rFonts w:ascii="Arial" w:cs="Arial" w:eastAsia="Arial" w:hAnsi="Arial"/>
          <w:sz w:val="20"/>
          <w:szCs w:val="20"/>
          <w:color w:val="auto"/>
        </w:rPr>
        <w:t>Our enterprise platform offerings must interoperate with our customers’ existing network and security infrastructure, including remote devices. These complex systems are developed, delivered and maintained by the customer, their employees and a myriad of vendors and service providers. As a result, the components of our customers’ infrastructure, including remote devices, have different specifications, rapidly evolve, utilize multiple protocol standards, include multiple versions and generations of products and may be highly customized. We must be able to interoperate and provide our security offerings to customers with highly complex and customized networks, including remote devices, which requires careful planning and execution between our customers, our customer support teams and our channel partners. Further, when new or updated elements of our customers’ infrastructure, new usage trends, such as remote and hybrid work, or new industry standards or protocols are introduced, we may have to update or enhance our cloud platform and our other solutions to allow us to continue to provide service to customers. Our competitors or other vendors may refuse to work with us to allow their products to interoperate with our solutions, which could make it difficult for our cloud platform to function properly in customer networks that include these third-party products.</w:t>
      </w:r>
    </w:p>
    <w:p>
      <w:pPr>
        <w:spacing w:after="0" w:line="203" w:lineRule="exact"/>
        <w:rPr>
          <w:sz w:val="20"/>
          <w:szCs w:val="20"/>
          <w:color w:val="auto"/>
        </w:rPr>
      </w:pPr>
    </w:p>
    <w:p>
      <w:pPr>
        <w:ind w:right="20" w:firstLine="360"/>
        <w:spacing w:after="0" w:line="257" w:lineRule="auto"/>
        <w:rPr>
          <w:sz w:val="20"/>
          <w:szCs w:val="20"/>
          <w:color w:val="auto"/>
        </w:rPr>
      </w:pPr>
      <w:r>
        <w:rPr>
          <w:rFonts w:ascii="Arial" w:cs="Arial" w:eastAsia="Arial" w:hAnsi="Arial"/>
          <w:sz w:val="20"/>
          <w:szCs w:val="20"/>
          <w:color w:val="auto"/>
        </w:rPr>
        <w:t>We may not deliver or maintain interoperability quickly or cost-effectively, or at all. These efforts require capital investment and engineering resources. If we fail to maintain compatibility of our cloud platform and our other solutions with our customers’ network and security infrastructures, including for remote devices, our customers may not be able to fully utilize our solutions, and we may, among other consequences, lose or fail to increase our market share and experience reduced demand for our services, which would materially harm our business, operating results and financial condition.</w:t>
      </w:r>
    </w:p>
    <w:p>
      <w:pPr>
        <w:spacing w:after="0" w:line="204" w:lineRule="exact"/>
        <w:rPr>
          <w:sz w:val="20"/>
          <w:szCs w:val="20"/>
          <w:color w:val="auto"/>
        </w:rPr>
      </w:pPr>
    </w:p>
    <w:p>
      <w:pPr>
        <w:ind w:right="120" w:firstLine="360"/>
        <w:spacing w:after="0" w:line="259" w:lineRule="auto"/>
        <w:rPr>
          <w:sz w:val="20"/>
          <w:szCs w:val="20"/>
          <w:color w:val="auto"/>
        </w:rPr>
      </w:pPr>
      <w:r>
        <w:rPr>
          <w:rFonts w:ascii="Arial" w:cs="Arial" w:eastAsia="Arial" w:hAnsi="Arial"/>
          <w:sz w:val="20"/>
          <w:szCs w:val="20"/>
          <w:b w:val="1"/>
          <w:bCs w:val="1"/>
          <w:i w:val="1"/>
          <w:iCs w:val="1"/>
          <w:color w:val="auto"/>
        </w:rPr>
        <w:t>Our brand, reputation and ability to attract, retain and serve our customers are dependent in part upon the reliability and accuracy of our data, solutions, infrastructure and those of third parties upon which we rely. If our information technology systems or data, or those of third parties upon which we rely, are or were compromised, or if our solutions fail to detect vulnerabilities or incorrectly detect vulnerabilities, or if they contain undetected errors or defects, we could experience adverse consequences.</w:t>
      </w:r>
    </w:p>
    <w:p>
      <w:pPr>
        <w:spacing w:after="0" w:line="190" w:lineRule="exact"/>
        <w:rPr>
          <w:sz w:val="20"/>
          <w:szCs w:val="20"/>
          <w:color w:val="auto"/>
        </w:rPr>
      </w:pPr>
    </w:p>
    <w:p>
      <w:pPr>
        <w:ind w:right="520" w:firstLine="360"/>
        <w:spacing w:after="0" w:line="268" w:lineRule="auto"/>
        <w:rPr>
          <w:sz w:val="20"/>
          <w:szCs w:val="20"/>
          <w:color w:val="auto"/>
        </w:rPr>
      </w:pPr>
      <w:r>
        <w:rPr>
          <w:rFonts w:ascii="Arial" w:cs="Arial" w:eastAsia="Arial" w:hAnsi="Arial"/>
          <w:sz w:val="20"/>
          <w:szCs w:val="20"/>
          <w:color w:val="auto"/>
        </w:rPr>
        <w:t>In the ordinary course of our business, we collect, store, use, transmit, disclose or otherwise process proprietary, confidential, and sensitive information, including personal data, intellectual property, and trade secrets.</w:t>
      </w:r>
    </w:p>
    <w:p>
      <w:pPr>
        <w:spacing w:after="0" w:line="190" w:lineRule="exact"/>
        <w:rPr>
          <w:sz w:val="20"/>
          <w:szCs w:val="20"/>
          <w:color w:val="auto"/>
        </w:rPr>
      </w:pPr>
    </w:p>
    <w:p>
      <w:pPr>
        <w:ind w:right="100" w:firstLine="360"/>
        <w:spacing w:after="0" w:line="253" w:lineRule="auto"/>
        <w:rPr>
          <w:sz w:val="20"/>
          <w:szCs w:val="20"/>
          <w:color w:val="auto"/>
        </w:rPr>
      </w:pPr>
      <w:r>
        <w:rPr>
          <w:rFonts w:ascii="Arial" w:cs="Arial" w:eastAsia="Arial" w:hAnsi="Arial"/>
          <w:sz w:val="20"/>
          <w:szCs w:val="20"/>
          <w:color w:val="auto"/>
        </w:rPr>
        <w:t>We sell cybersecurity products and, as a result, may be at increased risk of being a target of cyberattacks designed to penetrate our platform or internal systems, to compromise our data, alter or modify our source code, or to otherwise impede the performance of our products. Threats to information systems and data come from a variety of sources. In addition to computer “hackers,” threat actors, personnel (such as through theft or misuse), "hacktivists," organized criminal threat actors, sophisticated nation-states and nation-state-supported actors now engage and are expected to continue to engage in cyber-attacks. Nation-state actors and nation-state-supported actors may engage in such attacks for geopolitical reasons and in conjunction with military conflicts and defense activities, including the ongoing invasion of Ukraine by Russia. During times of war and other major conflicts, we, third parties upon which we may rely, and our customers may be vulnerable to a heightened risk of these threats, including retaliatory cyber-attacks that could materially disrupt our systems and operations, supply chain, and ability to produce, sell and distribute our goods and services. We, our customers, and the third parties upon which we rely are subject to a variety of evolving threats, which are prevalent, continue to rise, and increasingly difficult to detect. These</w:t>
      </w:r>
    </w:p>
    <w:p>
      <w:pPr>
        <w:sectPr>
          <w:pgSz w:w="11880" w:h="15480" w:orient="portrait"/>
          <w:cols w:equalWidth="0" w:num="1">
            <w:col w:w="9000"/>
          </w:cols>
          <w:pgMar w:left="1440" w:top="12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880" w:h="15480" w:orient="portrait"/>
          <w:cols w:equalWidth="0" w:num="1">
            <w:col w:w="9000"/>
          </w:cols>
          <w:pgMar w:left="1440" w:top="1205" w:right="1440" w:bottom="0" w:gutter="0" w:footer="0" w:header="0"/>
          <w:type w:val="continuous"/>
        </w:sectPr>
      </w:pPr>
    </w:p>
    <w:bookmarkStart w:id="110" w:name="page111"/>
    <w:bookmarkEnd w:id="110"/>
    <w:p>
      <w:pPr>
        <w:ind w:right="80"/>
        <w:spacing w:after="0" w:line="253" w:lineRule="auto"/>
        <w:rPr>
          <w:sz w:val="20"/>
          <w:szCs w:val="20"/>
          <w:color w:val="auto"/>
        </w:rPr>
      </w:pPr>
      <w:r>
        <w:rPr>
          <w:rFonts w:ascii="Arial" w:cs="Arial" w:eastAsia="Arial" w:hAnsi="Arial"/>
          <w:sz w:val="20"/>
          <w:szCs w:val="20"/>
          <w:color w:val="auto"/>
        </w:rPr>
        <w:t>threats include but are not limited to: social-engineering attacks (including through phishing attacks); credential harvesting; malicious code (such as viruses and worms); malware (including as a result of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and other similar threats. In particular, ransomware attacks, including those from organized criminal threat actors, nation-states and nation-state supported actors, are becoming increasingly prevalent and severe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for example, applicable laws prohibit such payments.</w:t>
      </w:r>
    </w:p>
    <w:p>
      <w:pPr>
        <w:spacing w:after="0" w:line="211" w:lineRule="exact"/>
        <w:rPr>
          <w:sz w:val="20"/>
          <w:szCs w:val="20"/>
          <w:color w:val="auto"/>
        </w:rPr>
      </w:pPr>
    </w:p>
    <w:p>
      <w:pPr>
        <w:ind w:right="20" w:firstLine="360"/>
        <w:spacing w:after="0" w:line="259" w:lineRule="auto"/>
        <w:rPr>
          <w:sz w:val="20"/>
          <w:szCs w:val="20"/>
          <w:color w:val="auto"/>
        </w:rPr>
      </w:pPr>
      <w:r>
        <w:rPr>
          <w:rFonts w:ascii="Arial" w:cs="Arial" w:eastAsia="Arial" w:hAnsi="Arial"/>
          <w:sz w:val="20"/>
          <w:szCs w:val="20"/>
          <w:color w:val="auto"/>
        </w:rPr>
        <w:t>Additionally, we are incorporated into the supply chain of a large number of companies worldwide and, as a result, if our solutions are compromised, a significant number or, in some instances, all of our customers and their data could be simultaneously affected. The potential liability and associated consequences we could suffer as a result of such a large-scale event could be catastrophic and result in irreparable harm.</w:t>
      </w:r>
    </w:p>
    <w:p>
      <w:pPr>
        <w:spacing w:after="0" w:line="199" w:lineRule="exact"/>
        <w:rPr>
          <w:sz w:val="20"/>
          <w:szCs w:val="20"/>
          <w:color w:val="auto"/>
        </w:rPr>
      </w:pPr>
    </w:p>
    <w:p>
      <w:pPr>
        <w:ind w:right="20" w:firstLine="360"/>
        <w:spacing w:after="0" w:line="255" w:lineRule="auto"/>
        <w:rPr>
          <w:sz w:val="20"/>
          <w:szCs w:val="20"/>
          <w:color w:val="auto"/>
        </w:rPr>
      </w:pPr>
      <w:r>
        <w:rPr>
          <w:rFonts w:ascii="Arial" w:cs="Arial" w:eastAsia="Arial" w:hAnsi="Arial"/>
          <w:sz w:val="20"/>
          <w:szCs w:val="20"/>
          <w:color w:val="auto"/>
        </w:rPr>
        <w:t>The increased prevalence of remote work and use of remote devices has increased risks to our information technology systems and data, as more of our employees utilize network connections, computers and devices outside of our premises or network, including working at home, while in transit and in public locations. 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identified during due diligence of such acquired or integrated entities, and it may be difficult to integrate other companies into our information technology environment and security program.</w:t>
      </w:r>
    </w:p>
    <w:p>
      <w:pPr>
        <w:spacing w:after="0" w:line="201" w:lineRule="exact"/>
        <w:rPr>
          <w:sz w:val="20"/>
          <w:szCs w:val="20"/>
          <w:color w:val="auto"/>
        </w:rPr>
      </w:pPr>
    </w:p>
    <w:p>
      <w:pPr>
        <w:ind w:right="20" w:firstLine="360"/>
        <w:spacing w:after="0" w:line="252" w:lineRule="auto"/>
        <w:rPr>
          <w:sz w:val="20"/>
          <w:szCs w:val="20"/>
          <w:color w:val="auto"/>
        </w:rPr>
      </w:pPr>
      <w:r>
        <w:rPr>
          <w:rFonts w:ascii="Arial" w:cs="Arial" w:eastAsia="Arial" w:hAnsi="Arial"/>
          <w:sz w:val="20"/>
          <w:szCs w:val="20"/>
          <w:color w:val="auto"/>
        </w:rPr>
        <w:t>We rely on third party service providers and technologies to operate critical business systems, including processing confidential and sensitive information, including, without limitation, cloud-based infrastructure, data center facilities, encryption and authentication technology, employee email and other functions. We also rely on third-party service providers to provide other products, services, or otherwise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It is possible that our customers and potential customers would hold us accountable for any security incident affecting our third-party service providers’ infrastructure. We may incur significant liability from those customers and from other third parties with respect to any such incident. Because our agreements with certain third-party service providers, such as Amazon Web Services, or AWS, limit their liability for damages, we may not be able to recover a material portion of our liabilities to our customers and third parties arising from issues with such third-party service providers, such as AWS, in the event of an incident affecting the third parties’ systems. Moreover, while we may be entitled to damages from other third-party service providers if they fail to satisfy their privacy or security-related obligations to us, any award may be insufficient to cover our damages, or we may be unable to recover such reward. In addition, supply-chain attacks have increased in frequency and severity, and we cannot guarantee that third parties’ infrastructure in our supply chain or our third-party partners’ supply chains have not been compromised.</w:t>
      </w:r>
    </w:p>
    <w:p>
      <w:pPr>
        <w:spacing w:after="0" w:line="212" w:lineRule="exact"/>
        <w:rPr>
          <w:sz w:val="20"/>
          <w:szCs w:val="20"/>
          <w:color w:val="auto"/>
        </w:rPr>
      </w:pPr>
    </w:p>
    <w:p>
      <w:pPr>
        <w:ind w:right="100" w:firstLine="360"/>
        <w:spacing w:after="0" w:line="268" w:lineRule="auto"/>
        <w:rPr>
          <w:sz w:val="20"/>
          <w:szCs w:val="20"/>
          <w:color w:val="auto"/>
        </w:rPr>
      </w:pPr>
      <w:r>
        <w:rPr>
          <w:rFonts w:ascii="Arial" w:cs="Arial" w:eastAsia="Arial" w:hAnsi="Arial"/>
          <w:sz w:val="20"/>
          <w:szCs w:val="20"/>
          <w:color w:val="auto"/>
        </w:rPr>
        <w:t>Any of these or similar threats could cause a security incident or other interruption that can result in unauthorized, unlawful, or accidental acquisition, modification, destruction, loss, alteration, encryption, disclosure of, or access to our proprietary, confidential, and sensitive information or our</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880" w:h="15480" w:orient="portrait"/>
          <w:cols w:equalWidth="0" w:num="1">
            <w:col w:w="9000"/>
          </w:cols>
          <w:pgMar w:left="1440" w:top="1204" w:right="1440" w:bottom="0" w:gutter="0" w:footer="0" w:header="0"/>
          <w:type w:val="continuous"/>
        </w:sectPr>
      </w:pPr>
    </w:p>
    <w:bookmarkStart w:id="111" w:name="page112"/>
    <w:bookmarkEnd w:id="111"/>
    <w:p>
      <w:pPr>
        <w:spacing w:after="0" w:line="256" w:lineRule="auto"/>
        <w:rPr>
          <w:sz w:val="20"/>
          <w:szCs w:val="20"/>
          <w:color w:val="auto"/>
        </w:rPr>
      </w:pPr>
      <w:r>
        <w:rPr>
          <w:rFonts w:ascii="Arial" w:cs="Arial" w:eastAsia="Arial" w:hAnsi="Arial"/>
          <w:sz w:val="20"/>
          <w:szCs w:val="20"/>
          <w:color w:val="auto"/>
        </w:rPr>
        <w:t>information technology systems, or those of the third parties upon whom we rely. A security incident or other interruption could disrupt our ability (and that of third parties upon whom we rely) to provide our solutions. We may expend significant resources or modify our business activities to try to protect against security incidents. Certain data privacy and security obligations may require us to implement and maintain specific security measures, industry-standard or reasonable security measures to protect our information technology systems and proprietary, confidential, and sensitive information, including personal data.</w:t>
      </w:r>
    </w:p>
    <w:p>
      <w:pPr>
        <w:spacing w:after="0" w:line="203" w:lineRule="exact"/>
        <w:rPr>
          <w:sz w:val="20"/>
          <w:szCs w:val="20"/>
          <w:color w:val="auto"/>
        </w:rPr>
      </w:pPr>
    </w:p>
    <w:p>
      <w:pPr>
        <w:ind w:right="40" w:firstLine="360"/>
        <w:spacing w:after="0" w:line="253" w:lineRule="auto"/>
        <w:rPr>
          <w:sz w:val="20"/>
          <w:szCs w:val="20"/>
          <w:color w:val="auto"/>
        </w:rPr>
      </w:pPr>
      <w:r>
        <w:rPr>
          <w:rFonts w:ascii="Arial" w:cs="Arial" w:eastAsia="Arial" w:hAnsi="Arial"/>
          <w:sz w:val="20"/>
          <w:szCs w:val="20"/>
          <w:color w:val="auto"/>
        </w:rPr>
        <w:t>While we have implemented security measures designed to protect against security incidents, there can be no assurance that these measures will be effective. We have experienced, and may in the future experience, disruptions, outages and other performance problems due to a variety of factors, including infrastructure changes, deliberate or unintentional human or software errors, capacity constraints, fraud or security incidents. Moreover, we take steps to detect and remediate vulnerabilities in our information technology systems, but we may not be able to detect and remediate all vulnerabilities because the threats and techniques used to exploit the vulnerability change frequently, may not immediately produce signs of intrusion, and are often sophisticated in nature. Therefore, such vulnerabilities could be exploited but may not be detected until after a security incident has occurred. These vulnerabilities pose a material risk to our business. Further, we may experience delays in developing and deploying remedial measures designed to address any such identified vulnerabilities.</w:t>
      </w:r>
    </w:p>
    <w:p>
      <w:pPr>
        <w:spacing w:after="0" w:line="211" w:lineRule="exact"/>
        <w:rPr>
          <w:sz w:val="20"/>
          <w:szCs w:val="20"/>
          <w:color w:val="auto"/>
        </w:rPr>
      </w:pPr>
    </w:p>
    <w:p>
      <w:pPr>
        <w:ind w:right="580" w:firstLine="360"/>
        <w:spacing w:after="0" w:line="262" w:lineRule="auto"/>
        <w:rPr>
          <w:sz w:val="20"/>
          <w:szCs w:val="20"/>
          <w:color w:val="auto"/>
        </w:rPr>
      </w:pPr>
      <w:r>
        <w:rPr>
          <w:rFonts w:ascii="Arial" w:cs="Arial" w:eastAsia="Arial" w:hAnsi="Arial"/>
          <w:sz w:val="20"/>
          <w:szCs w:val="20"/>
          <w:color w:val="auto"/>
        </w:rPr>
        <w:t>Data protection requirements may also require us to notify relevant stakeholders of security incidents, including affected individuals, partners, collaborators, customers, regulators, law enforcement agencies and others. Such disclosures are costly, and the disclosures or failure to comply with such requirements could lead to adverse consequences.</w:t>
      </w:r>
    </w:p>
    <w:p>
      <w:pPr>
        <w:spacing w:after="0" w:line="196" w:lineRule="exact"/>
        <w:rPr>
          <w:sz w:val="20"/>
          <w:szCs w:val="20"/>
          <w:color w:val="auto"/>
        </w:rPr>
      </w:pPr>
    </w:p>
    <w:p>
      <w:pPr>
        <w:ind w:right="200" w:firstLine="360"/>
        <w:spacing w:after="0" w:line="254" w:lineRule="auto"/>
        <w:rPr>
          <w:sz w:val="20"/>
          <w:szCs w:val="20"/>
          <w:color w:val="auto"/>
        </w:rPr>
      </w:pPr>
      <w:r>
        <w:rPr>
          <w:rFonts w:ascii="Arial" w:cs="Arial" w:eastAsia="Arial" w:hAnsi="Arial"/>
          <w:sz w:val="20"/>
          <w:szCs w:val="20"/>
          <w:color w:val="auto"/>
        </w:rPr>
        <w:t>If we, our customers, or a third party upon which we rely, experience a security incident or other interruption, or are perceived to have experienced a security incident or other interruption, we may experience adverse consequences, such as government enforcement actions (for example, investigations, fines, penalties, audits, and inspections); additional reporting obligations and/or oversight; restrictions on processing information (including personal data); litigation (including class claims); indemnification obligations; negative publicity; reputational harm; monetary fund diversions; interruptions of our operations (including availability of data); financial loss (including by issuing credits to our customers); and other similar harm. Security incidents and attendant consequences may cause customers to stop using our solutions (including by not renewing their purchases of our solutions), deter new customers from using our solutions, and negatively impact our ability to grow and operate our business.</w:t>
      </w:r>
    </w:p>
    <w:p>
      <w:pPr>
        <w:spacing w:after="0" w:line="203" w:lineRule="exact"/>
        <w:rPr>
          <w:sz w:val="20"/>
          <w:szCs w:val="20"/>
          <w:color w:val="auto"/>
        </w:rPr>
      </w:pPr>
    </w:p>
    <w:p>
      <w:pPr>
        <w:ind w:right="240" w:firstLine="360"/>
        <w:spacing w:after="0" w:line="256" w:lineRule="auto"/>
        <w:rPr>
          <w:sz w:val="20"/>
          <w:szCs w:val="20"/>
          <w:color w:val="auto"/>
        </w:rPr>
      </w:pPr>
      <w:r>
        <w:rPr>
          <w:rFonts w:ascii="Arial" w:cs="Arial" w:eastAsia="Arial" w:hAnsi="Arial"/>
          <w:sz w:val="20"/>
          <w:szCs w:val="20"/>
          <w:color w:val="auto"/>
        </w:rPr>
        <w:t>There can be no assurance that any limitations or exclusions of liabilities in our contracts would be enforceable or adequate or would otherwise protect us from liabilities or damages if we fail to comply with data protection requirements related to information security or security incidents. We cannot be sure that our insurance coverage will be adequate or otherwise protect us from or adequately mitigate liabilities or damages with respect to claims, costs, expenses, litigation, fines, penalties, business loss, data loss, regulatory actions or other impacts arising out of security incidents.</w:t>
      </w:r>
    </w:p>
    <w:p>
      <w:pPr>
        <w:spacing w:after="0" w:line="203" w:lineRule="exact"/>
        <w:rPr>
          <w:sz w:val="20"/>
          <w:szCs w:val="20"/>
          <w:color w:val="auto"/>
        </w:rPr>
      </w:pPr>
    </w:p>
    <w:p>
      <w:pPr>
        <w:ind w:right="80" w:firstLine="360"/>
        <w:spacing w:after="0" w:line="257" w:lineRule="auto"/>
        <w:rPr>
          <w:sz w:val="20"/>
          <w:szCs w:val="20"/>
          <w:color w:val="auto"/>
        </w:rPr>
      </w:pPr>
      <w:r>
        <w:rPr>
          <w:rFonts w:ascii="Arial" w:cs="Arial" w:eastAsia="Arial" w:hAnsi="Arial"/>
          <w:sz w:val="20"/>
          <w:szCs w:val="20"/>
          <w:color w:val="auto"/>
        </w:rPr>
        <w:t>In addition, we face unique risks as a SAAS company, particularly in light of our business model. If our solutions fail to detect vulnerabilities in our customers’ cybersecurity infrastructure, including for remote devices, or if our solutions fail to identify new and increasingly complex methods of cyberattacks, our business may suffer and our customers' businesses may be damaged, including by interrupting their networking traffic or operational technology environments. There is no guarantee that our solutions will detect all vulnerabilities or threats in our customers' systems, especially in light</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880" w:h="15480" w:orient="portrait"/>
          <w:cols w:equalWidth="0" w:num="1">
            <w:col w:w="9000"/>
          </w:cols>
          <w:pgMar w:left="1440" w:top="1204" w:right="1440" w:bottom="0" w:gutter="0" w:footer="0" w:header="0"/>
          <w:type w:val="continuous"/>
        </w:sectPr>
      </w:pPr>
    </w:p>
    <w:bookmarkStart w:id="112" w:name="page113"/>
    <w:bookmarkEnd w:id="112"/>
    <w:p>
      <w:pPr>
        <w:ind w:right="80"/>
        <w:spacing w:after="0" w:line="253" w:lineRule="auto"/>
        <w:rPr>
          <w:sz w:val="20"/>
          <w:szCs w:val="20"/>
          <w:color w:val="auto"/>
        </w:rPr>
      </w:pPr>
      <w:r>
        <w:rPr>
          <w:rFonts w:ascii="Arial" w:cs="Arial" w:eastAsia="Arial" w:hAnsi="Arial"/>
          <w:sz w:val="20"/>
          <w:szCs w:val="20"/>
          <w:color w:val="auto"/>
        </w:rPr>
        <w:t>of the rapidly changing security landscape to which we must respond. Additionally, our solutions may falsely detect vulnerabilities or threats that do not actually exist. For example, our solutions rely on information provided by an active community of users who contribute information about new exploits, attacks and vulnerabilities. If the information from these third parties is inaccurate, the potential for false indications of vulnerabilities or threats increases. These false positives, while typical in the industry, may impair the perceived reliability of our offerings. Additionally, our business depends upon the appropriate and successful implementation of our product by our customers. If our customers fail to use our solutions according to our specifications, our customers may suffer a security incident on their own systems or other adverse consequences. Even if such an incident is unrelated to our security practices, it could result in our incurring significant economic and operational costs in investigating, remediating, and implementing additional measures to further protect our customers from their own vulnerabilities.</w:t>
      </w:r>
    </w:p>
    <w:p>
      <w:pPr>
        <w:spacing w:after="0" w:line="211" w:lineRule="exact"/>
        <w:rPr>
          <w:sz w:val="20"/>
          <w:szCs w:val="20"/>
          <w:color w:val="auto"/>
        </w:rPr>
      </w:pPr>
    </w:p>
    <w:p>
      <w:pPr>
        <w:ind w:right="140" w:firstLine="360"/>
        <w:spacing w:after="0" w:line="255" w:lineRule="auto"/>
        <w:rPr>
          <w:sz w:val="20"/>
          <w:szCs w:val="20"/>
          <w:color w:val="auto"/>
        </w:rPr>
      </w:pPr>
      <w:r>
        <w:rPr>
          <w:rFonts w:ascii="Arial" w:cs="Arial" w:eastAsia="Arial" w:hAnsi="Arial"/>
          <w:sz w:val="20"/>
          <w:szCs w:val="20"/>
          <w:color w:val="auto"/>
        </w:rPr>
        <w:t>The reliability and continuous availability of our solutions is critical to our success. We have experienced errors or defects in the past in connection with the release of new solutions and product upgrades, and we expect that these errors or defects will be found from time to time in the future in new or enhanced solutions after commercial release. In addition, we use third parties to assist in the development of our products and these third parties could be a source of errors or defects. Some defects may cause our solutions to be vulnerable to attacks, cause them to fail to detect vulnerabilities, or temporarily interrupt customers’ networking traffic or operational technology environments, any of which may damage our customers’ business and could hurt our reputation.</w:t>
      </w:r>
    </w:p>
    <w:p>
      <w:pPr>
        <w:spacing w:after="0" w:line="205" w:lineRule="exact"/>
        <w:rPr>
          <w:sz w:val="20"/>
          <w:szCs w:val="20"/>
          <w:color w:val="auto"/>
        </w:rPr>
      </w:pPr>
    </w:p>
    <w:p>
      <w:pPr>
        <w:ind w:right="200" w:firstLine="360"/>
        <w:spacing w:after="0" w:line="268" w:lineRule="auto"/>
        <w:rPr>
          <w:sz w:val="20"/>
          <w:szCs w:val="20"/>
          <w:color w:val="auto"/>
        </w:rPr>
      </w:pPr>
      <w:r>
        <w:rPr>
          <w:rFonts w:ascii="Arial" w:cs="Arial" w:eastAsia="Arial" w:hAnsi="Arial"/>
          <w:sz w:val="20"/>
          <w:szCs w:val="20"/>
          <w:color w:val="auto"/>
        </w:rPr>
        <w:t>As a result of any of the risks associated with our SaaS business, we may experience adverse consequences. We may also be subject to liability claims for damages related to errors or defects in our solutions.</w:t>
      </w:r>
    </w:p>
    <w:p>
      <w:pPr>
        <w:spacing w:after="0" w:line="191" w:lineRule="exact"/>
        <w:rPr>
          <w:sz w:val="20"/>
          <w:szCs w:val="20"/>
          <w:color w:val="auto"/>
        </w:rPr>
      </w:pPr>
    </w:p>
    <w:p>
      <w:pPr>
        <w:ind w:right="140" w:firstLine="360"/>
        <w:spacing w:after="0" w:line="296" w:lineRule="auto"/>
        <w:rPr>
          <w:sz w:val="20"/>
          <w:szCs w:val="20"/>
          <w:color w:val="auto"/>
        </w:rPr>
      </w:pPr>
      <w:r>
        <w:rPr>
          <w:rFonts w:ascii="Arial" w:cs="Arial" w:eastAsia="Arial" w:hAnsi="Arial"/>
          <w:sz w:val="20"/>
          <w:szCs w:val="20"/>
          <w:b w:val="1"/>
          <w:bCs w:val="1"/>
          <w:i w:val="1"/>
          <w:iCs w:val="1"/>
          <w:color w:val="auto"/>
        </w:rPr>
        <w:t>Our future quarterly results of operations are likely to fluctuate significantly due to a wide range of factors, which makes our future results difficult to predict.</w:t>
      </w:r>
    </w:p>
    <w:p>
      <w:pPr>
        <w:spacing w:after="0" w:line="152" w:lineRule="exact"/>
        <w:rPr>
          <w:sz w:val="20"/>
          <w:szCs w:val="20"/>
          <w:color w:val="auto"/>
        </w:rPr>
      </w:pPr>
    </w:p>
    <w:p>
      <w:pPr>
        <w:ind w:right="40" w:firstLine="360"/>
        <w:spacing w:after="0" w:line="268" w:lineRule="auto"/>
        <w:rPr>
          <w:sz w:val="20"/>
          <w:szCs w:val="20"/>
          <w:color w:val="auto"/>
        </w:rPr>
      </w:pPr>
      <w:r>
        <w:rPr>
          <w:rFonts w:ascii="Arial" w:cs="Arial" w:eastAsia="Arial" w:hAnsi="Arial"/>
          <w:sz w:val="20"/>
          <w:szCs w:val="20"/>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70" w:lineRule="exact"/>
        <w:rPr>
          <w:sz w:val="20"/>
          <w:szCs w:val="20"/>
          <w:color w:val="auto"/>
        </w:rPr>
      </w:pPr>
    </w:p>
    <w:p>
      <w:pPr>
        <w:ind w:left="720" w:hanging="360"/>
        <w:spacing w:after="0"/>
        <w:tabs>
          <w:tab w:leader="none" w:pos="720"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level of demand for our solutions;</w:t>
      </w:r>
    </w:p>
    <w:p>
      <w:pPr>
        <w:spacing w:after="0" w:line="70" w:lineRule="exact"/>
        <w:rPr>
          <w:rFonts w:ascii="Arial" w:cs="Arial" w:eastAsia="Arial" w:hAnsi="Arial"/>
          <w:sz w:val="20"/>
          <w:szCs w:val="20"/>
          <w:color w:val="auto"/>
        </w:rPr>
      </w:pPr>
    </w:p>
    <w:p>
      <w:pPr>
        <w:ind w:left="720" w:right="220" w:hanging="360"/>
        <w:spacing w:after="0" w:line="268" w:lineRule="auto"/>
        <w:tabs>
          <w:tab w:leader="none" w:pos="720"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introduction of new products and product enhancements by existing competitors or new entrants into our market, and changes in pricing for solutions offered by us or our competitors;</w:t>
      </w:r>
    </w:p>
    <w:p>
      <w:pPr>
        <w:spacing w:after="0" w:line="9" w:lineRule="exact"/>
        <w:rPr>
          <w:rFonts w:ascii="Arial" w:cs="Arial" w:eastAsia="Arial" w:hAnsi="Arial"/>
          <w:sz w:val="20"/>
          <w:szCs w:val="20"/>
          <w:color w:val="auto"/>
        </w:rPr>
      </w:pPr>
    </w:p>
    <w:p>
      <w:pPr>
        <w:ind w:left="720" w:right="1040" w:hanging="360"/>
        <w:spacing w:after="0" w:line="281" w:lineRule="auto"/>
        <w:tabs>
          <w:tab w:leader="none" w:pos="720"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rate of renewal of subscriptions, and extent of expansion of assets under such subscriptions, with existing customers;</w:t>
      </w:r>
    </w:p>
    <w:p>
      <w:pPr>
        <w:spacing w:after="0" w:line="1" w:lineRule="exact"/>
        <w:rPr>
          <w:rFonts w:ascii="Arial" w:cs="Arial" w:eastAsia="Arial" w:hAnsi="Arial"/>
          <w:sz w:val="20"/>
          <w:szCs w:val="20"/>
          <w:color w:val="auto"/>
        </w:rPr>
      </w:pPr>
    </w:p>
    <w:p>
      <w:pPr>
        <w:ind w:left="720" w:right="740" w:hanging="360"/>
        <w:spacing w:after="0" w:line="281" w:lineRule="auto"/>
        <w:tabs>
          <w:tab w:leader="none" w:pos="720"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mix of customers licensing our products on a subscription basis as compared to a perpetual license;</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94"/>
        </w:numPr>
        <w:rPr>
          <w:rFonts w:ascii="Arial" w:cs="Arial" w:eastAsia="Arial" w:hAnsi="Arial"/>
          <w:sz w:val="20"/>
          <w:szCs w:val="20"/>
          <w:color w:val="auto"/>
        </w:rPr>
      </w:pPr>
      <w:r>
        <w:rPr>
          <w:rFonts w:ascii="Arial" w:cs="Arial" w:eastAsia="Arial" w:hAnsi="Arial"/>
          <w:sz w:val="20"/>
          <w:szCs w:val="20"/>
          <w:color w:val="auto"/>
        </w:rPr>
        <w:t>large customers failing to renew their subscriptions;</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size, timing and terms of our subscription agreements with new customers;</w:t>
      </w:r>
    </w:p>
    <w:p>
      <w:pPr>
        <w:spacing w:after="0" w:line="70" w:lineRule="exact"/>
        <w:rPr>
          <w:rFonts w:ascii="Arial" w:cs="Arial" w:eastAsia="Arial" w:hAnsi="Arial"/>
          <w:sz w:val="20"/>
          <w:szCs w:val="20"/>
          <w:color w:val="auto"/>
        </w:rPr>
      </w:pPr>
    </w:p>
    <w:p>
      <w:pPr>
        <w:ind w:left="720" w:right="1240" w:hanging="360"/>
        <w:spacing w:after="0" w:line="281" w:lineRule="auto"/>
        <w:tabs>
          <w:tab w:leader="none" w:pos="720" w:val="left"/>
        </w:tabs>
        <w:numPr>
          <w:ilvl w:val="0"/>
          <w:numId w:val="94"/>
        </w:numPr>
        <w:rPr>
          <w:rFonts w:ascii="Arial" w:cs="Arial" w:eastAsia="Arial" w:hAnsi="Arial"/>
          <w:sz w:val="20"/>
          <w:szCs w:val="20"/>
          <w:color w:val="auto"/>
        </w:rPr>
      </w:pPr>
      <w:r>
        <w:rPr>
          <w:rFonts w:ascii="Arial" w:cs="Arial" w:eastAsia="Arial" w:hAnsi="Arial"/>
          <w:sz w:val="20"/>
          <w:szCs w:val="20"/>
          <w:color w:val="auto"/>
        </w:rPr>
        <w:t>our ability to interoperate our solutions with our customers’ network and security infrastructure, including remote devices;</w:t>
      </w:r>
    </w:p>
    <w:p>
      <w:pPr>
        <w:spacing w:after="0" w:line="1" w:lineRule="exact"/>
        <w:rPr>
          <w:rFonts w:ascii="Arial" w:cs="Arial" w:eastAsia="Arial" w:hAnsi="Arial"/>
          <w:sz w:val="20"/>
          <w:szCs w:val="20"/>
          <w:color w:val="auto"/>
        </w:rPr>
      </w:pPr>
    </w:p>
    <w:p>
      <w:pPr>
        <w:ind w:left="720" w:right="140" w:hanging="360"/>
        <w:spacing w:after="0" w:line="281" w:lineRule="auto"/>
        <w:tabs>
          <w:tab w:leader="none" w:pos="720"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timing and growth of our business, in particular through our hiring of new employees and international expansion;</w:t>
      </w:r>
    </w:p>
    <w:p>
      <w:pPr>
        <w:spacing w:after="0" w:line="1" w:lineRule="exact"/>
        <w:rPr>
          <w:rFonts w:ascii="Arial" w:cs="Arial" w:eastAsia="Arial" w:hAnsi="Arial"/>
          <w:sz w:val="20"/>
          <w:szCs w:val="20"/>
          <w:color w:val="auto"/>
        </w:rPr>
      </w:pPr>
    </w:p>
    <w:p>
      <w:pPr>
        <w:ind w:left="720" w:right="320" w:hanging="360"/>
        <w:spacing w:after="0" w:line="281" w:lineRule="auto"/>
        <w:tabs>
          <w:tab w:leader="none" w:pos="720" w:val="left"/>
        </w:tabs>
        <w:numPr>
          <w:ilvl w:val="0"/>
          <w:numId w:val="94"/>
        </w:numPr>
        <w:rPr>
          <w:rFonts w:ascii="Arial" w:cs="Arial" w:eastAsia="Arial" w:hAnsi="Arial"/>
          <w:sz w:val="20"/>
          <w:szCs w:val="20"/>
          <w:color w:val="auto"/>
        </w:rPr>
      </w:pPr>
      <w:r>
        <w:rPr>
          <w:rFonts w:ascii="Arial" w:cs="Arial" w:eastAsia="Arial" w:hAnsi="Arial"/>
          <w:sz w:val="20"/>
          <w:szCs w:val="20"/>
          <w:color w:val="auto"/>
        </w:rPr>
        <w:t>network outages, security breaches, technical difficulties or interruptions with our solutions (including security breaches by our service providers or vendors);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94"/>
        </w:numPr>
        <w:rPr>
          <w:rFonts w:ascii="Arial" w:cs="Arial" w:eastAsia="Arial" w:hAnsi="Arial"/>
          <w:sz w:val="20"/>
          <w:szCs w:val="20"/>
          <w:color w:val="auto"/>
        </w:rPr>
      </w:pPr>
      <w:r>
        <w:rPr>
          <w:rFonts w:ascii="Arial" w:cs="Arial" w:eastAsia="Arial" w:hAnsi="Arial"/>
          <w:sz w:val="20"/>
          <w:szCs w:val="20"/>
          <w:color w:val="auto"/>
        </w:rPr>
        <w:t>changes in the growth rate of the markets in which we compete;</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880" w:h="15480" w:orient="portrait"/>
          <w:cols w:equalWidth="0" w:num="1">
            <w:col w:w="9000"/>
          </w:cols>
          <w:pgMar w:left="1440" w:top="1204" w:right="1440" w:bottom="0" w:gutter="0" w:footer="0" w:header="0"/>
          <w:type w:val="continuous"/>
        </w:sectPr>
      </w:pPr>
    </w:p>
    <w:bookmarkStart w:id="113" w:name="page114"/>
    <w:bookmarkEnd w:id="113"/>
    <w:p>
      <w:pPr>
        <w:ind w:left="720" w:right="320" w:hanging="360"/>
        <w:spacing w:after="0" w:line="281" w:lineRule="auto"/>
        <w:tabs>
          <w:tab w:leader="none" w:pos="7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length of the license term, amount prepaid and other material terms of subscriptions to our solutions sold during a period;</w:t>
      </w:r>
    </w:p>
    <w:p>
      <w:pPr>
        <w:spacing w:after="0" w:line="1" w:lineRule="exact"/>
        <w:rPr>
          <w:rFonts w:ascii="Arial" w:cs="Arial" w:eastAsia="Arial" w:hAnsi="Arial"/>
          <w:sz w:val="20"/>
          <w:szCs w:val="20"/>
          <w:color w:val="auto"/>
        </w:rPr>
      </w:pPr>
    </w:p>
    <w:p>
      <w:pPr>
        <w:ind w:left="720" w:right="1180" w:hanging="360"/>
        <w:spacing w:after="0" w:line="281" w:lineRule="auto"/>
        <w:tabs>
          <w:tab w:leader="none" w:pos="7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customers delaying purchasing decisions in anticipation of new developments or enhancements by us or our competitors or otherwise;</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changes in customers’ budgets;</w:t>
      </w:r>
    </w:p>
    <w:p>
      <w:pPr>
        <w:spacing w:after="0" w:line="70" w:lineRule="exact"/>
        <w:rPr>
          <w:rFonts w:ascii="Arial" w:cs="Arial" w:eastAsia="Arial" w:hAnsi="Arial"/>
          <w:sz w:val="20"/>
          <w:szCs w:val="20"/>
          <w:color w:val="auto"/>
        </w:rPr>
      </w:pPr>
    </w:p>
    <w:p>
      <w:pPr>
        <w:ind w:left="720" w:right="400" w:hanging="360"/>
        <w:spacing w:after="0" w:line="281" w:lineRule="auto"/>
        <w:tabs>
          <w:tab w:leader="none" w:pos="7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seasonal variations related to sales and marketing and other activities, such as expenses related to our customers;</w:t>
      </w:r>
    </w:p>
    <w:p>
      <w:pPr>
        <w:spacing w:after="0" w:line="1" w:lineRule="exact"/>
        <w:rPr>
          <w:rFonts w:ascii="Arial" w:cs="Arial" w:eastAsia="Arial" w:hAnsi="Arial"/>
          <w:sz w:val="20"/>
          <w:szCs w:val="20"/>
          <w:color w:val="auto"/>
        </w:rPr>
      </w:pPr>
    </w:p>
    <w:p>
      <w:pPr>
        <w:ind w:left="720" w:right="380" w:hanging="360"/>
        <w:spacing w:after="0" w:line="281" w:lineRule="auto"/>
        <w:tabs>
          <w:tab w:leader="none" w:pos="7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our ability to increase, retain and incentivize the channel partners that market and sell our solutions;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our ability to integrate our solutions with our ecosystem partners’ technology;</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our ability to integrate any future acquisitions of businesses;</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our brand and reputation;</w:t>
      </w:r>
    </w:p>
    <w:p>
      <w:pPr>
        <w:spacing w:after="0" w:line="70" w:lineRule="exact"/>
        <w:rPr>
          <w:rFonts w:ascii="Arial" w:cs="Arial" w:eastAsia="Arial" w:hAnsi="Arial"/>
          <w:sz w:val="20"/>
          <w:szCs w:val="20"/>
          <w:color w:val="auto"/>
        </w:rPr>
      </w:pPr>
    </w:p>
    <w:p>
      <w:pPr>
        <w:ind w:left="720" w:right="120" w:hanging="360"/>
        <w:spacing w:after="0" w:line="281" w:lineRule="auto"/>
        <w:tabs>
          <w:tab w:leader="none" w:pos="7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timing of our adoption of new or revised accounting pronouncements applicable to public companies and the impact on our results of operations;</w:t>
      </w:r>
    </w:p>
    <w:p>
      <w:pPr>
        <w:spacing w:after="0" w:line="1" w:lineRule="exact"/>
        <w:rPr>
          <w:rFonts w:ascii="Arial" w:cs="Arial" w:eastAsia="Arial" w:hAnsi="Arial"/>
          <w:sz w:val="20"/>
          <w:szCs w:val="20"/>
          <w:color w:val="auto"/>
        </w:rPr>
      </w:pPr>
    </w:p>
    <w:p>
      <w:pPr>
        <w:ind w:left="720" w:right="160" w:hanging="360"/>
        <w:spacing w:after="0" w:line="281" w:lineRule="auto"/>
        <w:tabs>
          <w:tab w:leader="none" w:pos="7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our ability to control costs, including our operating expenses, such as personnel costs, third-party cloud infrastructure costs and facilities costs;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our ability to hire, train and maintain our direct sales force;</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unforeseen litigation and intellectual property infringement;</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fluctuations in our effective tax rate;</w:t>
      </w:r>
    </w:p>
    <w:p>
      <w:pPr>
        <w:spacing w:after="0" w:line="70" w:lineRule="exact"/>
        <w:rPr>
          <w:rFonts w:ascii="Arial" w:cs="Arial" w:eastAsia="Arial" w:hAnsi="Arial"/>
          <w:sz w:val="20"/>
          <w:szCs w:val="20"/>
          <w:color w:val="auto"/>
        </w:rPr>
      </w:pPr>
    </w:p>
    <w:p>
      <w:pPr>
        <w:ind w:left="720" w:right="320" w:hanging="360"/>
        <w:spacing w:after="0" w:line="296" w:lineRule="auto"/>
        <w:tabs>
          <w:tab w:leader="none" w:pos="720" w:val="left"/>
        </w:tabs>
        <w:numPr>
          <w:ilvl w:val="0"/>
          <w:numId w:val="95"/>
        </w:numPr>
        <w:rPr>
          <w:rFonts w:ascii="Arial" w:cs="Arial" w:eastAsia="Arial" w:hAnsi="Arial"/>
          <w:sz w:val="19"/>
          <w:szCs w:val="19"/>
          <w:color w:val="auto"/>
        </w:rPr>
      </w:pPr>
      <w:r>
        <w:rPr>
          <w:rFonts w:ascii="Arial" w:cs="Arial" w:eastAsia="Arial" w:hAnsi="Arial"/>
          <w:sz w:val="19"/>
          <w:szCs w:val="19"/>
          <w:color w:val="auto"/>
        </w:rPr>
        <w:t>general economic and political conditions, both domestically and internationally, as well as economic conditions specifically affecting industries in which our customers operate; and</w:t>
      </w:r>
    </w:p>
    <w:p>
      <w:pPr>
        <w:spacing w:after="0" w:line="1" w:lineRule="exact"/>
        <w:rPr>
          <w:rFonts w:ascii="Arial" w:cs="Arial" w:eastAsia="Arial" w:hAnsi="Arial"/>
          <w:sz w:val="19"/>
          <w:szCs w:val="19"/>
          <w:color w:val="auto"/>
        </w:rPr>
      </w:pPr>
    </w:p>
    <w:p>
      <w:pPr>
        <w:ind w:left="720" w:right="240" w:hanging="360"/>
        <w:spacing w:after="0" w:line="268" w:lineRule="auto"/>
        <w:tabs>
          <w:tab w:leader="none" w:pos="7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other events or factors, including those resulting from pandemics such as COVID-19, war, incidents of terrorism or responses to these events, or an economic recession in the United States or other major markets.</w:t>
      </w:r>
    </w:p>
    <w:p>
      <w:pPr>
        <w:spacing w:after="0" w:line="190" w:lineRule="exact"/>
        <w:rPr>
          <w:sz w:val="20"/>
          <w:szCs w:val="20"/>
          <w:color w:val="auto"/>
        </w:rPr>
      </w:pPr>
    </w:p>
    <w:p>
      <w:pPr>
        <w:ind w:right="40" w:firstLine="360"/>
        <w:spacing w:after="0" w:line="259" w:lineRule="auto"/>
        <w:rPr>
          <w:sz w:val="20"/>
          <w:szCs w:val="20"/>
          <w:color w:val="auto"/>
        </w:rPr>
      </w:pPr>
      <w:r>
        <w:rPr>
          <w:rFonts w:ascii="Arial" w:cs="Arial" w:eastAsia="Arial" w:hAnsi="Arial"/>
          <w:sz w:val="20"/>
          <w:szCs w:val="20"/>
          <w:color w:val="auto"/>
        </w:rPr>
        <w:t>Any one of these or other factors discussed elsewhere in this Annual Report on Form 10-K, or the cumulative effect of some of these factors, may result in fluctuations in our revenue and operating results, meaning that quarter-to-quarter comparisons of our revenue, results of operations and cash flows may not necessarily be indicative of our future performance and may cause us to miss our guidance and analyst expectations and may cause our stock price to decline.</w:t>
      </w:r>
    </w:p>
    <w:p>
      <w:pPr>
        <w:spacing w:after="0" w:line="199" w:lineRule="exact"/>
        <w:rPr>
          <w:sz w:val="20"/>
          <w:szCs w:val="20"/>
          <w:color w:val="auto"/>
        </w:rPr>
      </w:pPr>
    </w:p>
    <w:p>
      <w:pPr>
        <w:ind w:right="40" w:firstLine="360"/>
        <w:spacing w:after="0" w:line="255" w:lineRule="auto"/>
        <w:rPr>
          <w:sz w:val="20"/>
          <w:szCs w:val="20"/>
          <w:color w:val="auto"/>
        </w:rPr>
      </w:pPr>
      <w:r>
        <w:rPr>
          <w:rFonts w:ascii="Arial" w:cs="Arial" w:eastAsia="Arial" w:hAnsi="Arial"/>
          <w:sz w:val="20"/>
          <w:szCs w:val="20"/>
          <w:color w:val="auto"/>
        </w:rPr>
        <w:t>In addition, we have historically experienced seasonality in entering into agreements with customers. We typically enter into a significantly higher percentage of agreements with new customers, as well as renewal agreements with existing customers, in the third and fourth quarters. The increase in customer agreements in the third quarter is primarily attributable to U.S. government and related agencies, and the increase in the fourth quarter is primarily attributable to large enterprise account buying patterns typical in the software industry. We expect that seasonality will continue to affect our operating results in the future and may reduce our ability to predict cash flow and optimize the timing of our operating expenses.</w:t>
      </w:r>
    </w:p>
    <w:p>
      <w:pPr>
        <w:spacing w:after="0" w:line="206" w:lineRule="exact"/>
        <w:rPr>
          <w:sz w:val="20"/>
          <w:szCs w:val="20"/>
          <w:color w:val="auto"/>
        </w:rPr>
      </w:pPr>
    </w:p>
    <w:p>
      <w:pPr>
        <w:ind w:right="60" w:firstLine="360"/>
        <w:spacing w:after="0" w:line="261" w:lineRule="auto"/>
        <w:rPr>
          <w:sz w:val="20"/>
          <w:szCs w:val="20"/>
          <w:color w:val="auto"/>
        </w:rPr>
      </w:pPr>
      <w:r>
        <w:rPr>
          <w:rFonts w:ascii="Arial" w:cs="Arial" w:eastAsia="Arial" w:hAnsi="Arial"/>
          <w:sz w:val="20"/>
          <w:szCs w:val="20"/>
          <w:b w:val="1"/>
          <w:bCs w:val="1"/>
          <w:i w:val="1"/>
          <w:iCs w:val="1"/>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spacing w:after="0" w:line="188" w:lineRule="exact"/>
        <w:rPr>
          <w:sz w:val="20"/>
          <w:szCs w:val="20"/>
          <w:color w:val="auto"/>
        </w:rPr>
      </w:pPr>
    </w:p>
    <w:p>
      <w:pPr>
        <w:ind w:right="60" w:firstLine="360"/>
        <w:spacing w:after="0" w:line="289" w:lineRule="auto"/>
        <w:rPr>
          <w:sz w:val="20"/>
          <w:szCs w:val="20"/>
          <w:color w:val="auto"/>
        </w:rPr>
      </w:pPr>
      <w:r>
        <w:rPr>
          <w:rFonts w:ascii="Arial" w:cs="Arial" w:eastAsia="Arial" w:hAnsi="Arial"/>
          <w:sz w:val="19"/>
          <w:szCs w:val="19"/>
          <w:color w:val="auto"/>
        </w:rPr>
        <w:t>Our subscription offerings are term-based and a majority of our subscription contracts are for one year in duration. In order for us to maintain or improve our results of operations, it is important that a high percentage of our customers renew their subscriptions with us when the existing subscription</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880" w:h="15480" w:orient="portrait"/>
          <w:cols w:equalWidth="0" w:num="1">
            <w:col w:w="9000"/>
          </w:cols>
          <w:pgMar w:left="1440" w:top="1204" w:right="1440" w:bottom="0" w:gutter="0" w:footer="0" w:header="0"/>
          <w:type w:val="continuous"/>
        </w:sectPr>
      </w:pPr>
    </w:p>
    <w:bookmarkStart w:id="114" w:name="page115"/>
    <w:bookmarkEnd w:id="114"/>
    <w:p>
      <w:pPr>
        <w:ind w:right="120"/>
        <w:spacing w:after="0" w:line="252" w:lineRule="auto"/>
        <w:rPr>
          <w:sz w:val="20"/>
          <w:szCs w:val="20"/>
          <w:color w:val="auto"/>
        </w:rPr>
      </w:pPr>
      <w:r>
        <w:rPr>
          <w:rFonts w:ascii="Arial" w:cs="Arial" w:eastAsia="Arial" w:hAnsi="Arial"/>
          <w:sz w:val="20"/>
          <w:szCs w:val="20"/>
          <w:color w:val="auto"/>
        </w:rPr>
        <w:t>term expires, and renew on the same or more favorable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if our existing customers choose to reduce or delay technology spending in response to economic conditions, including those resulting from exchange rate fluctuations relative to the U.S. dollar that make our products more expensive to existing customers, decades-high inflation or an economic recession in the United States or other major markets, that could lead to decreased spending, as well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in this Annual Report on Form 10-K. Additionally, many of our customers, including certain top customers, have the right to terminate their agreements with us for convenience and for other reasons. We cannot assure you that customers will maintain their agreements with us, renew subscriptions or increase their usage of our software. If our customers do not maintain or renew their subscriptions or renew on less favorable terms, or if we are unable to expand our customers’ use of our software, our business, results of operations, and financial condition may be harmed.</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We must maintain and enhance our brand.</w:t>
      </w:r>
    </w:p>
    <w:p>
      <w:pPr>
        <w:spacing w:after="0" w:line="249" w:lineRule="exact"/>
        <w:rPr>
          <w:sz w:val="20"/>
          <w:szCs w:val="20"/>
          <w:color w:val="auto"/>
        </w:rPr>
      </w:pPr>
    </w:p>
    <w:p>
      <w:pPr>
        <w:ind w:right="80" w:firstLine="360"/>
        <w:spacing w:after="0" w:line="255" w:lineRule="auto"/>
        <w:rPr>
          <w:sz w:val="20"/>
          <w:szCs w:val="20"/>
          <w:color w:val="auto"/>
        </w:rPr>
      </w:pPr>
      <w:r>
        <w:rPr>
          <w:rFonts w:ascii="Arial" w:cs="Arial" w:eastAsia="Arial" w:hAnsi="Arial"/>
          <w:sz w:val="20"/>
          <w:szCs w:val="20"/>
          <w:color w:val="auto"/>
        </w:rPr>
        <w:t>We believe that developing and maintaining widespread awareness of our brand in a cost-effective manner is critical to achieving widespread acceptance of our enterprise platform and attracting new customers. Brand promotion activities may not generate customer awareness or increase revenue and, even if they do, any increase in revenue may not offset the expenses we incur in maintaining and promoting our brand. If we fail to successfully promote and maintain our brand, or incur substantial expenses, we may fail to attract or retain customers necessary to realize a sufficient return on our brand-building efforts, or to achieve the widespread brand awareness that is critical for broad customer adoption of our solutions.</w:t>
      </w:r>
    </w:p>
    <w:p>
      <w:pPr>
        <w:spacing w:after="0" w:line="206" w:lineRule="exact"/>
        <w:rPr>
          <w:sz w:val="20"/>
          <w:szCs w:val="20"/>
          <w:color w:val="auto"/>
        </w:rPr>
      </w:pPr>
    </w:p>
    <w:p>
      <w:pPr>
        <w:ind w:right="1040" w:firstLine="360"/>
        <w:spacing w:after="0" w:line="296" w:lineRule="auto"/>
        <w:rPr>
          <w:sz w:val="20"/>
          <w:szCs w:val="20"/>
          <w:color w:val="auto"/>
        </w:rPr>
      </w:pPr>
      <w:r>
        <w:rPr>
          <w:rFonts w:ascii="Arial" w:cs="Arial" w:eastAsia="Arial" w:hAnsi="Arial"/>
          <w:sz w:val="20"/>
          <w:szCs w:val="20"/>
          <w:b w:val="1"/>
          <w:bCs w:val="1"/>
          <w:i w:val="1"/>
          <w:iCs w:val="1"/>
          <w:color w:val="auto"/>
        </w:rPr>
        <w:t>We rely on third parties to maintain and operate certain elements of our network infrastructure.</w:t>
      </w:r>
    </w:p>
    <w:p>
      <w:pPr>
        <w:spacing w:after="0" w:line="152" w:lineRule="exact"/>
        <w:rPr>
          <w:sz w:val="20"/>
          <w:szCs w:val="20"/>
          <w:color w:val="auto"/>
        </w:rPr>
      </w:pPr>
    </w:p>
    <w:p>
      <w:pPr>
        <w:ind w:firstLine="360"/>
        <w:spacing w:after="0" w:line="255" w:lineRule="auto"/>
        <w:rPr>
          <w:sz w:val="20"/>
          <w:szCs w:val="20"/>
          <w:color w:val="auto"/>
        </w:rPr>
      </w:pPr>
      <w:r>
        <w:rPr>
          <w:rFonts w:ascii="Arial" w:cs="Arial" w:eastAsia="Arial" w:hAnsi="Arial"/>
          <w:sz w:val="20"/>
          <w:szCs w:val="20"/>
          <w:color w:val="auto"/>
        </w:rPr>
        <w:t>We utilize data centers located in North America, Europe and Asia to operate and maintain certain elements of our own network infrastructure. Some elements of this complex system are operated by third parties that we do not control and that could require significant time to replace. We expect this dependence on third parties to continue. For example, Tenable One is hosted on Amazon Web Services, or AWS, which provides us with computing and storage capacity. Interruptions in our systems or the third-party systems on which we rely, particularly AWS, whether due to system failures, computer viruses or cyber threats, physical or electronic break-ins or other factors, could affect the security or availability of our solutions, network infrastructure and website.</w:t>
      </w:r>
    </w:p>
    <w:p>
      <w:pPr>
        <w:spacing w:after="0" w:line="205" w:lineRule="exact"/>
        <w:rPr>
          <w:sz w:val="20"/>
          <w:szCs w:val="20"/>
          <w:color w:val="auto"/>
        </w:rPr>
      </w:pPr>
    </w:p>
    <w:p>
      <w:pPr>
        <w:ind w:right="160" w:firstLine="360"/>
        <w:spacing w:after="0" w:line="272" w:lineRule="auto"/>
        <w:rPr>
          <w:sz w:val="20"/>
          <w:szCs w:val="20"/>
          <w:color w:val="auto"/>
        </w:rPr>
      </w:pPr>
      <w:r>
        <w:rPr>
          <w:rFonts w:ascii="Arial" w:cs="Arial" w:eastAsia="Arial" w:hAnsi="Arial"/>
          <w:sz w:val="19"/>
          <w:szCs w:val="19"/>
          <w:color w:val="auto"/>
        </w:rPr>
        <w:t>Our existing data center facilities and third-party hosting providers have no obligations to renew their agreements with us on commercially reasonable terms or at all, and certain of the agreements governing these relationships may be terminated by either party with notice or access to hosting services may be restricted by the provider at any time, with no or limited notice. For example, our agreement with AWS allows AWS to terminate the agreement with two years' written notice and allows AWS, under certain circumstances, to temporarily restrict access to hosting services provided by AWS without prior notice. Although we expect that we could receive similar services from other</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880" w:h="15480" w:orient="portrait"/>
          <w:cols w:equalWidth="0" w:num="1">
            <w:col w:w="9000"/>
          </w:cols>
          <w:pgMar w:left="1440" w:top="1204" w:right="1440" w:bottom="0" w:gutter="0" w:footer="0" w:header="0"/>
          <w:type w:val="continuous"/>
        </w:sectPr>
      </w:pPr>
    </w:p>
    <w:bookmarkStart w:id="115" w:name="page116"/>
    <w:bookmarkEnd w:id="115"/>
    <w:p>
      <w:pPr>
        <w:ind w:right="320"/>
        <w:spacing w:after="0" w:line="262" w:lineRule="auto"/>
        <w:rPr>
          <w:sz w:val="20"/>
          <w:szCs w:val="20"/>
          <w:color w:val="auto"/>
        </w:rPr>
      </w:pPr>
      <w:r>
        <w:rPr>
          <w:rFonts w:ascii="Arial" w:cs="Arial" w:eastAsia="Arial" w:hAnsi="Arial"/>
          <w:sz w:val="20"/>
          <w:szCs w:val="20"/>
          <w:color w:val="auto"/>
        </w:rPr>
        <w:t>third parties, if any of our arrangements with third parties, including AWS, are terminated, we could experience interruptions on our platform and in our ability to make our platform available to customers, as well as downtime, delays and additional expenses in arranging alternative cloud infrastructure services.</w:t>
      </w:r>
    </w:p>
    <w:p>
      <w:pPr>
        <w:spacing w:after="0" w:line="197" w:lineRule="exact"/>
        <w:rPr>
          <w:sz w:val="20"/>
          <w:szCs w:val="20"/>
          <w:color w:val="auto"/>
        </w:rPr>
      </w:pPr>
    </w:p>
    <w:p>
      <w:pPr>
        <w:ind w:right="540" w:firstLine="360"/>
        <w:spacing w:after="0" w:line="296" w:lineRule="auto"/>
        <w:rPr>
          <w:sz w:val="20"/>
          <w:szCs w:val="20"/>
          <w:color w:val="auto"/>
        </w:rPr>
      </w:pPr>
      <w:r>
        <w:rPr>
          <w:rFonts w:ascii="Arial" w:cs="Arial" w:eastAsia="Arial" w:hAnsi="Arial"/>
          <w:sz w:val="20"/>
          <w:szCs w:val="20"/>
          <w:b w:val="1"/>
          <w:bCs w:val="1"/>
          <w:i w:val="1"/>
          <w:iCs w:val="1"/>
          <w:color w:val="auto"/>
        </w:rPr>
        <w:t>Organizations may be reluctant to purchase our enterprise platform offerings that are cloud-based due to the actual or perceived vulnerability of cloud solutions.</w:t>
      </w:r>
    </w:p>
    <w:p>
      <w:pPr>
        <w:spacing w:after="0" w:line="152" w:lineRule="exact"/>
        <w:rPr>
          <w:sz w:val="20"/>
          <w:szCs w:val="20"/>
          <w:color w:val="auto"/>
        </w:rPr>
      </w:pPr>
    </w:p>
    <w:p>
      <w:pPr>
        <w:ind w:right="100" w:firstLine="360"/>
        <w:spacing w:after="0" w:line="255" w:lineRule="auto"/>
        <w:rPr>
          <w:sz w:val="20"/>
          <w:szCs w:val="20"/>
          <w:color w:val="auto"/>
        </w:rPr>
      </w:pPr>
      <w:r>
        <w:rPr>
          <w:rFonts w:ascii="Arial" w:cs="Arial" w:eastAsia="Arial" w:hAnsi="Arial"/>
          <w:sz w:val="20"/>
          <w:szCs w:val="20"/>
          <w:color w:val="auto"/>
        </w:rPr>
        <w:t>Some organizations, including those in the defense industry and highly regulated industries such as healthcare and financial services, have historically been reluctant to use cloud-based solutions for cybersecurity because they have concerns regarding the risks associated with the reliability or security of the technology delivery model associated with these solutions. If we or other software companies with cloud-based offerings experience security incidents, breaches of customer data, disruptions in service delivery or other problems, the market for cloud-based solutions as a whole may be negatively impacted, which in turn would negatively impact our revenue and our growth prospects.</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Our sales cycle is long and unpredictable.</w:t>
      </w:r>
    </w:p>
    <w:p>
      <w:pPr>
        <w:spacing w:after="0" w:line="249" w:lineRule="exact"/>
        <w:rPr>
          <w:sz w:val="20"/>
          <w:szCs w:val="20"/>
          <w:color w:val="auto"/>
        </w:rPr>
      </w:pPr>
    </w:p>
    <w:p>
      <w:pPr>
        <w:ind w:firstLine="360"/>
        <w:spacing w:after="0" w:line="252" w:lineRule="auto"/>
        <w:rPr>
          <w:sz w:val="20"/>
          <w:szCs w:val="20"/>
          <w:color w:val="auto"/>
        </w:rPr>
      </w:pPr>
      <w:r>
        <w:rPr>
          <w:rFonts w:ascii="Arial" w:cs="Arial" w:eastAsia="Arial" w:hAnsi="Arial"/>
          <w:sz w:val="20"/>
          <w:szCs w:val="20"/>
          <w:color w:val="auto"/>
        </w:rPr>
        <w:t>The timing of sales of our offerings is difficult to forecast because of the length and unpredictability of our sales cycle, particularly with large enterprises and with respect to certain of our solutions. We sell our solutions primarily to IT departments that are managing a growing set of user and compliance demands, which has increased the complexity of customer requirements to be met and confirmed during the sales cycle and prolonged our sales cycle. Our average sales cycle with an enterprise customer is approximately four months, although unfavorable macroeconomic conditions and the extent to which we continue to enter into larger deals, could result in longer average sales cycles. Further, the length of time that potential customers devote to their testing and evaluation, contract negotiation and budgeting processes varies significantly, depending on the size of the organization and nature of the product or service under consideration. Macroeconomic uncertainty, including foreign exchange rates, inflation and concerns about economic recessions in the United States or other major markets, have and could continue to impact the budgets and purchasing decisions and processes of certain of our customers and prospective customers, some of whom have added additional controls on expenditures and require additional internal approvals of expenditures, even if relatively small in dollar amount, all of which could lengthen our average sales cycle. In addition, we might devote substantial time and effort to a particular unsuccessful sales effort, and as a result, we could lose other sales opportunities or incur expenses that are not offset by an increase in revenue, which could harm our business.</w:t>
      </w:r>
    </w:p>
    <w:p>
      <w:pPr>
        <w:spacing w:after="0" w:line="215" w:lineRule="exact"/>
        <w:rPr>
          <w:sz w:val="20"/>
          <w:szCs w:val="20"/>
          <w:color w:val="auto"/>
        </w:rPr>
      </w:pPr>
    </w:p>
    <w:p>
      <w:pPr>
        <w:ind w:right="80" w:firstLine="360"/>
        <w:spacing w:after="0" w:line="278" w:lineRule="auto"/>
        <w:rPr>
          <w:sz w:val="20"/>
          <w:szCs w:val="20"/>
          <w:color w:val="auto"/>
        </w:rPr>
      </w:pPr>
      <w:r>
        <w:rPr>
          <w:rFonts w:ascii="Arial" w:cs="Arial" w:eastAsia="Arial" w:hAnsi="Arial"/>
          <w:sz w:val="19"/>
          <w:szCs w:val="19"/>
          <w:b w:val="1"/>
          <w:bCs w:val="1"/>
          <w:i w:val="1"/>
          <w:iCs w:val="1"/>
          <w:color w:val="auto"/>
        </w:rPr>
        <w:t>We are subject to stringent and changing laws, regulations, rules, contractual obligations, policies, and other obligations related to data privacy and security. Our failure,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173" w:lineRule="exact"/>
        <w:rPr>
          <w:sz w:val="20"/>
          <w:szCs w:val="20"/>
          <w:color w:val="auto"/>
        </w:rPr>
      </w:pPr>
    </w:p>
    <w:p>
      <w:pPr>
        <w:ind w:firstLine="360"/>
        <w:spacing w:after="0" w:line="255" w:lineRule="auto"/>
        <w:rPr>
          <w:sz w:val="20"/>
          <w:szCs w:val="20"/>
          <w:color w:val="auto"/>
        </w:rPr>
      </w:pPr>
      <w:r>
        <w:rPr>
          <w:rFonts w:ascii="Arial" w:cs="Arial" w:eastAsia="Arial" w:hAnsi="Arial"/>
          <w:sz w:val="20"/>
          <w:szCs w:val="20"/>
          <w:color w:val="auto"/>
        </w:rPr>
        <w:t>In the ordinary course of our business, we collect, receive, store, process, generate, use, transfer, disclose, make accessible, protect, secure, dispose of, transmit, and share (collectively, “process”) personal data and other sensitive information, including proprietary and confidential business information, trade secrets, intellectual property, and sensitive third-party information. Our data processing activities subject us to numerous data privacy and security obligations, such as various laws, rules, regulations, guidance, industry standards, external and internal privacy and security policies, contracts, and other obligations that govern the processing of personal data by us and on our behalf.</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880" w:h="15480" w:orient="portrait"/>
          <w:cols w:equalWidth="0" w:num="1">
            <w:col w:w="9000"/>
          </w:cols>
          <w:pgMar w:left="1440" w:top="1204" w:right="1440" w:bottom="0" w:gutter="0" w:footer="0" w:header="0"/>
          <w:type w:val="continuous"/>
        </w:sectPr>
      </w:pPr>
    </w:p>
    <w:bookmarkStart w:id="116" w:name="page117"/>
    <w:bookmarkEnd w:id="116"/>
    <w:p>
      <w:pPr>
        <w:ind w:right="20" w:firstLine="360"/>
        <w:spacing w:after="0" w:line="252" w:lineRule="auto"/>
        <w:rPr>
          <w:sz w:val="20"/>
          <w:szCs w:val="20"/>
          <w:color w:val="auto"/>
        </w:rPr>
      </w:pPr>
      <w:r>
        <w:rPr>
          <w:rFonts w:ascii="Arial" w:cs="Arial" w:eastAsia="Arial" w:hAnsi="Arial"/>
          <w:sz w:val="20"/>
          <w:szCs w:val="20"/>
          <w:color w:val="auto"/>
        </w:rPr>
        <w:t>In the United States, federal, state, and local governments have enacted numerous data privacy security laws, including data breach notification laws, data privacy laws, consumer protection laws (e.g., Section 5 of the Federal Trade Commission Act), and other similar laws (e.g., wiretapping laws). For example, the California Consumer Privacy Act of 2018, as amended by the California Privacy Rights Act of 2020, CPRA or collectively, the CCPA, imposes obligations on covered businesses to provide specific disclosures in privacy notices and honor requests of California residents to exercise certain rights related to their personal data. The CCPA applies to personal data of business representatives and employees and provides for administrative fines for noncompliance (up to $7,500 per violation). Further, the CPRA's recent amendments expanded the CCPA's requirements, including by adding a new right for individuals to correct their personal data and by establishing a new regulatory agency to implement and enforce the law, which could increase the risk of an enforcement action. Other states, such as Virginia, Connecticut, Utah and Colorado, have enacted data privacy laws, and similar laws are being considered in several other states, as well as at the federal and local levels. These developments may further complicate compliance efforts and may increase legal risk and compliance costs for us, the third parties upon whom we rely, and our customers. Additionally, under various privacy laws and other obligations, we may be required to obtain certain consents to process certain types of personal data. Our inability or failure to do so could result in adverse consequences.</w:t>
      </w:r>
    </w:p>
    <w:p>
      <w:pPr>
        <w:spacing w:after="0" w:line="213" w:lineRule="exact"/>
        <w:rPr>
          <w:sz w:val="20"/>
          <w:szCs w:val="20"/>
          <w:color w:val="auto"/>
        </w:rPr>
      </w:pPr>
    </w:p>
    <w:p>
      <w:pPr>
        <w:ind w:firstLine="360"/>
        <w:spacing w:after="0" w:line="252" w:lineRule="auto"/>
        <w:rPr>
          <w:sz w:val="20"/>
          <w:szCs w:val="20"/>
          <w:color w:val="auto"/>
        </w:rPr>
      </w:pPr>
      <w:r>
        <w:rPr>
          <w:rFonts w:ascii="Arial" w:cs="Arial" w:eastAsia="Arial" w:hAnsi="Arial"/>
          <w:sz w:val="20"/>
          <w:szCs w:val="20"/>
          <w:color w:val="auto"/>
        </w:rPr>
        <w:t>Outside the United States, an increasing number of laws, regulations, and industry standards govern data privacy and security. For example, the European Union’s General Data Protection Regulation, or EU GDPR, and the United Kingdom’s GDPR, or UK GDPR, impose strict requirements for processing the personal data of individuals. Violations of these obligations carry significant potential consequences. For example, under the EU GDPR, government regulators may impose temporary or definitive bans on processing, as well as fines of up to €20 million or 4% of the annual global revenue, whichever is greater. We have an internal data privacy function that oversees and supervises our compliance with European and UK data protection regulations but, despite our efforts, we may fail, or be perceived to have failed, to comply. Canada's Personal Information Protection and Electronic Documents Act, or PIPEDA, and various related provincial laws, Canada's Anti-Spam Legislation, or CASL, and Brazil's General Data Protection Law (Law No. 13,709/2018), or Lei Geral de Proteção de Dados Pessaois, or LGPD, may apply to our operations. The LGPD broadly regulates processing personal data of individuals in Brazil and imposes compliance obligations and penalties comparable to those of the EU GDPR. Additionally, we also target customers in Asia and may be subject to new and emerging data privacy regimes in Asia, including China's Personal Information Protection Law, Japan's Act on the Protection of Personal Information, and Singapore's Personal Data Protection Act.</w:t>
      </w:r>
    </w:p>
    <w:p>
      <w:pPr>
        <w:spacing w:after="0" w:line="215" w:lineRule="exact"/>
        <w:rPr>
          <w:sz w:val="20"/>
          <w:szCs w:val="20"/>
          <w:color w:val="auto"/>
        </w:rPr>
      </w:pPr>
    </w:p>
    <w:p>
      <w:pPr>
        <w:ind w:right="40" w:firstLine="360"/>
        <w:spacing w:after="0" w:line="267" w:lineRule="auto"/>
        <w:rPr>
          <w:sz w:val="20"/>
          <w:szCs w:val="20"/>
          <w:color w:val="auto"/>
        </w:rPr>
      </w:pPr>
      <w:r>
        <w:rPr>
          <w:rFonts w:ascii="Arial" w:cs="Arial" w:eastAsia="Arial" w:hAnsi="Arial"/>
          <w:sz w:val="19"/>
          <w:szCs w:val="19"/>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or EEA, and the United Kingdom, or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880" w:h="15480" w:orient="portrait"/>
          <w:cols w:equalWidth="0" w:num="1">
            <w:col w:w="9000"/>
          </w:cols>
          <w:pgMar w:left="1440" w:top="1204" w:right="1440" w:bottom="0" w:gutter="0" w:footer="0" w:header="0"/>
          <w:type w:val="continuous"/>
        </w:sectPr>
      </w:pPr>
    </w:p>
    <w:bookmarkStart w:id="117" w:name="page118"/>
    <w:bookmarkEnd w:id="117"/>
    <w:p>
      <w:pPr>
        <w:ind w:right="40"/>
        <w:spacing w:after="0" w:line="255" w:lineRule="auto"/>
        <w:rPr>
          <w:sz w:val="20"/>
          <w:szCs w:val="20"/>
          <w:color w:val="auto"/>
        </w:rPr>
      </w:pPr>
      <w:r>
        <w:rPr>
          <w:rFonts w:ascii="Arial" w:cs="Arial" w:eastAsia="Arial" w:hAnsi="Arial"/>
          <w:sz w:val="20"/>
          <w:szCs w:val="20"/>
          <w:color w:val="auto"/>
        </w:rPr>
        <w:t>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For example, some European regulators have significantly restricted some companies from transferring certain personal data out of Europe for allegedly violating the GDPR’s cross-border data transfer limitations.</w:t>
      </w:r>
    </w:p>
    <w:p>
      <w:pPr>
        <w:spacing w:after="0" w:line="205" w:lineRule="exact"/>
        <w:rPr>
          <w:sz w:val="20"/>
          <w:szCs w:val="20"/>
          <w:color w:val="auto"/>
        </w:rPr>
      </w:pPr>
    </w:p>
    <w:p>
      <w:pPr>
        <w:ind w:right="120" w:firstLine="360"/>
        <w:spacing w:after="0" w:line="256" w:lineRule="auto"/>
        <w:rPr>
          <w:sz w:val="20"/>
          <w:szCs w:val="20"/>
          <w:color w:val="auto"/>
        </w:rPr>
      </w:pPr>
      <w:r>
        <w:rPr>
          <w:rFonts w:ascii="Arial" w:cs="Arial" w:eastAsia="Arial" w:hAnsi="Arial"/>
          <w:sz w:val="20"/>
          <w:szCs w:val="20"/>
          <w:color w:val="auto"/>
        </w:rPr>
        <w:t>In addition to data privacy and security laws, we may be contractually subject to industry standards adopted by industry groups and may become subject to such obligations in the future. Furthermore, we are bound by other contractual obligations relating to data privacy and security, and our efforts to comply with such obligations may not be successful. For example, certain privacy laws, such as the GDPR and the CCPA, require our customers to impose specific contractual restrictions on their service providers. Additionally, some of our customer contracts require us to host personal data locally.</w:t>
      </w:r>
    </w:p>
    <w:p>
      <w:pPr>
        <w:spacing w:after="0" w:line="203" w:lineRule="exact"/>
        <w:rPr>
          <w:sz w:val="20"/>
          <w:szCs w:val="20"/>
          <w:color w:val="auto"/>
        </w:rPr>
      </w:pPr>
    </w:p>
    <w:p>
      <w:pPr>
        <w:ind w:right="40" w:firstLine="360"/>
        <w:spacing w:after="0" w:line="259" w:lineRule="auto"/>
        <w:rPr>
          <w:sz w:val="20"/>
          <w:szCs w:val="20"/>
          <w:color w:val="auto"/>
        </w:rPr>
      </w:pPr>
      <w:r>
        <w:rPr>
          <w:rFonts w:ascii="Arial" w:cs="Arial" w:eastAsia="Arial" w:hAnsi="Arial"/>
          <w:sz w:val="20"/>
          <w:szCs w:val="20"/>
          <w:color w:val="auto"/>
        </w:rPr>
        <w:t>We have published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99" w:lineRule="exact"/>
        <w:rPr>
          <w:sz w:val="20"/>
          <w:szCs w:val="20"/>
          <w:color w:val="auto"/>
        </w:rPr>
      </w:pPr>
    </w:p>
    <w:p>
      <w:pPr>
        <w:ind w:right="40" w:firstLine="360"/>
        <w:spacing w:after="0" w:line="252" w:lineRule="auto"/>
        <w:rPr>
          <w:sz w:val="20"/>
          <w:szCs w:val="20"/>
          <w:color w:val="auto"/>
        </w:rPr>
      </w:pPr>
      <w:r>
        <w:rPr>
          <w:rFonts w:ascii="Arial" w:cs="Arial" w:eastAsia="Arial" w:hAnsi="Arial"/>
          <w:sz w:val="20"/>
          <w:szCs w:val="20"/>
          <w:color w:val="auto"/>
        </w:rPr>
        <w:t>Our 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in conflict among jurisdictions. Preparing for and complying with these obligations requires us to devote significant resources. These obligations may necessitate changes to our services, information technologies, systems, and practices and to those of any third parties that process personal data on our behalf. Existing and proposed laws and regulations can be costly to comply with, can delay or impede the development or adoption of our products and services and require significant management time and attention. Although we endeavor to comply with all data privacy and security obligations, we may at times fail (or be perceived to have failed) to do so. Moreover, despite our efforts, our personnel or third parties upon which we rely may fail to comply with such obligations, which could negatively impact our business operations and compliance posture. If we or the third parties upon which we rely fail, or are perceived to have failed, to address or comply with applicable data privacy and security obligations, we could face significant consequences. These consequences include, but are not limited to: government enforcement actions (such as investigations, fines, penalties, audits, inspections, and similar actions); litigation (including class-action related claims); additional reporting requirements and/or oversight; bans on processing personal data; and orders to destroy or not use personal data. Any of these events could have a material adverse effect on our reputation, business, or financial condition, including but not limited to: interruptions or stoppages in our business operations, inability to process personal data or operate in certain jurisdictions; limited ability to develop or commercialize our products; expenditure of time and resources to defend any claim or inquiry; reputational harm; loss of customers; reduction in the use of our products; or revision or restricting of our operations.</w:t>
      </w:r>
    </w:p>
    <w:p>
      <w:pPr>
        <w:spacing w:after="0" w:line="207" w:lineRule="exact"/>
        <w:rPr>
          <w:sz w:val="20"/>
          <w:szCs w:val="20"/>
          <w:color w:val="auto"/>
        </w:rPr>
      </w:pPr>
    </w:p>
    <w:p>
      <w:pPr>
        <w:ind w:right="880" w:firstLine="360"/>
        <w:spacing w:after="0" w:line="296" w:lineRule="auto"/>
        <w:rPr>
          <w:sz w:val="20"/>
          <w:szCs w:val="20"/>
          <w:color w:val="auto"/>
        </w:rPr>
      </w:pPr>
      <w:r>
        <w:rPr>
          <w:rFonts w:ascii="Arial" w:cs="Arial" w:eastAsia="Arial" w:hAnsi="Arial"/>
          <w:sz w:val="20"/>
          <w:szCs w:val="20"/>
          <w:b w:val="1"/>
          <w:bCs w:val="1"/>
          <w:i w:val="1"/>
          <w:iCs w:val="1"/>
          <w:color w:val="auto"/>
        </w:rPr>
        <w:t>We rely on our third-party channel partner network of distributors and resellers to generate a substantial amount of our revenue.</w:t>
      </w:r>
    </w:p>
    <w:p>
      <w:pPr>
        <w:spacing w:after="0" w:line="152" w:lineRule="exact"/>
        <w:rPr>
          <w:sz w:val="20"/>
          <w:szCs w:val="20"/>
          <w:color w:val="auto"/>
        </w:rPr>
      </w:pPr>
    </w:p>
    <w:p>
      <w:pPr>
        <w:ind w:right="20" w:firstLine="360"/>
        <w:spacing w:after="0" w:line="287" w:lineRule="auto"/>
        <w:rPr>
          <w:sz w:val="20"/>
          <w:szCs w:val="20"/>
          <w:color w:val="auto"/>
        </w:rPr>
      </w:pPr>
      <w:r>
        <w:rPr>
          <w:rFonts w:ascii="Arial" w:cs="Arial" w:eastAsia="Arial" w:hAnsi="Arial"/>
          <w:sz w:val="20"/>
          <w:szCs w:val="20"/>
          <w:color w:val="auto"/>
        </w:rPr>
        <w:t>Our success is dependent in part upon establishing and maintaining relationships with a variety of channel partners that we utilize to extend our geographic reach and market penetration. We use a</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880" w:h="15480" w:orient="portrait"/>
          <w:cols w:equalWidth="0" w:num="1">
            <w:col w:w="9000"/>
          </w:cols>
          <w:pgMar w:left="1440" w:top="1204" w:right="1440" w:bottom="0" w:gutter="0" w:footer="0" w:header="0"/>
          <w:type w:val="continuous"/>
        </w:sectPr>
      </w:pPr>
    </w:p>
    <w:bookmarkStart w:id="118" w:name="page119"/>
    <w:bookmarkEnd w:id="118"/>
    <w:p>
      <w:pPr>
        <w:spacing w:after="0" w:line="251" w:lineRule="auto"/>
        <w:rPr>
          <w:sz w:val="20"/>
          <w:szCs w:val="20"/>
          <w:color w:val="auto"/>
        </w:rPr>
      </w:pPr>
      <w:r>
        <w:rPr>
          <w:rFonts w:ascii="Arial" w:cs="Arial" w:eastAsia="Arial" w:hAnsi="Arial"/>
          <w:sz w:val="20"/>
          <w:szCs w:val="20"/>
          <w:color w:val="auto"/>
        </w:rPr>
        <w:t>two-tiered, indirect fulfillment model whereby we sell our products and services to our distributors, which in turn sell to our resellers, which then sell to our end users, which we call customers. We anticipate that we will continue to rely on this two-tiered sales model in order to help facilitate sales of our offerings as part of larger purchases in the United States and to grow our business internationally. In 2022, 2021 and 2020, we derived 92%, 92% and 91%, respectively, of our revenue from subscriptions and perpetual licenses sold through channel partners, and the percentage of revenue derived from channel partners may continue to increase in future periods. Ingram Micro, Inc., a distributor, accounted for 38%, 39% and 43% of our revenue in 2022, 2021 and 2020, respectively, and 36% of our accounts receivable as of December 31, 2022 and 32% as of December 31, 2021. Our agreements with our channel partners, including our agreement with Ingram Micro, are non-exclusive and do not prohibit them from working with our competitors or offering competing solutions, and some of our channel partners may have more established relationships with our competitors. Similarly, our channel partners have no obligations to renew their agreements with us on commercially reasonable terms or at all, and certain of the agreements governing these relationships may be terminated by either party at any time, with no or limited notice. For example, our agreement with Ingram Micro allows Ingram Micro to terminate the agreement in their discretion upon 30 days’ written notice to us. If our channel partners choose to place greater emphasis on products of their own or those offered by our competitors or a result of an acquisition, competitive factors or other reasons do not continue to market and sell our solutions in an effective manner or at all, our ability to grow our business and sell our solutions, particularly in key international markets, may be adversely affected. In addition, our failure to recruit additional channel partners, or any reduction or delay in their sales of our solutions and professional services, including as a result of economic uncertainty, or conflicts between channel sales and our direct sales and marketing activities may harm our results of operations. Finally, even if we are successful, our relationships with channel partners may not result in greater customer usage of our solutions and professional services or increased revenue.</w:t>
      </w:r>
    </w:p>
    <w:p>
      <w:pPr>
        <w:spacing w:after="0" w:line="228" w:lineRule="exact"/>
        <w:rPr>
          <w:sz w:val="20"/>
          <w:szCs w:val="20"/>
          <w:color w:val="auto"/>
        </w:rPr>
      </w:pPr>
    </w:p>
    <w:p>
      <w:pPr>
        <w:ind w:right="300" w:firstLine="360"/>
        <w:spacing w:after="0" w:line="273" w:lineRule="auto"/>
        <w:rPr>
          <w:sz w:val="20"/>
          <w:szCs w:val="20"/>
          <w:color w:val="auto"/>
        </w:rPr>
      </w:pPr>
      <w:r>
        <w:rPr>
          <w:rFonts w:ascii="Arial" w:cs="Arial" w:eastAsia="Arial" w:hAnsi="Arial"/>
          <w:sz w:val="20"/>
          <w:szCs w:val="20"/>
          <w:b w:val="1"/>
          <w:bCs w:val="1"/>
          <w:i w:val="1"/>
          <w:iCs w:val="1"/>
          <w:color w:val="auto"/>
        </w:rPr>
        <w:t>A portion of our revenue is generated from subscriptions and perpetual licenses sold to domestic governmental entities, foreign governmental entities and other heavily regulated organizations, which are subject to a number of challenges and risks.</w:t>
      </w:r>
    </w:p>
    <w:p>
      <w:pPr>
        <w:spacing w:after="0" w:line="174" w:lineRule="exact"/>
        <w:rPr>
          <w:sz w:val="20"/>
          <w:szCs w:val="20"/>
          <w:color w:val="auto"/>
        </w:rPr>
      </w:pPr>
    </w:p>
    <w:p>
      <w:pPr>
        <w:ind w:right="40" w:firstLine="360"/>
        <w:spacing w:after="0" w:line="253" w:lineRule="auto"/>
        <w:rPr>
          <w:sz w:val="20"/>
          <w:szCs w:val="20"/>
          <w:color w:val="auto"/>
        </w:rPr>
      </w:pPr>
      <w:r>
        <w:rPr>
          <w:rFonts w:ascii="Arial" w:cs="Arial" w:eastAsia="Arial" w:hAnsi="Arial"/>
          <w:sz w:val="20"/>
          <w:szCs w:val="20"/>
          <w:color w:val="auto"/>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and funding authorizations, with funding reductions or delays adversely affecting public sector demand for our enterprise platform. In addition, governmental entities have the authority to terminate contracts at any time for the convenience of the government, which creates risk regarding revenue anticipated under our existing government contracts.</w:t>
      </w:r>
    </w:p>
    <w:p>
      <w:pPr>
        <w:spacing w:after="0" w:line="211" w:lineRule="exact"/>
        <w:rPr>
          <w:sz w:val="20"/>
          <w:szCs w:val="20"/>
          <w:color w:val="auto"/>
        </w:rPr>
      </w:pPr>
    </w:p>
    <w:p>
      <w:pPr>
        <w:ind w:right="20" w:firstLine="360"/>
        <w:spacing w:after="0" w:line="270" w:lineRule="auto"/>
        <w:rPr>
          <w:sz w:val="20"/>
          <w:szCs w:val="20"/>
          <w:color w:val="auto"/>
        </w:rPr>
      </w:pPr>
      <w:r>
        <w:rPr>
          <w:rFonts w:ascii="Arial" w:cs="Arial" w:eastAsia="Arial" w:hAnsi="Arial"/>
          <w:sz w:val="19"/>
          <w:szCs w:val="19"/>
          <w:color w:val="auto"/>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880" w:h="15480" w:orient="portrait"/>
          <w:cols w:equalWidth="0" w:num="1">
            <w:col w:w="9000"/>
          </w:cols>
          <w:pgMar w:left="1440" w:top="1204" w:right="1440" w:bottom="0" w:gutter="0" w:footer="0" w:header="0"/>
          <w:type w:val="continuous"/>
        </w:sectPr>
      </w:pPr>
    </w:p>
    <w:bookmarkStart w:id="119" w:name="page120"/>
    <w:bookmarkEnd w:id="119"/>
    <w:p>
      <w:pPr>
        <w:spacing w:after="0" w:line="252" w:lineRule="auto"/>
        <w:rPr>
          <w:sz w:val="20"/>
          <w:szCs w:val="20"/>
          <w:color w:val="auto"/>
        </w:rPr>
      </w:pPr>
      <w:r>
        <w:rPr>
          <w:rFonts w:ascii="Arial" w:cs="Arial" w:eastAsia="Arial" w:hAnsi="Arial"/>
          <w:sz w:val="20"/>
          <w:szCs w:val="20"/>
          <w:color w:val="auto"/>
        </w:rPr>
        <w:t>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 our enterprise platform and to grow or maintain our customer base. In addition, engaging in sales activities to foreign governments introduces additional compliance risks, including risks specific to anti-bribery regulations, including the U.S. Foreign Corrupt Practices Act of 1977, as amended, or the FCPA, the U.K. Bribery Act 2010 and other similar statutory requirements prohibiting bribery and corruption in the jurisdictions in which we operate. Further, in some jurisdictions we may be required to obtain government certifications, which may be costly to maintain and, if we lost such certifications in the future or if such certification requirements changed, would restrict our ability to sell to government entities until we have attained such certifications.</w:t>
      </w:r>
    </w:p>
    <w:p>
      <w:pPr>
        <w:spacing w:after="0" w:line="215" w:lineRule="exact"/>
        <w:rPr>
          <w:sz w:val="20"/>
          <w:szCs w:val="20"/>
          <w:color w:val="auto"/>
        </w:rPr>
      </w:pPr>
    </w:p>
    <w:p>
      <w:pPr>
        <w:ind w:firstLine="360"/>
        <w:spacing w:after="0" w:line="280" w:lineRule="auto"/>
        <w:rPr>
          <w:sz w:val="20"/>
          <w:szCs w:val="20"/>
          <w:color w:val="auto"/>
        </w:rPr>
      </w:pPr>
      <w:r>
        <w:rPr>
          <w:rFonts w:ascii="Arial" w:cs="Arial" w:eastAsia="Arial" w:hAnsi="Arial"/>
          <w:sz w:val="19"/>
          <w:szCs w:val="19"/>
          <w:color w:val="auto"/>
        </w:rPr>
        <w:t>Some of our revenue is derived from contracts with U.S. government entities, as well as subcontracts with higher-tier contractors. As a result, we are subject to federal contracting regulations, including the Federal Acquisition Regulation, or the FAR. Under the FAR, certain types of contracts require pricing that is based on estimated direct and indirect costs, which are subject to change.</w:t>
      </w:r>
    </w:p>
    <w:p>
      <w:pPr>
        <w:spacing w:after="0" w:line="180" w:lineRule="exact"/>
        <w:rPr>
          <w:sz w:val="20"/>
          <w:szCs w:val="20"/>
          <w:color w:val="auto"/>
        </w:rPr>
      </w:pPr>
    </w:p>
    <w:p>
      <w:pPr>
        <w:ind w:right="140" w:firstLine="360"/>
        <w:spacing w:after="0" w:line="255" w:lineRule="auto"/>
        <w:rPr>
          <w:sz w:val="20"/>
          <w:szCs w:val="20"/>
          <w:color w:val="auto"/>
        </w:rPr>
      </w:pPr>
      <w:r>
        <w:rPr>
          <w:rFonts w:ascii="Arial" w:cs="Arial" w:eastAsia="Arial" w:hAnsi="Arial"/>
          <w:sz w:val="20"/>
          <w:szCs w:val="20"/>
          <w:color w:val="auto"/>
        </w:rPr>
        <w:t>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w:t>
      </w:r>
    </w:p>
    <w:p>
      <w:pPr>
        <w:spacing w:after="0" w:line="205" w:lineRule="exact"/>
        <w:rPr>
          <w:sz w:val="20"/>
          <w:szCs w:val="20"/>
          <w:color w:val="auto"/>
        </w:rPr>
      </w:pPr>
    </w:p>
    <w:p>
      <w:pPr>
        <w:ind w:right="200" w:firstLine="360"/>
        <w:spacing w:after="0" w:line="259" w:lineRule="auto"/>
        <w:rPr>
          <w:sz w:val="20"/>
          <w:szCs w:val="20"/>
          <w:color w:val="auto"/>
        </w:rPr>
      </w:pPr>
      <w:r>
        <w:rPr>
          <w:rFonts w:ascii="Arial" w:cs="Arial" w:eastAsia="Arial" w:hAnsi="Arial"/>
          <w:sz w:val="20"/>
          <w:szCs w:val="20"/>
          <w:color w:val="auto"/>
        </w:rPr>
        <w:t>In the course of providing our solutions and professional services to governmental entities, our employees and those of our channel partners may be exposed to sensitive government information. Any failure by us or our channel partners to safeguard and maintain the confidentiality of such information could subject us to liability and reputational harm, which could materially and adversely affect our results of operations and financial performance.</w:t>
      </w:r>
    </w:p>
    <w:p>
      <w:pPr>
        <w:spacing w:after="0" w:line="200" w:lineRule="exact"/>
        <w:rPr>
          <w:sz w:val="20"/>
          <w:szCs w:val="20"/>
          <w:color w:val="auto"/>
        </w:rPr>
      </w:pPr>
    </w:p>
    <w:p>
      <w:pPr>
        <w:jc w:val="both"/>
        <w:ind w:right="280" w:firstLine="360"/>
        <w:spacing w:after="0" w:line="273" w:lineRule="auto"/>
        <w:rPr>
          <w:sz w:val="20"/>
          <w:szCs w:val="20"/>
          <w:color w:val="auto"/>
        </w:rPr>
      </w:pPr>
      <w:r>
        <w:rPr>
          <w:rFonts w:ascii="Arial" w:cs="Arial" w:eastAsia="Arial" w:hAnsi="Arial"/>
          <w:sz w:val="20"/>
          <w:szCs w:val="20"/>
          <w:b w:val="1"/>
          <w:bCs w:val="1"/>
          <w:i w:val="1"/>
          <w:iCs w:val="1"/>
          <w:color w:val="auto"/>
        </w:rPr>
        <w:t>Our pricing model subjects us to various challenges that could make it difficult for us to derive expected value from our customers and we may need to reduce our prices or change our pricing model to remain competitive.</w:t>
      </w:r>
    </w:p>
    <w:p>
      <w:pPr>
        <w:spacing w:after="0" w:line="174" w:lineRule="exact"/>
        <w:rPr>
          <w:sz w:val="20"/>
          <w:szCs w:val="20"/>
          <w:color w:val="auto"/>
        </w:rPr>
      </w:pPr>
    </w:p>
    <w:p>
      <w:pPr>
        <w:ind w:right="60" w:firstLine="360"/>
        <w:spacing w:after="0" w:line="255" w:lineRule="auto"/>
        <w:rPr>
          <w:sz w:val="20"/>
          <w:szCs w:val="20"/>
          <w:color w:val="auto"/>
        </w:rPr>
      </w:pPr>
      <w:r>
        <w:rPr>
          <w:rFonts w:ascii="Arial" w:cs="Arial" w:eastAsia="Arial" w:hAnsi="Arial"/>
          <w:sz w:val="20"/>
          <w:szCs w:val="20"/>
          <w:color w:val="auto"/>
        </w:rPr>
        <w:t>Subscriptions and perpetual licenses to our enterprise platform are generally priced based on the number of IP addresses or total IT assets that can be monitored. We expect that we may need to change our pricing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 to large-size enterprises may demand substantial price discounts as part of the negotiation of sales contracts and, as the amount of IT assets or IP addresses within our customers' organization grows, we may face additional pressure from our customers regarding our pricing. As a result, we may be required or choose to reduce our prices or</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880" w:h="15480" w:orient="portrait"/>
          <w:cols w:equalWidth="0" w:num="1">
            <w:col w:w="9000"/>
          </w:cols>
          <w:pgMar w:left="1440" w:top="1204" w:right="1440" w:bottom="0" w:gutter="0" w:footer="0" w:header="0"/>
          <w:type w:val="continuous"/>
        </w:sectPr>
      </w:pPr>
    </w:p>
    <w:bookmarkStart w:id="120" w:name="page121"/>
    <w:bookmarkEnd w:id="120"/>
    <w:p>
      <w:pPr>
        <w:ind w:right="20"/>
        <w:spacing w:after="0" w:line="287" w:lineRule="auto"/>
        <w:rPr>
          <w:sz w:val="20"/>
          <w:szCs w:val="20"/>
          <w:color w:val="auto"/>
        </w:rPr>
      </w:pPr>
      <w:r>
        <w:rPr>
          <w:rFonts w:ascii="Arial" w:cs="Arial" w:eastAsia="Arial" w:hAnsi="Arial"/>
          <w:sz w:val="20"/>
          <w:szCs w:val="20"/>
          <w:color w:val="auto"/>
        </w:rPr>
        <w:t>change our pricing model, which could adversely affect our business, revenue, operating margins and financial condition.</w:t>
      </w:r>
    </w:p>
    <w:p>
      <w:pPr>
        <w:spacing w:after="0" w:line="170" w:lineRule="exact"/>
        <w:rPr>
          <w:sz w:val="20"/>
          <w:szCs w:val="20"/>
          <w:color w:val="auto"/>
        </w:rPr>
      </w:pPr>
    </w:p>
    <w:p>
      <w:pPr>
        <w:ind w:right="40" w:firstLine="360"/>
        <w:spacing w:after="0" w:line="257" w:lineRule="auto"/>
        <w:rPr>
          <w:sz w:val="20"/>
          <w:szCs w:val="20"/>
          <w:color w:val="auto"/>
        </w:rPr>
      </w:pPr>
      <w:r>
        <w:rPr>
          <w:rFonts w:ascii="Arial" w:cs="Arial" w:eastAsia="Arial" w:hAnsi="Arial"/>
          <w:sz w:val="20"/>
          <w:szCs w:val="20"/>
          <w:color w:val="auto"/>
        </w:rPr>
        <w:t>Further, our subscription agreements and perpetual licenses generally provide that we can audit our customers’ use of our offerings to ensure compliance with the terms of such agreement or license and monitor an increase in IT assets and IP addresses being monitored. However, a customer may resist or refuse to allow us to audit their usage, in which case we may have to pursue legal recourse to enforce our rights under the agreement or license, which would require us to spend money, distract management and potentially adversely affect our relationship with our customers and users.</w:t>
      </w:r>
    </w:p>
    <w:p>
      <w:pPr>
        <w:spacing w:after="0" w:line="204" w:lineRule="exact"/>
        <w:rPr>
          <w:sz w:val="20"/>
          <w:szCs w:val="20"/>
          <w:color w:val="auto"/>
        </w:rPr>
      </w:pPr>
    </w:p>
    <w:p>
      <w:pPr>
        <w:ind w:right="660" w:firstLine="360"/>
        <w:spacing w:after="0" w:line="296" w:lineRule="auto"/>
        <w:rPr>
          <w:sz w:val="20"/>
          <w:szCs w:val="20"/>
          <w:color w:val="auto"/>
        </w:rPr>
      </w:pPr>
      <w:r>
        <w:rPr>
          <w:rFonts w:ascii="Arial" w:cs="Arial" w:eastAsia="Arial" w:hAnsi="Arial"/>
          <w:sz w:val="20"/>
          <w:szCs w:val="20"/>
          <w:b w:val="1"/>
          <w:bCs w:val="1"/>
          <w:i w:val="1"/>
          <w:iCs w:val="1"/>
          <w:color w:val="auto"/>
        </w:rPr>
        <w:t>If our enterprise platform offerings do not achieve sufficient market acceptance, our results of operations and competitive position will suffer.</w:t>
      </w:r>
    </w:p>
    <w:p>
      <w:pPr>
        <w:spacing w:after="0" w:line="152" w:lineRule="exact"/>
        <w:rPr>
          <w:sz w:val="20"/>
          <w:szCs w:val="20"/>
          <w:color w:val="auto"/>
        </w:rPr>
      </w:pPr>
    </w:p>
    <w:p>
      <w:pPr>
        <w:ind w:right="40" w:firstLine="360"/>
        <w:spacing w:after="0" w:line="255" w:lineRule="auto"/>
        <w:rPr>
          <w:sz w:val="20"/>
          <w:szCs w:val="20"/>
          <w:color w:val="auto"/>
        </w:rPr>
      </w:pPr>
      <w:r>
        <w:rPr>
          <w:rFonts w:ascii="Arial" w:cs="Arial" w:eastAsia="Arial" w:hAnsi="Arial"/>
          <w:sz w:val="20"/>
          <w:szCs w:val="20"/>
          <w:color w:val="auto"/>
        </w:rPr>
        <w:t>We spend substantial amounts of time and money to research and develop and enhance our enterprise platform offerings to meet our customers’ rapidly evolving demands. In addition, we invest in efforts to continue to add capabilities to our existing products and enable the continued detection of new network vulnerabilities. We typically incur expenses and expend resources upfront to market, promote and sell our new and enhanced offerings. Therefore, when we develop and introduce new or enhanced offerings, they must achieve high levels of market acceptance in order to justify the amount of our investment in developing and bringing them to market, and if these new or enhanced offerings do not garner widespread market adoption and implementation, our operating results and competitive position could suffer.</w:t>
      </w:r>
    </w:p>
    <w:p>
      <w:pPr>
        <w:spacing w:after="0" w:line="201" w:lineRule="exact"/>
        <w:rPr>
          <w:sz w:val="20"/>
          <w:szCs w:val="20"/>
          <w:color w:val="auto"/>
        </w:rPr>
      </w:pPr>
    </w:p>
    <w:p>
      <w:pPr>
        <w:jc w:val="both"/>
        <w:ind w:right="140" w:firstLine="360"/>
        <w:spacing w:after="0" w:line="268" w:lineRule="auto"/>
        <w:rPr>
          <w:sz w:val="20"/>
          <w:szCs w:val="20"/>
          <w:color w:val="auto"/>
        </w:rPr>
      </w:pPr>
      <w:r>
        <w:rPr>
          <w:rFonts w:ascii="Arial" w:cs="Arial" w:eastAsia="Arial" w:hAnsi="Arial"/>
          <w:sz w:val="20"/>
          <w:szCs w:val="20"/>
          <w:color w:val="auto"/>
        </w:rPr>
        <w:t>Further, we may make enhancements to our offerings that our customers do not like, find useful or agree with. We may also discontinue certain features, begin to charge for certain features that are currently free or increase fees for any of our features or usage of our offerings.</w:t>
      </w:r>
    </w:p>
    <w:p>
      <w:pPr>
        <w:spacing w:after="0" w:line="190" w:lineRule="exact"/>
        <w:rPr>
          <w:sz w:val="20"/>
          <w:szCs w:val="20"/>
          <w:color w:val="auto"/>
        </w:rPr>
      </w:pPr>
    </w:p>
    <w:p>
      <w:pPr>
        <w:ind w:right="540" w:firstLine="360"/>
        <w:spacing w:after="0" w:line="287" w:lineRule="auto"/>
        <w:rPr>
          <w:sz w:val="20"/>
          <w:szCs w:val="20"/>
          <w:color w:val="auto"/>
        </w:rPr>
      </w:pPr>
      <w:r>
        <w:rPr>
          <w:rFonts w:ascii="Arial" w:cs="Arial" w:eastAsia="Arial" w:hAnsi="Arial"/>
          <w:sz w:val="20"/>
          <w:szCs w:val="20"/>
          <w:color w:val="auto"/>
        </w:rPr>
        <w:t>Our new offerings or enhancements and changes to our existing offerings could fail to attain sufficient market acceptance for many reasons, including:</w:t>
      </w:r>
    </w:p>
    <w:p>
      <w:pPr>
        <w:spacing w:after="0" w:line="50" w:lineRule="exact"/>
        <w:rPr>
          <w:sz w:val="20"/>
          <w:szCs w:val="20"/>
          <w:color w:val="auto"/>
        </w:rPr>
      </w:pPr>
    </w:p>
    <w:p>
      <w:pPr>
        <w:ind w:left="720" w:right="560" w:hanging="360"/>
        <w:spacing w:after="0" w:line="268" w:lineRule="auto"/>
        <w:tabs>
          <w:tab w:leader="none" w:pos="7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failure to predict market demand accurately, including changes in demand as a result of macroeconomic trends, in terms of functionality and to supply offerings that meets this demand in a timely fashion;</w:t>
      </w:r>
    </w:p>
    <w:p>
      <w:pPr>
        <w:spacing w:after="0" w:line="9" w:lineRule="exact"/>
        <w:rPr>
          <w:rFonts w:ascii="Arial" w:cs="Arial" w:eastAsia="Arial" w:hAnsi="Arial"/>
          <w:sz w:val="20"/>
          <w:szCs w:val="20"/>
          <w:color w:val="auto"/>
        </w:rPr>
      </w:pPr>
    </w:p>
    <w:p>
      <w:pPr>
        <w:ind w:left="720" w:hanging="360"/>
        <w:spacing w:after="0"/>
        <w:tabs>
          <w:tab w:leader="none" w:pos="7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defects, errors or failures;</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negative publicity about their performance or effectiveness;</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delays in releasing our new offerings or enhancements to our existing offerings to the market;</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introduction or anticipated introduction of competing products by our competitors;</w:t>
      </w:r>
    </w:p>
    <w:p>
      <w:pPr>
        <w:spacing w:after="0" w:line="70" w:lineRule="exact"/>
        <w:rPr>
          <w:rFonts w:ascii="Arial" w:cs="Arial" w:eastAsia="Arial" w:hAnsi="Arial"/>
          <w:sz w:val="20"/>
          <w:szCs w:val="20"/>
          <w:color w:val="auto"/>
        </w:rPr>
      </w:pPr>
    </w:p>
    <w:p>
      <w:pPr>
        <w:ind w:left="720" w:right="220" w:hanging="360"/>
        <w:spacing w:after="0" w:line="281" w:lineRule="auto"/>
        <w:tabs>
          <w:tab w:leader="none" w:pos="7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poor business conditions for our customers, including as a result of difficult macroeconomic conditions, causing them to delay or forgo IT purchases; and</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reluctance of customers to purchase cloud-based offerings.</w:t>
      </w:r>
    </w:p>
    <w:p>
      <w:pPr>
        <w:spacing w:after="0" w:line="250" w:lineRule="exact"/>
        <w:rPr>
          <w:sz w:val="20"/>
          <w:szCs w:val="20"/>
          <w:color w:val="auto"/>
        </w:rPr>
      </w:pPr>
    </w:p>
    <w:p>
      <w:pPr>
        <w:ind w:right="240" w:firstLine="360"/>
        <w:spacing w:after="0" w:line="259" w:lineRule="auto"/>
        <w:rPr>
          <w:sz w:val="20"/>
          <w:szCs w:val="20"/>
          <w:color w:val="auto"/>
        </w:rPr>
      </w:pPr>
      <w:r>
        <w:rPr>
          <w:rFonts w:ascii="Arial" w:cs="Arial" w:eastAsia="Arial" w:hAnsi="Arial"/>
          <w:sz w:val="20"/>
          <w:szCs w:val="20"/>
          <w:color w:val="auto"/>
        </w:rPr>
        <w:t>If our new or enhanced offerings do not achieve adequate acceptance in the market, our competitive position will be impaired, and our revenue will be diminished. The adverse effect on our operating results may be particularly acute because of the significant research, development, marketing, sales and other expenses we will have incurred in connection with the new or enhanced offerings.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880" w:h="15480" w:orient="portrait"/>
          <w:cols w:equalWidth="0" w:num="1">
            <w:col w:w="9000"/>
          </w:cols>
          <w:pgMar w:left="1440" w:top="1204" w:right="1440" w:bottom="0" w:gutter="0" w:footer="0" w:header="0"/>
          <w:type w:val="continuous"/>
        </w:sectPr>
      </w:pPr>
    </w:p>
    <w:bookmarkStart w:id="121" w:name="page122"/>
    <w:bookmarkEnd w:id="121"/>
    <w:p>
      <w:pPr>
        <w:ind w:right="420" w:firstLine="360"/>
        <w:spacing w:after="0" w:line="273" w:lineRule="auto"/>
        <w:rPr>
          <w:sz w:val="20"/>
          <w:szCs w:val="20"/>
          <w:color w:val="auto"/>
        </w:rPr>
      </w:pPr>
      <w:r>
        <w:rPr>
          <w:rFonts w:ascii="Arial" w:cs="Arial" w:eastAsia="Arial" w:hAnsi="Arial"/>
          <w:sz w:val="20"/>
          <w:szCs w:val="20"/>
          <w:b w:val="1"/>
          <w:bCs w:val="1"/>
          <w:i w:val="1"/>
          <w:iCs w:val="1"/>
          <w:color w:val="auto"/>
        </w:rPr>
        <w:t>Our strategy of offering and deploying our solutions in the cloud, on-premises environments or using a hybrid approach causes us to incur increased expenses and may pose challenges to our business.</w:t>
      </w:r>
    </w:p>
    <w:p>
      <w:pPr>
        <w:spacing w:after="0" w:line="174" w:lineRule="exact"/>
        <w:rPr>
          <w:sz w:val="20"/>
          <w:szCs w:val="20"/>
          <w:color w:val="auto"/>
        </w:rPr>
      </w:pPr>
    </w:p>
    <w:p>
      <w:pPr>
        <w:ind w:right="40" w:firstLine="360"/>
        <w:spacing w:after="0" w:line="252" w:lineRule="auto"/>
        <w:rPr>
          <w:sz w:val="20"/>
          <w:szCs w:val="20"/>
          <w:color w:val="auto"/>
        </w:rPr>
      </w:pPr>
      <w:r>
        <w:rPr>
          <w:rFonts w:ascii="Arial" w:cs="Arial" w:eastAsia="Arial" w:hAnsi="Arial"/>
          <w:sz w:val="20"/>
          <w:szCs w:val="20"/>
          <w:color w:val="auto"/>
        </w:rPr>
        <w:t>We offer and sell our enterprise platform for use in the cloud, on-premises environments or using a hybrid approach using the customer’s own infrastructure. Our cloud offering enables our customers to eliminate the burden of provisioning and maintaining infrastructure and to scale their usage of our solutions quickly, while our on-premises offering allows for the customer’s complete control over data security and software infrastructure. Historically, our solutions were developed in the context of the on-premises offering, and we have less operating experience offering and selling subscriptions to our solutions via our cloud offering. Although a substantial majority of our revenue has historically been generated from customers using our solutions on an on-premises basis, our customers are increasingly adopting our cloud offering. We expect that our customers will continue to move to our cloud offering and that it will become more central to our distribution model. We expect our gross profit to increase in absolute dollars and our gross margin to decrease to the extent that revenue from our cloud-based subscriptions increases as a percentage of revenue, although our gross margin could fluctuate from period to period. To support both on-premises environments and cloud instances of our product, our support team must be trained on and learn multiple environments in which our solution is deployed, which is more expensive than supporting only a cloud offering. Moreover, we must engineer our software for an on-premises environment, cloud offering and hybrid installation, which we expect will cause us additional research and development expense that may impact our operating results. As more of our customers transition to the cloud, we may be subject to additional competitive pressures, which may harm our business. We are directing a significant portion of our financial and operating resources to implement a robust and secure cloud offering for our customers, but even if we continue to make these investments, we may be unsuccessful in growing or implementing our cloud offering in a way that competes successfully against our current and future competitors and our business, results of operations and financial condition could be harmed.</w:t>
      </w:r>
    </w:p>
    <w:p>
      <w:pPr>
        <w:spacing w:after="0" w:line="207" w:lineRule="exact"/>
        <w:rPr>
          <w:sz w:val="20"/>
          <w:szCs w:val="20"/>
          <w:color w:val="auto"/>
        </w:rPr>
      </w:pPr>
    </w:p>
    <w:p>
      <w:pPr>
        <w:ind w:right="300" w:firstLine="360"/>
        <w:spacing w:after="0" w:line="273" w:lineRule="auto"/>
        <w:rPr>
          <w:sz w:val="20"/>
          <w:szCs w:val="20"/>
          <w:color w:val="auto"/>
        </w:rPr>
      </w:pPr>
      <w:r>
        <w:rPr>
          <w:rFonts w:ascii="Arial" w:cs="Arial" w:eastAsia="Arial" w:hAnsi="Arial"/>
          <w:sz w:val="20"/>
          <w:szCs w:val="20"/>
          <w:b w:val="1"/>
          <w:bCs w:val="1"/>
          <w:i w:val="1"/>
          <w:iCs w:val="1"/>
          <w:color w:val="auto"/>
        </w:rPr>
        <w:t>Our customers’ increased usage of our cloud-based offerings requires us to continually improve our computer network and infrastructure to avoid service interruptions or slower system performance.</w:t>
      </w:r>
    </w:p>
    <w:p>
      <w:pPr>
        <w:spacing w:after="0" w:line="174" w:lineRule="exact"/>
        <w:rPr>
          <w:sz w:val="20"/>
          <w:szCs w:val="20"/>
          <w:color w:val="auto"/>
        </w:rPr>
      </w:pPr>
    </w:p>
    <w:p>
      <w:pPr>
        <w:ind w:right="20" w:firstLine="360"/>
        <w:spacing w:after="0" w:line="255" w:lineRule="auto"/>
        <w:rPr>
          <w:sz w:val="20"/>
          <w:szCs w:val="20"/>
          <w:color w:val="auto"/>
        </w:rPr>
      </w:pPr>
      <w:r>
        <w:rPr>
          <w:rFonts w:ascii="Arial" w:cs="Arial" w:eastAsia="Arial" w:hAnsi="Arial"/>
          <w:sz w:val="20"/>
          <w:szCs w:val="20"/>
          <w:color w:val="auto"/>
        </w:rPr>
        <w:t>As usage of our cloud-based offerings grows and as customers use them for more complicated applications, increased assets and with increased data requirements, we will need to devote additional resources to improving our platform architecture and our infrastructure in order to maintain the performance of our cloud offering. Any failure or delays in our computer systems could cause service interruptions or slower system performance. If sustained or repeated, these performance issues could reduce the attractiveness of our enterprise platform to customers. These performance issues could result in lost customer opportunities and lower renewal rates, any of which could hurt our revenue growth, customer loyalty and reputation.</w:t>
      </w:r>
    </w:p>
    <w:p>
      <w:pPr>
        <w:spacing w:after="0" w:line="206" w:lineRule="exact"/>
        <w:rPr>
          <w:sz w:val="20"/>
          <w:szCs w:val="20"/>
          <w:color w:val="auto"/>
        </w:rPr>
      </w:pPr>
    </w:p>
    <w:p>
      <w:pPr>
        <w:ind w:right="960" w:firstLine="360"/>
        <w:spacing w:after="0" w:line="296" w:lineRule="auto"/>
        <w:rPr>
          <w:sz w:val="20"/>
          <w:szCs w:val="20"/>
          <w:color w:val="auto"/>
        </w:rPr>
      </w:pPr>
      <w:r>
        <w:rPr>
          <w:rFonts w:ascii="Arial" w:cs="Arial" w:eastAsia="Arial" w:hAnsi="Arial"/>
          <w:sz w:val="20"/>
          <w:szCs w:val="20"/>
          <w:b w:val="1"/>
          <w:bCs w:val="1"/>
          <w:i w:val="1"/>
          <w:iCs w:val="1"/>
          <w:color w:val="auto"/>
        </w:rPr>
        <w:t>A component of our growth strategy is dependent on our continued international expansion, which adds complexity to our operations.</w:t>
      </w:r>
    </w:p>
    <w:p>
      <w:pPr>
        <w:spacing w:after="0" w:line="152" w:lineRule="exact"/>
        <w:rPr>
          <w:sz w:val="20"/>
          <w:szCs w:val="20"/>
          <w:color w:val="auto"/>
        </w:rPr>
      </w:pPr>
    </w:p>
    <w:p>
      <w:pPr>
        <w:ind w:right="20" w:firstLine="360"/>
        <w:spacing w:after="0" w:line="272" w:lineRule="auto"/>
        <w:rPr>
          <w:sz w:val="20"/>
          <w:szCs w:val="20"/>
          <w:color w:val="auto"/>
        </w:rPr>
      </w:pPr>
      <w:r>
        <w:rPr>
          <w:rFonts w:ascii="Arial" w:cs="Arial" w:eastAsia="Arial" w:hAnsi="Arial"/>
          <w:sz w:val="19"/>
          <w:szCs w:val="19"/>
          <w:color w:val="auto"/>
        </w:rPr>
        <w:t>We market and sell our solutions and professional services throughout the world and have personnel in many parts of the world. International operations generated 44% and 42% of our revenue in 2022 and 2021, respectively. Our growth strategy is dependent, in part, on our continued international expansion. We expect to conduct a significant amount of our business with organizations that are located outside the United States, particularly in Europe and Asia. We cannot assure that our expansion efforts into international markets will be successful in creating further demand for our solutions and professional services outside of the United States or in effectively selling our solutions</w:t>
      </w:r>
    </w:p>
    <w:p>
      <w:pPr>
        <w:sectPr>
          <w:pgSz w:w="11880" w:h="15480" w:orient="portrait"/>
          <w:cols w:equalWidth="0" w:num="1">
            <w:col w:w="9000"/>
          </w:cols>
          <w:pgMar w:left="1440" w:top="12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880" w:h="15480" w:orient="portrait"/>
          <w:cols w:equalWidth="0" w:num="1">
            <w:col w:w="9000"/>
          </w:cols>
          <w:pgMar w:left="1440" w:top="1205" w:right="1440" w:bottom="0" w:gutter="0" w:footer="0" w:header="0"/>
          <w:type w:val="continuous"/>
        </w:sectPr>
      </w:pPr>
    </w:p>
    <w:bookmarkStart w:id="122" w:name="page123"/>
    <w:bookmarkEnd w:id="122"/>
    <w:p>
      <w:pPr>
        <w:ind w:right="820"/>
        <w:spacing w:after="0" w:line="287" w:lineRule="auto"/>
        <w:rPr>
          <w:sz w:val="20"/>
          <w:szCs w:val="20"/>
          <w:color w:val="auto"/>
        </w:rPr>
      </w:pPr>
      <w:r>
        <w:rPr>
          <w:rFonts w:ascii="Arial" w:cs="Arial" w:eastAsia="Arial" w:hAnsi="Arial"/>
          <w:sz w:val="20"/>
          <w:szCs w:val="20"/>
          <w:color w:val="auto"/>
        </w:rPr>
        <w:t>and professional services in the international markets that we enter. Our current international operations and future initiatives will involve a variety of risks, including:</w:t>
      </w:r>
    </w:p>
    <w:p>
      <w:pPr>
        <w:spacing w:after="0" w:line="50" w:lineRule="exact"/>
        <w:rPr>
          <w:sz w:val="20"/>
          <w:szCs w:val="20"/>
          <w:color w:val="auto"/>
        </w:rPr>
      </w:pPr>
    </w:p>
    <w:p>
      <w:pPr>
        <w:ind w:left="720" w:right="320" w:hanging="360"/>
        <w:spacing w:after="0" w:line="281" w:lineRule="auto"/>
        <w:tabs>
          <w:tab w:leader="none" w:pos="7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increased management, infrastructure and legal costs associated with having international operations;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reliance on channel partners;</w:t>
      </w:r>
    </w:p>
    <w:p>
      <w:pPr>
        <w:spacing w:after="0" w:line="70" w:lineRule="exact"/>
        <w:rPr>
          <w:rFonts w:ascii="Arial" w:cs="Arial" w:eastAsia="Arial" w:hAnsi="Arial"/>
          <w:sz w:val="20"/>
          <w:szCs w:val="20"/>
          <w:color w:val="auto"/>
        </w:rPr>
      </w:pPr>
    </w:p>
    <w:p>
      <w:pPr>
        <w:ind w:left="720" w:right="120" w:hanging="360"/>
        <w:spacing w:after="0" w:line="281" w:lineRule="auto"/>
        <w:tabs>
          <w:tab w:leader="none" w:pos="7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trade and foreign exchange restrictions, including potential changes in trade relations arising from policy initiatives;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volatility of foreign exchange rates;</w:t>
      </w:r>
    </w:p>
    <w:p>
      <w:pPr>
        <w:spacing w:after="0" w:line="70" w:lineRule="exact"/>
        <w:rPr>
          <w:rFonts w:ascii="Arial" w:cs="Arial" w:eastAsia="Arial" w:hAnsi="Arial"/>
          <w:sz w:val="20"/>
          <w:szCs w:val="20"/>
          <w:color w:val="auto"/>
        </w:rPr>
      </w:pPr>
    </w:p>
    <w:p>
      <w:pPr>
        <w:ind w:left="720" w:right="100" w:hanging="360"/>
        <w:spacing w:after="0" w:line="262" w:lineRule="auto"/>
        <w:tabs>
          <w:tab w:leader="none" w:pos="7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economic or political instability in foreign markets, including instability related to the United Kingdom’s recent exit from the European Union and the corresponding impact on its ongoing legal, political, and economic relationship with the European Union and heightened levels of inflation;</w:t>
      </w:r>
    </w:p>
    <w:p>
      <w:pPr>
        <w:spacing w:after="0" w:line="15" w:lineRule="exact"/>
        <w:rPr>
          <w:rFonts w:ascii="Arial" w:cs="Arial" w:eastAsia="Arial" w:hAnsi="Arial"/>
          <w:sz w:val="20"/>
          <w:szCs w:val="20"/>
          <w:color w:val="auto"/>
        </w:rPr>
      </w:pPr>
    </w:p>
    <w:p>
      <w:pPr>
        <w:ind w:left="720" w:right="260" w:hanging="360"/>
        <w:spacing w:after="0" w:line="281" w:lineRule="auto"/>
        <w:tabs>
          <w:tab w:leader="none" w:pos="7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greater difficulty in enforcing contracts, accounts receivable collection and longer collection periods;</w:t>
      </w:r>
    </w:p>
    <w:p>
      <w:pPr>
        <w:spacing w:after="0" w:line="1" w:lineRule="exact"/>
        <w:rPr>
          <w:rFonts w:ascii="Arial" w:cs="Arial" w:eastAsia="Arial" w:hAnsi="Arial"/>
          <w:sz w:val="20"/>
          <w:szCs w:val="20"/>
          <w:color w:val="auto"/>
        </w:rPr>
      </w:pPr>
    </w:p>
    <w:p>
      <w:pPr>
        <w:ind w:left="720" w:right="120" w:hanging="360"/>
        <w:spacing w:after="0" w:line="281" w:lineRule="auto"/>
        <w:tabs>
          <w:tab w:leader="none" w:pos="7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changes in regulatory requirements, including, but not limited to data privacy, data protection and data security regulations;</w:t>
      </w:r>
    </w:p>
    <w:p>
      <w:pPr>
        <w:spacing w:after="0" w:line="1" w:lineRule="exact"/>
        <w:rPr>
          <w:rFonts w:ascii="Arial" w:cs="Arial" w:eastAsia="Arial" w:hAnsi="Arial"/>
          <w:sz w:val="20"/>
          <w:szCs w:val="20"/>
          <w:color w:val="auto"/>
        </w:rPr>
      </w:pPr>
    </w:p>
    <w:p>
      <w:pPr>
        <w:ind w:left="720" w:right="380" w:hanging="360"/>
        <w:spacing w:after="0" w:line="285" w:lineRule="auto"/>
        <w:tabs>
          <w:tab w:leader="none" w:pos="720" w:val="left"/>
        </w:tabs>
        <w:numPr>
          <w:ilvl w:val="0"/>
          <w:numId w:val="97"/>
        </w:numPr>
        <w:rPr>
          <w:rFonts w:ascii="Arial" w:cs="Arial" w:eastAsia="Arial" w:hAnsi="Arial"/>
          <w:sz w:val="19"/>
          <w:szCs w:val="19"/>
          <w:color w:val="auto"/>
        </w:rPr>
      </w:pPr>
      <w:r>
        <w:rPr>
          <w:rFonts w:ascii="Arial" w:cs="Arial" w:eastAsia="Arial" w:hAnsi="Arial"/>
          <w:sz w:val="19"/>
          <w:szCs w:val="19"/>
          <w:color w:val="auto"/>
        </w:rPr>
        <w:t>difficulties and costs of staffing, managing and potentially reorganizing foreign operations, including increased employee recruitment, training and retention costs related to global employment turnover trends and inflationary pressures in the labor market;</w:t>
      </w:r>
    </w:p>
    <w:p>
      <w:pPr>
        <w:spacing w:after="0" w:line="1" w:lineRule="exact"/>
        <w:rPr>
          <w:rFonts w:ascii="Arial" w:cs="Arial" w:eastAsia="Arial" w:hAnsi="Arial"/>
          <w:sz w:val="19"/>
          <w:szCs w:val="19"/>
          <w:color w:val="auto"/>
        </w:rPr>
      </w:pPr>
    </w:p>
    <w:p>
      <w:pPr>
        <w:ind w:left="720" w:hanging="360"/>
        <w:spacing w:after="0"/>
        <w:tabs>
          <w:tab w:leader="none" w:pos="7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uncertainty and limitation of protection for intellectual property rights in some countries;</w:t>
      </w:r>
    </w:p>
    <w:p>
      <w:pPr>
        <w:spacing w:after="0" w:line="70" w:lineRule="exact"/>
        <w:rPr>
          <w:rFonts w:ascii="Arial" w:cs="Arial" w:eastAsia="Arial" w:hAnsi="Arial"/>
          <w:sz w:val="20"/>
          <w:szCs w:val="20"/>
          <w:color w:val="auto"/>
        </w:rPr>
      </w:pPr>
    </w:p>
    <w:p>
      <w:pPr>
        <w:ind w:left="720" w:right="800" w:hanging="360"/>
        <w:spacing w:after="0" w:line="281" w:lineRule="auto"/>
        <w:tabs>
          <w:tab w:leader="none" w:pos="7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costs of compliance with foreign laws and regulations and the risks and costs of non-compliance with such laws and regulations;</w:t>
      </w:r>
    </w:p>
    <w:p>
      <w:pPr>
        <w:spacing w:after="0" w:line="1" w:lineRule="exact"/>
        <w:rPr>
          <w:rFonts w:ascii="Arial" w:cs="Arial" w:eastAsia="Arial" w:hAnsi="Arial"/>
          <w:sz w:val="20"/>
          <w:szCs w:val="20"/>
          <w:color w:val="auto"/>
        </w:rPr>
      </w:pPr>
    </w:p>
    <w:p>
      <w:pPr>
        <w:ind w:left="720" w:right="520" w:hanging="360"/>
        <w:spacing w:after="0" w:line="268" w:lineRule="auto"/>
        <w:tabs>
          <w:tab w:leader="none" w:pos="7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differing labor regulations in foreign jurisdictions where labor laws are generally more advantageous to employees, including deemed hourly wage and overtime regulations in these locations;</w:t>
      </w:r>
    </w:p>
    <w:p>
      <w:pPr>
        <w:spacing w:after="0" w:line="9" w:lineRule="exact"/>
        <w:rPr>
          <w:rFonts w:ascii="Arial" w:cs="Arial" w:eastAsia="Arial" w:hAnsi="Arial"/>
          <w:sz w:val="20"/>
          <w:szCs w:val="20"/>
          <w:color w:val="auto"/>
        </w:rPr>
      </w:pPr>
    </w:p>
    <w:p>
      <w:pPr>
        <w:ind w:left="720" w:right="320" w:hanging="360"/>
        <w:spacing w:after="0" w:line="262" w:lineRule="auto"/>
        <w:tabs>
          <w:tab w:leader="none" w:pos="7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costs of compliance with U.S. laws and regulations for foreign operations, including the FCPA, import and export control laws, tariffs, trade barriers, economic sanctions and other regulatory or contractual limitations on our ability to sell or provide our solutions in certain foreign markets, and the risks and costs of non-compliance;</w:t>
      </w:r>
    </w:p>
    <w:p>
      <w:pPr>
        <w:spacing w:after="0" w:line="15" w:lineRule="exact"/>
        <w:rPr>
          <w:rFonts w:ascii="Arial" w:cs="Arial" w:eastAsia="Arial" w:hAnsi="Arial"/>
          <w:sz w:val="20"/>
          <w:szCs w:val="20"/>
          <w:color w:val="auto"/>
        </w:rPr>
      </w:pPr>
    </w:p>
    <w:p>
      <w:pPr>
        <w:ind w:left="720" w:right="380" w:hanging="360"/>
        <w:spacing w:after="0" w:line="281" w:lineRule="auto"/>
        <w:tabs>
          <w:tab w:leader="none" w:pos="7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requirements to comply with foreign privacy, data protection and information security laws and regulations and the risks and costs of noncompliance;</w:t>
      </w:r>
    </w:p>
    <w:p>
      <w:pPr>
        <w:spacing w:after="0" w:line="1" w:lineRule="exact"/>
        <w:rPr>
          <w:rFonts w:ascii="Arial" w:cs="Arial" w:eastAsia="Arial" w:hAnsi="Arial"/>
          <w:sz w:val="20"/>
          <w:szCs w:val="20"/>
          <w:color w:val="auto"/>
        </w:rPr>
      </w:pPr>
    </w:p>
    <w:p>
      <w:pPr>
        <w:ind w:left="720" w:right="460" w:hanging="360"/>
        <w:spacing w:after="0" w:line="268" w:lineRule="auto"/>
        <w:tabs>
          <w:tab w:leader="none" w:pos="7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9" w:lineRule="exact"/>
        <w:rPr>
          <w:rFonts w:ascii="Arial" w:cs="Arial" w:eastAsia="Arial" w:hAnsi="Arial"/>
          <w:sz w:val="20"/>
          <w:szCs w:val="20"/>
          <w:color w:val="auto"/>
        </w:rPr>
      </w:pPr>
    </w:p>
    <w:p>
      <w:pPr>
        <w:ind w:left="720" w:right="180" w:hanging="360"/>
        <w:spacing w:after="0" w:line="233" w:lineRule="auto"/>
        <w:tabs>
          <w:tab w:leader="none" w:pos="7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potential for political unrest, pandemics, acts of terrorism, hostilities or war, including the invasion of Ukraine by Russia;</w:t>
      </w:r>
    </w:p>
    <w:p>
      <w:pPr>
        <w:spacing w:after="0" w:line="1" w:lineRule="exact"/>
        <w:rPr>
          <w:rFonts w:ascii="Arial" w:cs="Arial" w:eastAsia="Arial" w:hAnsi="Arial"/>
          <w:sz w:val="20"/>
          <w:szCs w:val="20"/>
          <w:color w:val="auto"/>
        </w:rPr>
      </w:pPr>
    </w:p>
    <w:p>
      <w:pPr>
        <w:ind w:left="720" w:right="80" w:hanging="360"/>
        <w:spacing w:after="0" w:line="281" w:lineRule="auto"/>
        <w:tabs>
          <w:tab w:leader="none" w:pos="7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management communication and integration problems resulting from cultural differences and geographic dispersion;</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costs associated with language localization of our solutions; and</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97"/>
        </w:numPr>
        <w:rPr>
          <w:rFonts w:ascii="Arial" w:cs="Arial" w:eastAsia="Arial" w:hAnsi="Arial"/>
          <w:sz w:val="20"/>
          <w:szCs w:val="20"/>
          <w:color w:val="auto"/>
        </w:rPr>
      </w:pPr>
      <w:r>
        <w:rPr>
          <w:rFonts w:ascii="Arial" w:cs="Arial" w:eastAsia="Arial" w:hAnsi="Arial"/>
          <w:sz w:val="20"/>
          <w:szCs w:val="20"/>
          <w:color w:val="auto"/>
        </w:rPr>
        <w:t>costs of compliance with multiple and possibly overlapping tax structures and regimes.</w:t>
      </w:r>
    </w:p>
    <w:p>
      <w:pPr>
        <w:spacing w:after="0" w:line="250" w:lineRule="exact"/>
        <w:rPr>
          <w:sz w:val="20"/>
          <w:szCs w:val="20"/>
          <w:color w:val="auto"/>
        </w:rPr>
      </w:pPr>
    </w:p>
    <w:p>
      <w:pPr>
        <w:ind w:right="20" w:firstLine="360"/>
        <w:spacing w:after="0" w:line="256" w:lineRule="auto"/>
        <w:rPr>
          <w:sz w:val="20"/>
          <w:szCs w:val="20"/>
          <w:color w:val="auto"/>
        </w:rPr>
      </w:pPr>
      <w:r>
        <w:rPr>
          <w:rFonts w:ascii="Arial" w:cs="Arial" w:eastAsia="Arial" w:hAnsi="Arial"/>
          <w:sz w:val="20"/>
          <w:szCs w:val="20"/>
          <w:color w:val="auto"/>
        </w:rPr>
        <w:t>Our business, including the sales of our solutions and professional services by us and our channel partners, may be subject to foreign governmental regulations, which vary substantially from country to country and change from time to time. Our failure, or the failure by our channel partners,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comply with these laws and policies, there can be no assurance that our</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880" w:h="15480" w:orient="portrait"/>
          <w:cols w:equalWidth="0" w:num="1">
            <w:col w:w="9000"/>
          </w:cols>
          <w:pgMar w:left="1440" w:top="1204" w:right="1440" w:bottom="0" w:gutter="0" w:footer="0" w:header="0"/>
          <w:type w:val="continuous"/>
        </w:sectPr>
      </w:pPr>
    </w:p>
    <w:bookmarkStart w:id="123" w:name="page124"/>
    <w:bookmarkEnd w:id="123"/>
    <w:p>
      <w:pPr>
        <w:ind w:right="60"/>
        <w:spacing w:after="0" w:line="256" w:lineRule="auto"/>
        <w:rPr>
          <w:sz w:val="20"/>
          <w:szCs w:val="20"/>
          <w:color w:val="auto"/>
        </w:rPr>
      </w:pPr>
      <w:r>
        <w:rPr>
          <w:rFonts w:ascii="Arial" w:cs="Arial" w:eastAsia="Arial" w:hAnsi="Arial"/>
          <w:sz w:val="20"/>
          <w:szCs w:val="20"/>
          <w:color w:val="auto"/>
        </w:rPr>
        <w:t>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expansion and operations, our business and operating results could be adversely affected.</w:t>
      </w:r>
    </w:p>
    <w:p>
      <w:pPr>
        <w:spacing w:after="0" w:line="204" w:lineRule="exact"/>
        <w:rPr>
          <w:sz w:val="20"/>
          <w:szCs w:val="20"/>
          <w:color w:val="auto"/>
        </w:rPr>
      </w:pPr>
    </w:p>
    <w:p>
      <w:pPr>
        <w:ind w:right="80" w:firstLine="360"/>
        <w:spacing w:after="0" w:line="255" w:lineRule="auto"/>
        <w:rPr>
          <w:sz w:val="20"/>
          <w:szCs w:val="20"/>
          <w:color w:val="auto"/>
        </w:rPr>
      </w:pPr>
      <w:r>
        <w:rPr>
          <w:rFonts w:ascii="Arial" w:cs="Arial" w:eastAsia="Arial" w:hAnsi="Arial"/>
          <w:sz w:val="20"/>
          <w:szCs w:val="20"/>
          <w:b w:val="1"/>
          <w:bCs w:val="1"/>
          <w:i w:val="1"/>
          <w:iCs w:val="1"/>
          <w:color w:val="auto"/>
        </w:rPr>
        <w:t>We rely on the performance of highly skilled personnel, including senior management and our engineering, professional services, sales and technology professionals, and our ability to increase our customer base will depend to a significant extent on our ability to expand our sales and marketing operations.</w:t>
      </w:r>
    </w:p>
    <w:p>
      <w:pPr>
        <w:spacing w:after="0" w:line="181" w:lineRule="exact"/>
        <w:rPr>
          <w:sz w:val="20"/>
          <w:szCs w:val="20"/>
          <w:color w:val="auto"/>
        </w:rPr>
      </w:pPr>
    </w:p>
    <w:p>
      <w:pPr>
        <w:ind w:firstLine="360"/>
        <w:spacing w:after="0" w:line="255" w:lineRule="auto"/>
        <w:rPr>
          <w:sz w:val="20"/>
          <w:szCs w:val="20"/>
          <w:color w:val="auto"/>
        </w:rPr>
      </w:pPr>
      <w:r>
        <w:rPr>
          <w:rFonts w:ascii="Arial" w:cs="Arial" w:eastAsia="Arial" w:hAnsi="Arial"/>
          <w:sz w:val="20"/>
          <w:szCs w:val="20"/>
          <w:color w:val="auto"/>
        </w:rPr>
        <w:t>We believe our success has depended, and continues to depend, on the efforts and talents of our senior management team and our highly skilled team members, including our sales personnel, professional services personnel and software engineers. We do not maintain key person insurance on any of our executive officers or key employees. Our senior management and key employees are employed on an at-will basis, which means that they could terminate their employment with us at any time. The loss of any of our senior management or key employees could adversely affect our ability to execute our business plan, and we may not be able to find adequate replacements. We cannot ensure that we will be able to retain the services of any members of our senior management or other key employees.</w:t>
      </w:r>
    </w:p>
    <w:p>
      <w:pPr>
        <w:spacing w:after="0" w:line="201" w:lineRule="exact"/>
        <w:rPr>
          <w:sz w:val="20"/>
          <w:szCs w:val="20"/>
          <w:color w:val="auto"/>
        </w:rPr>
      </w:pPr>
    </w:p>
    <w:p>
      <w:pPr>
        <w:ind w:right="40" w:firstLine="360"/>
        <w:spacing w:after="0" w:line="255" w:lineRule="auto"/>
        <w:rPr>
          <w:sz w:val="20"/>
          <w:szCs w:val="20"/>
          <w:color w:val="auto"/>
        </w:rPr>
      </w:pPr>
      <w:r>
        <w:rPr>
          <w:rFonts w:ascii="Arial" w:cs="Arial" w:eastAsia="Arial" w:hAnsi="Arial"/>
          <w:sz w:val="20"/>
          <w:szCs w:val="20"/>
          <w:color w:val="auto"/>
        </w:rPr>
        <w:t>Our ability to successfully pursue our growth strategy also depends on our ability to attract, motivate and retain our personnel. Competition for well-qualified employees in all aspects of our business is intense. The move by companies to offer a remote or hybrid work environment may increase competition for such employees outside of our traditional office locations. In addition, employee turnover rates in the broader global economy and inflationary pressures in the labor market have increased and may continue to be elevated, which has led, and could continue to lead to increased recruiting, training and retention costs. If we do not succeed in attracting well-qualified employees, retaining and motivating existing employees or maintaining our corporate culture in a hybrid or remote work environment, our business would be adversely affected.</w:t>
      </w:r>
    </w:p>
    <w:p>
      <w:pPr>
        <w:spacing w:after="0" w:line="201" w:lineRule="exact"/>
        <w:rPr>
          <w:sz w:val="20"/>
          <w:szCs w:val="20"/>
          <w:color w:val="auto"/>
        </w:rPr>
      </w:pPr>
    </w:p>
    <w:p>
      <w:pPr>
        <w:ind w:firstLine="360"/>
        <w:spacing w:after="0" w:line="254" w:lineRule="auto"/>
        <w:rPr>
          <w:sz w:val="20"/>
          <w:szCs w:val="20"/>
          <w:color w:val="auto"/>
        </w:rPr>
      </w:pPr>
      <w:r>
        <w:rPr>
          <w:rFonts w:ascii="Arial" w:cs="Arial" w:eastAsia="Arial" w:hAnsi="Arial"/>
          <w:sz w:val="20"/>
          <w:szCs w:val="20"/>
          <w:color w:val="auto"/>
        </w:rPr>
        <w:t>In addition, our ability to increase our customer base and achieve broader market acceptance of our Cyber Exposure solutions will depend to a significant extent on our ability to expand our sales force and our third-party channel partner network of distributors and resellers, both domestically and internationally. We may not be successful in attracting and retaining talented sales personnel or strategic partners, and any new sales personnel or strategic partners may not be able to achieve productivity in a reasonable period of time or at all. We also plan to dedicate significant resources to sales and marketing programs, including through electronic marketing campaigns and, when deemed safe to do so, trade event sponsorship and participation. All of these efforts will require us to invest significant financial and other resources and our business will be harmed if our efforts do not generate a correspondingly significant increase in revenue.</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We must offer high-quality support.</w:t>
      </w:r>
    </w:p>
    <w:p>
      <w:pPr>
        <w:spacing w:after="0" w:line="249" w:lineRule="exact"/>
        <w:rPr>
          <w:sz w:val="20"/>
          <w:szCs w:val="20"/>
          <w:color w:val="auto"/>
        </w:rPr>
      </w:pPr>
    </w:p>
    <w:p>
      <w:pPr>
        <w:ind w:firstLine="360"/>
        <w:spacing w:after="0" w:line="259" w:lineRule="auto"/>
        <w:rPr>
          <w:sz w:val="20"/>
          <w:szCs w:val="20"/>
          <w:color w:val="auto"/>
        </w:rPr>
      </w:pPr>
      <w:r>
        <w:rPr>
          <w:rFonts w:ascii="Arial" w:cs="Arial" w:eastAsia="Arial" w:hAnsi="Arial"/>
          <w:sz w:val="20"/>
          <w:szCs w:val="20"/>
          <w:color w:val="auto"/>
        </w:rPr>
        <w:t>Our customers rely on our personnel for support of our enterprise platform. High-quality support is important for the renewal of our agreements with existing customers and to our existing customers expanding the number of IP addresses or IT assets under their subscriptions. The importance of high-quality support will increase as we expand our business and pursue new customers. If we do not help our customers quickly resolve issues and provide effective ongoing support, our ability to sell new</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880" w:h="15480" w:orient="portrait"/>
          <w:cols w:equalWidth="0" w:num="1">
            <w:col w:w="9000"/>
          </w:cols>
          <w:pgMar w:left="1440" w:top="1204" w:right="1440" w:bottom="0" w:gutter="0" w:footer="0" w:header="0"/>
          <w:type w:val="continuous"/>
        </w:sectPr>
      </w:pPr>
    </w:p>
    <w:bookmarkStart w:id="124" w:name="page125"/>
    <w:bookmarkEnd w:id="124"/>
    <w:p>
      <w:pPr>
        <w:ind w:right="500"/>
        <w:spacing w:after="0" w:line="287" w:lineRule="auto"/>
        <w:rPr>
          <w:sz w:val="20"/>
          <w:szCs w:val="20"/>
          <w:color w:val="auto"/>
        </w:rPr>
      </w:pPr>
      <w:r>
        <w:rPr>
          <w:rFonts w:ascii="Arial" w:cs="Arial" w:eastAsia="Arial" w:hAnsi="Arial"/>
          <w:sz w:val="20"/>
          <w:szCs w:val="20"/>
          <w:color w:val="auto"/>
        </w:rPr>
        <w:t>software to existing and new customers would suffer and our reputation with existing or potential customers would be harmed.</w:t>
      </w:r>
    </w:p>
    <w:p>
      <w:pPr>
        <w:spacing w:after="0" w:line="171" w:lineRule="exact"/>
        <w:rPr>
          <w:sz w:val="20"/>
          <w:szCs w:val="20"/>
          <w:color w:val="auto"/>
        </w:rPr>
      </w:pPr>
    </w:p>
    <w:p>
      <w:pPr>
        <w:ind w:right="760" w:firstLine="360"/>
        <w:spacing w:after="0" w:line="296" w:lineRule="auto"/>
        <w:rPr>
          <w:sz w:val="20"/>
          <w:szCs w:val="20"/>
          <w:color w:val="auto"/>
        </w:rPr>
      </w:pPr>
      <w:r>
        <w:rPr>
          <w:rFonts w:ascii="Arial" w:cs="Arial" w:eastAsia="Arial" w:hAnsi="Arial"/>
          <w:sz w:val="20"/>
          <w:szCs w:val="20"/>
          <w:b w:val="1"/>
          <w:bCs w:val="1"/>
          <w:i w:val="1"/>
          <w:iCs w:val="1"/>
          <w:color w:val="auto"/>
        </w:rPr>
        <w:t>Our growth depends in part on the success of our strategic relationships with third parties.</w:t>
      </w:r>
    </w:p>
    <w:p>
      <w:pPr>
        <w:spacing w:after="0" w:line="152" w:lineRule="exact"/>
        <w:rPr>
          <w:sz w:val="20"/>
          <w:szCs w:val="20"/>
          <w:color w:val="auto"/>
        </w:rPr>
      </w:pPr>
    </w:p>
    <w:p>
      <w:pPr>
        <w:ind w:right="20" w:firstLine="360"/>
        <w:spacing w:after="0" w:line="252" w:lineRule="auto"/>
        <w:rPr>
          <w:sz w:val="20"/>
          <w:szCs w:val="20"/>
          <w:color w:val="auto"/>
        </w:rPr>
      </w:pPr>
      <w:r>
        <w:rPr>
          <w:rFonts w:ascii="Arial" w:cs="Arial" w:eastAsia="Arial" w:hAnsi="Arial"/>
          <w:sz w:val="20"/>
          <w:szCs w:val="20"/>
          <w:color w:val="auto"/>
        </w:rPr>
        <w:t>In order to grow our business, we anticipate that we will continue to depend on relationships with strategic partners to provide broader customer coverage and solution delivery capabilities. We depend on partnerships with market leading technology companies to maintain and expand our exposure management ecosystem by integrating third party data into our platform. Identifying partners, and negotiating and documenting relationships with them, requires significant time and resources. Our agreements with our strategic partners generally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product,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solutions by potential customers. We also license third-party threat data that is used in our solutions in order to deliver our offerings. In the future, this data may not be available to us on commercially reasonable terms, or at all. Any loss of the right to use any of this data could result in delays in the provisioning of our offerings until equivalent data is either developed by us, or, if available, is identified, obtained and integrated, which could harm our business.</w:t>
      </w:r>
    </w:p>
    <w:p>
      <w:pPr>
        <w:spacing w:after="0" w:line="213" w:lineRule="exact"/>
        <w:rPr>
          <w:sz w:val="20"/>
          <w:szCs w:val="20"/>
          <w:color w:val="auto"/>
        </w:rPr>
      </w:pPr>
    </w:p>
    <w:p>
      <w:pPr>
        <w:ind w:right="40" w:firstLine="360"/>
        <w:spacing w:after="0" w:line="262" w:lineRule="auto"/>
        <w:rPr>
          <w:sz w:val="20"/>
          <w:szCs w:val="20"/>
          <w:color w:val="auto"/>
        </w:rPr>
      </w:pPr>
      <w:r>
        <w:rPr>
          <w:rFonts w:ascii="Arial" w:cs="Arial" w:eastAsia="Arial" w:hAnsi="Arial"/>
          <w:sz w:val="20"/>
          <w:szCs w:val="20"/>
          <w:color w:val="auto"/>
        </w:rPr>
        <w:t>If we are unsuccessful in establishing or maintaining our relationships with third parties, our ability to compete in the marketplace or to grow our revenue could be impaired and our operating results may suffer. Even if we are successful, we cannot assure you that these relationships will result in increased customer usage of our solutions or increased revenue.</w:t>
      </w:r>
    </w:p>
    <w:p>
      <w:pPr>
        <w:spacing w:after="0" w:line="197" w:lineRule="exact"/>
        <w:rPr>
          <w:sz w:val="20"/>
          <w:szCs w:val="20"/>
          <w:color w:val="auto"/>
        </w:rPr>
      </w:pPr>
    </w:p>
    <w:p>
      <w:pPr>
        <w:ind w:right="740" w:firstLine="360"/>
        <w:spacing w:after="0" w:line="296" w:lineRule="auto"/>
        <w:rPr>
          <w:sz w:val="20"/>
          <w:szCs w:val="20"/>
          <w:color w:val="auto"/>
        </w:rPr>
      </w:pPr>
      <w:r>
        <w:rPr>
          <w:rFonts w:ascii="Arial" w:cs="Arial" w:eastAsia="Arial" w:hAnsi="Arial"/>
          <w:sz w:val="20"/>
          <w:szCs w:val="20"/>
          <w:b w:val="1"/>
          <w:bCs w:val="1"/>
          <w:i w:val="1"/>
          <w:iCs w:val="1"/>
          <w:color w:val="auto"/>
        </w:rPr>
        <w:t>Recent and future acquisitions could disrupt our business and adversely affect our business operations and financial results.</w:t>
      </w:r>
    </w:p>
    <w:p>
      <w:pPr>
        <w:spacing w:after="0" w:line="152" w:lineRule="exact"/>
        <w:rPr>
          <w:sz w:val="20"/>
          <w:szCs w:val="20"/>
          <w:color w:val="auto"/>
        </w:rPr>
      </w:pPr>
    </w:p>
    <w:p>
      <w:pPr>
        <w:ind w:right="180" w:firstLine="360"/>
        <w:spacing w:after="0" w:line="268" w:lineRule="auto"/>
        <w:rPr>
          <w:sz w:val="20"/>
          <w:szCs w:val="20"/>
          <w:color w:val="auto"/>
        </w:rPr>
      </w:pPr>
      <w:r>
        <w:rPr>
          <w:rFonts w:ascii="Arial" w:cs="Arial" w:eastAsia="Arial" w:hAnsi="Arial"/>
          <w:sz w:val="20"/>
          <w:szCs w:val="20"/>
          <w:color w:val="auto"/>
        </w:rPr>
        <w:t>We have in the past acquired products, technologies and businesses from other parties, and we expect to expand our current business by acquiring additional businesses or technologies in the future. Acquisitions involve many risks, including the following:</w:t>
      </w:r>
    </w:p>
    <w:p>
      <w:pPr>
        <w:spacing w:after="0" w:line="70" w:lineRule="exact"/>
        <w:rPr>
          <w:sz w:val="20"/>
          <w:szCs w:val="20"/>
          <w:color w:val="auto"/>
        </w:rPr>
      </w:pPr>
    </w:p>
    <w:p>
      <w:pPr>
        <w:ind w:left="720" w:right="60" w:hanging="360"/>
        <w:spacing w:after="0" w:line="259" w:lineRule="auto"/>
        <w:tabs>
          <w:tab w:leader="none" w:pos="7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19" w:lineRule="exact"/>
        <w:rPr>
          <w:rFonts w:ascii="Arial" w:cs="Arial" w:eastAsia="Arial" w:hAnsi="Arial"/>
          <w:sz w:val="20"/>
          <w:szCs w:val="20"/>
          <w:color w:val="auto"/>
        </w:rPr>
      </w:pPr>
    </w:p>
    <w:p>
      <w:pPr>
        <w:ind w:left="720" w:right="120" w:hanging="360"/>
        <w:spacing w:after="0" w:line="268" w:lineRule="auto"/>
        <w:tabs>
          <w:tab w:leader="none" w:pos="7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9" w:lineRule="exact"/>
        <w:rPr>
          <w:rFonts w:ascii="Arial" w:cs="Arial" w:eastAsia="Arial" w:hAnsi="Arial"/>
          <w:sz w:val="20"/>
          <w:szCs w:val="20"/>
          <w:color w:val="auto"/>
        </w:rPr>
      </w:pPr>
    </w:p>
    <w:p>
      <w:pPr>
        <w:ind w:left="720" w:right="360" w:hanging="360"/>
        <w:spacing w:after="0" w:line="281" w:lineRule="auto"/>
        <w:tabs>
          <w:tab w:leader="none" w:pos="7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 acquisition may disrupt our ongoing business, divert resources, increase our expenses and distract our management;</w:t>
      </w:r>
    </w:p>
    <w:p>
      <w:pPr>
        <w:spacing w:after="0" w:line="1" w:lineRule="exact"/>
        <w:rPr>
          <w:rFonts w:ascii="Arial" w:cs="Arial" w:eastAsia="Arial" w:hAnsi="Arial"/>
          <w:sz w:val="20"/>
          <w:szCs w:val="20"/>
          <w:color w:val="auto"/>
        </w:rPr>
      </w:pPr>
    </w:p>
    <w:p>
      <w:pPr>
        <w:ind w:left="720" w:right="160" w:hanging="360"/>
        <w:spacing w:after="0" w:line="268" w:lineRule="auto"/>
        <w:tabs>
          <w:tab w:leader="none" w:pos="7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 acquisition may result in a delay or reduction of customer purchases for both us and the company acquired due to customer uncertainty about continuity and effectiveness of service from either company;</w:t>
      </w:r>
    </w:p>
    <w:p>
      <w:pPr>
        <w:spacing w:after="0" w:line="9" w:lineRule="exact"/>
        <w:rPr>
          <w:rFonts w:ascii="Arial" w:cs="Arial" w:eastAsia="Arial" w:hAnsi="Arial"/>
          <w:sz w:val="20"/>
          <w:szCs w:val="20"/>
          <w:color w:val="auto"/>
        </w:rPr>
      </w:pPr>
    </w:p>
    <w:p>
      <w:pPr>
        <w:ind w:left="720" w:right="880" w:hanging="360"/>
        <w:spacing w:after="0" w:line="287" w:lineRule="auto"/>
        <w:tabs>
          <w:tab w:leader="none" w:pos="7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we may encounter difficulties in, or may be unable to, successfully sell any acquired solutions;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880" w:h="15480" w:orient="portrait"/>
          <w:cols w:equalWidth="0" w:num="1">
            <w:col w:w="9000"/>
          </w:cols>
          <w:pgMar w:left="1440" w:top="1204" w:right="1440" w:bottom="0" w:gutter="0" w:footer="0" w:header="0"/>
          <w:type w:val="continuous"/>
        </w:sectPr>
      </w:pPr>
    </w:p>
    <w:bookmarkStart w:id="125" w:name="page126"/>
    <w:bookmarkEnd w:id="125"/>
    <w:p>
      <w:pPr>
        <w:ind w:left="720" w:right="260" w:hanging="360"/>
        <w:spacing w:after="0" w:line="281" w:lineRule="auto"/>
        <w:tabs>
          <w:tab w:leader="none" w:pos="7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 acquisition may involve the entry into geographic or business markets in which we have little or no prior experience or where competitors have stronger market positions;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our use of cash to pay for an acquisition would limit other potential uses for our cash; and</w:t>
      </w:r>
    </w:p>
    <w:p>
      <w:pPr>
        <w:spacing w:after="0" w:line="70" w:lineRule="exact"/>
        <w:rPr>
          <w:rFonts w:ascii="Arial" w:cs="Arial" w:eastAsia="Arial" w:hAnsi="Arial"/>
          <w:sz w:val="20"/>
          <w:szCs w:val="20"/>
          <w:color w:val="auto"/>
        </w:rPr>
      </w:pPr>
    </w:p>
    <w:p>
      <w:pPr>
        <w:ind w:left="720" w:right="140" w:hanging="360"/>
        <w:spacing w:after="0" w:line="287" w:lineRule="auto"/>
        <w:tabs>
          <w:tab w:leader="none" w:pos="7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if we incur debt to fund such acquisition, such debt may subject us to material restrictions on our ability to conduct our business as well as financial maintenance covenants.</w:t>
      </w:r>
    </w:p>
    <w:p>
      <w:pPr>
        <w:spacing w:after="0" w:line="170" w:lineRule="exact"/>
        <w:rPr>
          <w:sz w:val="20"/>
          <w:szCs w:val="20"/>
          <w:color w:val="auto"/>
        </w:rPr>
      </w:pPr>
    </w:p>
    <w:p>
      <w:pPr>
        <w:ind w:right="160" w:firstLine="360"/>
        <w:spacing w:after="0" w:line="256" w:lineRule="auto"/>
        <w:rPr>
          <w:sz w:val="20"/>
          <w:szCs w:val="20"/>
          <w:color w:val="auto"/>
        </w:rPr>
      </w:pPr>
      <w:r>
        <w:rPr>
          <w:rFonts w:ascii="Arial" w:cs="Arial" w:eastAsia="Arial" w:hAnsi="Arial"/>
          <w:sz w:val="20"/>
          <w:szCs w:val="20"/>
          <w:color w:val="auto"/>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that we negotiate. Any unforeseen liability that is greater than these warranty and indemnity limitations could have a negative impact on our financial condition.</w:t>
      </w:r>
    </w:p>
    <w:p>
      <w:pPr>
        <w:spacing w:after="0" w:line="204" w:lineRule="exact"/>
        <w:rPr>
          <w:sz w:val="20"/>
          <w:szCs w:val="20"/>
          <w:color w:val="auto"/>
        </w:rPr>
      </w:pPr>
    </w:p>
    <w:p>
      <w:pPr>
        <w:ind w:right="240" w:firstLine="360"/>
        <w:spacing w:after="0" w:line="296" w:lineRule="auto"/>
        <w:rPr>
          <w:sz w:val="20"/>
          <w:szCs w:val="20"/>
          <w:color w:val="auto"/>
        </w:rPr>
      </w:pPr>
      <w:r>
        <w:rPr>
          <w:rFonts w:ascii="Arial" w:cs="Arial" w:eastAsia="Arial" w:hAnsi="Arial"/>
          <w:sz w:val="20"/>
          <w:szCs w:val="20"/>
          <w:b w:val="1"/>
          <w:bCs w:val="1"/>
          <w:i w:val="1"/>
          <w:iCs w:val="1"/>
          <w:color w:val="auto"/>
        </w:rPr>
        <w:t>We may require additional capital to support business growth, and this capital might not be available on acceptable terms, if at all.</w:t>
      </w:r>
    </w:p>
    <w:p>
      <w:pPr>
        <w:spacing w:after="0" w:line="152" w:lineRule="exact"/>
        <w:rPr>
          <w:sz w:val="20"/>
          <w:szCs w:val="20"/>
          <w:color w:val="auto"/>
        </w:rPr>
      </w:pPr>
    </w:p>
    <w:p>
      <w:pPr>
        <w:ind w:firstLine="360"/>
        <w:spacing w:after="0" w:line="266" w:lineRule="auto"/>
        <w:rPr>
          <w:sz w:val="20"/>
          <w:szCs w:val="20"/>
          <w:color w:val="auto"/>
        </w:rPr>
      </w:pPr>
      <w:r>
        <w:rPr>
          <w:rFonts w:ascii="Arial" w:cs="Arial" w:eastAsia="Arial" w:hAnsi="Arial"/>
          <w:sz w:val="19"/>
          <w:szCs w:val="19"/>
          <w:color w:val="auto"/>
        </w:rPr>
        <w:t>We expect that our existing cash and cash equivalents will be sufficient to meet our anticipated cash needs for working capital and capital expenditures for at least the next 12 months and the foreseeable future. However, we intend to continue to make investments to support our business growth and may require additional funds to respond to business challenges, including the need to develop new features or enhance our product,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Our current loan agreement includes, and we expect that any future agreements governing our indebtedness will include,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Weakness and volatility in the capital markets and the economy in general could limit our access to capital markets and increase our costs of borrowing.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202" w:lineRule="exact"/>
        <w:rPr>
          <w:sz w:val="20"/>
          <w:szCs w:val="20"/>
          <w:color w:val="auto"/>
        </w:rPr>
      </w:pPr>
    </w:p>
    <w:p>
      <w:pPr>
        <w:ind w:right="920" w:firstLine="360"/>
        <w:spacing w:after="0" w:line="296" w:lineRule="auto"/>
        <w:rPr>
          <w:sz w:val="20"/>
          <w:szCs w:val="20"/>
          <w:color w:val="auto"/>
        </w:rPr>
      </w:pPr>
      <w:r>
        <w:rPr>
          <w:rFonts w:ascii="Arial" w:cs="Arial" w:eastAsia="Arial" w:hAnsi="Arial"/>
          <w:sz w:val="20"/>
          <w:szCs w:val="20"/>
          <w:b w:val="1"/>
          <w:bCs w:val="1"/>
          <w:i w:val="1"/>
          <w:iCs w:val="1"/>
          <w:color w:val="auto"/>
        </w:rPr>
        <w:t>If we do not generate sufficient cash flows, we may be unable to service all of our indebtedness.</w:t>
      </w:r>
    </w:p>
    <w:p>
      <w:pPr>
        <w:spacing w:after="0" w:line="152" w:lineRule="exact"/>
        <w:rPr>
          <w:sz w:val="20"/>
          <w:szCs w:val="20"/>
          <w:color w:val="auto"/>
        </w:rPr>
      </w:pPr>
    </w:p>
    <w:p>
      <w:pPr>
        <w:ind w:right="80" w:firstLine="360"/>
        <w:spacing w:after="0" w:line="259" w:lineRule="auto"/>
        <w:rPr>
          <w:sz w:val="20"/>
          <w:szCs w:val="20"/>
          <w:color w:val="auto"/>
        </w:rPr>
      </w:pPr>
      <w:r>
        <w:rPr>
          <w:rFonts w:ascii="Arial" w:cs="Arial" w:eastAsia="Arial" w:hAnsi="Arial"/>
          <w:sz w:val="20"/>
          <w:szCs w:val="20"/>
          <w:color w:val="auto"/>
        </w:rPr>
        <w:t>To service our indebtedness, we will require a significant amount of cash. Our ability to generate cash, make scheduled payments or to refinance our debt obligations depends on our successful financial and operating performance, which may be affected by a range of economic, competitive and business factors, many of which are outside of our control and some of which are described elsewhere in the “Risk Factors” section of this report.</w:t>
      </w:r>
    </w:p>
    <w:p>
      <w:pPr>
        <w:spacing w:after="0" w:line="199" w:lineRule="exact"/>
        <w:rPr>
          <w:sz w:val="20"/>
          <w:szCs w:val="20"/>
          <w:color w:val="auto"/>
        </w:rPr>
      </w:pPr>
    </w:p>
    <w:p>
      <w:pPr>
        <w:ind w:right="140" w:firstLine="360"/>
        <w:spacing w:after="0" w:line="272" w:lineRule="auto"/>
        <w:rPr>
          <w:sz w:val="20"/>
          <w:szCs w:val="20"/>
          <w:color w:val="auto"/>
        </w:rPr>
      </w:pPr>
      <w:r>
        <w:rPr>
          <w:rFonts w:ascii="Arial" w:cs="Arial" w:eastAsia="Arial" w:hAnsi="Arial"/>
          <w:sz w:val="19"/>
          <w:szCs w:val="19"/>
          <w:color w:val="auto"/>
        </w:rPr>
        <w:t>If our cash flows and capital resources are insufficient to fund our debt service obligations, or to repay the term loan when it matures, we may have to undertake alternative financing plans, such as refinancing or restructuring our debt, selling assets or operations, reducing or delaying capital investments, or seeking to raise additional capital. We may not be able to refinance our debt, or any refinancing of our debt could be at higher interest rates and may require us to comply with more restrictive covenants that could further restrict our business operations. Our ability to implement successfully any such alternative financing plans will depend on a range of factors, including general</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880" w:h="15480" w:orient="portrait"/>
          <w:cols w:equalWidth="0" w:num="1">
            <w:col w:w="9000"/>
          </w:cols>
          <w:pgMar w:left="1440" w:top="1204" w:right="1440" w:bottom="0" w:gutter="0" w:footer="0" w:header="0"/>
          <w:type w:val="continuous"/>
        </w:sectPr>
      </w:pPr>
    </w:p>
    <w:bookmarkStart w:id="126" w:name="page127"/>
    <w:bookmarkEnd w:id="126"/>
    <w:p>
      <w:pPr>
        <w:ind w:right="380"/>
        <w:spacing w:after="0" w:line="287" w:lineRule="auto"/>
        <w:rPr>
          <w:sz w:val="20"/>
          <w:szCs w:val="20"/>
          <w:color w:val="auto"/>
        </w:rPr>
      </w:pPr>
      <w:r>
        <w:rPr>
          <w:rFonts w:ascii="Arial" w:cs="Arial" w:eastAsia="Arial" w:hAnsi="Arial"/>
          <w:sz w:val="20"/>
          <w:szCs w:val="20"/>
          <w:color w:val="auto"/>
        </w:rPr>
        <w:t>economic conditions, the level of activity in capital markets generally, and the terms of our various debt instruments then in effect.</w:t>
      </w:r>
    </w:p>
    <w:p>
      <w:pPr>
        <w:spacing w:after="0" w:line="171" w:lineRule="exact"/>
        <w:rPr>
          <w:sz w:val="20"/>
          <w:szCs w:val="20"/>
          <w:color w:val="auto"/>
        </w:rPr>
      </w:pPr>
    </w:p>
    <w:p>
      <w:pPr>
        <w:jc w:val="both"/>
        <w:ind w:right="120" w:firstLine="360"/>
        <w:spacing w:after="0" w:line="273" w:lineRule="auto"/>
        <w:rPr>
          <w:sz w:val="20"/>
          <w:szCs w:val="20"/>
          <w:color w:val="auto"/>
        </w:rPr>
      </w:pPr>
      <w:r>
        <w:rPr>
          <w:rFonts w:ascii="Arial" w:cs="Arial" w:eastAsia="Arial" w:hAnsi="Arial"/>
          <w:sz w:val="20"/>
          <w:szCs w:val="20"/>
          <w:b w:val="1"/>
          <w:bCs w:val="1"/>
          <w:i w:val="1"/>
          <w:iCs w:val="1"/>
          <w:color w:val="auto"/>
        </w:rPr>
        <w:t>Covenants under our Credit Agreement may restrict our business and operations in many ways, and if we do not effectively manage our covenants, our financial conditions and results of operations could be adversely affected.</w:t>
      </w:r>
    </w:p>
    <w:p>
      <w:pPr>
        <w:spacing w:after="0" w:line="174" w:lineRule="exact"/>
        <w:rPr>
          <w:sz w:val="20"/>
          <w:szCs w:val="20"/>
          <w:color w:val="auto"/>
        </w:rPr>
      </w:pPr>
    </w:p>
    <w:p>
      <w:pPr>
        <w:ind w:right="680" w:firstLine="360"/>
        <w:spacing w:after="0" w:line="287" w:lineRule="auto"/>
        <w:rPr>
          <w:sz w:val="20"/>
          <w:szCs w:val="20"/>
          <w:color w:val="auto"/>
        </w:rPr>
      </w:pPr>
      <w:r>
        <w:rPr>
          <w:rFonts w:ascii="Arial" w:cs="Arial" w:eastAsia="Arial" w:hAnsi="Arial"/>
          <w:sz w:val="20"/>
          <w:szCs w:val="20"/>
          <w:color w:val="auto"/>
        </w:rPr>
        <w:t>Our Credit Agreement imposes various covenants that limit our ability and/or our restricted subsidiaries’ ability to, among other things:</w:t>
      </w:r>
    </w:p>
    <w:p>
      <w:pPr>
        <w:spacing w:after="0" w:line="79" w:lineRule="exact"/>
        <w:rPr>
          <w:sz w:val="20"/>
          <w:szCs w:val="20"/>
          <w:color w:val="auto"/>
        </w:rPr>
      </w:pPr>
    </w:p>
    <w:p>
      <w:pPr>
        <w:ind w:left="720" w:right="80" w:hanging="360"/>
        <w:spacing w:after="0" w:line="282" w:lineRule="auto"/>
        <w:tabs>
          <w:tab w:leader="none" w:pos="720" w:val="left"/>
        </w:tabs>
        <w:numPr>
          <w:ilvl w:val="0"/>
          <w:numId w:val="100"/>
        </w:numPr>
        <w:rPr>
          <w:rFonts w:ascii="Arial" w:cs="Arial" w:eastAsia="Arial" w:hAnsi="Arial"/>
          <w:sz w:val="24"/>
          <w:szCs w:val="24"/>
          <w:color w:val="auto"/>
        </w:rPr>
      </w:pPr>
      <w:r>
        <w:rPr>
          <w:rFonts w:ascii="Arial" w:cs="Arial" w:eastAsia="Arial" w:hAnsi="Arial"/>
          <w:sz w:val="20"/>
          <w:szCs w:val="20"/>
          <w:color w:val="auto"/>
        </w:rPr>
        <w:t>pay dividends or distributions, repurchase equity, prepay, redeem or repurchase certain debt, and make certain investments;</w:t>
      </w:r>
    </w:p>
    <w:p>
      <w:pPr>
        <w:spacing w:after="0" w:line="30" w:lineRule="exact"/>
        <w:rPr>
          <w:rFonts w:ascii="Arial" w:cs="Arial" w:eastAsia="Arial" w:hAnsi="Arial"/>
          <w:sz w:val="24"/>
          <w:szCs w:val="24"/>
          <w:color w:val="auto"/>
        </w:rPr>
      </w:pPr>
    </w:p>
    <w:p>
      <w:pPr>
        <w:ind w:left="720" w:hanging="360"/>
        <w:spacing w:after="0"/>
        <w:tabs>
          <w:tab w:leader="none" w:pos="720" w:val="left"/>
        </w:tabs>
        <w:numPr>
          <w:ilvl w:val="0"/>
          <w:numId w:val="100"/>
        </w:numPr>
        <w:rPr>
          <w:rFonts w:ascii="Arial" w:cs="Arial" w:eastAsia="Arial" w:hAnsi="Arial"/>
          <w:sz w:val="24"/>
          <w:szCs w:val="24"/>
          <w:color w:val="auto"/>
        </w:rPr>
      </w:pPr>
      <w:r>
        <w:rPr>
          <w:rFonts w:ascii="Arial" w:cs="Arial" w:eastAsia="Arial" w:hAnsi="Arial"/>
          <w:sz w:val="20"/>
          <w:szCs w:val="20"/>
          <w:color w:val="auto"/>
        </w:rPr>
        <w:t>incur additional debt and issue certain preferred stock;</w:t>
      </w:r>
    </w:p>
    <w:p>
      <w:pPr>
        <w:spacing w:after="0" w:line="72" w:lineRule="exact"/>
        <w:rPr>
          <w:rFonts w:ascii="Arial" w:cs="Arial" w:eastAsia="Arial" w:hAnsi="Arial"/>
          <w:sz w:val="24"/>
          <w:szCs w:val="24"/>
          <w:color w:val="auto"/>
        </w:rPr>
      </w:pPr>
    </w:p>
    <w:p>
      <w:pPr>
        <w:ind w:left="720" w:hanging="360"/>
        <w:spacing w:after="0"/>
        <w:tabs>
          <w:tab w:leader="none" w:pos="720" w:val="left"/>
        </w:tabs>
        <w:numPr>
          <w:ilvl w:val="0"/>
          <w:numId w:val="100"/>
        </w:numPr>
        <w:rPr>
          <w:rFonts w:ascii="Arial" w:cs="Arial" w:eastAsia="Arial" w:hAnsi="Arial"/>
          <w:sz w:val="24"/>
          <w:szCs w:val="24"/>
          <w:color w:val="auto"/>
        </w:rPr>
      </w:pPr>
      <w:r>
        <w:rPr>
          <w:rFonts w:ascii="Arial" w:cs="Arial" w:eastAsia="Arial" w:hAnsi="Arial"/>
          <w:sz w:val="20"/>
          <w:szCs w:val="20"/>
          <w:color w:val="auto"/>
        </w:rPr>
        <w:t>provide guarantees in respect of obligations of other persons;</w:t>
      </w:r>
    </w:p>
    <w:p>
      <w:pPr>
        <w:spacing w:after="0" w:line="72" w:lineRule="exact"/>
        <w:rPr>
          <w:rFonts w:ascii="Arial" w:cs="Arial" w:eastAsia="Arial" w:hAnsi="Arial"/>
          <w:sz w:val="24"/>
          <w:szCs w:val="24"/>
          <w:color w:val="auto"/>
        </w:rPr>
      </w:pPr>
    </w:p>
    <w:p>
      <w:pPr>
        <w:ind w:left="720" w:hanging="360"/>
        <w:spacing w:after="0"/>
        <w:tabs>
          <w:tab w:leader="none" w:pos="720" w:val="left"/>
        </w:tabs>
        <w:numPr>
          <w:ilvl w:val="0"/>
          <w:numId w:val="100"/>
        </w:numPr>
        <w:rPr>
          <w:rFonts w:ascii="Arial" w:cs="Arial" w:eastAsia="Arial" w:hAnsi="Arial"/>
          <w:sz w:val="24"/>
          <w:szCs w:val="24"/>
          <w:color w:val="auto"/>
        </w:rPr>
      </w:pPr>
      <w:r>
        <w:rPr>
          <w:rFonts w:ascii="Arial" w:cs="Arial" w:eastAsia="Arial" w:hAnsi="Arial"/>
          <w:sz w:val="20"/>
          <w:szCs w:val="20"/>
          <w:color w:val="auto"/>
        </w:rPr>
        <w:t>incur liens on assets;</w:t>
      </w:r>
    </w:p>
    <w:p>
      <w:pPr>
        <w:spacing w:after="0" w:line="72" w:lineRule="exact"/>
        <w:rPr>
          <w:rFonts w:ascii="Arial" w:cs="Arial" w:eastAsia="Arial" w:hAnsi="Arial"/>
          <w:sz w:val="24"/>
          <w:szCs w:val="24"/>
          <w:color w:val="auto"/>
        </w:rPr>
      </w:pPr>
    </w:p>
    <w:p>
      <w:pPr>
        <w:ind w:left="720" w:hanging="360"/>
        <w:spacing w:after="0"/>
        <w:tabs>
          <w:tab w:leader="none" w:pos="720" w:val="left"/>
        </w:tabs>
        <w:numPr>
          <w:ilvl w:val="0"/>
          <w:numId w:val="100"/>
        </w:numPr>
        <w:rPr>
          <w:rFonts w:ascii="Arial" w:cs="Arial" w:eastAsia="Arial" w:hAnsi="Arial"/>
          <w:sz w:val="24"/>
          <w:szCs w:val="24"/>
          <w:color w:val="auto"/>
        </w:rPr>
      </w:pPr>
      <w:r>
        <w:rPr>
          <w:rFonts w:ascii="Arial" w:cs="Arial" w:eastAsia="Arial" w:hAnsi="Arial"/>
          <w:sz w:val="20"/>
          <w:szCs w:val="20"/>
          <w:color w:val="auto"/>
        </w:rPr>
        <w:t>engage in certain asset sales, including capital stock of our subsidiaries;</w:t>
      </w:r>
    </w:p>
    <w:p>
      <w:pPr>
        <w:spacing w:after="0" w:line="72" w:lineRule="exact"/>
        <w:rPr>
          <w:rFonts w:ascii="Arial" w:cs="Arial" w:eastAsia="Arial" w:hAnsi="Arial"/>
          <w:sz w:val="24"/>
          <w:szCs w:val="24"/>
          <w:color w:val="auto"/>
        </w:rPr>
      </w:pPr>
    </w:p>
    <w:p>
      <w:pPr>
        <w:ind w:left="720" w:hanging="360"/>
        <w:spacing w:after="0"/>
        <w:tabs>
          <w:tab w:leader="none" w:pos="720" w:val="left"/>
        </w:tabs>
        <w:numPr>
          <w:ilvl w:val="0"/>
          <w:numId w:val="100"/>
        </w:numPr>
        <w:rPr>
          <w:rFonts w:ascii="Arial" w:cs="Arial" w:eastAsia="Arial" w:hAnsi="Arial"/>
          <w:sz w:val="24"/>
          <w:szCs w:val="24"/>
          <w:color w:val="auto"/>
        </w:rPr>
      </w:pPr>
      <w:r>
        <w:rPr>
          <w:rFonts w:ascii="Arial" w:cs="Arial" w:eastAsia="Arial" w:hAnsi="Arial"/>
          <w:sz w:val="20"/>
          <w:szCs w:val="20"/>
          <w:color w:val="auto"/>
        </w:rPr>
        <w:t>merge, consolidate with, or sell all or substantially all our assets to another person;</w:t>
      </w:r>
    </w:p>
    <w:p>
      <w:pPr>
        <w:spacing w:after="0" w:line="72" w:lineRule="exact"/>
        <w:rPr>
          <w:rFonts w:ascii="Arial" w:cs="Arial" w:eastAsia="Arial" w:hAnsi="Arial"/>
          <w:sz w:val="24"/>
          <w:szCs w:val="24"/>
          <w:color w:val="auto"/>
        </w:rPr>
      </w:pPr>
    </w:p>
    <w:p>
      <w:pPr>
        <w:ind w:left="720" w:hanging="360"/>
        <w:spacing w:after="0"/>
        <w:tabs>
          <w:tab w:leader="none" w:pos="720" w:val="left"/>
        </w:tabs>
        <w:numPr>
          <w:ilvl w:val="0"/>
          <w:numId w:val="100"/>
        </w:numPr>
        <w:rPr>
          <w:rFonts w:ascii="Arial" w:cs="Arial" w:eastAsia="Arial" w:hAnsi="Arial"/>
          <w:sz w:val="24"/>
          <w:szCs w:val="24"/>
          <w:color w:val="auto"/>
        </w:rPr>
      </w:pPr>
      <w:r>
        <w:rPr>
          <w:rFonts w:ascii="Arial" w:cs="Arial" w:eastAsia="Arial" w:hAnsi="Arial"/>
          <w:sz w:val="20"/>
          <w:szCs w:val="20"/>
          <w:color w:val="auto"/>
        </w:rPr>
        <w:t>enter into transactions with affiliates;</w:t>
      </w:r>
    </w:p>
    <w:p>
      <w:pPr>
        <w:spacing w:after="0" w:line="72" w:lineRule="exact"/>
        <w:rPr>
          <w:rFonts w:ascii="Arial" w:cs="Arial" w:eastAsia="Arial" w:hAnsi="Arial"/>
          <w:sz w:val="24"/>
          <w:szCs w:val="24"/>
          <w:color w:val="auto"/>
        </w:rPr>
      </w:pPr>
    </w:p>
    <w:p>
      <w:pPr>
        <w:ind w:left="720" w:hanging="360"/>
        <w:spacing w:after="0"/>
        <w:tabs>
          <w:tab w:leader="none" w:pos="720" w:val="left"/>
        </w:tabs>
        <w:numPr>
          <w:ilvl w:val="0"/>
          <w:numId w:val="100"/>
        </w:numPr>
        <w:rPr>
          <w:rFonts w:ascii="Arial" w:cs="Arial" w:eastAsia="Arial" w:hAnsi="Arial"/>
          <w:sz w:val="24"/>
          <w:szCs w:val="24"/>
          <w:color w:val="auto"/>
        </w:rPr>
      </w:pPr>
      <w:r>
        <w:rPr>
          <w:rFonts w:ascii="Arial" w:cs="Arial" w:eastAsia="Arial" w:hAnsi="Arial"/>
          <w:sz w:val="20"/>
          <w:szCs w:val="20"/>
          <w:color w:val="auto"/>
        </w:rPr>
        <w:t>enter into agreements that restrict distributions from our subsidiaries;</w:t>
      </w:r>
    </w:p>
    <w:p>
      <w:pPr>
        <w:spacing w:after="0" w:line="72" w:lineRule="exact"/>
        <w:rPr>
          <w:rFonts w:ascii="Arial" w:cs="Arial" w:eastAsia="Arial" w:hAnsi="Arial"/>
          <w:sz w:val="24"/>
          <w:szCs w:val="24"/>
          <w:color w:val="auto"/>
        </w:rPr>
      </w:pPr>
    </w:p>
    <w:p>
      <w:pPr>
        <w:ind w:left="720" w:hanging="360"/>
        <w:spacing w:after="0"/>
        <w:tabs>
          <w:tab w:leader="none" w:pos="720" w:val="left"/>
        </w:tabs>
        <w:numPr>
          <w:ilvl w:val="0"/>
          <w:numId w:val="100"/>
        </w:numPr>
        <w:rPr>
          <w:rFonts w:ascii="Arial" w:cs="Arial" w:eastAsia="Arial" w:hAnsi="Arial"/>
          <w:sz w:val="24"/>
          <w:szCs w:val="24"/>
          <w:color w:val="auto"/>
        </w:rPr>
      </w:pPr>
      <w:r>
        <w:rPr>
          <w:rFonts w:ascii="Arial" w:cs="Arial" w:eastAsia="Arial" w:hAnsi="Arial"/>
          <w:sz w:val="20"/>
          <w:szCs w:val="20"/>
          <w:color w:val="auto"/>
        </w:rPr>
        <w:t>designate subsidiaries as unrestricted subsidiaries; and</w:t>
      </w:r>
    </w:p>
    <w:p>
      <w:pPr>
        <w:spacing w:after="0" w:line="82" w:lineRule="exact"/>
        <w:rPr>
          <w:rFonts w:ascii="Arial" w:cs="Arial" w:eastAsia="Arial" w:hAnsi="Arial"/>
          <w:sz w:val="24"/>
          <w:szCs w:val="24"/>
          <w:color w:val="auto"/>
        </w:rPr>
      </w:pPr>
    </w:p>
    <w:p>
      <w:pPr>
        <w:ind w:left="720" w:right="280" w:hanging="360"/>
        <w:spacing w:after="0" w:line="289" w:lineRule="auto"/>
        <w:tabs>
          <w:tab w:leader="none" w:pos="720" w:val="left"/>
        </w:tabs>
        <w:numPr>
          <w:ilvl w:val="0"/>
          <w:numId w:val="100"/>
        </w:numPr>
        <w:rPr>
          <w:rFonts w:ascii="Arial" w:cs="Arial" w:eastAsia="Arial" w:hAnsi="Arial"/>
          <w:sz w:val="24"/>
          <w:szCs w:val="24"/>
          <w:color w:val="auto"/>
        </w:rPr>
      </w:pPr>
      <w:r>
        <w:rPr>
          <w:rFonts w:ascii="Arial" w:cs="Arial" w:eastAsia="Arial" w:hAnsi="Arial"/>
          <w:sz w:val="20"/>
          <w:szCs w:val="20"/>
          <w:color w:val="auto"/>
        </w:rPr>
        <w:t>prohibit certain restrictions on the ability of restricted subsidiaries to pay dividends or make other payments to us.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These covenants may:</w:t>
      </w:r>
    </w:p>
    <w:p>
      <w:pPr>
        <w:spacing w:after="0" w:line="159" w:lineRule="exact"/>
        <w:rPr>
          <w:sz w:val="20"/>
          <w:szCs w:val="20"/>
          <w:color w:val="auto"/>
        </w:rPr>
      </w:pPr>
    </w:p>
    <w:p>
      <w:pPr>
        <w:ind w:left="720" w:right="1060" w:hanging="360"/>
        <w:spacing w:after="0" w:line="282" w:lineRule="auto"/>
        <w:tabs>
          <w:tab w:leader="none" w:pos="720" w:val="left"/>
        </w:tabs>
        <w:numPr>
          <w:ilvl w:val="0"/>
          <w:numId w:val="101"/>
        </w:numPr>
        <w:rPr>
          <w:rFonts w:ascii="Arial" w:cs="Arial" w:eastAsia="Arial" w:hAnsi="Arial"/>
          <w:sz w:val="24"/>
          <w:szCs w:val="24"/>
          <w:color w:val="auto"/>
        </w:rPr>
      </w:pPr>
      <w:r>
        <w:rPr>
          <w:rFonts w:ascii="Arial" w:cs="Arial" w:eastAsia="Arial" w:hAnsi="Arial"/>
          <w:sz w:val="20"/>
          <w:szCs w:val="20"/>
          <w:color w:val="auto"/>
        </w:rPr>
        <w:t>limit our ability to borrow additional funds for working capital, capital expenditures, acquisitions, or other general business purposes;</w:t>
      </w:r>
    </w:p>
    <w:p>
      <w:pPr>
        <w:spacing w:after="0" w:line="41" w:lineRule="exact"/>
        <w:rPr>
          <w:rFonts w:ascii="Arial" w:cs="Arial" w:eastAsia="Arial" w:hAnsi="Arial"/>
          <w:sz w:val="24"/>
          <w:szCs w:val="24"/>
          <w:color w:val="auto"/>
        </w:rPr>
      </w:pPr>
    </w:p>
    <w:p>
      <w:pPr>
        <w:ind w:left="720" w:right="300" w:hanging="360"/>
        <w:spacing w:after="0" w:line="282" w:lineRule="auto"/>
        <w:tabs>
          <w:tab w:leader="none" w:pos="720" w:val="left"/>
        </w:tabs>
        <w:numPr>
          <w:ilvl w:val="0"/>
          <w:numId w:val="101"/>
        </w:numPr>
        <w:rPr>
          <w:rFonts w:ascii="Arial" w:cs="Arial" w:eastAsia="Arial" w:hAnsi="Arial"/>
          <w:sz w:val="24"/>
          <w:szCs w:val="24"/>
          <w:color w:val="auto"/>
        </w:rPr>
      </w:pPr>
      <w:r>
        <w:rPr>
          <w:rFonts w:ascii="Arial" w:cs="Arial" w:eastAsia="Arial" w:hAnsi="Arial"/>
          <w:sz w:val="20"/>
          <w:szCs w:val="20"/>
          <w:color w:val="auto"/>
        </w:rPr>
        <w:t>limit our ability to use our cash flow or obtain additional financing for future working capital, capital expenditures, acquisitions, or other general business purposes;</w:t>
      </w:r>
    </w:p>
    <w:p>
      <w:pPr>
        <w:spacing w:after="0" w:line="41" w:lineRule="exact"/>
        <w:rPr>
          <w:rFonts w:ascii="Arial" w:cs="Arial" w:eastAsia="Arial" w:hAnsi="Arial"/>
          <w:sz w:val="24"/>
          <w:szCs w:val="24"/>
          <w:color w:val="auto"/>
        </w:rPr>
      </w:pPr>
    </w:p>
    <w:p>
      <w:pPr>
        <w:ind w:left="720" w:right="140" w:hanging="360"/>
        <w:spacing w:after="0" w:line="282" w:lineRule="auto"/>
        <w:tabs>
          <w:tab w:leader="none" w:pos="720" w:val="left"/>
        </w:tabs>
        <w:numPr>
          <w:ilvl w:val="0"/>
          <w:numId w:val="101"/>
        </w:numPr>
        <w:rPr>
          <w:rFonts w:ascii="Arial" w:cs="Arial" w:eastAsia="Arial" w:hAnsi="Arial"/>
          <w:sz w:val="24"/>
          <w:szCs w:val="24"/>
          <w:color w:val="auto"/>
        </w:rPr>
      </w:pPr>
      <w:r>
        <w:rPr>
          <w:rFonts w:ascii="Arial" w:cs="Arial" w:eastAsia="Arial" w:hAnsi="Arial"/>
          <w:sz w:val="20"/>
          <w:szCs w:val="20"/>
          <w:color w:val="auto"/>
        </w:rPr>
        <w:t>require us to use a substantial portion of our cash flow from operations to make debt service payments;</w:t>
      </w:r>
    </w:p>
    <w:p>
      <w:pPr>
        <w:spacing w:after="0" w:line="30" w:lineRule="exact"/>
        <w:rPr>
          <w:rFonts w:ascii="Arial" w:cs="Arial" w:eastAsia="Arial" w:hAnsi="Arial"/>
          <w:sz w:val="24"/>
          <w:szCs w:val="24"/>
          <w:color w:val="auto"/>
        </w:rPr>
      </w:pPr>
    </w:p>
    <w:p>
      <w:pPr>
        <w:ind w:left="720" w:hanging="360"/>
        <w:spacing w:after="0"/>
        <w:tabs>
          <w:tab w:leader="none" w:pos="720" w:val="left"/>
        </w:tabs>
        <w:numPr>
          <w:ilvl w:val="0"/>
          <w:numId w:val="101"/>
        </w:numPr>
        <w:rPr>
          <w:rFonts w:ascii="Arial" w:cs="Arial" w:eastAsia="Arial" w:hAnsi="Arial"/>
          <w:sz w:val="24"/>
          <w:szCs w:val="24"/>
          <w:color w:val="auto"/>
        </w:rPr>
      </w:pPr>
      <w:r>
        <w:rPr>
          <w:rFonts w:ascii="Arial" w:cs="Arial" w:eastAsia="Arial" w:hAnsi="Arial"/>
          <w:sz w:val="20"/>
          <w:szCs w:val="20"/>
          <w:color w:val="auto"/>
        </w:rPr>
        <w:t>limit our flexibility to plan for, or react to, changes in our business and industry;</w:t>
      </w:r>
    </w:p>
    <w:p>
      <w:pPr>
        <w:spacing w:after="0" w:line="72" w:lineRule="exact"/>
        <w:rPr>
          <w:rFonts w:ascii="Arial" w:cs="Arial" w:eastAsia="Arial" w:hAnsi="Arial"/>
          <w:sz w:val="24"/>
          <w:szCs w:val="24"/>
          <w:color w:val="auto"/>
        </w:rPr>
      </w:pPr>
    </w:p>
    <w:p>
      <w:pPr>
        <w:ind w:left="720" w:hanging="360"/>
        <w:spacing w:after="0"/>
        <w:tabs>
          <w:tab w:leader="none" w:pos="720" w:val="left"/>
        </w:tabs>
        <w:numPr>
          <w:ilvl w:val="0"/>
          <w:numId w:val="101"/>
        </w:numPr>
        <w:rPr>
          <w:rFonts w:ascii="Arial" w:cs="Arial" w:eastAsia="Arial" w:hAnsi="Arial"/>
          <w:sz w:val="24"/>
          <w:szCs w:val="24"/>
          <w:color w:val="auto"/>
        </w:rPr>
      </w:pPr>
      <w:r>
        <w:rPr>
          <w:rFonts w:ascii="Arial" w:cs="Arial" w:eastAsia="Arial" w:hAnsi="Arial"/>
          <w:sz w:val="20"/>
          <w:szCs w:val="20"/>
          <w:color w:val="auto"/>
        </w:rPr>
        <w:t>place us at a competitive disadvantage compared to less leveraged competitors; and</w:t>
      </w:r>
    </w:p>
    <w:p>
      <w:pPr>
        <w:spacing w:after="0" w:line="72" w:lineRule="exact"/>
        <w:rPr>
          <w:rFonts w:ascii="Arial" w:cs="Arial" w:eastAsia="Arial" w:hAnsi="Arial"/>
          <w:sz w:val="24"/>
          <w:szCs w:val="24"/>
          <w:color w:val="auto"/>
        </w:rPr>
      </w:pPr>
    </w:p>
    <w:p>
      <w:pPr>
        <w:ind w:left="720" w:hanging="360"/>
        <w:spacing w:after="0"/>
        <w:tabs>
          <w:tab w:leader="none" w:pos="720" w:val="left"/>
        </w:tabs>
        <w:numPr>
          <w:ilvl w:val="0"/>
          <w:numId w:val="101"/>
        </w:numPr>
        <w:rPr>
          <w:rFonts w:ascii="Arial" w:cs="Arial" w:eastAsia="Arial" w:hAnsi="Arial"/>
          <w:sz w:val="24"/>
          <w:szCs w:val="24"/>
          <w:color w:val="auto"/>
        </w:rPr>
      </w:pPr>
      <w:r>
        <w:rPr>
          <w:rFonts w:ascii="Arial" w:cs="Arial" w:eastAsia="Arial" w:hAnsi="Arial"/>
          <w:sz w:val="20"/>
          <w:szCs w:val="20"/>
          <w:color w:val="auto"/>
        </w:rPr>
        <w:t>increase our vulnerability to the impact of adverse economic and industry conditions.</w:t>
      </w:r>
    </w:p>
    <w:p>
      <w:pPr>
        <w:spacing w:after="0" w:line="234" w:lineRule="exact"/>
        <w:rPr>
          <w:sz w:val="20"/>
          <w:szCs w:val="20"/>
          <w:color w:val="auto"/>
        </w:rPr>
      </w:pPr>
    </w:p>
    <w:p>
      <w:pPr>
        <w:jc w:val="both"/>
        <w:ind w:right="160" w:firstLine="360"/>
        <w:spacing w:after="0" w:line="268" w:lineRule="auto"/>
        <w:rPr>
          <w:sz w:val="20"/>
          <w:szCs w:val="20"/>
          <w:color w:val="auto"/>
        </w:rPr>
      </w:pPr>
      <w:r>
        <w:rPr>
          <w:rFonts w:ascii="Arial" w:cs="Arial" w:eastAsia="Arial" w:hAnsi="Arial"/>
          <w:sz w:val="20"/>
          <w:szCs w:val="20"/>
          <w:color w:val="auto"/>
        </w:rPr>
        <w:t>If we are unable to successfully manage the limitations and decreased flexibility on our business due to our significant debt obligations, we may not be able to capitalize on strategic opportunities or grow our business to the extent we would be able to without these limitations.</w:t>
      </w:r>
    </w:p>
    <w:p>
      <w:pPr>
        <w:spacing w:after="0" w:line="190" w:lineRule="exact"/>
        <w:rPr>
          <w:sz w:val="20"/>
          <w:szCs w:val="20"/>
          <w:color w:val="auto"/>
        </w:rPr>
      </w:pPr>
    </w:p>
    <w:p>
      <w:pPr>
        <w:ind w:right="220" w:firstLine="360"/>
        <w:spacing w:after="0" w:line="273" w:lineRule="auto"/>
        <w:rPr>
          <w:sz w:val="20"/>
          <w:szCs w:val="20"/>
          <w:color w:val="auto"/>
        </w:rPr>
      </w:pPr>
      <w:r>
        <w:rPr>
          <w:rFonts w:ascii="Arial" w:cs="Arial" w:eastAsia="Arial" w:hAnsi="Arial"/>
          <w:sz w:val="19"/>
          <w:szCs w:val="19"/>
          <w:color w:val="auto"/>
        </w:rPr>
        <w:t>Our failure to comply with any of the covenants could result in a default under the Credit Agreement, which could permit the administrative agent or the lenders to cause the administrative agent to declare all or part of any of our outstanding senior secured term loans or revolving loans to be immediately due and payable or to exercise any remedies provided to the administrative agent, including, proceeding against the collateral granted to secure our obligations under the Credit Agreement. An event of default under the Credit Agreement could also lead to a default under the</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880" w:h="15480" w:orient="portrait"/>
          <w:cols w:equalWidth="0" w:num="1">
            <w:col w:w="9000"/>
          </w:cols>
          <w:pgMar w:left="1440" w:top="1204" w:right="1440" w:bottom="0" w:gutter="0" w:footer="0" w:header="0"/>
          <w:type w:val="continuous"/>
        </w:sectPr>
      </w:pPr>
    </w:p>
    <w:bookmarkStart w:id="127" w:name="page128"/>
    <w:bookmarkEnd w:id="127"/>
    <w:p>
      <w:pPr>
        <w:ind w:right="520"/>
        <w:spacing w:after="0" w:line="287" w:lineRule="auto"/>
        <w:rPr>
          <w:sz w:val="20"/>
          <w:szCs w:val="20"/>
          <w:color w:val="auto"/>
        </w:rPr>
      </w:pPr>
      <w:r>
        <w:rPr>
          <w:rFonts w:ascii="Arial" w:cs="Arial" w:eastAsia="Arial" w:hAnsi="Arial"/>
          <w:sz w:val="20"/>
          <w:szCs w:val="20"/>
          <w:color w:val="auto"/>
        </w:rPr>
        <w:t>terms of certain of our other agreements. Any such event of default or any exercise of rights and remedies by our creditors could seriously harm our business.</w:t>
      </w:r>
    </w:p>
    <w:p>
      <w:pPr>
        <w:spacing w:after="0" w:line="171" w:lineRule="exact"/>
        <w:rPr>
          <w:sz w:val="20"/>
          <w:szCs w:val="20"/>
          <w:color w:val="auto"/>
        </w:rPr>
      </w:pPr>
    </w:p>
    <w:p>
      <w:pPr>
        <w:ind w:right="960" w:firstLine="360"/>
        <w:spacing w:after="0" w:line="296" w:lineRule="auto"/>
        <w:rPr>
          <w:sz w:val="20"/>
          <w:szCs w:val="20"/>
          <w:color w:val="auto"/>
        </w:rPr>
      </w:pPr>
      <w:r>
        <w:rPr>
          <w:rFonts w:ascii="Arial" w:cs="Arial" w:eastAsia="Arial" w:hAnsi="Arial"/>
          <w:sz w:val="20"/>
          <w:szCs w:val="20"/>
          <w:b w:val="1"/>
          <w:bCs w:val="1"/>
          <w:i w:val="1"/>
          <w:iCs w:val="1"/>
          <w:color w:val="auto"/>
        </w:rPr>
        <w:t>The phase-out, replacement or unavailability of LIBOR could adversely affect our indebtedness.</w:t>
      </w:r>
    </w:p>
    <w:p>
      <w:pPr>
        <w:spacing w:after="0" w:line="152" w:lineRule="exact"/>
        <w:rPr>
          <w:sz w:val="20"/>
          <w:szCs w:val="20"/>
          <w:color w:val="auto"/>
        </w:rPr>
      </w:pPr>
    </w:p>
    <w:p>
      <w:pPr>
        <w:ind w:right="80" w:firstLine="360"/>
        <w:spacing w:after="0" w:line="253" w:lineRule="auto"/>
        <w:rPr>
          <w:sz w:val="20"/>
          <w:szCs w:val="20"/>
          <w:color w:val="auto"/>
        </w:rPr>
      </w:pPr>
      <w:r>
        <w:rPr>
          <w:rFonts w:ascii="Arial" w:cs="Arial" w:eastAsia="Arial" w:hAnsi="Arial"/>
          <w:sz w:val="20"/>
          <w:szCs w:val="20"/>
          <w:color w:val="auto"/>
        </w:rPr>
        <w:t>Loans under the Credit Agreement bear interest at a rate based on the London Interbank Offered Rate, or LIBOR. On July 27, 2017, the U.K. Financial Conduct Authority, or the FCA, announced that it will no longer require banks to submit rates for the calculation of LIBOR after 2021. However, the cessation date has been deferred to June 30, 2023 for the most commonly used tenors in U.S. dollar LIBOR (i.e., overnight and one, three and six months). This extension to 2023 means that many legacy U.S. dollar LIBOR contracts would terminate before related LIBOR rates cease to be published. In the meantime, actions by the FCA, other regulators, or law enforcement agencies may result in changes to the method by which LIBOR is calculated. If changes to LIBOR result in an increase in rates, our interest expense under the Credit Agreement would increase. Further, if LIBOR is no longer available, our Credit Agreement will be subject to the Secured Overnight Financing Rate, or SOFR, and if SOFR is higher than LIBOR, our interest expense under the Credit Agreement would increase.</w:t>
      </w:r>
    </w:p>
    <w:p>
      <w:pPr>
        <w:spacing w:after="0" w:line="212" w:lineRule="exact"/>
        <w:rPr>
          <w:sz w:val="20"/>
          <w:szCs w:val="20"/>
          <w:color w:val="auto"/>
        </w:rPr>
      </w:pPr>
    </w:p>
    <w:p>
      <w:pPr>
        <w:ind w:right="260" w:firstLine="360"/>
        <w:spacing w:after="0" w:line="257" w:lineRule="auto"/>
        <w:rPr>
          <w:sz w:val="20"/>
          <w:szCs w:val="20"/>
          <w:color w:val="auto"/>
        </w:rPr>
      </w:pPr>
      <w:r>
        <w:rPr>
          <w:rFonts w:ascii="Arial" w:cs="Arial" w:eastAsia="Arial" w:hAnsi="Arial"/>
          <w:sz w:val="20"/>
          <w:szCs w:val="20"/>
          <w:b w:val="1"/>
          <w:bCs w:val="1"/>
          <w:i w:val="1"/>
          <w:iCs w:val="1"/>
          <w:color w:val="auto"/>
        </w:rPr>
        <w:t>The nature of our business requires the application of complex accounting rules and regulations and public reporting and corporate governance requirements. If there are significant changes in current principles, financial reporting standards, interpretations or public reporting and corporate governance requirements, or if our estimates or judgments relating to our critical accounting policies or reporting or governance requirements prove to be incorrect, we may experience unexpected financial reporting fluctuations or increased compliance costs and strain on our resources and our results of operations could be adversely affected.</w:t>
      </w:r>
    </w:p>
    <w:p>
      <w:pPr>
        <w:spacing w:after="0" w:line="189" w:lineRule="exact"/>
        <w:rPr>
          <w:sz w:val="20"/>
          <w:szCs w:val="20"/>
          <w:color w:val="auto"/>
        </w:rPr>
      </w:pPr>
    </w:p>
    <w:p>
      <w:pPr>
        <w:ind w:right="140" w:firstLine="360"/>
        <w:spacing w:after="0" w:line="257" w:lineRule="auto"/>
        <w:rPr>
          <w:sz w:val="20"/>
          <w:szCs w:val="20"/>
          <w:color w:val="auto"/>
        </w:rPr>
      </w:pPr>
      <w:r>
        <w:rPr>
          <w:rFonts w:ascii="Arial" w:cs="Arial" w:eastAsia="Arial" w:hAnsi="Arial"/>
          <w:sz w:val="20"/>
          <w:szCs w:val="20"/>
          <w:color w:val="auto"/>
        </w:rPr>
        <w:t>The accounting rules and regulations that we must comply with are complex and subject to interpretation by the Financial Accounting Standards Board, the Securities and Exchange Commission, or SEC, and various bodies formed to promulgate and interpret appropriate accounting principles. In addition, many companies’ accounting disclosures are being subjected to heightened scrutiny by regulators and the public. Further, the accounting rules and regulations are continually changing in ways that could impact our financial statements.</w:t>
      </w:r>
    </w:p>
    <w:p>
      <w:pPr>
        <w:spacing w:after="0" w:line="202" w:lineRule="exact"/>
        <w:rPr>
          <w:sz w:val="20"/>
          <w:szCs w:val="20"/>
          <w:color w:val="auto"/>
        </w:rPr>
      </w:pPr>
    </w:p>
    <w:p>
      <w:pPr>
        <w:ind w:firstLine="360"/>
        <w:spacing w:after="0" w:line="253" w:lineRule="auto"/>
        <w:rPr>
          <w:sz w:val="20"/>
          <w:szCs w:val="20"/>
          <w:color w:val="auto"/>
        </w:rPr>
      </w:pPr>
      <w:r>
        <w:rPr>
          <w:rFonts w:ascii="Arial" w:cs="Arial" w:eastAsia="Arial" w:hAnsi="Arial"/>
          <w:sz w:val="20"/>
          <w:szCs w:val="20"/>
          <w:color w:val="auto"/>
        </w:rPr>
        <w:t>The preparation of financial statements in conformity with generally accepted accounting principles in the United States, or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of this report titled “Management’s Discussion and Analysis of Financial Condition and Results of Operations.” Significant assumptions and estimates used in preparing our consolidated financial statements include the determination of the estimated economic life of perpetual licenses for revenue recognition, the estimated period of benefit for deferred commissions, useful lives of long-lived assets, the valuation of stock-based compensation, the incremental borrowing rate for operating leases, and the valuation of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206" w:lineRule="exact"/>
        <w:rPr>
          <w:sz w:val="20"/>
          <w:szCs w:val="20"/>
          <w:color w:val="auto"/>
        </w:rPr>
      </w:pPr>
    </w:p>
    <w:p>
      <w:pPr>
        <w:ind w:right="400" w:firstLine="360"/>
        <w:spacing w:after="0" w:line="314" w:lineRule="auto"/>
        <w:rPr>
          <w:sz w:val="20"/>
          <w:szCs w:val="20"/>
          <w:color w:val="auto"/>
        </w:rPr>
      </w:pPr>
      <w:r>
        <w:rPr>
          <w:rFonts w:ascii="Arial" w:cs="Arial" w:eastAsia="Arial" w:hAnsi="Arial"/>
          <w:sz w:val="19"/>
          <w:szCs w:val="19"/>
          <w:color w:val="auto"/>
        </w:rPr>
        <w:t>As a public company, we are also subject to the reporting and corporate governance requirements of the Exchange Act, the listing requirements of the Nasdaq Stock Market and other</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880" w:h="15480" w:orient="portrait"/>
          <w:cols w:equalWidth="0" w:num="1">
            <w:col w:w="9000"/>
          </w:cols>
          <w:pgMar w:left="1440" w:top="1204" w:right="1440" w:bottom="0" w:gutter="0" w:footer="0" w:header="0"/>
          <w:type w:val="continuous"/>
        </w:sectPr>
      </w:pPr>
    </w:p>
    <w:bookmarkStart w:id="128" w:name="page129"/>
    <w:bookmarkEnd w:id="128"/>
    <w:p>
      <w:pPr>
        <w:ind w:right="400"/>
        <w:spacing w:after="0" w:line="262" w:lineRule="auto"/>
        <w:rPr>
          <w:sz w:val="20"/>
          <w:szCs w:val="20"/>
          <w:color w:val="auto"/>
        </w:rPr>
      </w:pPr>
      <w:r>
        <w:rPr>
          <w:rFonts w:ascii="Arial" w:cs="Arial" w:eastAsia="Arial" w:hAnsi="Arial"/>
          <w:sz w:val="20"/>
          <w:szCs w:val="20"/>
          <w:color w:val="auto"/>
        </w:rPr>
        <w:t>applicable securities rules and regulations, including the Sarbanes-Oxley Act and the Dodd-Frank Wall Street Reform and Consumer Protection Act. Compliance with these rules and regulations increases our legal and financial compliance costs, makes some activities more difficult, time-consuming or costly and increases demand on our systems and resources.</w:t>
      </w:r>
    </w:p>
    <w:p>
      <w:pPr>
        <w:spacing w:after="0" w:line="196" w:lineRule="exact"/>
        <w:rPr>
          <w:sz w:val="20"/>
          <w:szCs w:val="20"/>
          <w:color w:val="auto"/>
        </w:rPr>
      </w:pPr>
    </w:p>
    <w:p>
      <w:pPr>
        <w:ind w:right="20" w:firstLine="360"/>
        <w:spacing w:after="0" w:line="253" w:lineRule="auto"/>
        <w:rPr>
          <w:sz w:val="20"/>
          <w:szCs w:val="20"/>
          <w:color w:val="auto"/>
        </w:rPr>
      </w:pPr>
      <w:r>
        <w:rPr>
          <w:rFonts w:ascii="Arial" w:cs="Arial" w:eastAsia="Arial" w:hAnsi="Arial"/>
          <w:sz w:val="20"/>
          <w:szCs w:val="20"/>
          <w:color w:val="auto"/>
        </w:rPr>
        <w:t>Additionally, we regularly monitor our compliance with applicable financial reporting standards and SEC and applicable listing standard requirements and review new pronouncements, drafts and interpretations thereof that are relevant to us. We might be required to change our accounting policies, alter our operational policies and implement new or enhance existing systems, or we may be required to restate our published financial statements, as a result of new standards or requirements, changes to existing standards or requirements and changes in their interpretation. Such changes to existing standards or requirements or changes in their interpretation may have an adverse effect on our reputation, business, financial position and profit, or cause an adverse deviation from our revenue and operating profit target, which may negatively impact our financial results. Additionally, we may incur substantial professional fees and expend significant management efforts, and we may need to hire additional staff with the appropriate experience and compile systems and processes necessary to adopt these new standards and disclosure or governance requirements.</w:t>
      </w:r>
    </w:p>
    <w:p>
      <w:pPr>
        <w:spacing w:after="0" w:line="212" w:lineRule="exact"/>
        <w:rPr>
          <w:sz w:val="20"/>
          <w:szCs w:val="20"/>
          <w:color w:val="auto"/>
        </w:rPr>
      </w:pPr>
    </w:p>
    <w:p>
      <w:pPr>
        <w:ind w:right="280" w:firstLine="360"/>
        <w:spacing w:after="0" w:line="296" w:lineRule="auto"/>
        <w:rPr>
          <w:sz w:val="20"/>
          <w:szCs w:val="20"/>
          <w:color w:val="auto"/>
        </w:rPr>
      </w:pPr>
      <w:r>
        <w:rPr>
          <w:rFonts w:ascii="Arial" w:cs="Arial" w:eastAsia="Arial" w:hAnsi="Arial"/>
          <w:sz w:val="20"/>
          <w:szCs w:val="20"/>
          <w:b w:val="1"/>
          <w:bCs w:val="1"/>
          <w:i w:val="1"/>
          <w:iCs w:val="1"/>
          <w:color w:val="auto"/>
        </w:rPr>
        <w:t>Unstable market and economic conditions may have material adverse consequences on our business, financial condition and share price.</w:t>
      </w:r>
    </w:p>
    <w:p>
      <w:pPr>
        <w:spacing w:after="0" w:line="152" w:lineRule="exact"/>
        <w:rPr>
          <w:sz w:val="20"/>
          <w:szCs w:val="20"/>
          <w:color w:val="auto"/>
        </w:rPr>
      </w:pPr>
    </w:p>
    <w:p>
      <w:pPr>
        <w:ind w:right="80" w:firstLine="360"/>
        <w:spacing w:after="0" w:line="253" w:lineRule="auto"/>
        <w:rPr>
          <w:sz w:val="20"/>
          <w:szCs w:val="20"/>
          <w:color w:val="auto"/>
        </w:rPr>
      </w:pPr>
      <w:r>
        <w:rPr>
          <w:rFonts w:ascii="Arial" w:cs="Arial" w:eastAsia="Arial" w:hAnsi="Arial"/>
          <w:sz w:val="20"/>
          <w:szCs w:val="20"/>
          <w:color w:val="auto"/>
        </w:rPr>
        <w:t>The global economy, including credit and financial markets, has recently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For example, in recent years the COVID-19 pandemic, decades-high inflation and concerns about an economic recession in the United States or other major markets resulted in widespread unemployment, economic slowdown and extreme volatility in the capital markets. The Federal Reserve recently raised interest rates multiple times in response to concerns about inflation and is expected to continue to raise rates. Higher interest rates, coupled with reduced government spending and volatility in financial markets, including with respect to foreign exchange, may increase economic uncertainty and affect consumer spending. For example, during periods with a relatively strong U.S. dollar, our products are more expensive for existing and prospective international customers, which has impacted, and could in the future impact, the budgets and purchasing decisions of certain of our existing and prospective international customers.</w:t>
      </w:r>
    </w:p>
    <w:p>
      <w:pPr>
        <w:spacing w:after="0" w:line="206" w:lineRule="exact"/>
        <w:rPr>
          <w:sz w:val="20"/>
          <w:szCs w:val="20"/>
          <w:color w:val="auto"/>
        </w:rPr>
      </w:pPr>
    </w:p>
    <w:p>
      <w:pPr>
        <w:ind w:right="20" w:firstLine="360"/>
        <w:spacing w:after="0" w:line="255" w:lineRule="auto"/>
        <w:rPr>
          <w:sz w:val="20"/>
          <w:szCs w:val="20"/>
          <w:color w:val="auto"/>
        </w:rPr>
      </w:pPr>
      <w:r>
        <w:rPr>
          <w:rFonts w:ascii="Arial" w:cs="Arial" w:eastAsia="Arial" w:hAnsi="Arial"/>
          <w:sz w:val="20"/>
          <w:szCs w:val="20"/>
          <w:color w:val="auto"/>
        </w:rPr>
        <w:t>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In addition, higher inflation also could increase our customers’ operating costs, which could result in reduced budgets for our customers, longer sales cycles and potentially less demand for our products. Any significant increases in inflation and related increase in interest rates could have a material adverse effect on our business, results of operations and financial condition.</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Catastrophic events may disrupt our business.</w:t>
      </w:r>
    </w:p>
    <w:p>
      <w:pPr>
        <w:spacing w:after="0" w:line="249" w:lineRule="exact"/>
        <w:rPr>
          <w:sz w:val="20"/>
          <w:szCs w:val="20"/>
          <w:color w:val="auto"/>
        </w:rPr>
      </w:pPr>
    </w:p>
    <w:p>
      <w:pPr>
        <w:ind w:right="340" w:firstLine="360"/>
        <w:spacing w:after="0" w:line="262" w:lineRule="auto"/>
        <w:rPr>
          <w:sz w:val="20"/>
          <w:szCs w:val="20"/>
          <w:color w:val="auto"/>
        </w:rPr>
      </w:pPr>
      <w:r>
        <w:rPr>
          <w:rFonts w:ascii="Arial" w:cs="Arial" w:eastAsia="Arial" w:hAnsi="Arial"/>
          <w:sz w:val="20"/>
          <w:szCs w:val="20"/>
          <w:color w:val="auto"/>
        </w:rPr>
        <w:t>Our corporate headquarters are located in Columbia, Maryland. The area around Washington, D.C. could be subject to terrorist attacks. Additionally, we rely on our network and third-party infrastructure and enterprise applications, internal technology systems and our website for our development, marketing, operational support, hosted services and sales activities.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880" w:h="15480" w:orient="portrait"/>
          <w:cols w:equalWidth="0" w:num="1">
            <w:col w:w="9000"/>
          </w:cols>
          <w:pgMar w:left="1440" w:top="1204" w:right="1440" w:bottom="0" w:gutter="0" w:footer="0" w:header="0"/>
          <w:type w:val="continuous"/>
        </w:sectPr>
      </w:pPr>
    </w:p>
    <w:bookmarkStart w:id="129" w:name="page130"/>
    <w:bookmarkEnd w:id="129"/>
    <w:p>
      <w:pPr>
        <w:ind w:right="40" w:firstLine="360"/>
        <w:spacing w:after="0" w:line="254" w:lineRule="auto"/>
        <w:rPr>
          <w:sz w:val="20"/>
          <w:szCs w:val="20"/>
          <w:color w:val="auto"/>
        </w:rPr>
      </w:pPr>
      <w:r>
        <w:rPr>
          <w:rFonts w:ascii="Arial" w:cs="Arial" w:eastAsia="Arial" w:hAnsi="Arial"/>
          <w:sz w:val="20"/>
          <w:szCs w:val="20"/>
          <w:color w:val="auto"/>
        </w:rPr>
        <w:t>We have both hybrid remote and in-person work policies, however, substantially all of our employees have continued to work in a hybrid environment, which may pose additional security risks. Our business operations are subject to interruption by natural disasters, including those related to the long-term effects of climate change, and other catastrophic events such as fire, floods, power loss, telecommunications failure, cyberattack, war or terrorist attack, or epidemic or pandemic, such as the COVID-19 pandemic. To the extent such events impact our corporate headquarters, other facilities, or off-premises infrastructure,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spacing w:after="0" w:line="207" w:lineRule="exact"/>
        <w:rPr>
          <w:sz w:val="20"/>
          <w:szCs w:val="20"/>
          <w:color w:val="auto"/>
        </w:rPr>
      </w:pPr>
    </w:p>
    <w:p>
      <w:pPr>
        <w:ind w:right="80" w:firstLine="360"/>
        <w:spacing w:after="0" w:line="273" w:lineRule="auto"/>
        <w:rPr>
          <w:sz w:val="20"/>
          <w:szCs w:val="20"/>
          <w:color w:val="auto"/>
        </w:rPr>
      </w:pPr>
      <w:r>
        <w:rPr>
          <w:rFonts w:ascii="Arial" w:cs="Arial" w:eastAsia="Arial" w:hAnsi="Arial"/>
          <w:sz w:val="20"/>
          <w:szCs w:val="20"/>
          <w:b w:val="1"/>
          <w:bCs w:val="1"/>
          <w:i w:val="1"/>
          <w:iCs w:val="1"/>
          <w:color w:val="auto"/>
        </w:rPr>
        <w:t>Our business, financial condition and results of operations could be materially adversely affected by any negative impact on the global economy and capital markets resulting from the ongoing invasion of Ukraine by Russia or any other geopolitical tensions.</w:t>
      </w:r>
    </w:p>
    <w:p>
      <w:pPr>
        <w:spacing w:after="0" w:line="174" w:lineRule="exact"/>
        <w:rPr>
          <w:sz w:val="20"/>
          <w:szCs w:val="20"/>
          <w:color w:val="auto"/>
        </w:rPr>
      </w:pPr>
    </w:p>
    <w:p>
      <w:pPr>
        <w:ind w:right="100" w:firstLine="360"/>
        <w:spacing w:after="0" w:line="259" w:lineRule="auto"/>
        <w:rPr>
          <w:sz w:val="20"/>
          <w:szCs w:val="20"/>
          <w:color w:val="auto"/>
        </w:rPr>
      </w:pPr>
      <w:r>
        <w:rPr>
          <w:rFonts w:ascii="Arial" w:cs="Arial" w:eastAsia="Arial" w:hAnsi="Arial"/>
          <w:sz w:val="20"/>
          <w:szCs w:val="20"/>
          <w:color w:val="auto"/>
        </w:rPr>
        <w:t>U.S. and global markets are experiencing volatility and disruption following the escalation of geopolitical tensions and the invasion of Ukraine by Russia. Although the length and impact of the ongoing military conflict is highly unpredictable, the conflict in Ukraine has resulted, and could continue to result, in market disruptions, including significant volatility in commodity prices, credit and capital markets, disruption in the energy market as well as supply chain interruptions.</w:t>
      </w:r>
    </w:p>
    <w:p>
      <w:pPr>
        <w:spacing w:after="0" w:line="199" w:lineRule="exact"/>
        <w:rPr>
          <w:sz w:val="20"/>
          <w:szCs w:val="20"/>
          <w:color w:val="auto"/>
        </w:rPr>
      </w:pPr>
    </w:p>
    <w:p>
      <w:pPr>
        <w:ind w:right="340" w:firstLine="360"/>
        <w:spacing w:after="0" w:line="257" w:lineRule="auto"/>
        <w:rPr>
          <w:sz w:val="20"/>
          <w:szCs w:val="20"/>
          <w:color w:val="auto"/>
        </w:rPr>
      </w:pPr>
      <w:r>
        <w:rPr>
          <w:rFonts w:ascii="Arial" w:cs="Arial" w:eastAsia="Arial" w:hAnsi="Arial"/>
          <w:sz w:val="20"/>
          <w:szCs w:val="20"/>
          <w:color w:val="auto"/>
        </w:rPr>
        <w:t>Additionally, the invasion of Ukraine by Russia has led to sanctions and other penalties being levied by the United States, European Union and other countries against Russia and Belarus. Additional potential sanctions and penalties have also been proposed and/or threatened. Russian military actions and the resulting sanctions could adversely affect the global economy, which could impact the budgets and purchasing decisions and processes of certain of our customers and prospective customers.</w:t>
      </w:r>
    </w:p>
    <w:p>
      <w:pPr>
        <w:spacing w:after="0" w:line="202" w:lineRule="exact"/>
        <w:rPr>
          <w:sz w:val="20"/>
          <w:szCs w:val="20"/>
          <w:color w:val="auto"/>
        </w:rPr>
      </w:pPr>
    </w:p>
    <w:p>
      <w:pPr>
        <w:ind w:right="80" w:firstLine="360"/>
        <w:spacing w:after="0" w:line="262" w:lineRule="auto"/>
        <w:rPr>
          <w:sz w:val="20"/>
          <w:szCs w:val="20"/>
          <w:color w:val="auto"/>
        </w:rPr>
      </w:pPr>
      <w:r>
        <w:rPr>
          <w:rFonts w:ascii="Arial" w:cs="Arial" w:eastAsia="Arial" w:hAnsi="Arial"/>
          <w:sz w:val="20"/>
          <w:szCs w:val="20"/>
          <w:color w:val="auto"/>
        </w:rPr>
        <w:t>At December 31, 2022, our business has not been negatively materially impacted by the ongoing invasion of Ukraine by Russia. However, we believe that the heightened threat environment could highlight the need for our customers to continuously map and measure their cyber exposure across the attack surface.</w:t>
      </w:r>
    </w:p>
    <w:p>
      <w:pPr>
        <w:spacing w:after="0" w:line="196" w:lineRule="exact"/>
        <w:rPr>
          <w:sz w:val="20"/>
          <w:szCs w:val="20"/>
          <w:color w:val="auto"/>
        </w:rPr>
      </w:pPr>
    </w:p>
    <w:p>
      <w:pPr>
        <w:ind w:right="220" w:firstLine="360"/>
        <w:spacing w:after="0" w:line="262" w:lineRule="auto"/>
        <w:rPr>
          <w:sz w:val="20"/>
          <w:szCs w:val="20"/>
          <w:color w:val="auto"/>
        </w:rPr>
      </w:pPr>
      <w:r>
        <w:rPr>
          <w:rFonts w:ascii="Arial" w:cs="Arial" w:eastAsia="Arial" w:hAnsi="Arial"/>
          <w:sz w:val="20"/>
          <w:szCs w:val="20"/>
          <w:color w:val="auto"/>
        </w:rPr>
        <w:t>It is impossible to predict the extent to which our operations, or those of our partners or customers, will be impacted in the short and long term, or the ways in which the conflict may impact our business. The extent and duration of the military action, sanctions and resulting market disruptions are impossible to predict, but could be substantial.</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Risks Related to Government Regulation, Data Collection and Intellectual Property</w:t>
      </w:r>
    </w:p>
    <w:p>
      <w:pPr>
        <w:spacing w:after="0" w:line="252" w:lineRule="exact"/>
        <w:rPr>
          <w:sz w:val="20"/>
          <w:szCs w:val="20"/>
          <w:color w:val="auto"/>
        </w:rPr>
      </w:pPr>
    </w:p>
    <w:p>
      <w:pPr>
        <w:ind w:right="260" w:firstLine="360"/>
        <w:spacing w:after="0" w:line="273" w:lineRule="auto"/>
        <w:rPr>
          <w:sz w:val="20"/>
          <w:szCs w:val="20"/>
          <w:color w:val="auto"/>
        </w:rPr>
      </w:pPr>
      <w:r>
        <w:rPr>
          <w:rFonts w:ascii="Arial" w:cs="Arial" w:eastAsia="Arial" w:hAnsi="Arial"/>
          <w:sz w:val="20"/>
          <w:szCs w:val="20"/>
          <w:b w:val="1"/>
          <w:bCs w:val="1"/>
          <w:i w:val="1"/>
          <w:iCs w:val="1"/>
          <w:color w:val="auto"/>
        </w:rPr>
        <w:t>Our business could be adversely affected if our employees cannot obtain and maintain required security clearances or we cannot establish and maintain a required facility security clearance.</w:t>
      </w:r>
    </w:p>
    <w:p>
      <w:pPr>
        <w:spacing w:after="0" w:line="174" w:lineRule="exact"/>
        <w:rPr>
          <w:sz w:val="20"/>
          <w:szCs w:val="20"/>
          <w:color w:val="auto"/>
        </w:rPr>
      </w:pPr>
    </w:p>
    <w:p>
      <w:pPr>
        <w:ind w:firstLine="360"/>
        <w:spacing w:after="0" w:line="270" w:lineRule="auto"/>
        <w:rPr>
          <w:sz w:val="20"/>
          <w:szCs w:val="20"/>
          <w:color w:val="auto"/>
        </w:rPr>
      </w:pPr>
      <w:r>
        <w:rPr>
          <w:rFonts w:ascii="Arial" w:cs="Arial" w:eastAsia="Arial" w:hAnsi="Arial"/>
          <w:sz w:val="19"/>
          <w:szCs w:val="19"/>
          <w:color w:val="auto"/>
        </w:rPr>
        <w:t>Certain U.S. government contracts may require our employees to maintain various levels of security clearances, and may require us to maintain a facility security clearance, to comply with Department of Defense, or DoD, requirements. The DoD has strict security clearance requirements for personnel who perform work in support of classified programs. Obtaining and maintaining a facility clearance and security clearances for employees can be a difficult, sometimes lengthy process. If we do not have employees with the appropriate security clearances, then a customer requiring classified work could terminate an existing contract or decide not to renew the contract upon its expiration. To the extent we are not able to obtain or maintain a facility security clearance, we may not be able to bid</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880" w:h="15480" w:orient="portrait"/>
          <w:cols w:equalWidth="0" w:num="1">
            <w:col w:w="9000"/>
          </w:cols>
          <w:pgMar w:left="1440" w:top="1204" w:right="1440" w:bottom="0" w:gutter="0" w:footer="0" w:header="0"/>
          <w:type w:val="continuous"/>
        </w:sectPr>
      </w:pPr>
    </w:p>
    <w:bookmarkStart w:id="130" w:name="page131"/>
    <w:bookmarkEnd w:id="130"/>
    <w:p>
      <w:pPr>
        <w:ind w:right="160"/>
        <w:spacing w:after="0" w:line="287" w:lineRule="auto"/>
        <w:rPr>
          <w:sz w:val="20"/>
          <w:szCs w:val="20"/>
          <w:color w:val="auto"/>
        </w:rPr>
      </w:pPr>
      <w:r>
        <w:rPr>
          <w:rFonts w:ascii="Arial" w:cs="Arial" w:eastAsia="Arial" w:hAnsi="Arial"/>
          <w:sz w:val="20"/>
          <w:szCs w:val="20"/>
          <w:color w:val="auto"/>
        </w:rPr>
        <w:t>on or win new classified contracts, and existing contracts requiring a facility security clearance could be terminated.</w:t>
      </w:r>
    </w:p>
    <w:p>
      <w:pPr>
        <w:spacing w:after="0" w:line="171" w:lineRule="exact"/>
        <w:rPr>
          <w:sz w:val="20"/>
          <w:szCs w:val="20"/>
          <w:color w:val="auto"/>
        </w:rPr>
      </w:pPr>
    </w:p>
    <w:p>
      <w:pPr>
        <w:ind w:right="440" w:firstLine="360"/>
        <w:spacing w:after="0" w:line="296" w:lineRule="auto"/>
        <w:rPr>
          <w:sz w:val="20"/>
          <w:szCs w:val="20"/>
          <w:color w:val="auto"/>
        </w:rPr>
      </w:pPr>
      <w:r>
        <w:rPr>
          <w:rFonts w:ascii="Arial" w:cs="Arial" w:eastAsia="Arial" w:hAnsi="Arial"/>
          <w:sz w:val="20"/>
          <w:szCs w:val="20"/>
          <w:b w:val="1"/>
          <w:bCs w:val="1"/>
          <w:i w:val="1"/>
          <w:iCs w:val="1"/>
          <w:color w:val="auto"/>
        </w:rPr>
        <w:t>Any failure to protect our proprietary technology and intellectual property rights could substantially harm our business and operating results.</w:t>
      </w:r>
    </w:p>
    <w:p>
      <w:pPr>
        <w:spacing w:after="0" w:line="152" w:lineRule="exact"/>
        <w:rPr>
          <w:sz w:val="20"/>
          <w:szCs w:val="20"/>
          <w:color w:val="auto"/>
        </w:rPr>
      </w:pPr>
    </w:p>
    <w:p>
      <w:pPr>
        <w:ind w:right="60" w:firstLine="360"/>
        <w:spacing w:after="0" w:line="259" w:lineRule="auto"/>
        <w:rPr>
          <w:sz w:val="20"/>
          <w:szCs w:val="20"/>
          <w:color w:val="auto"/>
        </w:rPr>
      </w:pPr>
      <w:r>
        <w:rPr>
          <w:rFonts w:ascii="Arial" w:cs="Arial" w:eastAsia="Arial" w:hAnsi="Arial"/>
          <w:sz w:val="20"/>
          <w:szCs w:val="20"/>
          <w:color w:val="auto"/>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199" w:lineRule="exact"/>
        <w:rPr>
          <w:sz w:val="20"/>
          <w:szCs w:val="20"/>
          <w:color w:val="auto"/>
        </w:rPr>
      </w:pPr>
    </w:p>
    <w:p>
      <w:pPr>
        <w:ind w:right="80" w:firstLine="360"/>
        <w:spacing w:after="0" w:line="252" w:lineRule="auto"/>
        <w:rPr>
          <w:sz w:val="20"/>
          <w:szCs w:val="20"/>
          <w:color w:val="auto"/>
        </w:rPr>
      </w:pPr>
      <w:r>
        <w:rPr>
          <w:rFonts w:ascii="Arial" w:cs="Arial" w:eastAsia="Arial" w:hAnsi="Arial"/>
          <w:sz w:val="20"/>
          <w:szCs w:val="20"/>
          <w:color w:val="auto"/>
        </w:rPr>
        <w:t>At December 31, 2022, we had 26 issued patents and 25 patent applications pending in the United States relating to our technology. We cannot assure you that any patents will issue from any patent applications, that patents that issue from such applications will give us the protection that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Obtaining and enforcing software patents in the United States is becoming increasingly challenging. Any patents we have obtained or may obtain in the future may be found to be invalid or unenforceable in light of recent and future changes in the law. We have registered the “Tenable,” “Nessus,” “Tenable.io” and "Lumin" trademarks and our Tenable logo in the United States and certain other countries. We have registrations and/or pending applications for additional trademarks in the United States; however, we cannot assure you that any future trademark registrations will be issued for pending or future applications or that any registered trademarks will be enforceable or provide adequate protection of our proprietary rights. While we have copyrights in our software, we do not typically register such copyrights with the Copyright Office. This failure to register the copyrights in our software may preclude us from obtaining statutory damages for infringement under certain circumstances. We also license software from third parties for integration into our software, including open source software and other software available on commercially reasonable terms. We cannot assure you that such third parties will maintain such software or continue to make it available.</w:t>
      </w:r>
    </w:p>
    <w:p>
      <w:pPr>
        <w:spacing w:after="0" w:line="212" w:lineRule="exact"/>
        <w:rPr>
          <w:sz w:val="20"/>
          <w:szCs w:val="20"/>
          <w:color w:val="auto"/>
        </w:rPr>
      </w:pPr>
    </w:p>
    <w:p>
      <w:pPr>
        <w:ind w:firstLine="360"/>
        <w:spacing w:after="0" w:line="252" w:lineRule="auto"/>
        <w:rPr>
          <w:sz w:val="20"/>
          <w:szCs w:val="20"/>
          <w:color w:val="auto"/>
        </w:rPr>
      </w:pPr>
      <w:r>
        <w:rPr>
          <w:rFonts w:ascii="Arial" w:cs="Arial" w:eastAsia="Arial" w:hAnsi="Arial"/>
          <w:sz w:val="20"/>
          <w:szCs w:val="20"/>
          <w:color w:val="auto"/>
        </w:rPr>
        <w:t>In order to protect our unpatented proprietary technologies and processes, we rely on trade secret laws and confidentiality and invention assignment agreements with our employees, consultants, strategic partners, vendors and 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several agreements may give customers limited rights to access portions of our proprietary source code, and the contractual provisions that we enter into may not prevent unauthorized use or disclosure of our proprietary technology or intellectual property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that we expand our activities outside of the United States, our exposure to unauthorized copying and use of our solutions and proprietary information may increase. We may be unable to determine the extent of any unauthorized use or infringement of our solutions, technologies or intellectual property rights.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880" w:h="15480" w:orient="portrait"/>
          <w:cols w:equalWidth="0" w:num="1">
            <w:col w:w="9000"/>
          </w:cols>
          <w:pgMar w:left="1440" w:top="1204" w:right="1440" w:bottom="0" w:gutter="0" w:footer="0" w:header="0"/>
          <w:type w:val="continuous"/>
        </w:sectPr>
      </w:pPr>
    </w:p>
    <w:bookmarkStart w:id="131" w:name="page132"/>
    <w:bookmarkEnd w:id="131"/>
    <w:p>
      <w:pPr>
        <w:ind w:right="40" w:firstLine="360"/>
        <w:spacing w:after="0" w:line="255" w:lineRule="auto"/>
        <w:rPr>
          <w:sz w:val="20"/>
          <w:szCs w:val="20"/>
          <w:color w:val="auto"/>
        </w:rPr>
      </w:pPr>
      <w:r>
        <w:rPr>
          <w:rFonts w:ascii="Arial" w:cs="Arial" w:eastAsia="Arial" w:hAnsi="Arial"/>
          <w:sz w:val="20"/>
          <w:szCs w:val="20"/>
          <w:color w:val="auto"/>
        </w:rPr>
        <w:t>There can be no assurance that the steps that we take will be adequate to protect our proprietary technology and intellectual property, that others will not develop or patent similar or superior technologies, solutions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In addition, the legal standards relating to the validity, enforceability, and scope of protection of intellectual property rights in internet and software-related industries are uncertain and still evolving.</w:t>
      </w:r>
    </w:p>
    <w:p>
      <w:pPr>
        <w:spacing w:after="0" w:line="205" w:lineRule="exact"/>
        <w:rPr>
          <w:sz w:val="20"/>
          <w:szCs w:val="20"/>
          <w:color w:val="auto"/>
        </w:rPr>
      </w:pPr>
    </w:p>
    <w:p>
      <w:pPr>
        <w:ind w:right="20" w:firstLine="360"/>
        <w:spacing w:after="0" w:line="255" w:lineRule="auto"/>
        <w:rPr>
          <w:sz w:val="20"/>
          <w:szCs w:val="20"/>
          <w:color w:val="auto"/>
        </w:rPr>
      </w:pPr>
      <w:r>
        <w:rPr>
          <w:rFonts w:ascii="Arial" w:cs="Arial" w:eastAsia="Arial" w:hAnsi="Arial"/>
          <w:sz w:val="20"/>
          <w:szCs w:val="20"/>
          <w:color w:val="auto"/>
        </w:rPr>
        <w:t>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adversely impact our business.</w:t>
      </w:r>
    </w:p>
    <w:p>
      <w:pPr>
        <w:spacing w:after="0" w:line="206" w:lineRule="exact"/>
        <w:rPr>
          <w:sz w:val="20"/>
          <w:szCs w:val="20"/>
          <w:color w:val="auto"/>
        </w:rPr>
      </w:pPr>
    </w:p>
    <w:p>
      <w:pPr>
        <w:ind w:right="360" w:firstLine="360"/>
        <w:spacing w:after="0" w:line="273" w:lineRule="auto"/>
        <w:rPr>
          <w:sz w:val="20"/>
          <w:szCs w:val="20"/>
          <w:color w:val="auto"/>
        </w:rPr>
      </w:pPr>
      <w:r>
        <w:rPr>
          <w:rFonts w:ascii="Arial" w:cs="Arial" w:eastAsia="Arial" w:hAnsi="Arial"/>
          <w:sz w:val="20"/>
          <w:szCs w:val="20"/>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174" w:lineRule="exact"/>
        <w:rPr>
          <w:sz w:val="20"/>
          <w:szCs w:val="20"/>
          <w:color w:val="auto"/>
        </w:rPr>
      </w:pPr>
    </w:p>
    <w:p>
      <w:pPr>
        <w:ind w:right="60" w:firstLine="360"/>
        <w:spacing w:after="0" w:line="252" w:lineRule="auto"/>
        <w:rPr>
          <w:sz w:val="20"/>
          <w:szCs w:val="20"/>
          <w:color w:val="auto"/>
        </w:rPr>
      </w:pPr>
      <w:r>
        <w:rPr>
          <w:rFonts w:ascii="Arial" w:cs="Arial" w:eastAsia="Arial" w:hAnsi="Arial"/>
          <w:sz w:val="20"/>
          <w:szCs w:val="20"/>
          <w:color w:val="auto"/>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expect in the future to be subject to claims that we have misappropriated, misused, or infringed other parties’ intellectual property rights, and, to the extent we gain greater market visibility or face increasing competition and as we acquire more companies, we face a higher risk of being the subject of intellectual property infringement claims, which is not uncommon with respect to enterprise software companies. We may in the future be subject to claims that employees or contractors, or we, have inadvertently or otherwise used or disclosed trade secrets or other proprietary information of our competitors or other parties. To the extent that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spacing w:after="0" w:line="210" w:lineRule="exact"/>
        <w:rPr>
          <w:sz w:val="20"/>
          <w:szCs w:val="20"/>
          <w:color w:val="auto"/>
        </w:rPr>
      </w:pPr>
    </w:p>
    <w:p>
      <w:pPr>
        <w:ind w:right="20" w:firstLine="360"/>
        <w:spacing w:after="0" w:line="255" w:lineRule="auto"/>
        <w:rPr>
          <w:sz w:val="20"/>
          <w:szCs w:val="20"/>
          <w:color w:val="auto"/>
        </w:rPr>
      </w:pPr>
      <w:r>
        <w:rPr>
          <w:rFonts w:ascii="Arial" w:cs="Arial" w:eastAsia="Arial" w:hAnsi="Arial"/>
          <w:sz w:val="20"/>
          <w:szCs w:val="20"/>
          <w:color w:val="auto"/>
        </w:rPr>
        <w:t>There may be third-party intellectual property rights, including issued or pending patents that cover significant aspects of our technologies or business methods, including those relating to companies we acquire. Any intellectual property claims, with or without merit, could be very time-consuming, could be expensive to settle or litigate, could divert our management’s attention and other resources and could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880" w:h="15480" w:orient="portrait"/>
          <w:cols w:equalWidth="0" w:num="1">
            <w:col w:w="9000"/>
          </w:cols>
          <w:pgMar w:left="1440" w:top="1204" w:right="1440" w:bottom="0" w:gutter="0" w:footer="0" w:header="0"/>
          <w:type w:val="continuous"/>
        </w:sectPr>
      </w:pPr>
    </w:p>
    <w:bookmarkStart w:id="132" w:name="page133"/>
    <w:bookmarkEnd w:id="132"/>
    <w:p>
      <w:pPr>
        <w:ind w:right="40"/>
        <w:spacing w:after="0" w:line="254" w:lineRule="auto"/>
        <w:rPr>
          <w:sz w:val="20"/>
          <w:szCs w:val="20"/>
          <w:color w:val="auto"/>
        </w:rPr>
      </w:pPr>
      <w:r>
        <w:rPr>
          <w:rFonts w:ascii="Arial" w:cs="Arial" w:eastAsia="Arial" w:hAnsi="Arial"/>
          <w:sz w:val="20"/>
          <w:szCs w:val="20"/>
          <w:color w:val="auto"/>
        </w:rPr>
        <w:t>party intellectual property rights, which may not be available on reasonable terms or at all. Even if a license is available to us, we may be required to pay significant upfront fees, milestones or royalties, which would increase our operating expenses. Moreover, to the extent we only have a license to any intellectual property used in our solutions,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spacing w:after="0" w:line="204" w:lineRule="exact"/>
        <w:rPr>
          <w:sz w:val="20"/>
          <w:szCs w:val="20"/>
          <w:color w:val="auto"/>
        </w:rPr>
      </w:pPr>
    </w:p>
    <w:p>
      <w:pPr>
        <w:ind w:right="200" w:firstLine="360"/>
        <w:spacing w:after="0" w:line="324" w:lineRule="auto"/>
        <w:rPr>
          <w:sz w:val="20"/>
          <w:szCs w:val="20"/>
          <w:color w:val="auto"/>
        </w:rPr>
      </w:pPr>
      <w:r>
        <w:rPr>
          <w:rFonts w:ascii="Arial" w:cs="Arial" w:eastAsia="Arial" w:hAnsi="Arial"/>
          <w:sz w:val="19"/>
          <w:szCs w:val="19"/>
          <w:b w:val="1"/>
          <w:bCs w:val="1"/>
          <w:i w:val="1"/>
          <w:iCs w:val="1"/>
          <w:color w:val="auto"/>
        </w:rPr>
        <w:t>Portions of our solutions utilize open source software, and any failure to comply with the terms of one or more of these open source licenses could negatively affect our business.</w:t>
      </w:r>
    </w:p>
    <w:p>
      <w:pPr>
        <w:spacing w:after="0" w:line="129" w:lineRule="exact"/>
        <w:rPr>
          <w:sz w:val="20"/>
          <w:szCs w:val="20"/>
          <w:color w:val="auto"/>
        </w:rPr>
      </w:pPr>
    </w:p>
    <w:p>
      <w:pPr>
        <w:ind w:right="20" w:firstLine="360"/>
        <w:spacing w:after="0" w:line="252" w:lineRule="auto"/>
        <w:rPr>
          <w:sz w:val="20"/>
          <w:szCs w:val="20"/>
          <w:color w:val="auto"/>
        </w:rPr>
      </w:pPr>
      <w:r>
        <w:rPr>
          <w:rFonts w:ascii="Arial" w:cs="Arial" w:eastAsia="Arial" w:hAnsi="Arial"/>
          <w:sz w:val="20"/>
          <w:szCs w:val="20"/>
          <w:color w:val="auto"/>
        </w:rPr>
        <w:t>Our software contains software made available by third parties under so-called “open source” licenses.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Further, certain open source licenses also include a provision that if we enforce any patents against the software programs that are subject to the license, we would lose the license to such software. If we were to fail to comply with the terms of such open source software licenses, such failures could result in costly litigation, lead to negative public relations or require that we quickly find replacement software which may be difficult to accomplish in a timely manner.</w:t>
      </w:r>
    </w:p>
    <w:p>
      <w:pPr>
        <w:spacing w:after="0" w:line="216" w:lineRule="exact"/>
        <w:rPr>
          <w:sz w:val="20"/>
          <w:szCs w:val="20"/>
          <w:color w:val="auto"/>
        </w:rPr>
      </w:pPr>
    </w:p>
    <w:p>
      <w:pPr>
        <w:ind w:right="20" w:firstLine="360"/>
        <w:spacing w:after="0" w:line="253" w:lineRule="auto"/>
        <w:rPr>
          <w:sz w:val="20"/>
          <w:szCs w:val="20"/>
          <w:color w:val="auto"/>
        </w:rPr>
      </w:pPr>
      <w:r>
        <w:rPr>
          <w:rFonts w:ascii="Arial" w:cs="Arial" w:eastAsia="Arial" w:hAnsi="Arial"/>
          <w:sz w:val="20"/>
          <w:szCs w:val="20"/>
          <w:color w:val="auto"/>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that these licenses could be construed in a way that could impose unanticipated conditions or restrictions on our ability to commercialize our product or operate our business. By the terms of certain open source licenses, we could be required to release the source code of our software and to make our proprietary software available under open source licenses, if we combine or distribute our software with open source software in a certain manner. In the event that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product. Many of the risks associated with usage of open source software cannot be eliminated, and could negatively affect our business, results of operations and financial condition.</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Risks Related to An Investment in Our Common Stock</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Our stock price may be volatile, and the value of our common stock may decline.</w:t>
      </w:r>
    </w:p>
    <w:p>
      <w:pPr>
        <w:spacing w:after="0" w:line="249" w:lineRule="exact"/>
        <w:rPr>
          <w:sz w:val="20"/>
          <w:szCs w:val="20"/>
          <w:color w:val="auto"/>
        </w:rPr>
      </w:pPr>
    </w:p>
    <w:p>
      <w:pPr>
        <w:ind w:right="20" w:firstLine="360"/>
        <w:spacing w:after="0" w:line="314" w:lineRule="auto"/>
        <w:rPr>
          <w:sz w:val="20"/>
          <w:szCs w:val="20"/>
          <w:color w:val="auto"/>
        </w:rPr>
      </w:pPr>
      <w:r>
        <w:rPr>
          <w:rFonts w:ascii="Arial" w:cs="Arial" w:eastAsia="Arial" w:hAnsi="Arial"/>
          <w:sz w:val="19"/>
          <w:szCs w:val="19"/>
          <w:color w:val="auto"/>
        </w:rPr>
        <w:t>The market price of our common stock may fluctuate substantially and depends on a number of factors, including those described in this “Risk Factors” section, many of which are beyond our control</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880" w:h="15480" w:orient="portrait"/>
          <w:cols w:equalWidth="0" w:num="1">
            <w:col w:w="9000"/>
          </w:cols>
          <w:pgMar w:left="1440" w:top="1204" w:right="1440" w:bottom="0" w:gutter="0" w:footer="0" w:header="0"/>
          <w:type w:val="continuous"/>
        </w:sectPr>
      </w:pPr>
    </w:p>
    <w:bookmarkStart w:id="133" w:name="page134"/>
    <w:bookmarkEnd w:id="133"/>
    <w:p>
      <w:pPr>
        <w:ind w:right="420"/>
        <w:spacing w:after="0" w:line="287" w:lineRule="auto"/>
        <w:rPr>
          <w:sz w:val="20"/>
          <w:szCs w:val="20"/>
          <w:color w:val="auto"/>
        </w:rPr>
      </w:pPr>
      <w:r>
        <w:rPr>
          <w:rFonts w:ascii="Arial" w:cs="Arial" w:eastAsia="Arial" w:hAnsi="Arial"/>
          <w:sz w:val="20"/>
          <w:szCs w:val="20"/>
          <w:color w:val="auto"/>
        </w:rPr>
        <w:t>and may not be related to our operating performance. Factors that could cause fluctuations in the market price of our common stock include the following:</w:t>
      </w:r>
    </w:p>
    <w:p>
      <w:pPr>
        <w:spacing w:after="0" w:line="50" w:lineRule="exact"/>
        <w:rPr>
          <w:sz w:val="20"/>
          <w:szCs w:val="20"/>
          <w:color w:val="auto"/>
        </w:rPr>
      </w:pPr>
    </w:p>
    <w:p>
      <w:pPr>
        <w:ind w:left="720" w:hanging="360"/>
        <w:spacing w:after="0"/>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actual or anticipated changes or fluctuations in our operating results;</w:t>
      </w:r>
    </w:p>
    <w:p>
      <w:pPr>
        <w:spacing w:after="0" w:line="70" w:lineRule="exact"/>
        <w:rPr>
          <w:rFonts w:ascii="Arial" w:cs="Arial" w:eastAsia="Arial" w:hAnsi="Arial"/>
          <w:sz w:val="20"/>
          <w:szCs w:val="20"/>
          <w:color w:val="auto"/>
        </w:rPr>
      </w:pPr>
    </w:p>
    <w:p>
      <w:pPr>
        <w:ind w:left="720" w:hanging="360"/>
        <w:spacing w:after="0" w:line="281" w:lineRule="auto"/>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financial projections we may provide to the public, any changes in these projections or our failure to meet these projections;</w:t>
      </w:r>
    </w:p>
    <w:p>
      <w:pPr>
        <w:spacing w:after="0" w:line="1" w:lineRule="exact"/>
        <w:rPr>
          <w:rFonts w:ascii="Arial" w:cs="Arial" w:eastAsia="Arial" w:hAnsi="Arial"/>
          <w:sz w:val="20"/>
          <w:szCs w:val="20"/>
          <w:color w:val="auto"/>
        </w:rPr>
      </w:pPr>
    </w:p>
    <w:p>
      <w:pPr>
        <w:ind w:left="720" w:right="360" w:hanging="360"/>
        <w:spacing w:after="0" w:line="281" w:lineRule="auto"/>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announcements by us or our competitors of new products or new or terminated significant contracts, commercial relationships or capital commitments;</w:t>
      </w:r>
    </w:p>
    <w:p>
      <w:pPr>
        <w:spacing w:after="0" w:line="1" w:lineRule="exact"/>
        <w:rPr>
          <w:rFonts w:ascii="Arial" w:cs="Arial" w:eastAsia="Arial" w:hAnsi="Arial"/>
          <w:sz w:val="20"/>
          <w:szCs w:val="20"/>
          <w:color w:val="auto"/>
        </w:rPr>
      </w:pPr>
    </w:p>
    <w:p>
      <w:pPr>
        <w:ind w:left="720" w:right="1040" w:hanging="360"/>
        <w:spacing w:after="0" w:line="281" w:lineRule="auto"/>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industry or financial analyst or investor reaction to our press releases, other public announcements and filings with the SEC;</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rumors and market speculation involving us or other companies in our industry;</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price and volume fluctuations in the overall stock market from time to time;</w:t>
      </w:r>
    </w:p>
    <w:p>
      <w:pPr>
        <w:spacing w:after="0" w:line="70" w:lineRule="exact"/>
        <w:rPr>
          <w:rFonts w:ascii="Arial" w:cs="Arial" w:eastAsia="Arial" w:hAnsi="Arial"/>
          <w:sz w:val="20"/>
          <w:szCs w:val="20"/>
          <w:color w:val="auto"/>
        </w:rPr>
      </w:pPr>
    </w:p>
    <w:p>
      <w:pPr>
        <w:ind w:left="720" w:right="960" w:hanging="360"/>
        <w:spacing w:after="0" w:line="281" w:lineRule="auto"/>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changes in operating performance and stock market valuations of other technology companies generally, or those in our industry in particular;</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failure to comply with the terms of the Credit Agreement;</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sales of shares of our common stock by us or our stockholders;</w:t>
      </w:r>
    </w:p>
    <w:p>
      <w:pPr>
        <w:spacing w:after="0" w:line="70" w:lineRule="exact"/>
        <w:rPr>
          <w:rFonts w:ascii="Arial" w:cs="Arial" w:eastAsia="Arial" w:hAnsi="Arial"/>
          <w:sz w:val="20"/>
          <w:szCs w:val="20"/>
          <w:color w:val="auto"/>
        </w:rPr>
      </w:pPr>
    </w:p>
    <w:p>
      <w:pPr>
        <w:ind w:left="720" w:right="160" w:hanging="360"/>
        <w:spacing w:after="0" w:line="268" w:lineRule="auto"/>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failure of industry or financial analysts to maintain coverage of us, changes in financial estimates by any analysts who follow our company, or our failure to meet these estimates or the expectations of investors;</w:t>
      </w:r>
    </w:p>
    <w:p>
      <w:pPr>
        <w:spacing w:after="0" w:line="9" w:lineRule="exact"/>
        <w:rPr>
          <w:rFonts w:ascii="Arial" w:cs="Arial" w:eastAsia="Arial" w:hAnsi="Arial"/>
          <w:sz w:val="20"/>
          <w:szCs w:val="20"/>
          <w:color w:val="auto"/>
        </w:rPr>
      </w:pPr>
    </w:p>
    <w:p>
      <w:pPr>
        <w:ind w:left="720" w:right="460" w:hanging="360"/>
        <w:spacing w:after="0" w:line="281" w:lineRule="auto"/>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actual or anticipated developments in our business or our competitors’ businesses or the competitive landscape generally;</w:t>
      </w:r>
    </w:p>
    <w:p>
      <w:pPr>
        <w:spacing w:after="0" w:line="1" w:lineRule="exact"/>
        <w:rPr>
          <w:rFonts w:ascii="Arial" w:cs="Arial" w:eastAsia="Arial" w:hAnsi="Arial"/>
          <w:sz w:val="20"/>
          <w:szCs w:val="20"/>
          <w:color w:val="auto"/>
        </w:rPr>
      </w:pPr>
    </w:p>
    <w:p>
      <w:pPr>
        <w:ind w:left="720" w:right="140" w:hanging="360"/>
        <w:spacing w:after="0" w:line="281" w:lineRule="auto"/>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litigation involving us, our industry or both, or investigations by regulators into our operations or those of our competitors;</w:t>
      </w:r>
    </w:p>
    <w:p>
      <w:pPr>
        <w:spacing w:after="0" w:line="1" w:lineRule="exact"/>
        <w:rPr>
          <w:rFonts w:ascii="Arial" w:cs="Arial" w:eastAsia="Arial" w:hAnsi="Arial"/>
          <w:sz w:val="20"/>
          <w:szCs w:val="20"/>
          <w:color w:val="auto"/>
        </w:rPr>
      </w:pPr>
    </w:p>
    <w:p>
      <w:pPr>
        <w:ind w:left="720" w:right="60" w:hanging="360"/>
        <w:spacing w:after="0" w:line="281" w:lineRule="auto"/>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developments or disputes concerning our intellectual property rights or our solutions, or third-party proprietary rights;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announced or completed acquisitions of businesses or technologies by us or our competitors;</w:t>
      </w:r>
    </w:p>
    <w:p>
      <w:pPr>
        <w:spacing w:after="0" w:line="70" w:lineRule="exact"/>
        <w:rPr>
          <w:rFonts w:ascii="Arial" w:cs="Arial" w:eastAsia="Arial" w:hAnsi="Arial"/>
          <w:sz w:val="20"/>
          <w:szCs w:val="20"/>
          <w:color w:val="auto"/>
        </w:rPr>
      </w:pPr>
    </w:p>
    <w:p>
      <w:pPr>
        <w:ind w:left="720" w:right="40" w:hanging="360"/>
        <w:spacing w:after="0" w:line="268" w:lineRule="auto"/>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new or proposed laws or regulations or new interpretations of existing laws or regulations applicable to our business, including proposed changes to the U.S. corporate income tax rate and capital gains tax rates;</w:t>
      </w:r>
    </w:p>
    <w:p>
      <w:pPr>
        <w:spacing w:after="0" w:line="9" w:lineRule="exact"/>
        <w:rPr>
          <w:rFonts w:ascii="Arial" w:cs="Arial" w:eastAsia="Arial" w:hAnsi="Arial"/>
          <w:sz w:val="20"/>
          <w:szCs w:val="20"/>
          <w:color w:val="auto"/>
        </w:rPr>
      </w:pPr>
    </w:p>
    <w:p>
      <w:pPr>
        <w:ind w:left="720" w:hanging="360"/>
        <w:spacing w:after="0"/>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any major changes in our management or our Board of Directors;</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general economic conditions and slow or negative growth of our markets; and</w:t>
      </w:r>
    </w:p>
    <w:p>
      <w:pPr>
        <w:spacing w:after="0" w:line="70" w:lineRule="exact"/>
        <w:rPr>
          <w:rFonts w:ascii="Arial" w:cs="Arial" w:eastAsia="Arial" w:hAnsi="Arial"/>
          <w:sz w:val="20"/>
          <w:szCs w:val="20"/>
          <w:color w:val="auto"/>
        </w:rPr>
      </w:pPr>
    </w:p>
    <w:p>
      <w:pPr>
        <w:ind w:left="720" w:right="360" w:hanging="360"/>
        <w:spacing w:after="0" w:line="287" w:lineRule="auto"/>
        <w:tabs>
          <w:tab w:leader="none" w:pos="7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other events or factors, including those resulting from pandemics such as COVID-19, war, incidents of terrorism or responses to these events.</w:t>
      </w:r>
    </w:p>
    <w:p>
      <w:pPr>
        <w:spacing w:after="0" w:line="170" w:lineRule="exact"/>
        <w:rPr>
          <w:sz w:val="20"/>
          <w:szCs w:val="20"/>
          <w:color w:val="auto"/>
        </w:rPr>
      </w:pPr>
    </w:p>
    <w:p>
      <w:pPr>
        <w:ind w:right="20" w:firstLine="360"/>
        <w:spacing w:after="0" w:line="254" w:lineRule="auto"/>
        <w:rPr>
          <w:sz w:val="20"/>
          <w:szCs w:val="20"/>
          <w:color w:val="auto"/>
        </w:rPr>
      </w:pPr>
      <w:r>
        <w:rPr>
          <w:rFonts w:ascii="Arial" w:cs="Arial" w:eastAsia="Arial" w:hAnsi="Arial"/>
          <w:sz w:val="20"/>
          <w:szCs w:val="20"/>
          <w:color w:val="auto"/>
        </w:rPr>
        <w:t>Recently, the stock markets have experienced extreme price and volume fluctuations that have affected and continue to affect the market prices of equity securities of many companies, including in connection with the COVID-19 pandemic, decades-high inflation and concerns about an economic recession in the United States or other major markets, the ongoing military conflict between Ukraine and Russia and macroeconomic conditions. These fluctuations have often been unrelated or disproportionate to the operating performance of those companies. Broad market and industry fluctuations, as well as general economic, political, regulatory and market conditions, may negatively impact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880" w:h="15480" w:orient="portrait"/>
          <w:cols w:equalWidth="0" w:num="1">
            <w:col w:w="9000"/>
          </w:cols>
          <w:pgMar w:left="1440" w:top="1204" w:right="1440" w:bottom="0" w:gutter="0" w:footer="0" w:header="0"/>
          <w:type w:val="continuous"/>
        </w:sectPr>
      </w:pPr>
    </w:p>
    <w:bookmarkStart w:id="134" w:name="page135"/>
    <w:bookmarkEnd w:id="134"/>
    <w:p>
      <w:pPr>
        <w:ind w:right="40" w:firstLine="360"/>
        <w:spacing w:after="0" w:line="273" w:lineRule="auto"/>
        <w:rPr>
          <w:sz w:val="20"/>
          <w:szCs w:val="20"/>
          <w:color w:val="auto"/>
        </w:rPr>
      </w:pPr>
      <w:r>
        <w:rPr>
          <w:rFonts w:ascii="Arial" w:cs="Arial" w:eastAsia="Arial" w:hAnsi="Arial"/>
          <w:sz w:val="20"/>
          <w:szCs w:val="20"/>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74" w:lineRule="exact"/>
        <w:rPr>
          <w:sz w:val="20"/>
          <w:szCs w:val="20"/>
          <w:color w:val="auto"/>
        </w:rPr>
      </w:pPr>
    </w:p>
    <w:p>
      <w:pPr>
        <w:ind w:right="60" w:firstLine="360"/>
        <w:spacing w:after="0" w:line="253" w:lineRule="auto"/>
        <w:rPr>
          <w:sz w:val="20"/>
          <w:szCs w:val="20"/>
          <w:color w:val="auto"/>
        </w:rPr>
      </w:pPr>
      <w:r>
        <w:rPr>
          <w:rFonts w:ascii="Arial" w:cs="Arial" w:eastAsia="Arial" w:hAnsi="Arial"/>
          <w:sz w:val="20"/>
          <w:szCs w:val="20"/>
          <w:color w:val="auto"/>
        </w:rPr>
        <w:t>The trading market for our common stock will depend, in part, on the research and reports that securities or industry analysts publish about us or our business. We do not control these analysts or the content and opinions included in their reports. If our financial performance fails to meet analyst estimates or one or more of the analysts who cover us downgrade our shares or change their opinion of our shares, our share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exceed, our announced guidance or the expectations of analysts or public investors, analysts could downgrade our common stock or publish unfavorable research about us. If one or more of these analysts cease coverage of our company or fail to regularly publish reports on us, we could lose visibility in the financial markets, which could cause our share price or trading volume to decline.</w:t>
      </w:r>
    </w:p>
    <w:p>
      <w:pPr>
        <w:spacing w:after="0" w:line="212" w:lineRule="exact"/>
        <w:rPr>
          <w:sz w:val="20"/>
          <w:szCs w:val="20"/>
          <w:color w:val="auto"/>
        </w:rPr>
      </w:pPr>
    </w:p>
    <w:p>
      <w:pPr>
        <w:jc w:val="both"/>
        <w:ind w:right="240" w:firstLine="360"/>
        <w:spacing w:after="0" w:line="273" w:lineRule="auto"/>
        <w:rPr>
          <w:sz w:val="20"/>
          <w:szCs w:val="20"/>
          <w:color w:val="auto"/>
        </w:rPr>
      </w:pPr>
      <w:r>
        <w:rPr>
          <w:rFonts w:ascii="Arial" w:cs="Arial" w:eastAsia="Arial" w:hAnsi="Arial"/>
          <w:sz w:val="20"/>
          <w:szCs w:val="20"/>
          <w:b w:val="1"/>
          <w:bCs w:val="1"/>
          <w:i w:val="1"/>
          <w:iCs w:val="1"/>
          <w:color w:val="auto"/>
        </w:rPr>
        <w:t>Future sales of substantial amounts of our common stock in the public markets by us or our stockholders, or the perception such sales might occur, could reduce the price that our common stock might otherwise attain.</w:t>
      </w:r>
    </w:p>
    <w:p>
      <w:pPr>
        <w:spacing w:after="0" w:line="174" w:lineRule="exact"/>
        <w:rPr>
          <w:sz w:val="20"/>
          <w:szCs w:val="20"/>
          <w:color w:val="auto"/>
        </w:rPr>
      </w:pPr>
    </w:p>
    <w:p>
      <w:pPr>
        <w:ind w:right="100" w:firstLine="360"/>
        <w:spacing w:after="0" w:line="256" w:lineRule="auto"/>
        <w:rPr>
          <w:sz w:val="20"/>
          <w:szCs w:val="20"/>
          <w:color w:val="auto"/>
        </w:rPr>
      </w:pPr>
      <w:r>
        <w:rPr>
          <w:rFonts w:ascii="Arial" w:cs="Arial" w:eastAsia="Arial" w:hAnsi="Arial"/>
          <w:sz w:val="20"/>
          <w:szCs w:val="20"/>
          <w:color w:val="auto"/>
        </w:rPr>
        <w:t>Sales of a substantial number of shares of our common stock in the public market by us or our stockholders, or the perception that these sales might occur, could depress the market price of our common stock, impair our ability to raise capital through the sale of additional equity securities and make it more difficult for you to sell your common stock at a time and price that you deem appropriate. Further, the number of new shares of our common stock issued by us in connection with raising additional capital in connection with a financing, acquisition, investment or otherwise could result in substantial dilution to our existing stockholders.</w:t>
      </w:r>
    </w:p>
    <w:p>
      <w:pPr>
        <w:spacing w:after="0" w:line="203" w:lineRule="exact"/>
        <w:rPr>
          <w:sz w:val="20"/>
          <w:szCs w:val="20"/>
          <w:color w:val="auto"/>
        </w:rPr>
      </w:pPr>
    </w:p>
    <w:p>
      <w:pPr>
        <w:ind w:right="40" w:firstLine="360"/>
        <w:spacing w:after="0" w:line="255" w:lineRule="auto"/>
        <w:rPr>
          <w:sz w:val="20"/>
          <w:szCs w:val="20"/>
          <w:color w:val="auto"/>
        </w:rPr>
      </w:pPr>
      <w:r>
        <w:rPr>
          <w:rFonts w:ascii="Arial" w:cs="Arial" w:eastAsia="Arial" w:hAnsi="Arial"/>
          <w:sz w:val="20"/>
          <w:szCs w:val="20"/>
          <w:color w:val="auto"/>
        </w:rPr>
        <w:t>In addition, we have filed registration statements on Form S-8 under the Securities Act registering the issuance of shares of common stock subject to options and other equity awards issued or reserved for future issuance under our equity incentive plans. Shares registered under these registration statements, and under additional registration statements on Form S-8 that we may file to register additional shares of common stock pursuant to provisions of our equity incentive plans that provide for an automatic increase in the number of shares reserved and available for issuance each year, are available for sale in the public market subject to vesting arrangements and exercise of options and the restrictions of Rule 144 under the Securities Act in the case of our affiliates.</w:t>
      </w:r>
    </w:p>
    <w:p>
      <w:pPr>
        <w:spacing w:after="0" w:line="206" w:lineRule="exact"/>
        <w:rPr>
          <w:sz w:val="20"/>
          <w:szCs w:val="20"/>
          <w:color w:val="auto"/>
        </w:rPr>
      </w:pPr>
    </w:p>
    <w:p>
      <w:pPr>
        <w:ind w:firstLine="360"/>
        <w:spacing w:after="0" w:line="273" w:lineRule="auto"/>
        <w:rPr>
          <w:sz w:val="20"/>
          <w:szCs w:val="20"/>
          <w:color w:val="auto"/>
        </w:rPr>
      </w:pPr>
      <w:r>
        <w:rPr>
          <w:rFonts w:ascii="Arial" w:cs="Arial" w:eastAsia="Arial" w:hAnsi="Arial"/>
          <w:sz w:val="20"/>
          <w:szCs w:val="20"/>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4" w:lineRule="exact"/>
        <w:rPr>
          <w:sz w:val="20"/>
          <w:szCs w:val="20"/>
          <w:color w:val="auto"/>
        </w:rPr>
      </w:pPr>
    </w:p>
    <w:p>
      <w:pPr>
        <w:ind w:right="200" w:firstLine="360"/>
        <w:spacing w:after="0" w:line="255" w:lineRule="auto"/>
        <w:rPr>
          <w:sz w:val="20"/>
          <w:szCs w:val="20"/>
          <w:color w:val="auto"/>
        </w:rPr>
      </w:pPr>
      <w:r>
        <w:rPr>
          <w:rFonts w:ascii="Arial" w:cs="Arial" w:eastAsia="Arial" w:hAnsi="Arial"/>
          <w:sz w:val="20"/>
          <w:szCs w:val="20"/>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In addition, our Credit Agreement contains restrictive covenants that prohibit us, subject to certain exceptions, from paying dividends on our common stock.</w:t>
      </w:r>
    </w:p>
    <w:p>
      <w:pPr>
        <w:sectPr>
          <w:pgSz w:w="11880" w:h="15480" w:orient="portrait"/>
          <w:cols w:equalWidth="0" w:num="1">
            <w:col w:w="9000"/>
          </w:cols>
          <w:pgMar w:left="1440" w:top="12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880" w:h="15480" w:orient="portrait"/>
          <w:cols w:equalWidth="0" w:num="1">
            <w:col w:w="9000"/>
          </w:cols>
          <w:pgMar w:left="1440" w:top="1205" w:right="1440" w:bottom="0" w:gutter="0" w:footer="0" w:header="0"/>
          <w:type w:val="continuous"/>
        </w:sectPr>
      </w:pPr>
    </w:p>
    <w:bookmarkStart w:id="135" w:name="page136"/>
    <w:bookmarkEnd w:id="135"/>
    <w:p>
      <w:pPr>
        <w:ind w:right="60" w:firstLine="360"/>
        <w:spacing w:after="0" w:line="265" w:lineRule="auto"/>
        <w:rPr>
          <w:sz w:val="20"/>
          <w:szCs w:val="20"/>
          <w:color w:val="auto"/>
        </w:rPr>
      </w:pPr>
      <w:r>
        <w:rPr>
          <w:rFonts w:ascii="Arial" w:cs="Arial" w:eastAsia="Arial" w:hAnsi="Arial"/>
          <w:sz w:val="20"/>
          <w:szCs w:val="20"/>
          <w:b w:val="1"/>
          <w:bCs w:val="1"/>
          <w:i w:val="1"/>
          <w:iCs w:val="1"/>
          <w:color w:val="auto"/>
        </w:rPr>
        <w:t>Anti-takeover provisions in our charter documents and under Delaware law could make an acquisition of us more difficult, limit attempts by our stockholders to replace or remove members of our Board of Directors and our current management and could negatively impact the market price of our common stock.</w:t>
      </w:r>
    </w:p>
    <w:p>
      <w:pPr>
        <w:spacing w:after="0" w:line="183" w:lineRule="exact"/>
        <w:rPr>
          <w:sz w:val="20"/>
          <w:szCs w:val="20"/>
          <w:color w:val="auto"/>
        </w:rPr>
      </w:pPr>
    </w:p>
    <w:p>
      <w:pPr>
        <w:ind w:right="60" w:firstLine="360"/>
        <w:spacing w:after="0" w:line="259" w:lineRule="auto"/>
        <w:rPr>
          <w:sz w:val="20"/>
          <w:szCs w:val="20"/>
          <w:color w:val="auto"/>
        </w:rPr>
      </w:pPr>
      <w:r>
        <w:rPr>
          <w:rFonts w:ascii="Arial" w:cs="Arial" w:eastAsia="Arial" w:hAnsi="Arial"/>
          <w:sz w:val="20"/>
          <w:szCs w:val="20"/>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79" w:lineRule="exact"/>
        <w:rPr>
          <w:sz w:val="20"/>
          <w:szCs w:val="20"/>
          <w:color w:val="auto"/>
        </w:rPr>
      </w:pPr>
    </w:p>
    <w:p>
      <w:pPr>
        <w:ind w:left="720" w:right="160" w:hanging="360"/>
        <w:spacing w:after="0" w:line="281" w:lineRule="auto"/>
        <w:tabs>
          <w:tab w:leader="none" w:pos="72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 classified Board of Directors with three-year staggered terms, which could delay the ability of stockholders to change the membership of a majority of our Board of Directors;</w:t>
      </w:r>
    </w:p>
    <w:p>
      <w:pPr>
        <w:spacing w:after="0" w:line="1" w:lineRule="exact"/>
        <w:rPr>
          <w:rFonts w:ascii="Arial" w:cs="Arial" w:eastAsia="Arial" w:hAnsi="Arial"/>
          <w:sz w:val="20"/>
          <w:szCs w:val="20"/>
          <w:color w:val="auto"/>
        </w:rPr>
      </w:pPr>
    </w:p>
    <w:p>
      <w:pPr>
        <w:ind w:left="720" w:right="300" w:hanging="360"/>
        <w:spacing w:after="0" w:line="262" w:lineRule="auto"/>
        <w:tabs>
          <w:tab w:leader="none" w:pos="72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5" w:lineRule="exact"/>
        <w:rPr>
          <w:rFonts w:ascii="Arial" w:cs="Arial" w:eastAsia="Arial" w:hAnsi="Arial"/>
          <w:sz w:val="20"/>
          <w:szCs w:val="20"/>
          <w:color w:val="auto"/>
        </w:rPr>
      </w:pPr>
    </w:p>
    <w:p>
      <w:pPr>
        <w:ind w:left="720" w:right="120" w:hanging="360"/>
        <w:spacing w:after="0" w:line="268" w:lineRule="auto"/>
        <w:tabs>
          <w:tab w:leader="none" w:pos="72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9" w:lineRule="exact"/>
        <w:rPr>
          <w:rFonts w:ascii="Arial" w:cs="Arial" w:eastAsia="Arial" w:hAnsi="Arial"/>
          <w:sz w:val="20"/>
          <w:szCs w:val="20"/>
          <w:color w:val="auto"/>
        </w:rPr>
      </w:pPr>
    </w:p>
    <w:p>
      <w:pPr>
        <w:ind w:left="720" w:right="200" w:hanging="360"/>
        <w:spacing w:after="0" w:line="281" w:lineRule="auto"/>
        <w:tabs>
          <w:tab w:leader="none" w:pos="72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 prohibition on stockholder action by written consent, which forces stockholder action to be taken at an annual or special meeting of our stockholders;</w:t>
      </w:r>
    </w:p>
    <w:p>
      <w:pPr>
        <w:spacing w:after="0" w:line="1" w:lineRule="exact"/>
        <w:rPr>
          <w:rFonts w:ascii="Arial" w:cs="Arial" w:eastAsia="Arial" w:hAnsi="Arial"/>
          <w:sz w:val="20"/>
          <w:szCs w:val="20"/>
          <w:color w:val="auto"/>
        </w:rPr>
      </w:pPr>
    </w:p>
    <w:p>
      <w:pPr>
        <w:ind w:left="720" w:right="60" w:hanging="360"/>
        <w:spacing w:after="0" w:line="259" w:lineRule="auto"/>
        <w:tabs>
          <w:tab w:leader="none" w:pos="72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spacing w:after="0" w:line="19" w:lineRule="exact"/>
        <w:rPr>
          <w:rFonts w:ascii="Arial" w:cs="Arial" w:eastAsia="Arial" w:hAnsi="Arial"/>
          <w:sz w:val="20"/>
          <w:szCs w:val="20"/>
          <w:color w:val="auto"/>
        </w:rPr>
      </w:pPr>
    </w:p>
    <w:p>
      <w:pPr>
        <w:ind w:left="720" w:right="120" w:hanging="360"/>
        <w:spacing w:after="0" w:line="257" w:lineRule="auto"/>
        <w:tabs>
          <w:tab w:leader="none" w:pos="72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requirement for the affirmative vote of holders of at least 66 2/3%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spacing w:after="0" w:line="22" w:lineRule="exact"/>
        <w:rPr>
          <w:rFonts w:ascii="Arial" w:cs="Arial" w:eastAsia="Arial" w:hAnsi="Arial"/>
          <w:sz w:val="20"/>
          <w:szCs w:val="20"/>
          <w:color w:val="auto"/>
        </w:rPr>
      </w:pPr>
    </w:p>
    <w:p>
      <w:pPr>
        <w:ind w:left="720" w:right="80" w:hanging="360"/>
        <w:spacing w:after="0" w:line="262" w:lineRule="auto"/>
        <w:tabs>
          <w:tab w:leader="none" w:pos="72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spacing w:after="0" w:line="15" w:lineRule="exact"/>
        <w:rPr>
          <w:rFonts w:ascii="Arial" w:cs="Arial" w:eastAsia="Arial" w:hAnsi="Arial"/>
          <w:sz w:val="20"/>
          <w:szCs w:val="20"/>
          <w:color w:val="auto"/>
        </w:rPr>
      </w:pPr>
    </w:p>
    <w:p>
      <w:pPr>
        <w:ind w:left="720" w:right="20" w:hanging="360"/>
        <w:spacing w:after="0" w:line="262" w:lineRule="auto"/>
        <w:tabs>
          <w:tab w:leader="none" w:pos="72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96" w:lineRule="exact"/>
        <w:rPr>
          <w:sz w:val="20"/>
          <w:szCs w:val="20"/>
          <w:color w:val="auto"/>
        </w:rPr>
      </w:pPr>
    </w:p>
    <w:p>
      <w:pPr>
        <w:ind w:right="160" w:firstLine="360"/>
        <w:spacing w:after="0" w:line="287" w:lineRule="auto"/>
        <w:rPr>
          <w:sz w:val="20"/>
          <w:szCs w:val="20"/>
          <w:color w:val="auto"/>
        </w:rPr>
      </w:pPr>
      <w:r>
        <w:rPr>
          <w:rFonts w:ascii="Arial" w:cs="Arial" w:eastAsia="Arial" w:hAnsi="Arial"/>
          <w:sz w:val="20"/>
          <w:szCs w:val="20"/>
          <w:color w:val="auto"/>
        </w:rPr>
        <w:t>These provisions may prohibit large stockholders, in particular those owning 15% or more of our outstanding voting stock, from merging or combining with us for a certain period of time.</w:t>
      </w:r>
    </w:p>
    <w:p>
      <w:pPr>
        <w:spacing w:after="0" w:line="171" w:lineRule="exact"/>
        <w:rPr>
          <w:sz w:val="20"/>
          <w:szCs w:val="20"/>
          <w:color w:val="auto"/>
        </w:rPr>
      </w:pPr>
    </w:p>
    <w:p>
      <w:pPr>
        <w:ind w:right="60" w:firstLine="360"/>
        <w:spacing w:after="0" w:line="273" w:lineRule="auto"/>
        <w:rPr>
          <w:sz w:val="20"/>
          <w:szCs w:val="20"/>
          <w:color w:val="auto"/>
        </w:rPr>
      </w:pPr>
      <w:r>
        <w:rPr>
          <w:rFonts w:ascii="Arial" w:cs="Arial" w:eastAsia="Arial" w:hAnsi="Arial"/>
          <w:sz w:val="20"/>
          <w:szCs w:val="20"/>
          <w:b w:val="1"/>
          <w:bCs w:val="1"/>
          <w:i w:val="1"/>
          <w:iCs w:val="1"/>
          <w:color w:val="auto"/>
        </w:rPr>
        <w:t>Our amended and restated certificate of incorporation provides that the Court of Chancery of the State of Delaware or the U.S. federal district courts will be the exclusive forums for substantially all disputes between us and our stockholders, which could limit our</w:t>
      </w:r>
    </w:p>
    <w:p>
      <w:pPr>
        <w:sectPr>
          <w:pgSz w:w="11880" w:h="15480" w:orient="portrait"/>
          <w:cols w:equalWidth="0" w:num="1">
            <w:col w:w="9000"/>
          </w:cols>
          <w:pgMar w:left="1440" w:top="12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880" w:h="15480" w:orient="portrait"/>
          <w:cols w:equalWidth="0" w:num="1">
            <w:col w:w="9000"/>
          </w:cols>
          <w:pgMar w:left="1440" w:top="1205" w:right="1440" w:bottom="0" w:gutter="0" w:footer="0" w:header="0"/>
          <w:type w:val="continuous"/>
        </w:sectPr>
      </w:pPr>
    </w:p>
    <w:bookmarkStart w:id="136" w:name="page137"/>
    <w:bookmarkEnd w:id="136"/>
    <w:p>
      <w:pPr>
        <w:ind w:right="160"/>
        <w:spacing w:after="0" w:line="296" w:lineRule="auto"/>
        <w:rPr>
          <w:sz w:val="20"/>
          <w:szCs w:val="20"/>
          <w:color w:val="auto"/>
        </w:rPr>
      </w:pPr>
      <w:r>
        <w:rPr>
          <w:rFonts w:ascii="Arial" w:cs="Arial" w:eastAsia="Arial" w:hAnsi="Arial"/>
          <w:sz w:val="20"/>
          <w:szCs w:val="20"/>
          <w:b w:val="1"/>
          <w:bCs w:val="1"/>
          <w:i w:val="1"/>
          <w:iCs w:val="1"/>
          <w:color w:val="auto"/>
        </w:rPr>
        <w:t>stockholders’ ability to obtain a favorable judicial forum for disputes with us or our directors, officers or other employees.</w:t>
      </w:r>
    </w:p>
    <w:p>
      <w:pPr>
        <w:spacing w:after="0" w:line="152" w:lineRule="exact"/>
        <w:rPr>
          <w:sz w:val="20"/>
          <w:szCs w:val="20"/>
          <w:color w:val="auto"/>
        </w:rPr>
      </w:pPr>
    </w:p>
    <w:p>
      <w:pPr>
        <w:ind w:right="140" w:firstLine="360"/>
        <w:spacing w:after="0" w:line="268" w:lineRule="auto"/>
        <w:rPr>
          <w:sz w:val="20"/>
          <w:szCs w:val="20"/>
          <w:color w:val="auto"/>
        </w:rPr>
      </w:pPr>
      <w:r>
        <w:rPr>
          <w:rFonts w:ascii="Arial" w:cs="Arial" w:eastAsia="Arial" w:hAnsi="Arial"/>
          <w:sz w:val="20"/>
          <w:szCs w:val="20"/>
          <w:color w:val="auto"/>
        </w:rPr>
        <w:t>Our amended and restated certificate of incorporation provides that the Court of Chancery of the State of Delaware is the sole and exclusive forum for the following types of actions or proceedings under Delaware statutory or common law:</w:t>
      </w:r>
    </w:p>
    <w:p>
      <w:pPr>
        <w:spacing w:after="0" w:line="70" w:lineRule="exact"/>
        <w:rPr>
          <w:sz w:val="20"/>
          <w:szCs w:val="20"/>
          <w:color w:val="auto"/>
        </w:rPr>
      </w:pPr>
    </w:p>
    <w:p>
      <w:pPr>
        <w:ind w:left="720" w:hanging="360"/>
        <w:spacing w:after="0"/>
        <w:tabs>
          <w:tab w:leader="none" w:pos="72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any derivative action or proceeding brought on our behalf;</w:t>
      </w:r>
    </w:p>
    <w:p>
      <w:pPr>
        <w:spacing w:after="0" w:line="70" w:lineRule="exact"/>
        <w:rPr>
          <w:rFonts w:ascii="Arial" w:cs="Arial" w:eastAsia="Arial" w:hAnsi="Arial"/>
          <w:sz w:val="20"/>
          <w:szCs w:val="20"/>
          <w:color w:val="auto"/>
        </w:rPr>
      </w:pPr>
    </w:p>
    <w:p>
      <w:pPr>
        <w:ind w:left="720" w:right="160" w:hanging="360"/>
        <w:spacing w:after="0" w:line="281" w:lineRule="auto"/>
        <w:tabs>
          <w:tab w:leader="none" w:pos="72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any action asserting a breach of fiduciary duty owed by any of our directors, officers or other employees to us or our stockholders;</w:t>
      </w:r>
    </w:p>
    <w:p>
      <w:pPr>
        <w:spacing w:after="0" w:line="1" w:lineRule="exact"/>
        <w:rPr>
          <w:rFonts w:ascii="Arial" w:cs="Arial" w:eastAsia="Arial" w:hAnsi="Arial"/>
          <w:sz w:val="20"/>
          <w:szCs w:val="20"/>
          <w:color w:val="auto"/>
        </w:rPr>
      </w:pPr>
    </w:p>
    <w:p>
      <w:pPr>
        <w:ind w:left="720" w:right="360" w:hanging="360"/>
        <w:spacing w:after="0" w:line="268" w:lineRule="auto"/>
        <w:tabs>
          <w:tab w:leader="none" w:pos="72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any action asserting a claim against us arising pursuant to any provisions of the Delaware General Corporation Law, our amended and restated certificate of incorporation or our amended and restated bylaws; or</w:t>
      </w:r>
    </w:p>
    <w:p>
      <w:pPr>
        <w:spacing w:after="0" w:line="9" w:lineRule="exact"/>
        <w:rPr>
          <w:rFonts w:ascii="Arial" w:cs="Arial" w:eastAsia="Arial" w:hAnsi="Arial"/>
          <w:sz w:val="20"/>
          <w:szCs w:val="20"/>
          <w:color w:val="auto"/>
        </w:rPr>
      </w:pPr>
    </w:p>
    <w:p>
      <w:pPr>
        <w:ind w:left="720" w:hanging="360"/>
        <w:spacing w:after="0"/>
        <w:tabs>
          <w:tab w:leader="none" w:pos="72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any action asserting a claim against us that is governed by the internal affairs doctrine.</w:t>
      </w:r>
    </w:p>
    <w:p>
      <w:pPr>
        <w:spacing w:after="0" w:line="250" w:lineRule="exact"/>
        <w:rPr>
          <w:sz w:val="20"/>
          <w:szCs w:val="20"/>
          <w:color w:val="auto"/>
        </w:rPr>
      </w:pPr>
    </w:p>
    <w:p>
      <w:pPr>
        <w:ind w:right="20" w:firstLine="360"/>
        <w:spacing w:after="0" w:line="253" w:lineRule="auto"/>
        <w:rPr>
          <w:sz w:val="20"/>
          <w:szCs w:val="20"/>
          <w:color w:val="auto"/>
        </w:rPr>
      </w:pPr>
      <w:r>
        <w:rPr>
          <w:rFonts w:ascii="Arial" w:cs="Arial" w:eastAsia="Arial" w:hAnsi="Arial"/>
          <w:sz w:val="20"/>
          <w:szCs w:val="20"/>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6" w:lineRule="exact"/>
        <w:rPr>
          <w:sz w:val="20"/>
          <w:szCs w:val="20"/>
          <w:color w:val="auto"/>
        </w:rPr>
      </w:pPr>
    </w:p>
    <w:p>
      <w:pPr>
        <w:ind w:right="140" w:firstLine="360"/>
        <w:spacing w:after="0" w:line="273" w:lineRule="auto"/>
        <w:rPr>
          <w:sz w:val="20"/>
          <w:szCs w:val="20"/>
          <w:color w:val="auto"/>
        </w:rPr>
      </w:pPr>
      <w:r>
        <w:rPr>
          <w:rFonts w:ascii="Arial" w:cs="Arial" w:eastAsia="Arial" w:hAnsi="Arial"/>
          <w:sz w:val="19"/>
          <w:szCs w:val="19"/>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or other employees. If a court were to find either exclusive forum provision in our amended and restated certificate of incorporation to be inapplicable or unenforceable in an action, we may incur significant additional costs associated with resolving the dispute in other jurisdictions, all of which could seriously harm our business.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General Risks</w:t>
      </w:r>
    </w:p>
    <w:p>
      <w:pPr>
        <w:spacing w:after="0" w:line="252" w:lineRule="exact"/>
        <w:rPr>
          <w:sz w:val="20"/>
          <w:szCs w:val="20"/>
          <w:color w:val="auto"/>
        </w:rPr>
      </w:pPr>
    </w:p>
    <w:p>
      <w:pPr>
        <w:ind w:right="180" w:firstLine="360"/>
        <w:spacing w:after="0" w:line="273" w:lineRule="auto"/>
        <w:rPr>
          <w:sz w:val="20"/>
          <w:szCs w:val="20"/>
          <w:color w:val="auto"/>
        </w:rPr>
      </w:pPr>
      <w:r>
        <w:rPr>
          <w:rFonts w:ascii="Arial" w:cs="Arial" w:eastAsia="Arial" w:hAnsi="Arial"/>
          <w:sz w:val="20"/>
          <w:szCs w:val="20"/>
          <w:b w:val="1"/>
          <w:bCs w:val="1"/>
          <w:i w:val="1"/>
          <w:iCs w:val="1"/>
          <w:color w:val="auto"/>
        </w:rPr>
        <w:t>We are subject to anti-corruption laws, anti-bribery and similar laws with respect to our domestic and international operations, and non-compliance with such laws can subject us to criminal and/or civil liability and materially harm our business and reputation.</w:t>
      </w:r>
    </w:p>
    <w:p>
      <w:pPr>
        <w:spacing w:after="0" w:line="174" w:lineRule="exact"/>
        <w:rPr>
          <w:sz w:val="20"/>
          <w:szCs w:val="20"/>
          <w:color w:val="auto"/>
        </w:rPr>
      </w:pPr>
    </w:p>
    <w:p>
      <w:pPr>
        <w:ind w:right="80" w:firstLine="360"/>
        <w:spacing w:after="0" w:line="255" w:lineRule="auto"/>
        <w:rPr>
          <w:sz w:val="20"/>
          <w:szCs w:val="20"/>
          <w:color w:val="auto"/>
        </w:rPr>
      </w:pPr>
      <w:r>
        <w:rPr>
          <w:rFonts w:ascii="Arial" w:cs="Arial" w:eastAsia="Arial" w:hAnsi="Arial"/>
          <w:sz w:val="20"/>
          <w:szCs w:val="20"/>
          <w:color w:val="auto"/>
        </w:rPr>
        <w:t>We are subject to the anti-bribery laws of the jurisdictions in which we operate. These include the FCPA, the U.S. domestic bribery statute contained in 18 U.S.C. § 201, the U.S. Travel Act, the U.K. Bribery Act 2010, and other anti-corruption laws in countries in which we conduct activities. Anti-corruption laws are interpreted broadly and prohibit our company from authorizing, offering, or providing, directly or indirectly, improper payments or benefits in order to gain or maintain business, including payments to recipients in the public or private sector. We use third-party law firms, accountants, and other representatives for regulatory compliance, sales, and other purposes in several countries. We sell directly and indirectly, via third-party representatives, to both private and government sectors in the United States and in other jurisdictions. Our employees and third-party</w:t>
      </w:r>
    </w:p>
    <w:p>
      <w:pPr>
        <w:sectPr>
          <w:pgSz w:w="11880" w:h="15480" w:orient="portrait"/>
          <w:cols w:equalWidth="0" w:num="1">
            <w:col w:w="9000"/>
          </w:cols>
          <w:pgMar w:left="1440" w:top="12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880" w:h="15480" w:orient="portrait"/>
          <w:cols w:equalWidth="0" w:num="1">
            <w:col w:w="9000"/>
          </w:cols>
          <w:pgMar w:left="1440" w:top="1205" w:right="1440" w:bottom="0" w:gutter="0" w:footer="0" w:header="0"/>
          <w:type w:val="continuous"/>
        </w:sectPr>
      </w:pPr>
    </w:p>
    <w:bookmarkStart w:id="137" w:name="page138"/>
    <w:bookmarkEnd w:id="137"/>
    <w:p>
      <w:pPr>
        <w:ind w:right="40"/>
        <w:spacing w:after="0" w:line="252" w:lineRule="auto"/>
        <w:rPr>
          <w:sz w:val="20"/>
          <w:szCs w:val="20"/>
          <w:color w:val="auto"/>
        </w:rPr>
      </w:pPr>
      <w:r>
        <w:rPr>
          <w:rFonts w:ascii="Arial" w:cs="Arial" w:eastAsia="Arial" w:hAnsi="Arial"/>
          <w:sz w:val="20"/>
          <w:szCs w:val="20"/>
          <w:color w:val="auto"/>
        </w:rPr>
        <w:t>representatives interact with these customers, which may include government officials. We can be held liable for the corrupt or other illegal activities of these third-party representatives, our employees, contractors, and other agents, even if we do not explicitly authorize such activities. 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reputation,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spacing w:after="0" w:line="216" w:lineRule="exact"/>
        <w:rPr>
          <w:sz w:val="20"/>
          <w:szCs w:val="20"/>
          <w:color w:val="auto"/>
        </w:rPr>
      </w:pPr>
    </w:p>
    <w:p>
      <w:pPr>
        <w:jc w:val="both"/>
        <w:ind w:right="660" w:firstLine="360"/>
        <w:spacing w:after="0" w:line="294" w:lineRule="auto"/>
        <w:rPr>
          <w:sz w:val="20"/>
          <w:szCs w:val="20"/>
          <w:color w:val="auto"/>
        </w:rPr>
      </w:pPr>
      <w:r>
        <w:rPr>
          <w:rFonts w:ascii="Arial" w:cs="Arial" w:eastAsia="Arial" w:hAnsi="Arial"/>
          <w:sz w:val="19"/>
          <w:szCs w:val="19"/>
          <w:b w:val="1"/>
          <w:bCs w:val="1"/>
          <w:i w:val="1"/>
          <w:iCs w:val="1"/>
          <w:color w:val="auto"/>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spacing w:after="0" w:line="156" w:lineRule="exact"/>
        <w:rPr>
          <w:sz w:val="20"/>
          <w:szCs w:val="20"/>
          <w:color w:val="auto"/>
        </w:rPr>
      </w:pPr>
    </w:p>
    <w:p>
      <w:pPr>
        <w:ind w:firstLine="360"/>
        <w:spacing w:after="0" w:line="252" w:lineRule="auto"/>
        <w:rPr>
          <w:sz w:val="20"/>
          <w:szCs w:val="20"/>
          <w:color w:val="auto"/>
        </w:rPr>
      </w:pPr>
      <w:r>
        <w:rPr>
          <w:rFonts w:ascii="Arial" w:cs="Arial" w:eastAsia="Arial" w:hAnsi="Arial"/>
          <w:sz w:val="20"/>
          <w:szCs w:val="20"/>
          <w:color w:val="auto"/>
        </w:rPr>
        <w:t>The United States and other countries maintain and administer export and import laws and regulations. Our products are subject to U.S. export control and import laws and regulations, including the U.S. Export Administration Regulations, U.S. Customs regulations, and various economic and trade sanctions administered by the U.S. Treasury Department’s Office of Foreign Assets Control.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for a particular sale may be time-consuming, is not guaranteed and may result in the delay or loss of sales opportunities. In addition, changes in our solutions, or changes in applicable export or import laws and regulations may create delays in the introduction and sale of our products in international markets or, in some cases, prevent the export or import of our solutions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products, or in our decreased ability to export or sell our products to existing or potential customers. Any decreased use of our products or limitation on our ability to export or sell our products would likely adversely affect our business, financial condition, and results of operations.</w:t>
      </w:r>
    </w:p>
    <w:p>
      <w:pPr>
        <w:spacing w:after="0" w:line="210" w:lineRule="exact"/>
        <w:rPr>
          <w:sz w:val="20"/>
          <w:szCs w:val="20"/>
          <w:color w:val="auto"/>
        </w:rPr>
      </w:pPr>
    </w:p>
    <w:p>
      <w:pPr>
        <w:ind w:right="40" w:firstLine="360"/>
        <w:spacing w:after="0" w:line="270" w:lineRule="auto"/>
        <w:rPr>
          <w:sz w:val="20"/>
          <w:szCs w:val="20"/>
          <w:color w:val="auto"/>
        </w:rPr>
      </w:pPr>
      <w:r>
        <w:rPr>
          <w:rFonts w:ascii="Arial" w:cs="Arial" w:eastAsia="Arial" w:hAnsi="Arial"/>
          <w:sz w:val="19"/>
          <w:szCs w:val="19"/>
          <w:color w:val="auto"/>
        </w:rPr>
        <w:t>Furthermore, we incorporate encryption technology into certain of our solutions. Various countries regulate the import of certain encryption technology, including import permitting and licensing requirements, and have enacted laws that could limit our ability to distribute our solutions or could limit our customers’ ability to implement our solutions in those countries. Encrypted products and the underlying technology may also be subject to export control restrictions. Governmental regulation of encryption technology and regulation of imports or exports of encryption solutions, or our failure to obtain required import or export approval for our solutions, could harm our international sales and adversely affect our revenue. Compliance with applicable laws and regulations regarding the export and import of our solutions, including with respect to new solutions or changes in existing solutions,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880" w:h="15480" w:orient="portrait"/>
          <w:cols w:equalWidth="0" w:num="1">
            <w:col w:w="9000"/>
          </w:cols>
          <w:pgMar w:left="1440" w:top="1204" w:right="1440" w:bottom="0" w:gutter="0" w:footer="0" w:header="0"/>
          <w:type w:val="continuous"/>
        </w:sectPr>
      </w:pPr>
    </w:p>
    <w:bookmarkStart w:id="138" w:name="page139"/>
    <w:bookmarkEnd w:id="138"/>
    <w:p>
      <w:pPr>
        <w:ind w:right="120"/>
        <w:spacing w:after="0" w:line="289" w:lineRule="auto"/>
        <w:rPr>
          <w:sz w:val="20"/>
          <w:szCs w:val="20"/>
          <w:color w:val="auto"/>
        </w:rPr>
      </w:pPr>
      <w:r>
        <w:rPr>
          <w:rFonts w:ascii="Arial" w:cs="Arial" w:eastAsia="Arial" w:hAnsi="Arial"/>
          <w:sz w:val="19"/>
          <w:szCs w:val="19"/>
          <w:color w:val="auto"/>
        </w:rPr>
        <w:t>may create delays in the introduction of our solutions in international markets, prevent our customers with international operations from deploying our solutions globally or, in some cases, could prevent the export or import of our solutions to certain countries, governments, entities or persons altogether.</w:t>
      </w:r>
    </w:p>
    <w:p>
      <w:pPr>
        <w:spacing w:after="0" w:line="171" w:lineRule="exact"/>
        <w:rPr>
          <w:sz w:val="20"/>
          <w:szCs w:val="20"/>
          <w:color w:val="auto"/>
        </w:rPr>
      </w:pPr>
    </w:p>
    <w:p>
      <w:pPr>
        <w:ind w:right="360" w:firstLine="360"/>
        <w:spacing w:after="0" w:line="259" w:lineRule="auto"/>
        <w:rPr>
          <w:sz w:val="20"/>
          <w:szCs w:val="20"/>
          <w:color w:val="auto"/>
        </w:rPr>
      </w:pPr>
      <w:r>
        <w:rPr>
          <w:rFonts w:ascii="Arial" w:cs="Arial" w:eastAsia="Arial" w:hAnsi="Arial"/>
          <w:sz w:val="20"/>
          <w:szCs w:val="20"/>
          <w:color w:val="auto"/>
        </w:rPr>
        <w:t>Moreover, U.S. export control laws and economic sanctions programs prohibit the shipment of certain products and services to countries, governments and persons that are subject to U.S. economic embargoes and trade sanctions. Any violations of such economic embargoes and trade sanction regulations could have negative consequences, including government investigations, penalties and reputational harm.</w:t>
      </w:r>
    </w:p>
    <w:p>
      <w:pPr>
        <w:spacing w:after="0" w:line="200" w:lineRule="exact"/>
        <w:rPr>
          <w:sz w:val="20"/>
          <w:szCs w:val="20"/>
          <w:color w:val="auto"/>
        </w:rPr>
      </w:pPr>
    </w:p>
    <w:p>
      <w:pPr>
        <w:ind w:right="900" w:firstLine="360"/>
        <w:spacing w:after="0" w:line="296" w:lineRule="auto"/>
        <w:rPr>
          <w:sz w:val="20"/>
          <w:szCs w:val="20"/>
          <w:color w:val="auto"/>
        </w:rPr>
      </w:pPr>
      <w:r>
        <w:rPr>
          <w:rFonts w:ascii="Arial" w:cs="Arial" w:eastAsia="Arial" w:hAnsi="Arial"/>
          <w:sz w:val="20"/>
          <w:szCs w:val="20"/>
          <w:b w:val="1"/>
          <w:bCs w:val="1"/>
          <w:i w:val="1"/>
          <w:iCs w:val="1"/>
          <w:color w:val="auto"/>
        </w:rPr>
        <w:t>Changes to and uncertainties in the interpretation and application of tax laws and regulations could materially affect our tax obligations and effective tax rate.</w:t>
      </w:r>
    </w:p>
    <w:p>
      <w:pPr>
        <w:spacing w:after="0" w:line="152" w:lineRule="exact"/>
        <w:rPr>
          <w:sz w:val="20"/>
          <w:szCs w:val="20"/>
          <w:color w:val="auto"/>
        </w:rPr>
      </w:pPr>
    </w:p>
    <w:p>
      <w:pPr>
        <w:ind w:firstLine="360"/>
        <w:spacing w:after="0" w:line="251" w:lineRule="auto"/>
        <w:rPr>
          <w:sz w:val="20"/>
          <w:szCs w:val="20"/>
          <w:color w:val="auto"/>
        </w:rPr>
      </w:pPr>
      <w:r>
        <w:rPr>
          <w:rFonts w:ascii="Arial" w:cs="Arial" w:eastAsia="Arial" w:hAnsi="Arial"/>
          <w:sz w:val="20"/>
          <w:szCs w:val="20"/>
          <w:color w:val="auto"/>
        </w:rPr>
        <w:t>The tax regimes to which we are subject or under which we operate, including income and non-income taxes, are unsettled and may be subject to significant change. The issuance of additional regulatory or accounting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For example, beginning in 2022, U.S. taxpayers are required to capitalize and amortize certain research and development expenditures over five years if incurred in the United States and fifteen years if incurred in non-U.S. jurisdictions. Although there have been legislative proposals to repeal or defer the capitalization requirement, there can be no assurance that the provision will be repealed or otherwise modified. In addition, the recently enacted Inflation Reduction Act includes, among other provisions, a 15% minimum tax on the book income of certain large corporations, as well as a 1% excise tax imposed on certain stock repurchases by public corporations. It is possible that these changes could increase our future tax liability. Furthermore, the Organization for Economic Co-operation and Development, or OECD, is leading work on proposals, commonly referred to as “BEPS 2.0”, which, if implemented, would make important changes to the international tax system. These proposals are based on two “pillars”, involving the allocation of taxing rights in respect of certain multinational enterprises above a fixed profit margin to the jurisdictions in which they carry on business (referred to as the Pillar One proposal) and imposing a minimum effective tax rate on certain multinational enterprises (referred to as the Pillar Two proposal). The European Union has adopted a Council Directive requiring aspects of the Pillar Two proposal to be transposed into the national laws of European Union Member states by December 31, 2023, and a number of other countries are also planning to enact such rules. Based on the minimum revenue thresholds contained in the Pillar One and Pillar Two proposals, we do not expect currently to be within the scope of the rules, but could fall within their scope in the future, which could increase our tax obligations in the countries where we do business.</w:t>
      </w:r>
    </w:p>
    <w:p>
      <w:pPr>
        <w:spacing w:after="0" w:line="227" w:lineRule="exact"/>
        <w:rPr>
          <w:sz w:val="20"/>
          <w:szCs w:val="20"/>
          <w:color w:val="auto"/>
        </w:rPr>
      </w:pPr>
    </w:p>
    <w:p>
      <w:pPr>
        <w:ind w:firstLine="360"/>
        <w:spacing w:after="0" w:line="253" w:lineRule="auto"/>
        <w:rPr>
          <w:sz w:val="20"/>
          <w:szCs w:val="20"/>
          <w:color w:val="auto"/>
        </w:rPr>
      </w:pPr>
      <w:r>
        <w:rPr>
          <w:rFonts w:ascii="Arial" w:cs="Arial" w:eastAsia="Arial" w:hAnsi="Arial"/>
          <w:sz w:val="20"/>
          <w:szCs w:val="20"/>
          <w:color w:val="auto"/>
        </w:rPr>
        <w:t>In addition, forecasts of our income tax position and effective tax rate for financial accounting purposes are complex and subject to significant judgment and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tax laws (and changes to these rules and tax laws), the results of examinations by various tax authorities, and the impact of any acquisition, business combination or other reorganization or financing transaction. To forecast our global tax rate, we estimate our pre-tax profits and losses and tax expense by jurisdiction. If the mix of profits and losses, our ability to use tax assets and attributes, our assessment of the need for valuation allowances, effective tax rates by jurisdiction or other factors are different than those estimated, our actual tax rate could be materially different than forecasted, which could have a material impact on our business, financial condition and results of operations.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880" w:h="15480" w:orient="portrait"/>
          <w:cols w:equalWidth="0" w:num="1">
            <w:col w:w="9000"/>
          </w:cols>
          <w:pgMar w:left="1440" w:top="1204" w:right="1440" w:bottom="0" w:gutter="0" w:footer="0" w:header="0"/>
          <w:type w:val="continuous"/>
        </w:sectPr>
      </w:pPr>
    </w:p>
    <w:bookmarkStart w:id="139" w:name="page140"/>
    <w:bookmarkEnd w:id="139"/>
    <w:p>
      <w:pPr>
        <w:ind w:right="40" w:firstLine="360"/>
        <w:spacing w:after="0" w:line="273" w:lineRule="auto"/>
        <w:rPr>
          <w:sz w:val="20"/>
          <w:szCs w:val="20"/>
          <w:color w:val="auto"/>
        </w:rPr>
      </w:pPr>
      <w:r>
        <w:rPr>
          <w:rFonts w:ascii="Arial" w:cs="Arial" w:eastAsia="Arial" w:hAnsi="Arial"/>
          <w:sz w:val="20"/>
          <w:szCs w:val="20"/>
          <w:b w:val="1"/>
          <w:bCs w:val="1"/>
          <w:i w:val="1"/>
          <w:iCs w:val="1"/>
          <w:color w:val="auto"/>
        </w:rPr>
        <w:t>Our operating results may be negatively affected if we are required to pay additional taxes, including sales and use tax, value added tax, or other transaction taxes, and we could be subject to liability with respect to all or a portion of past or future sales.</w:t>
      </w:r>
    </w:p>
    <w:p>
      <w:pPr>
        <w:spacing w:after="0" w:line="174" w:lineRule="exact"/>
        <w:rPr>
          <w:sz w:val="20"/>
          <w:szCs w:val="20"/>
          <w:color w:val="auto"/>
        </w:rPr>
      </w:pPr>
    </w:p>
    <w:p>
      <w:pPr>
        <w:ind w:right="20" w:firstLine="360"/>
        <w:spacing w:after="0" w:line="253" w:lineRule="auto"/>
        <w:rPr>
          <w:sz w:val="20"/>
          <w:szCs w:val="20"/>
          <w:color w:val="auto"/>
        </w:rPr>
      </w:pPr>
      <w:r>
        <w:rPr>
          <w:rFonts w:ascii="Arial" w:cs="Arial" w:eastAsia="Arial" w:hAnsi="Arial"/>
          <w:sz w:val="20"/>
          <w:szCs w:val="20"/>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 A successful assertion that we are required to pay additional taxes in connection with sales of our solutions, or the imposition of new laws or regulations or the interpretation of existing laws and regulations requiring the payment of additional taxes, would result in increased costs and administrative burdens for us. If we are subject to additional taxes and determine to offset such increased costs by collecting and remitting such taxes from our customers, or otherwise passing those costs through to our customers, companies may be discouraged from using our solutions. Any increased tax burden may decrease our ability or willingness to compete in relatively burdensome tax jurisdictions, result in substantial tax liabilities related to past or future sales or otherwise harm our business and operating results.</w:t>
      </w:r>
    </w:p>
    <w:p>
      <w:pPr>
        <w:spacing w:after="0" w:line="210" w:lineRule="exact"/>
        <w:rPr>
          <w:sz w:val="20"/>
          <w:szCs w:val="20"/>
          <w:color w:val="auto"/>
        </w:rPr>
      </w:pPr>
    </w:p>
    <w:p>
      <w:pPr>
        <w:ind w:right="300" w:firstLine="360"/>
        <w:spacing w:after="0" w:line="296" w:lineRule="auto"/>
        <w:rPr>
          <w:sz w:val="20"/>
          <w:szCs w:val="20"/>
          <w:color w:val="auto"/>
        </w:rPr>
      </w:pPr>
      <w:r>
        <w:rPr>
          <w:rFonts w:ascii="Arial" w:cs="Arial" w:eastAsia="Arial" w:hAnsi="Arial"/>
          <w:sz w:val="20"/>
          <w:szCs w:val="20"/>
          <w:b w:val="1"/>
          <w:bCs w:val="1"/>
          <w:i w:val="1"/>
          <w:iCs w:val="1"/>
          <w:color w:val="auto"/>
        </w:rPr>
        <w:t>Our ability to use net operating losses to offset future taxable income may be subject to certain limitations.</w:t>
      </w:r>
    </w:p>
    <w:p>
      <w:pPr>
        <w:spacing w:after="0" w:line="152" w:lineRule="exact"/>
        <w:rPr>
          <w:sz w:val="20"/>
          <w:szCs w:val="20"/>
          <w:color w:val="auto"/>
        </w:rPr>
      </w:pPr>
    </w:p>
    <w:p>
      <w:pPr>
        <w:ind w:right="40" w:firstLine="360"/>
        <w:spacing w:after="0" w:line="256" w:lineRule="auto"/>
        <w:rPr>
          <w:sz w:val="20"/>
          <w:szCs w:val="20"/>
          <w:color w:val="auto"/>
        </w:rPr>
      </w:pPr>
      <w:r>
        <w:rPr>
          <w:rFonts w:ascii="Arial" w:cs="Arial" w:eastAsia="Arial" w:hAnsi="Arial"/>
          <w:sz w:val="20"/>
          <w:szCs w:val="20"/>
          <w:color w:val="auto"/>
        </w:rPr>
        <w:t>At December 31, 2022 we had U.S. federal, state and foreign net operating loss carryforwards, or NOLs, of $407.4 million, $233.5 million, and $315.5 million, respectively, available to offset future taxable income, some of which will begin to expire in 2030. A lack of future taxable income would adversely affect our ability to utilize certain of our NOLs before they expire. Under current law, Federal NOLs incurred in taxable years beginning after December 31, 2017 can be carried forward indefinitely, but the deductibility of such federal NOLs in taxable years beginning after December 31, 2020, is limited to 80% of taxable income.</w:t>
      </w:r>
    </w:p>
    <w:p>
      <w:pPr>
        <w:spacing w:after="0" w:line="203" w:lineRule="exact"/>
        <w:rPr>
          <w:sz w:val="20"/>
          <w:szCs w:val="20"/>
          <w:color w:val="auto"/>
        </w:rPr>
      </w:pPr>
    </w:p>
    <w:p>
      <w:pPr>
        <w:ind w:right="20" w:firstLine="360"/>
        <w:spacing w:after="0" w:line="267" w:lineRule="auto"/>
        <w:rPr>
          <w:sz w:val="20"/>
          <w:szCs w:val="20"/>
          <w:color w:val="auto"/>
        </w:rPr>
      </w:pPr>
      <w:r>
        <w:rPr>
          <w:rFonts w:ascii="Arial" w:cs="Arial" w:eastAsia="Arial" w:hAnsi="Arial"/>
          <w:sz w:val="19"/>
          <w:szCs w:val="19"/>
          <w:color w:val="auto"/>
        </w:rPr>
        <w:t>In addition, under the provisions of the Internal Revenue Code of 1986, as amended, or the Internal Revenue Code, substantial changes in our ownership may limit the amount of pre-change NOLs that can be utilized annually in the future to offset taxable income. Section 382 of the Internal Revenue Code imposes limitations on a company’s ability to use its NOLs to offset its taxable income if one or more stockholders or groups of stockholders that each own at least 5% of the company’s stock increase their aggregate ownership (by value) by more than 50 percentage points over their lowest ownership percentages within a rolling three-year period. Similar rules may apply under state and foreign tax laws. Based upon an analysis as of December 31, 2022, we determined that we do not expect these limitations to materially impair our ability to use our NOLs prior to expiration. However, if changes in our ownership occurred after such date, or occur in the future, our ability to use our NOLs may be further limited. Subsequent statutory or regulatory changes in respect of the utilization of NOLs for federal, state or foreign purposes, such as suspensions on the use of NOLs or limitations on the deductibility of NOLs carried forward, or other unforeseen reasons, may result in our existing NOLs expiring or otherwise being unavailable to offset future income tax liabilities. For these reasons, we may not be able to utilize a material portion of our NOLs, even if we achieve profitability.</w:t>
      </w:r>
    </w:p>
    <w:p>
      <w:pPr>
        <w:spacing w:after="0" w:line="195" w:lineRule="exact"/>
        <w:rPr>
          <w:sz w:val="20"/>
          <w:szCs w:val="20"/>
          <w:color w:val="auto"/>
        </w:rPr>
      </w:pPr>
    </w:p>
    <w:p>
      <w:pPr>
        <w:ind w:firstLine="360"/>
        <w:spacing w:after="0" w:line="273" w:lineRule="auto"/>
        <w:rPr>
          <w:sz w:val="20"/>
          <w:szCs w:val="20"/>
          <w:color w:val="auto"/>
        </w:rPr>
      </w:pPr>
      <w:r>
        <w:rPr>
          <w:rFonts w:ascii="Arial" w:cs="Arial" w:eastAsia="Arial" w:hAnsi="Arial"/>
          <w:sz w:val="20"/>
          <w:szCs w:val="20"/>
          <w:b w:val="1"/>
          <w:bCs w:val="1"/>
          <w:i w:val="1"/>
          <w:iCs w:val="1"/>
          <w:color w:val="auto"/>
        </w:rPr>
        <w:t>We are obligated to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74" w:lineRule="exact"/>
        <w:rPr>
          <w:sz w:val="20"/>
          <w:szCs w:val="20"/>
          <w:color w:val="auto"/>
        </w:rPr>
      </w:pPr>
    </w:p>
    <w:p>
      <w:pPr>
        <w:jc w:val="both"/>
        <w:ind w:right="120" w:firstLine="360"/>
        <w:spacing w:after="0" w:line="289" w:lineRule="auto"/>
        <w:rPr>
          <w:sz w:val="20"/>
          <w:szCs w:val="20"/>
          <w:color w:val="auto"/>
        </w:rPr>
      </w:pPr>
      <w:r>
        <w:rPr>
          <w:rFonts w:ascii="Arial" w:cs="Arial" w:eastAsia="Arial" w:hAnsi="Arial"/>
          <w:sz w:val="19"/>
          <w:szCs w:val="19"/>
          <w:color w:val="auto"/>
        </w:rPr>
        <w:t>We are required, pursuant to Section 404 of the Sarbanes-Oxley Act, or Section 404, to furnish a report by management on, among other things, the effectiveness of our internal control over financial reporting on an annual basis. This assessment includes disclosure of any material weaknesses</w:t>
      </w:r>
    </w:p>
    <w:p>
      <w:pPr>
        <w:sectPr>
          <w:pgSz w:w="11880" w:h="15480" w:orient="portrait"/>
          <w:cols w:equalWidth="0" w:num="1">
            <w:col w:w="9000"/>
          </w:cols>
          <w:pgMar w:left="1440" w:top="12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880" w:h="15480" w:orient="portrait"/>
          <w:cols w:equalWidth="0" w:num="1">
            <w:col w:w="9000"/>
          </w:cols>
          <w:pgMar w:left="1440" w:top="1205" w:right="1440" w:bottom="0" w:gutter="0" w:footer="0" w:header="0"/>
          <w:type w:val="continuous"/>
        </w:sectPr>
      </w:pPr>
    </w:p>
    <w:bookmarkStart w:id="140" w:name="page141"/>
    <w:bookmarkEnd w:id="140"/>
    <w:p>
      <w:pPr>
        <w:ind w:right="180"/>
        <w:spacing w:after="0" w:line="287" w:lineRule="auto"/>
        <w:rPr>
          <w:sz w:val="20"/>
          <w:szCs w:val="20"/>
          <w:color w:val="auto"/>
        </w:rPr>
      </w:pPr>
      <w:r>
        <w:rPr>
          <w:rFonts w:ascii="Arial" w:cs="Arial" w:eastAsia="Arial" w:hAnsi="Arial"/>
          <w:sz w:val="20"/>
          <w:szCs w:val="20"/>
          <w:color w:val="auto"/>
        </w:rPr>
        <w:t>identified by our management in our internal control over financial reporting. We are also required to disclose significant changes made in our internal control procedures on a quarterly basis.</w:t>
      </w:r>
    </w:p>
    <w:p>
      <w:pPr>
        <w:spacing w:after="0" w:line="170" w:lineRule="exact"/>
        <w:rPr>
          <w:sz w:val="20"/>
          <w:szCs w:val="20"/>
          <w:color w:val="auto"/>
        </w:rPr>
      </w:pPr>
    </w:p>
    <w:p>
      <w:pPr>
        <w:ind w:right="100" w:firstLine="360"/>
        <w:spacing w:after="0" w:line="253" w:lineRule="auto"/>
        <w:rPr>
          <w:sz w:val="20"/>
          <w:szCs w:val="20"/>
          <w:color w:val="auto"/>
        </w:rPr>
      </w:pPr>
      <w:r>
        <w:rPr>
          <w:rFonts w:ascii="Arial" w:cs="Arial" w:eastAsia="Arial" w:hAnsi="Arial"/>
          <w:sz w:val="20"/>
          <w:szCs w:val="20"/>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maintain other effective control systems required of public companies, could also restrict our future access to the capital markets.</w:t>
      </w:r>
    </w:p>
    <w:p>
      <w:pPr>
        <w:spacing w:after="0" w:line="205"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20"/>
          <w:szCs w:val="20"/>
          <w:b w:val="1"/>
          <w:bCs w:val="1"/>
          <w:color w:val="auto"/>
        </w:rPr>
        <w:t>Unresolved Staff Comments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None.</w:t>
      </w:r>
    </w:p>
    <w:p>
      <w:pPr>
        <w:spacing w:after="0" w:line="249"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251" w:lineRule="exact"/>
        <w:rPr>
          <w:sz w:val="20"/>
          <w:szCs w:val="20"/>
          <w:color w:val="auto"/>
        </w:rPr>
      </w:pPr>
    </w:p>
    <w:p>
      <w:pPr>
        <w:ind w:right="100" w:firstLine="360"/>
        <w:spacing w:after="0" w:line="259" w:lineRule="auto"/>
        <w:rPr>
          <w:sz w:val="20"/>
          <w:szCs w:val="20"/>
          <w:color w:val="auto"/>
        </w:rPr>
      </w:pPr>
      <w:r>
        <w:rPr>
          <w:rFonts w:ascii="Arial" w:cs="Arial" w:eastAsia="Arial" w:hAnsi="Arial"/>
          <w:sz w:val="20"/>
          <w:szCs w:val="20"/>
          <w:color w:val="auto"/>
        </w:rPr>
        <w:t>Our corporate headquarters in Columbia, Maryland consist of approximately 160,000 square feet under a lease that expires in February 2032. We maintain additional offices in multiple locations internationally in Europe and the Middle East, Asia Pacific and South America. We believe that our current facilities are adequate to meet our ongoing needs and that suitable additional alternative spaces will be available in the future on commercially reasonable terms.</w:t>
      </w:r>
    </w:p>
    <w:p>
      <w:pPr>
        <w:spacing w:after="0" w:line="198"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Legal Proceedings</w:t>
      </w:r>
    </w:p>
    <w:p>
      <w:pPr>
        <w:spacing w:after="0" w:line="251" w:lineRule="exact"/>
        <w:rPr>
          <w:sz w:val="20"/>
          <w:szCs w:val="20"/>
          <w:color w:val="auto"/>
        </w:rPr>
      </w:pPr>
    </w:p>
    <w:p>
      <w:pPr>
        <w:ind w:right="120" w:firstLine="360"/>
        <w:spacing w:after="0" w:line="254" w:lineRule="auto"/>
        <w:rPr>
          <w:sz w:val="20"/>
          <w:szCs w:val="20"/>
          <w:color w:val="auto"/>
        </w:rPr>
      </w:pPr>
      <w:r>
        <w:rPr>
          <w:rFonts w:ascii="Arial" w:cs="Arial" w:eastAsia="Arial" w:hAnsi="Arial"/>
          <w:sz w:val="20"/>
          <w:szCs w:val="20"/>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5"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880" w:h="15480" w:orient="portrait"/>
          <w:cols w:equalWidth="0" w:num="1">
            <w:col w:w="9000"/>
          </w:cols>
          <w:pgMar w:left="1440" w:top="1204" w:right="1440" w:bottom="0" w:gutter="0" w:footer="0" w:header="0"/>
          <w:type w:val="continuous"/>
        </w:sectPr>
      </w:pPr>
    </w:p>
    <w:bookmarkStart w:id="141" w:name="page142"/>
    <w:bookmarkEnd w:id="141"/>
    <w:p>
      <w:pPr>
        <w:jc w:val="center"/>
        <w:spacing w:after="0"/>
        <w:rPr>
          <w:sz w:val="20"/>
          <w:szCs w:val="20"/>
          <w:color w:val="auto"/>
        </w:rPr>
      </w:pPr>
      <w:r>
        <w:rPr>
          <w:rFonts w:ascii="Arial" w:cs="Arial" w:eastAsia="Arial" w:hAnsi="Arial"/>
          <w:sz w:val="20"/>
          <w:szCs w:val="20"/>
          <w:b w:val="1"/>
          <w:bCs w:val="1"/>
          <w:color w:val="auto"/>
        </w:rPr>
        <w:t>PART II</w:t>
      </w:r>
    </w:p>
    <w:p>
      <w:pPr>
        <w:spacing w:after="0" w:line="250" w:lineRule="exact"/>
        <w:rPr>
          <w:sz w:val="20"/>
          <w:szCs w:val="20"/>
          <w:color w:val="auto"/>
        </w:rPr>
      </w:pPr>
    </w:p>
    <w:p>
      <w:pPr>
        <w:ind w:right="580"/>
        <w:spacing w:after="0" w:line="298"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Market Information for Common Stock</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common stock trades on the Nasdaq Global Select Market under the ticker symbol "TENB."</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Holders of Record</w:t>
      </w:r>
    </w:p>
    <w:p>
      <w:pPr>
        <w:spacing w:after="0" w:line="249" w:lineRule="exact"/>
        <w:rPr>
          <w:sz w:val="20"/>
          <w:szCs w:val="20"/>
          <w:color w:val="auto"/>
        </w:rPr>
      </w:pPr>
    </w:p>
    <w:p>
      <w:pPr>
        <w:ind w:right="200" w:firstLine="360"/>
        <w:spacing w:after="0" w:line="268" w:lineRule="auto"/>
        <w:rPr>
          <w:sz w:val="20"/>
          <w:szCs w:val="20"/>
          <w:color w:val="auto"/>
        </w:rPr>
      </w:pPr>
      <w:r>
        <w:rPr>
          <w:rFonts w:ascii="Arial" w:cs="Arial" w:eastAsia="Arial" w:hAnsi="Arial"/>
          <w:sz w:val="20"/>
          <w:szCs w:val="20"/>
          <w:color w:val="auto"/>
        </w:rPr>
        <w:t>At December 31, 2022, we had 18 holders of record. Because many of our shares of common stock are held by brokers and other institutions on behalf of stockholders, we are unable to estimate the total number of stockholders represented by these record holders.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Dividend Policy</w:t>
      </w:r>
    </w:p>
    <w:p>
      <w:pPr>
        <w:spacing w:after="0" w:line="249" w:lineRule="exact"/>
        <w:rPr>
          <w:sz w:val="20"/>
          <w:szCs w:val="20"/>
          <w:color w:val="auto"/>
        </w:rPr>
      </w:pPr>
    </w:p>
    <w:p>
      <w:pPr>
        <w:ind w:right="180" w:firstLine="360"/>
        <w:spacing w:after="0" w:line="255" w:lineRule="auto"/>
        <w:rPr>
          <w:sz w:val="20"/>
          <w:szCs w:val="20"/>
          <w:color w:val="auto"/>
        </w:rPr>
      </w:pPr>
      <w:r>
        <w:rPr>
          <w:rFonts w:ascii="Arial" w:cs="Arial" w:eastAsia="Arial" w:hAnsi="Arial"/>
          <w:sz w:val="20"/>
          <w:szCs w:val="20"/>
          <w:color w:val="auto"/>
        </w:rPr>
        <w:t>We have never declared or paid any dividends on our common stock. In addition, our credit agreement with JPMorgan Chase Bank, N.A., as administrative agent and collateral agent, contains restrictive covenants that limit our ability to pay dividends on our common stock. We currently intend to retain all available funds and any future earnings for the operation and expansion of our business and do not anticipate declaring or paying cash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Unregistered Sales of Equity Securities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None.</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Issuer Purchases of Equity Securities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880" w:h="15480" w:orient="portrait"/>
          <w:cols w:equalWidth="0" w:num="1">
            <w:col w:w="9000"/>
          </w:cols>
          <w:pgMar w:left="1440" w:top="1203" w:right="1440" w:bottom="0" w:gutter="0" w:footer="0" w:header="0"/>
          <w:type w:val="continuous"/>
        </w:sectPr>
      </w:pPr>
    </w:p>
    <w:bookmarkStart w:id="142" w:name="page143"/>
    <w:bookmarkEnd w:id="142"/>
    <w:p>
      <w:pPr>
        <w:ind w:left="40"/>
        <w:spacing w:after="0"/>
        <w:tabs>
          <w:tab w:leader="none" w:pos="146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Selected Financial Data</w:t>
      </w:r>
    </w:p>
    <w:p>
      <w:pPr>
        <w:spacing w:after="0" w:line="251" w:lineRule="exact"/>
        <w:rPr>
          <w:sz w:val="20"/>
          <w:szCs w:val="20"/>
          <w:color w:val="auto"/>
        </w:rPr>
      </w:pPr>
    </w:p>
    <w:p>
      <w:pPr>
        <w:ind w:left="40" w:right="80" w:firstLine="360"/>
        <w:spacing w:after="0" w:line="273" w:lineRule="auto"/>
        <w:rPr>
          <w:sz w:val="20"/>
          <w:szCs w:val="20"/>
          <w:color w:val="auto"/>
        </w:rPr>
      </w:pPr>
      <w:r>
        <w:rPr>
          <w:rFonts w:ascii="Arial" w:cs="Arial" w:eastAsia="Arial" w:hAnsi="Arial"/>
          <w:sz w:val="19"/>
          <w:szCs w:val="19"/>
          <w:color w:val="auto"/>
        </w:rPr>
        <w:t>The following selected consolidated statements of operations data for the years ended December 31, 2022, 2021 and 2020 and the selected consolidated balance sheet data as of December 31, 2022 and 2021 are derived from our audited consolidated financial statements included in this Annual Report on Form 10-K. The consolidated statements of operations data for the years ended December 31, 2019 and 2018 and consolidated balance sheet data as of December 31, 2020, 2019 and 2018 are from our audited financial statements not included in this Annual Report on Form 10-K.</w:t>
      </w:r>
    </w:p>
    <w:p>
      <w:pPr>
        <w:spacing w:after="0" w:line="189" w:lineRule="exact"/>
        <w:rPr>
          <w:sz w:val="20"/>
          <w:szCs w:val="20"/>
          <w:color w:val="auto"/>
        </w:rPr>
      </w:pPr>
    </w:p>
    <w:p>
      <w:pPr>
        <w:ind w:left="40" w:right="40" w:firstLine="360"/>
        <w:spacing w:after="0" w:line="289" w:lineRule="auto"/>
        <w:rPr>
          <w:sz w:val="20"/>
          <w:szCs w:val="20"/>
          <w:color w:val="auto"/>
        </w:rPr>
      </w:pPr>
      <w:r>
        <w:rPr>
          <w:rFonts w:ascii="Arial" w:cs="Arial" w:eastAsia="Arial" w:hAnsi="Arial"/>
          <w:sz w:val="19"/>
          <w:szCs w:val="19"/>
          <w:color w:val="auto"/>
        </w:rPr>
        <w:t>You should read the following selected financial data with the historical consolidated financial statements and related notes to those statements, as well as “Management’s Discussion and Analysis of Financial Condition and Results of Operations,” included in this Annual Report on Form 10-K.</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ind w:left="60"/>
              <w:spacing w:after="0"/>
              <w:rPr>
                <w:sz w:val="20"/>
                <w:szCs w:val="20"/>
                <w:color w:val="auto"/>
              </w:rPr>
            </w:pPr>
            <w:r>
              <w:rPr>
                <w:rFonts w:ascii="Arial" w:cs="Arial" w:eastAsia="Arial" w:hAnsi="Arial"/>
                <w:sz w:val="18"/>
                <w:szCs w:val="18"/>
                <w:b w:val="1"/>
                <w:bCs w:val="1"/>
                <w:color w:val="auto"/>
              </w:rPr>
              <w:t>Consolidated Statements of</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gridSpan w:val="7"/>
            <w:vMerge w:val="restart"/>
          </w:tcPr>
          <w:p>
            <w:pPr>
              <w:jc w:val="right"/>
              <w:ind w:right="461"/>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460" w:type="dxa"/>
            <w:vAlign w:val="bottom"/>
          </w:tcPr>
          <w:p>
            <w:pPr>
              <w:ind w:left="60"/>
              <w:spacing w:after="0"/>
              <w:rPr>
                <w:sz w:val="20"/>
                <w:szCs w:val="20"/>
                <w:color w:val="auto"/>
              </w:rPr>
            </w:pPr>
            <w:r>
              <w:rPr>
                <w:rFonts w:ascii="Arial" w:cs="Arial" w:eastAsia="Arial" w:hAnsi="Arial"/>
                <w:sz w:val="18"/>
                <w:szCs w:val="18"/>
                <w:b w:val="1"/>
                <w:bCs w:val="1"/>
                <w:color w:val="auto"/>
              </w:rPr>
              <w:t>Operations Data:</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7"/>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346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 except per share data)</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2EDF0"/>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D2EDF0"/>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90"/>
        </w:trPr>
        <w:tc>
          <w:tcPr>
            <w:tcW w:w="3460" w:type="dxa"/>
            <w:vAlign w:val="bottom"/>
            <w:shd w:val="clear" w:color="auto" w:fill="D2EDF0"/>
          </w:tcPr>
          <w:p>
            <w:pPr>
              <w:ind w:left="60"/>
              <w:spacing w:after="0"/>
              <w:rPr>
                <w:sz w:val="20"/>
                <w:szCs w:val="20"/>
                <w:color w:val="auto"/>
              </w:rPr>
            </w:pPr>
            <w:r>
              <w:rPr>
                <w:rFonts w:ascii="Arial" w:cs="Arial" w:eastAsia="Arial" w:hAnsi="Arial"/>
                <w:sz w:val="20"/>
                <w:szCs w:val="20"/>
                <w:color w:val="auto"/>
              </w:rPr>
              <w:t>Revenue</w:t>
            </w: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683,191</w:t>
            </w:r>
          </w:p>
        </w:tc>
        <w:tc>
          <w:tcPr>
            <w:tcW w:w="280" w:type="dxa"/>
            <w:vAlign w:val="bottom"/>
            <w:gridSpan w:val="2"/>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541,130</w:t>
            </w:r>
          </w:p>
        </w:tc>
        <w:tc>
          <w:tcPr>
            <w:tcW w:w="280" w:type="dxa"/>
            <w:vAlign w:val="bottom"/>
            <w:gridSpan w:val="2"/>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440,221</w:t>
            </w:r>
          </w:p>
        </w:tc>
        <w:tc>
          <w:tcPr>
            <w:tcW w:w="280" w:type="dxa"/>
            <w:vAlign w:val="bottom"/>
            <w:gridSpan w:val="2"/>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354,586</w:t>
            </w:r>
          </w:p>
        </w:tc>
        <w:tc>
          <w:tcPr>
            <w:tcW w:w="280" w:type="dxa"/>
            <w:vAlign w:val="bottom"/>
            <w:gridSpan w:val="2"/>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267,360</w:t>
            </w:r>
          </w:p>
        </w:tc>
        <w:tc>
          <w:tcPr>
            <w:tcW w:w="0" w:type="dxa"/>
            <w:vAlign w:val="bottom"/>
          </w:tcPr>
          <w:p>
            <w:pPr>
              <w:spacing w:after="0"/>
              <w:rPr>
                <w:sz w:val="1"/>
                <w:szCs w:val="1"/>
                <w:color w:val="auto"/>
              </w:rPr>
            </w:pPr>
          </w:p>
        </w:tc>
      </w:tr>
      <w:tr>
        <w:trPr>
          <w:trHeight w:val="290"/>
        </w:trPr>
        <w:tc>
          <w:tcPr>
            <w:tcW w:w="3460" w:type="dxa"/>
            <w:vAlign w:val="bottom"/>
            <w:tcBorders>
              <w:bottom w:val="single" w:sz="8" w:color="D2EDF0"/>
            </w:tcBorders>
          </w:tcPr>
          <w:p>
            <w:pPr>
              <w:ind w:left="60"/>
              <w:spacing w:after="0" w:line="290" w:lineRule="exact"/>
              <w:rPr>
                <w:sz w:val="20"/>
                <w:szCs w:val="20"/>
                <w:color w:val="auto"/>
              </w:rPr>
            </w:pPr>
            <w:r>
              <w:rPr>
                <w:rFonts w:ascii="Arial" w:cs="Arial" w:eastAsia="Arial" w:hAnsi="Arial"/>
                <w:sz w:val="20"/>
                <w:szCs w:val="20"/>
                <w:color w:val="auto"/>
              </w:rPr>
              <w:t>Cost of revenue</w:t>
            </w:r>
            <w:r>
              <w:rPr>
                <w:rFonts w:ascii="Arial" w:cs="Arial" w:eastAsia="Arial" w:hAnsi="Arial"/>
                <w:sz w:val="26"/>
                <w:szCs w:val="26"/>
                <w:color w:val="auto"/>
                <w:vertAlign w:val="superscript"/>
              </w:rPr>
              <w:t>(1)</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154,789</w:t>
            </w:r>
          </w:p>
        </w:tc>
        <w:tc>
          <w:tcPr>
            <w:tcW w:w="80" w:type="dxa"/>
            <w:vAlign w:val="bottom"/>
            <w:tcBorders>
              <w:bottom w:val="single" w:sz="8" w:color="D2EDF0"/>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106,396</w:t>
            </w:r>
          </w:p>
        </w:tc>
        <w:tc>
          <w:tcPr>
            <w:tcW w:w="80" w:type="dxa"/>
            <w:vAlign w:val="bottom"/>
            <w:tcBorders>
              <w:bottom w:val="single" w:sz="8" w:color="D2EDF0"/>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77,554</w:t>
            </w:r>
          </w:p>
        </w:tc>
        <w:tc>
          <w:tcPr>
            <w:tcW w:w="80" w:type="dxa"/>
            <w:vAlign w:val="bottom"/>
            <w:tcBorders>
              <w:bottom w:val="single" w:sz="8" w:color="D2EDF0"/>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60,818</w:t>
            </w:r>
          </w:p>
        </w:tc>
        <w:tc>
          <w:tcPr>
            <w:tcW w:w="80" w:type="dxa"/>
            <w:vAlign w:val="bottom"/>
            <w:tcBorders>
              <w:bottom w:val="single" w:sz="8" w:color="D2EDF0"/>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43,167</w:t>
            </w:r>
          </w:p>
        </w:tc>
        <w:tc>
          <w:tcPr>
            <w:tcW w:w="0" w:type="dxa"/>
            <w:vAlign w:val="bottom"/>
          </w:tcPr>
          <w:p>
            <w:pPr>
              <w:spacing w:after="0"/>
              <w:rPr>
                <w:sz w:val="1"/>
                <w:szCs w:val="1"/>
                <w:color w:val="auto"/>
              </w:rPr>
            </w:pPr>
          </w:p>
        </w:tc>
      </w:tr>
      <w:tr>
        <w:trPr>
          <w:trHeight w:val="290"/>
        </w:trPr>
        <w:tc>
          <w:tcPr>
            <w:tcW w:w="3460" w:type="dxa"/>
            <w:vAlign w:val="bottom"/>
            <w:shd w:val="clear" w:color="auto" w:fill="D2EDF0"/>
          </w:tcPr>
          <w:p>
            <w:pPr>
              <w:ind w:left="60"/>
              <w:spacing w:after="0"/>
              <w:rPr>
                <w:sz w:val="20"/>
                <w:szCs w:val="20"/>
                <w:color w:val="auto"/>
              </w:rPr>
            </w:pPr>
            <w:r>
              <w:rPr>
                <w:rFonts w:ascii="Arial" w:cs="Arial" w:eastAsia="Arial" w:hAnsi="Arial"/>
                <w:sz w:val="20"/>
                <w:szCs w:val="20"/>
                <w:color w:val="auto"/>
              </w:rPr>
              <w:t>Gross profit</w:t>
            </w: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528,402</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434,734</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362,667</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293,768</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224,193</w:t>
            </w:r>
          </w:p>
        </w:tc>
        <w:tc>
          <w:tcPr>
            <w:tcW w:w="0" w:type="dxa"/>
            <w:vAlign w:val="bottom"/>
          </w:tcPr>
          <w:p>
            <w:pPr>
              <w:spacing w:after="0"/>
              <w:rPr>
                <w:sz w:val="1"/>
                <w:szCs w:val="1"/>
                <w:color w:val="auto"/>
              </w:rPr>
            </w:pPr>
          </w:p>
        </w:tc>
      </w:tr>
      <w:tr>
        <w:trPr>
          <w:trHeight w:val="296"/>
        </w:trPr>
        <w:tc>
          <w:tcPr>
            <w:tcW w:w="3460" w:type="dxa"/>
            <w:vAlign w:val="bottom"/>
          </w:tcPr>
          <w:p>
            <w:pPr>
              <w:ind w:left="60"/>
              <w:spacing w:after="0"/>
              <w:rPr>
                <w:sz w:val="20"/>
                <w:szCs w:val="20"/>
                <w:color w:val="auto"/>
              </w:rPr>
            </w:pPr>
            <w:r>
              <w:rPr>
                <w:rFonts w:ascii="Arial" w:cs="Arial" w:eastAsia="Arial" w:hAnsi="Arial"/>
                <w:sz w:val="20"/>
                <w:szCs w:val="20"/>
                <w:color w:val="auto"/>
              </w:rPr>
              <w:t>Operating expenses:</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460" w:type="dxa"/>
            <w:vAlign w:val="bottom"/>
            <w:shd w:val="clear" w:color="auto" w:fill="D2EDF0"/>
          </w:tcPr>
          <w:p>
            <w:pPr>
              <w:ind w:left="280"/>
              <w:spacing w:after="0"/>
              <w:rPr>
                <w:sz w:val="20"/>
                <w:szCs w:val="20"/>
                <w:color w:val="auto"/>
              </w:rPr>
            </w:pPr>
            <w:r>
              <w:rPr>
                <w:rFonts w:ascii="Arial" w:cs="Arial" w:eastAsia="Arial" w:hAnsi="Arial"/>
                <w:sz w:val="20"/>
                <w:szCs w:val="20"/>
                <w:color w:val="auto"/>
              </w:rPr>
              <w:t>Sales and marketing</w:t>
            </w:r>
            <w:r>
              <w:rPr>
                <w:rFonts w:ascii="Arial" w:cs="Arial" w:eastAsia="Arial" w:hAnsi="Arial"/>
                <w:sz w:val="26"/>
                <w:szCs w:val="26"/>
                <w:color w:val="auto"/>
                <w:vertAlign w:val="superscript"/>
              </w:rPr>
              <w:t>(1)</w:t>
            </w: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349,430</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270,158</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224,277</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228,035</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173,344</w:t>
            </w:r>
          </w:p>
        </w:tc>
        <w:tc>
          <w:tcPr>
            <w:tcW w:w="0" w:type="dxa"/>
            <w:vAlign w:val="bottom"/>
          </w:tcPr>
          <w:p>
            <w:pPr>
              <w:spacing w:after="0"/>
              <w:rPr>
                <w:sz w:val="1"/>
                <w:szCs w:val="1"/>
                <w:color w:val="auto"/>
              </w:rPr>
            </w:pPr>
          </w:p>
        </w:tc>
      </w:tr>
      <w:tr>
        <w:trPr>
          <w:trHeight w:val="300"/>
        </w:trPr>
        <w:tc>
          <w:tcPr>
            <w:tcW w:w="3460" w:type="dxa"/>
            <w:vAlign w:val="bottom"/>
          </w:tcPr>
          <w:p>
            <w:pPr>
              <w:ind w:left="280"/>
              <w:spacing w:after="0"/>
              <w:rPr>
                <w:sz w:val="20"/>
                <w:szCs w:val="20"/>
                <w:color w:val="auto"/>
              </w:rPr>
            </w:pPr>
            <w:r>
              <w:rPr>
                <w:rFonts w:ascii="Arial" w:cs="Arial" w:eastAsia="Arial" w:hAnsi="Arial"/>
                <w:sz w:val="20"/>
                <w:szCs w:val="20"/>
                <w:color w:val="auto"/>
              </w:rPr>
              <w:t>Research and development</w:t>
            </w:r>
            <w:r>
              <w:rPr>
                <w:rFonts w:ascii="Arial" w:cs="Arial" w:eastAsia="Arial" w:hAnsi="Arial"/>
                <w:sz w:val="26"/>
                <w:szCs w:val="26"/>
                <w:color w:val="auto"/>
                <w:vertAlign w:val="superscript"/>
              </w:rPr>
              <w:t>(1)</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143,560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116,432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101,687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87,064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76,698</w:t>
            </w:r>
          </w:p>
        </w:tc>
        <w:tc>
          <w:tcPr>
            <w:tcW w:w="0" w:type="dxa"/>
            <w:vAlign w:val="bottom"/>
          </w:tcPr>
          <w:p>
            <w:pPr>
              <w:spacing w:after="0"/>
              <w:rPr>
                <w:sz w:val="1"/>
                <w:szCs w:val="1"/>
                <w:color w:val="auto"/>
              </w:rPr>
            </w:pPr>
          </w:p>
        </w:tc>
      </w:tr>
      <w:tr>
        <w:trPr>
          <w:trHeight w:val="290"/>
        </w:trPr>
        <w:tc>
          <w:tcPr>
            <w:tcW w:w="3460" w:type="dxa"/>
            <w:vAlign w:val="bottom"/>
            <w:tcBorders>
              <w:bottom w:val="single" w:sz="8" w:color="D2EDF0"/>
            </w:tcBorders>
            <w:shd w:val="clear" w:color="auto" w:fill="D2EDF0"/>
          </w:tcPr>
          <w:p>
            <w:pPr>
              <w:ind w:left="280"/>
              <w:spacing w:after="0" w:line="290" w:lineRule="exact"/>
              <w:rPr>
                <w:sz w:val="20"/>
                <w:szCs w:val="20"/>
                <w:color w:val="auto"/>
              </w:rPr>
            </w:pPr>
            <w:r>
              <w:rPr>
                <w:rFonts w:ascii="Arial" w:cs="Arial" w:eastAsia="Arial" w:hAnsi="Arial"/>
                <w:sz w:val="20"/>
                <w:szCs w:val="20"/>
                <w:color w:val="auto"/>
              </w:rPr>
              <w:t>General and administrative</w:t>
            </w:r>
            <w:r>
              <w:rPr>
                <w:rFonts w:ascii="Arial" w:cs="Arial" w:eastAsia="Arial" w:hAnsi="Arial"/>
                <w:sz w:val="26"/>
                <w:szCs w:val="26"/>
                <w:color w:val="auto"/>
                <w:vertAlign w:val="superscript"/>
              </w:rPr>
              <w:t>(1)</w:t>
            </w:r>
          </w:p>
        </w:tc>
        <w:tc>
          <w:tcPr>
            <w:tcW w:w="200" w:type="dxa"/>
            <w:vAlign w:val="bottom"/>
            <w:tcBorders>
              <w:bottom w:val="single" w:sz="8" w:color="auto"/>
            </w:tcBorders>
            <w:shd w:val="clear" w:color="auto" w:fill="D2EDF0"/>
          </w:tcPr>
          <w:p>
            <w:pPr>
              <w:spacing w:after="0"/>
              <w:rPr>
                <w:sz w:val="24"/>
                <w:szCs w:val="24"/>
                <w:color w:val="auto"/>
              </w:rPr>
            </w:pPr>
          </w:p>
        </w:tc>
        <w:tc>
          <w:tcPr>
            <w:tcW w:w="86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103,227</w:t>
            </w:r>
          </w:p>
        </w:tc>
        <w:tc>
          <w:tcPr>
            <w:tcW w:w="80" w:type="dxa"/>
            <w:vAlign w:val="bottom"/>
            <w:tcBorders>
              <w:bottom w:val="single" w:sz="8" w:color="D2EDF0"/>
            </w:tcBorders>
            <w:shd w:val="clear" w:color="auto" w:fill="D2EDF0"/>
          </w:tcPr>
          <w:p>
            <w:pPr>
              <w:spacing w:after="0"/>
              <w:rPr>
                <w:sz w:val="24"/>
                <w:szCs w:val="24"/>
                <w:color w:val="auto"/>
              </w:rPr>
            </w:pPr>
          </w:p>
        </w:tc>
        <w:tc>
          <w:tcPr>
            <w:tcW w:w="200" w:type="dxa"/>
            <w:vAlign w:val="bottom"/>
            <w:tcBorders>
              <w:bottom w:val="single" w:sz="8" w:color="auto"/>
            </w:tcBorders>
            <w:shd w:val="clear" w:color="auto" w:fill="D2EDF0"/>
          </w:tcPr>
          <w:p>
            <w:pPr>
              <w:spacing w:after="0"/>
              <w:rPr>
                <w:sz w:val="24"/>
                <w:szCs w:val="24"/>
                <w:color w:val="auto"/>
              </w:rPr>
            </w:pPr>
          </w:p>
        </w:tc>
        <w:tc>
          <w:tcPr>
            <w:tcW w:w="86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89,912</w:t>
            </w:r>
          </w:p>
        </w:tc>
        <w:tc>
          <w:tcPr>
            <w:tcW w:w="80" w:type="dxa"/>
            <w:vAlign w:val="bottom"/>
            <w:tcBorders>
              <w:bottom w:val="single" w:sz="8" w:color="D2EDF0"/>
            </w:tcBorders>
            <w:shd w:val="clear" w:color="auto" w:fill="D2EDF0"/>
          </w:tcPr>
          <w:p>
            <w:pPr>
              <w:spacing w:after="0"/>
              <w:rPr>
                <w:sz w:val="24"/>
                <w:szCs w:val="24"/>
                <w:color w:val="auto"/>
              </w:rPr>
            </w:pPr>
          </w:p>
        </w:tc>
        <w:tc>
          <w:tcPr>
            <w:tcW w:w="200" w:type="dxa"/>
            <w:vAlign w:val="bottom"/>
            <w:tcBorders>
              <w:bottom w:val="single" w:sz="8" w:color="auto"/>
            </w:tcBorders>
            <w:shd w:val="clear" w:color="auto" w:fill="D2EDF0"/>
          </w:tcPr>
          <w:p>
            <w:pPr>
              <w:spacing w:after="0"/>
              <w:rPr>
                <w:sz w:val="24"/>
                <w:szCs w:val="24"/>
                <w:color w:val="auto"/>
              </w:rPr>
            </w:pPr>
          </w:p>
        </w:tc>
        <w:tc>
          <w:tcPr>
            <w:tcW w:w="86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73,136</w:t>
            </w:r>
          </w:p>
        </w:tc>
        <w:tc>
          <w:tcPr>
            <w:tcW w:w="80" w:type="dxa"/>
            <w:vAlign w:val="bottom"/>
            <w:tcBorders>
              <w:bottom w:val="single" w:sz="8" w:color="D2EDF0"/>
            </w:tcBorders>
            <w:shd w:val="clear" w:color="auto" w:fill="D2EDF0"/>
          </w:tcPr>
          <w:p>
            <w:pPr>
              <w:spacing w:after="0"/>
              <w:rPr>
                <w:sz w:val="24"/>
                <w:szCs w:val="24"/>
                <w:color w:val="auto"/>
              </w:rPr>
            </w:pPr>
          </w:p>
        </w:tc>
        <w:tc>
          <w:tcPr>
            <w:tcW w:w="200" w:type="dxa"/>
            <w:vAlign w:val="bottom"/>
            <w:tcBorders>
              <w:bottom w:val="single" w:sz="8" w:color="auto"/>
            </w:tcBorders>
            <w:shd w:val="clear" w:color="auto" w:fill="D2EDF0"/>
          </w:tcPr>
          <w:p>
            <w:pPr>
              <w:spacing w:after="0"/>
              <w:rPr>
                <w:sz w:val="24"/>
                <w:szCs w:val="24"/>
                <w:color w:val="auto"/>
              </w:rPr>
            </w:pPr>
          </w:p>
        </w:tc>
        <w:tc>
          <w:tcPr>
            <w:tcW w:w="86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69,468</w:t>
            </w:r>
          </w:p>
        </w:tc>
        <w:tc>
          <w:tcPr>
            <w:tcW w:w="80" w:type="dxa"/>
            <w:vAlign w:val="bottom"/>
            <w:tcBorders>
              <w:bottom w:val="single" w:sz="8" w:color="D2EDF0"/>
            </w:tcBorders>
            <w:shd w:val="clear" w:color="auto" w:fill="D2EDF0"/>
          </w:tcPr>
          <w:p>
            <w:pPr>
              <w:spacing w:after="0"/>
              <w:rPr>
                <w:sz w:val="24"/>
                <w:szCs w:val="24"/>
                <w:color w:val="auto"/>
              </w:rPr>
            </w:pPr>
          </w:p>
        </w:tc>
        <w:tc>
          <w:tcPr>
            <w:tcW w:w="200" w:type="dxa"/>
            <w:vAlign w:val="bottom"/>
            <w:tcBorders>
              <w:bottom w:val="single" w:sz="8" w:color="auto"/>
            </w:tcBorders>
            <w:shd w:val="clear" w:color="auto" w:fill="D2EDF0"/>
          </w:tcPr>
          <w:p>
            <w:pPr>
              <w:spacing w:after="0"/>
              <w:rPr>
                <w:sz w:val="24"/>
                <w:szCs w:val="24"/>
                <w:color w:val="auto"/>
              </w:rPr>
            </w:pPr>
          </w:p>
        </w:tc>
        <w:tc>
          <w:tcPr>
            <w:tcW w:w="86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46,732</w:t>
            </w:r>
          </w:p>
        </w:tc>
        <w:tc>
          <w:tcPr>
            <w:tcW w:w="0" w:type="dxa"/>
            <w:vAlign w:val="bottom"/>
          </w:tcPr>
          <w:p>
            <w:pPr>
              <w:spacing w:after="0"/>
              <w:rPr>
                <w:sz w:val="1"/>
                <w:szCs w:val="1"/>
                <w:color w:val="auto"/>
              </w:rPr>
            </w:pPr>
          </w:p>
        </w:tc>
      </w:tr>
      <w:tr>
        <w:trPr>
          <w:trHeight w:val="286"/>
        </w:trPr>
        <w:tc>
          <w:tcPr>
            <w:tcW w:w="3460" w:type="dxa"/>
            <w:vAlign w:val="bottom"/>
          </w:tcPr>
          <w:p>
            <w:pPr>
              <w:ind w:left="60"/>
              <w:spacing w:after="0"/>
              <w:rPr>
                <w:sz w:val="20"/>
                <w:szCs w:val="20"/>
                <w:color w:val="auto"/>
              </w:rPr>
            </w:pPr>
            <w:r>
              <w:rPr>
                <w:rFonts w:ascii="Arial" w:cs="Arial" w:eastAsia="Arial" w:hAnsi="Arial"/>
                <w:sz w:val="20"/>
                <w:szCs w:val="20"/>
                <w:color w:val="auto"/>
              </w:rPr>
              <w:t>Total operating expenses</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596,217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476,502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399,100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384,567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296,774</w:t>
            </w:r>
          </w:p>
        </w:tc>
        <w:tc>
          <w:tcPr>
            <w:tcW w:w="0" w:type="dxa"/>
            <w:vAlign w:val="bottom"/>
          </w:tcPr>
          <w:p>
            <w:pPr>
              <w:spacing w:after="0"/>
              <w:rPr>
                <w:sz w:val="1"/>
                <w:szCs w:val="1"/>
                <w:color w:val="auto"/>
              </w:rPr>
            </w:pPr>
          </w:p>
        </w:tc>
      </w:tr>
      <w:tr>
        <w:trPr>
          <w:trHeight w:val="304"/>
        </w:trPr>
        <w:tc>
          <w:tcPr>
            <w:tcW w:w="3460" w:type="dxa"/>
            <w:vAlign w:val="bottom"/>
            <w:shd w:val="clear" w:color="auto" w:fill="D2EDF0"/>
          </w:tcPr>
          <w:p>
            <w:pPr>
              <w:ind w:left="60"/>
              <w:spacing w:after="0"/>
              <w:rPr>
                <w:sz w:val="20"/>
                <w:szCs w:val="20"/>
                <w:color w:val="auto"/>
              </w:rPr>
            </w:pPr>
            <w:r>
              <w:rPr>
                <w:rFonts w:ascii="Arial" w:cs="Arial" w:eastAsia="Arial" w:hAnsi="Arial"/>
                <w:sz w:val="20"/>
                <w:szCs w:val="20"/>
                <w:color w:val="auto"/>
              </w:rPr>
              <w:t>Loss from operations</w:t>
            </w: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(67,815)</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(41,768)</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(36,433)</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(90,799)</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(72,581)</w:t>
            </w:r>
          </w:p>
        </w:tc>
        <w:tc>
          <w:tcPr>
            <w:tcW w:w="0" w:type="dxa"/>
            <w:vAlign w:val="bottom"/>
          </w:tcPr>
          <w:p>
            <w:pPr>
              <w:spacing w:after="0"/>
              <w:rPr>
                <w:sz w:val="1"/>
                <w:szCs w:val="1"/>
                <w:color w:val="auto"/>
              </w:rPr>
            </w:pPr>
          </w:p>
        </w:tc>
      </w:tr>
      <w:tr>
        <w:trPr>
          <w:trHeight w:val="296"/>
        </w:trPr>
        <w:tc>
          <w:tcPr>
            <w:tcW w:w="3460" w:type="dxa"/>
            <w:vAlign w:val="bottom"/>
          </w:tcPr>
          <w:p>
            <w:pPr>
              <w:ind w:left="300"/>
              <w:spacing w:after="0"/>
              <w:rPr>
                <w:sz w:val="20"/>
                <w:szCs w:val="20"/>
                <w:color w:val="auto"/>
              </w:rPr>
            </w:pPr>
            <w:r>
              <w:rPr>
                <w:rFonts w:ascii="Arial" w:cs="Arial" w:eastAsia="Arial" w:hAnsi="Arial"/>
                <w:sz w:val="20"/>
                <w:szCs w:val="20"/>
                <w:color w:val="auto"/>
              </w:rPr>
              <w:t>Interest income</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6,284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606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1,740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6,037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2,575</w:t>
            </w:r>
          </w:p>
        </w:tc>
        <w:tc>
          <w:tcPr>
            <w:tcW w:w="0" w:type="dxa"/>
            <w:vAlign w:val="bottom"/>
          </w:tcPr>
          <w:p>
            <w:pPr>
              <w:spacing w:after="0"/>
              <w:rPr>
                <w:sz w:val="1"/>
                <w:szCs w:val="1"/>
                <w:color w:val="auto"/>
              </w:rPr>
            </w:pPr>
          </w:p>
        </w:tc>
      </w:tr>
      <w:tr>
        <w:trPr>
          <w:trHeight w:val="304"/>
        </w:trPr>
        <w:tc>
          <w:tcPr>
            <w:tcW w:w="3460" w:type="dxa"/>
            <w:vAlign w:val="bottom"/>
            <w:shd w:val="clear" w:color="auto" w:fill="D2EDF0"/>
          </w:tcPr>
          <w:p>
            <w:pPr>
              <w:ind w:left="300"/>
              <w:spacing w:after="0"/>
              <w:rPr>
                <w:sz w:val="20"/>
                <w:szCs w:val="20"/>
                <w:color w:val="auto"/>
              </w:rPr>
            </w:pPr>
            <w:r>
              <w:rPr>
                <w:rFonts w:ascii="Arial" w:cs="Arial" w:eastAsia="Arial" w:hAnsi="Arial"/>
                <w:sz w:val="20"/>
                <w:szCs w:val="20"/>
                <w:color w:val="auto"/>
              </w:rPr>
              <w:t>Interest expense</w:t>
            </w: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(19,001)</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(7,502)</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(496)</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(207)</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(220)</w:t>
            </w:r>
          </w:p>
        </w:tc>
        <w:tc>
          <w:tcPr>
            <w:tcW w:w="0" w:type="dxa"/>
            <w:vAlign w:val="bottom"/>
          </w:tcPr>
          <w:p>
            <w:pPr>
              <w:spacing w:after="0"/>
              <w:rPr>
                <w:sz w:val="1"/>
                <w:szCs w:val="1"/>
                <w:color w:val="auto"/>
              </w:rPr>
            </w:pPr>
          </w:p>
        </w:tc>
      </w:tr>
      <w:tr>
        <w:trPr>
          <w:trHeight w:val="290"/>
        </w:trPr>
        <w:tc>
          <w:tcPr>
            <w:tcW w:w="3460" w:type="dxa"/>
            <w:vAlign w:val="bottom"/>
            <w:tcBorders>
              <w:bottom w:val="single" w:sz="8" w:color="D2EDF0"/>
            </w:tcBorders>
          </w:tcPr>
          <w:p>
            <w:pPr>
              <w:ind w:left="300"/>
              <w:spacing w:after="0"/>
              <w:rPr>
                <w:sz w:val="20"/>
                <w:szCs w:val="20"/>
                <w:color w:val="auto"/>
              </w:rPr>
            </w:pPr>
            <w:r>
              <w:rPr>
                <w:rFonts w:ascii="Arial" w:cs="Arial" w:eastAsia="Arial" w:hAnsi="Arial"/>
                <w:sz w:val="20"/>
                <w:szCs w:val="20"/>
                <w:color w:val="auto"/>
              </w:rPr>
              <w:t>Other expense, net</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(4,757)</w:t>
            </w:r>
          </w:p>
        </w:tc>
        <w:tc>
          <w:tcPr>
            <w:tcW w:w="80" w:type="dxa"/>
            <w:vAlign w:val="bottom"/>
            <w:tcBorders>
              <w:bottom w:val="single" w:sz="8" w:color="D2EDF0"/>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(1,965)</w:t>
            </w:r>
          </w:p>
        </w:tc>
        <w:tc>
          <w:tcPr>
            <w:tcW w:w="80" w:type="dxa"/>
            <w:vAlign w:val="bottom"/>
            <w:tcBorders>
              <w:bottom w:val="single" w:sz="8" w:color="D2EDF0"/>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(1,885)</w:t>
            </w:r>
          </w:p>
        </w:tc>
        <w:tc>
          <w:tcPr>
            <w:tcW w:w="80" w:type="dxa"/>
            <w:vAlign w:val="bottom"/>
            <w:tcBorders>
              <w:bottom w:val="single" w:sz="8" w:color="D2EDF0"/>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(680)</w:t>
            </w:r>
          </w:p>
        </w:tc>
        <w:tc>
          <w:tcPr>
            <w:tcW w:w="80" w:type="dxa"/>
            <w:vAlign w:val="bottom"/>
            <w:tcBorders>
              <w:bottom w:val="single" w:sz="8" w:color="D2EDF0"/>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(931)</w:t>
            </w:r>
          </w:p>
        </w:tc>
        <w:tc>
          <w:tcPr>
            <w:tcW w:w="0" w:type="dxa"/>
            <w:vAlign w:val="bottom"/>
          </w:tcPr>
          <w:p>
            <w:pPr>
              <w:spacing w:after="0"/>
              <w:rPr>
                <w:sz w:val="1"/>
                <w:szCs w:val="1"/>
                <w:color w:val="auto"/>
              </w:rPr>
            </w:pPr>
          </w:p>
        </w:tc>
      </w:tr>
      <w:tr>
        <w:trPr>
          <w:trHeight w:val="290"/>
        </w:trPr>
        <w:tc>
          <w:tcPr>
            <w:tcW w:w="3460" w:type="dxa"/>
            <w:vAlign w:val="bottom"/>
            <w:shd w:val="clear" w:color="auto" w:fill="D2EDF0"/>
          </w:tcPr>
          <w:p>
            <w:pPr>
              <w:ind w:left="60"/>
              <w:spacing w:after="0"/>
              <w:rPr>
                <w:sz w:val="20"/>
                <w:szCs w:val="20"/>
                <w:color w:val="auto"/>
              </w:rPr>
            </w:pPr>
            <w:r>
              <w:rPr>
                <w:rFonts w:ascii="Arial" w:cs="Arial" w:eastAsia="Arial" w:hAnsi="Arial"/>
                <w:sz w:val="20"/>
                <w:szCs w:val="20"/>
                <w:color w:val="auto"/>
              </w:rPr>
              <w:t>Loss before income taxes</w:t>
            </w: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(85,289)</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(50,629)</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(37,074)</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(85,649)</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(71,157)</w:t>
            </w:r>
          </w:p>
        </w:tc>
        <w:tc>
          <w:tcPr>
            <w:tcW w:w="0" w:type="dxa"/>
            <w:vAlign w:val="bottom"/>
          </w:tcPr>
          <w:p>
            <w:pPr>
              <w:spacing w:after="0"/>
              <w:rPr>
                <w:sz w:val="1"/>
                <w:szCs w:val="1"/>
                <w:color w:val="auto"/>
              </w:rPr>
            </w:pPr>
          </w:p>
        </w:tc>
      </w:tr>
      <w:tr>
        <w:trPr>
          <w:trHeight w:val="290"/>
        </w:trPr>
        <w:tc>
          <w:tcPr>
            <w:tcW w:w="3460" w:type="dxa"/>
            <w:vAlign w:val="bottom"/>
            <w:tcBorders>
              <w:bottom w:val="single" w:sz="8" w:color="D2EDF0"/>
            </w:tcBorders>
          </w:tcPr>
          <w:p>
            <w:pPr>
              <w:ind w:left="60"/>
              <w:spacing w:after="0"/>
              <w:rPr>
                <w:sz w:val="20"/>
                <w:szCs w:val="20"/>
                <w:color w:val="auto"/>
              </w:rPr>
            </w:pPr>
            <w:r>
              <w:rPr>
                <w:rFonts w:ascii="Arial" w:cs="Arial" w:eastAsia="Arial" w:hAnsi="Arial"/>
                <w:sz w:val="20"/>
                <w:szCs w:val="20"/>
                <w:color w:val="auto"/>
              </w:rPr>
              <w:t>Provision (benefit) for income taxes</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6,933</w:t>
            </w:r>
          </w:p>
        </w:tc>
        <w:tc>
          <w:tcPr>
            <w:tcW w:w="80" w:type="dxa"/>
            <w:vAlign w:val="bottom"/>
            <w:tcBorders>
              <w:bottom w:val="single" w:sz="8" w:color="D2EDF0"/>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(3,952)</w:t>
            </w:r>
          </w:p>
        </w:tc>
        <w:tc>
          <w:tcPr>
            <w:tcW w:w="80" w:type="dxa"/>
            <w:vAlign w:val="bottom"/>
            <w:tcBorders>
              <w:bottom w:val="single" w:sz="8" w:color="D2EDF0"/>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5,657</w:t>
            </w:r>
          </w:p>
        </w:tc>
        <w:tc>
          <w:tcPr>
            <w:tcW w:w="80" w:type="dxa"/>
            <w:vAlign w:val="bottom"/>
            <w:tcBorders>
              <w:bottom w:val="single" w:sz="8" w:color="D2EDF0"/>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13,364</w:t>
            </w:r>
          </w:p>
        </w:tc>
        <w:tc>
          <w:tcPr>
            <w:tcW w:w="80" w:type="dxa"/>
            <w:vAlign w:val="bottom"/>
            <w:tcBorders>
              <w:bottom w:val="single" w:sz="8" w:color="D2EDF0"/>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2,364</w:t>
            </w:r>
          </w:p>
        </w:tc>
        <w:tc>
          <w:tcPr>
            <w:tcW w:w="0" w:type="dxa"/>
            <w:vAlign w:val="bottom"/>
          </w:tcPr>
          <w:p>
            <w:pPr>
              <w:spacing w:after="0"/>
              <w:rPr>
                <w:sz w:val="1"/>
                <w:szCs w:val="1"/>
                <w:color w:val="auto"/>
              </w:rPr>
            </w:pPr>
          </w:p>
        </w:tc>
      </w:tr>
      <w:tr>
        <w:trPr>
          <w:trHeight w:val="290"/>
        </w:trPr>
        <w:tc>
          <w:tcPr>
            <w:tcW w:w="3460" w:type="dxa"/>
            <w:vAlign w:val="bottom"/>
            <w:shd w:val="clear" w:color="auto" w:fill="D2EDF0"/>
          </w:tcPr>
          <w:p>
            <w:pPr>
              <w:ind w:left="60"/>
              <w:spacing w:after="0"/>
              <w:rPr>
                <w:sz w:val="20"/>
                <w:szCs w:val="20"/>
                <w:color w:val="auto"/>
              </w:rPr>
            </w:pPr>
            <w:r>
              <w:rPr>
                <w:rFonts w:ascii="Arial" w:cs="Arial" w:eastAsia="Arial" w:hAnsi="Arial"/>
                <w:sz w:val="20"/>
                <w:szCs w:val="20"/>
                <w:color w:val="auto"/>
              </w:rPr>
              <w:t>Net loss</w:t>
            </w: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(92,222)</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(46,677)</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(42,731)</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(99,013)</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8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(73,521)</w:t>
            </w:r>
          </w:p>
        </w:tc>
        <w:tc>
          <w:tcPr>
            <w:tcW w:w="0" w:type="dxa"/>
            <w:vAlign w:val="bottom"/>
          </w:tcPr>
          <w:p>
            <w:pPr>
              <w:spacing w:after="0"/>
              <w:rPr>
                <w:sz w:val="1"/>
                <w:szCs w:val="1"/>
                <w:color w:val="auto"/>
              </w:rPr>
            </w:pPr>
          </w:p>
        </w:tc>
      </w:tr>
      <w:tr>
        <w:trPr>
          <w:trHeight w:val="203"/>
        </w:trPr>
        <w:tc>
          <w:tcPr>
            <w:tcW w:w="3460" w:type="dxa"/>
            <w:vAlign w:val="bottom"/>
          </w:tcPr>
          <w:p>
            <w:pPr>
              <w:ind w:left="60"/>
              <w:spacing w:after="0" w:line="203" w:lineRule="exact"/>
              <w:rPr>
                <w:sz w:val="20"/>
                <w:szCs w:val="20"/>
                <w:color w:val="auto"/>
              </w:rPr>
            </w:pPr>
            <w:r>
              <w:rPr>
                <w:rFonts w:ascii="Arial" w:cs="Arial" w:eastAsia="Arial" w:hAnsi="Arial"/>
                <w:sz w:val="20"/>
                <w:szCs w:val="20"/>
                <w:color w:val="auto"/>
              </w:rPr>
              <w:t>Accretion of Series A and B</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60" w:type="dxa"/>
            <w:vAlign w:val="bottom"/>
          </w:tcPr>
          <w:p>
            <w:pPr>
              <w:ind w:left="140"/>
              <w:spacing w:after="0" w:line="200" w:lineRule="exact"/>
              <w:rPr>
                <w:sz w:val="20"/>
                <w:szCs w:val="20"/>
                <w:color w:val="auto"/>
              </w:rPr>
            </w:pPr>
            <w:r>
              <w:rPr>
                <w:rFonts w:ascii="Arial" w:cs="Arial" w:eastAsia="Arial" w:hAnsi="Arial"/>
                <w:sz w:val="20"/>
                <w:szCs w:val="20"/>
                <w:color w:val="auto"/>
              </w:rPr>
              <w:t>redeemable convertible preferred</w:t>
            </w: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(434)</w:t>
            </w:r>
          </w:p>
        </w:tc>
        <w:tc>
          <w:tcPr>
            <w:tcW w:w="0" w:type="dxa"/>
            <w:vAlign w:val="bottom"/>
          </w:tcPr>
          <w:p>
            <w:pPr>
              <w:spacing w:after="0"/>
              <w:rPr>
                <w:sz w:val="1"/>
                <w:szCs w:val="1"/>
                <w:color w:val="auto"/>
              </w:rPr>
            </w:pPr>
          </w:p>
        </w:tc>
      </w:tr>
      <w:tr>
        <w:trPr>
          <w:trHeight w:val="262"/>
        </w:trPr>
        <w:tc>
          <w:tcPr>
            <w:tcW w:w="3460" w:type="dxa"/>
            <w:vAlign w:val="bottom"/>
            <w:tcBorders>
              <w:bottom w:val="single" w:sz="8" w:color="D2EDF0"/>
            </w:tcBorders>
          </w:tcPr>
          <w:p>
            <w:pPr>
              <w:ind w:left="140"/>
              <w:spacing w:after="0"/>
              <w:rPr>
                <w:sz w:val="20"/>
                <w:szCs w:val="20"/>
                <w:color w:val="auto"/>
              </w:rPr>
            </w:pPr>
            <w:r>
              <w:rPr>
                <w:rFonts w:ascii="Arial" w:cs="Arial" w:eastAsia="Arial" w:hAnsi="Arial"/>
                <w:sz w:val="20"/>
                <w:szCs w:val="20"/>
                <w:color w:val="auto"/>
              </w:rPr>
              <w:t>stock</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D2EDF0"/>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D2EDF0"/>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D2EDF0"/>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D2EDF0"/>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460" w:type="dxa"/>
            <w:vAlign w:val="bottom"/>
            <w:shd w:val="clear" w:color="auto" w:fill="D2EDF0"/>
          </w:tcPr>
          <w:p>
            <w:pPr>
              <w:ind w:left="60"/>
              <w:spacing w:after="0" w:line="198" w:lineRule="exact"/>
              <w:rPr>
                <w:sz w:val="20"/>
                <w:szCs w:val="20"/>
                <w:color w:val="auto"/>
              </w:rPr>
            </w:pPr>
            <w:r>
              <w:rPr>
                <w:rFonts w:ascii="Arial" w:cs="Arial" w:eastAsia="Arial" w:hAnsi="Arial"/>
                <w:sz w:val="20"/>
                <w:szCs w:val="20"/>
                <w:color w:val="auto"/>
              </w:rPr>
              <w:t>Net loss attributable to common</w:t>
            </w:r>
          </w:p>
        </w:tc>
        <w:tc>
          <w:tcPr>
            <w:tcW w:w="2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(92,222)</w:t>
            </w:r>
          </w:p>
        </w:tc>
        <w:tc>
          <w:tcPr>
            <w:tcW w:w="280" w:type="dxa"/>
            <w:vAlign w:val="bottom"/>
            <w:gridSpan w:val="2"/>
            <w:vMerge w:val="restart"/>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(46,677)</w:t>
            </w:r>
          </w:p>
        </w:tc>
        <w:tc>
          <w:tcPr>
            <w:tcW w:w="280" w:type="dxa"/>
            <w:vAlign w:val="bottom"/>
            <w:gridSpan w:val="2"/>
            <w:vMerge w:val="restart"/>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(42,731)</w:t>
            </w:r>
          </w:p>
        </w:tc>
        <w:tc>
          <w:tcPr>
            <w:tcW w:w="280" w:type="dxa"/>
            <w:vAlign w:val="bottom"/>
            <w:gridSpan w:val="2"/>
            <w:vMerge w:val="restart"/>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(99,013)</w:t>
            </w:r>
          </w:p>
        </w:tc>
        <w:tc>
          <w:tcPr>
            <w:tcW w:w="280" w:type="dxa"/>
            <w:vAlign w:val="bottom"/>
            <w:gridSpan w:val="2"/>
            <w:vMerge w:val="restart"/>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(73,955)</w:t>
            </w:r>
          </w:p>
        </w:tc>
        <w:tc>
          <w:tcPr>
            <w:tcW w:w="0" w:type="dxa"/>
            <w:vAlign w:val="bottom"/>
          </w:tcPr>
          <w:p>
            <w:pPr>
              <w:spacing w:after="0"/>
              <w:rPr>
                <w:sz w:val="1"/>
                <w:szCs w:val="1"/>
                <w:color w:val="auto"/>
              </w:rPr>
            </w:pPr>
          </w:p>
        </w:tc>
      </w:tr>
      <w:tr>
        <w:trPr>
          <w:trHeight w:val="262"/>
        </w:trPr>
        <w:tc>
          <w:tcPr>
            <w:tcW w:w="3460" w:type="dxa"/>
            <w:vAlign w:val="bottom"/>
            <w:shd w:val="clear" w:color="auto" w:fill="D2EDF0"/>
          </w:tcPr>
          <w:p>
            <w:pPr>
              <w:ind w:left="60"/>
              <w:spacing w:after="0"/>
              <w:rPr>
                <w:sz w:val="20"/>
                <w:szCs w:val="20"/>
                <w:color w:val="auto"/>
              </w:rPr>
            </w:pPr>
            <w:r>
              <w:rPr>
                <w:rFonts w:ascii="Arial" w:cs="Arial" w:eastAsia="Arial" w:hAnsi="Arial"/>
                <w:sz w:val="20"/>
                <w:szCs w:val="20"/>
                <w:color w:val="auto"/>
              </w:rPr>
              <w:t>stockholders</w:t>
            </w:r>
          </w:p>
        </w:tc>
        <w:tc>
          <w:tcPr>
            <w:tcW w:w="200" w:type="dxa"/>
            <w:vAlign w:val="bottom"/>
            <w:vMerge w:val="continue"/>
            <w:shd w:val="clear" w:color="auto" w:fill="D2EDF0"/>
          </w:tcPr>
          <w:p>
            <w:pPr>
              <w:spacing w:after="0"/>
              <w:rPr>
                <w:sz w:val="22"/>
                <w:szCs w:val="22"/>
                <w:color w:val="auto"/>
              </w:rPr>
            </w:pPr>
          </w:p>
        </w:tc>
        <w:tc>
          <w:tcPr>
            <w:tcW w:w="860" w:type="dxa"/>
            <w:vAlign w:val="bottom"/>
            <w:vMerge w:val="continue"/>
            <w:shd w:val="clear" w:color="auto" w:fill="D2EDF0"/>
          </w:tcPr>
          <w:p>
            <w:pPr>
              <w:spacing w:after="0"/>
              <w:rPr>
                <w:sz w:val="22"/>
                <w:szCs w:val="22"/>
                <w:color w:val="auto"/>
              </w:rPr>
            </w:pPr>
          </w:p>
        </w:tc>
        <w:tc>
          <w:tcPr>
            <w:tcW w:w="280" w:type="dxa"/>
            <w:vAlign w:val="bottom"/>
            <w:gridSpan w:val="2"/>
            <w:vMerge w:val="continue"/>
            <w:shd w:val="clear" w:color="auto" w:fill="D2EDF0"/>
          </w:tcPr>
          <w:p>
            <w:pPr>
              <w:spacing w:after="0"/>
              <w:rPr>
                <w:sz w:val="22"/>
                <w:szCs w:val="22"/>
                <w:color w:val="auto"/>
              </w:rPr>
            </w:pPr>
          </w:p>
        </w:tc>
        <w:tc>
          <w:tcPr>
            <w:tcW w:w="860" w:type="dxa"/>
            <w:vAlign w:val="bottom"/>
            <w:vMerge w:val="continue"/>
            <w:shd w:val="clear" w:color="auto" w:fill="D2EDF0"/>
          </w:tcPr>
          <w:p>
            <w:pPr>
              <w:spacing w:after="0"/>
              <w:rPr>
                <w:sz w:val="22"/>
                <w:szCs w:val="22"/>
                <w:color w:val="auto"/>
              </w:rPr>
            </w:pPr>
          </w:p>
        </w:tc>
        <w:tc>
          <w:tcPr>
            <w:tcW w:w="280" w:type="dxa"/>
            <w:vAlign w:val="bottom"/>
            <w:gridSpan w:val="2"/>
            <w:vMerge w:val="continue"/>
            <w:shd w:val="clear" w:color="auto" w:fill="D2EDF0"/>
          </w:tcPr>
          <w:p>
            <w:pPr>
              <w:spacing w:after="0"/>
              <w:rPr>
                <w:sz w:val="22"/>
                <w:szCs w:val="22"/>
                <w:color w:val="auto"/>
              </w:rPr>
            </w:pPr>
          </w:p>
        </w:tc>
        <w:tc>
          <w:tcPr>
            <w:tcW w:w="860" w:type="dxa"/>
            <w:vAlign w:val="bottom"/>
            <w:vMerge w:val="continue"/>
            <w:shd w:val="clear" w:color="auto" w:fill="D2EDF0"/>
          </w:tcPr>
          <w:p>
            <w:pPr>
              <w:spacing w:after="0"/>
              <w:rPr>
                <w:sz w:val="22"/>
                <w:szCs w:val="22"/>
                <w:color w:val="auto"/>
              </w:rPr>
            </w:pPr>
          </w:p>
        </w:tc>
        <w:tc>
          <w:tcPr>
            <w:tcW w:w="280" w:type="dxa"/>
            <w:vAlign w:val="bottom"/>
            <w:gridSpan w:val="2"/>
            <w:vMerge w:val="continue"/>
            <w:shd w:val="clear" w:color="auto" w:fill="D2EDF0"/>
          </w:tcPr>
          <w:p>
            <w:pPr>
              <w:spacing w:after="0"/>
              <w:rPr>
                <w:sz w:val="22"/>
                <w:szCs w:val="22"/>
                <w:color w:val="auto"/>
              </w:rPr>
            </w:pPr>
          </w:p>
        </w:tc>
        <w:tc>
          <w:tcPr>
            <w:tcW w:w="860" w:type="dxa"/>
            <w:vAlign w:val="bottom"/>
            <w:vMerge w:val="continue"/>
            <w:shd w:val="clear" w:color="auto" w:fill="D2EDF0"/>
          </w:tcPr>
          <w:p>
            <w:pPr>
              <w:spacing w:after="0"/>
              <w:rPr>
                <w:sz w:val="22"/>
                <w:szCs w:val="22"/>
                <w:color w:val="auto"/>
              </w:rPr>
            </w:pPr>
          </w:p>
        </w:tc>
        <w:tc>
          <w:tcPr>
            <w:tcW w:w="280" w:type="dxa"/>
            <w:vAlign w:val="bottom"/>
            <w:gridSpan w:val="2"/>
            <w:vMerge w:val="continue"/>
            <w:shd w:val="clear" w:color="auto" w:fill="D2EDF0"/>
          </w:tcPr>
          <w:p>
            <w:pPr>
              <w:spacing w:after="0"/>
              <w:rPr>
                <w:sz w:val="22"/>
                <w:szCs w:val="22"/>
                <w:color w:val="auto"/>
              </w:rPr>
            </w:pPr>
          </w:p>
        </w:tc>
        <w:tc>
          <w:tcPr>
            <w:tcW w:w="860" w:type="dxa"/>
            <w:vAlign w:val="bottom"/>
            <w:vMerge w:val="continue"/>
            <w:shd w:val="clear" w:color="auto" w:fill="D2EDF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D2EDF0"/>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D2EDF0"/>
          </w:tcPr>
          <w:p>
            <w:pPr>
              <w:ind w:left="60"/>
              <w:spacing w:after="0" w:line="203" w:lineRule="exact"/>
              <w:rPr>
                <w:sz w:val="20"/>
                <w:szCs w:val="20"/>
                <w:color w:val="auto"/>
              </w:rPr>
            </w:pPr>
            <w:r>
              <w:rPr>
                <w:rFonts w:ascii="Arial" w:cs="Arial" w:eastAsia="Arial" w:hAnsi="Arial"/>
                <w:sz w:val="20"/>
                <w:szCs w:val="20"/>
                <w:color w:val="auto"/>
              </w:rPr>
              <w:t>Net loss per share attributable to</w:t>
            </w:r>
          </w:p>
        </w:tc>
        <w:tc>
          <w:tcPr>
            <w:tcW w:w="200" w:type="dxa"/>
            <w:vAlign w:val="bottom"/>
            <w:shd w:val="clear" w:color="auto" w:fill="D2EDF0"/>
          </w:tcPr>
          <w:p>
            <w:pPr>
              <w:spacing w:after="0"/>
              <w:rPr>
                <w:sz w:val="17"/>
                <w:szCs w:val="17"/>
                <w:color w:val="auto"/>
              </w:rPr>
            </w:pPr>
          </w:p>
        </w:tc>
        <w:tc>
          <w:tcPr>
            <w:tcW w:w="860" w:type="dxa"/>
            <w:vAlign w:val="bottom"/>
            <w:shd w:val="clear" w:color="auto" w:fill="D2EDF0"/>
          </w:tcPr>
          <w:p>
            <w:pPr>
              <w:spacing w:after="0"/>
              <w:rPr>
                <w:sz w:val="17"/>
                <w:szCs w:val="17"/>
                <w:color w:val="auto"/>
              </w:rPr>
            </w:pPr>
          </w:p>
        </w:tc>
        <w:tc>
          <w:tcPr>
            <w:tcW w:w="80" w:type="dxa"/>
            <w:vAlign w:val="bottom"/>
            <w:shd w:val="clear" w:color="auto" w:fill="D2EDF0"/>
          </w:tcPr>
          <w:p>
            <w:pPr>
              <w:spacing w:after="0"/>
              <w:rPr>
                <w:sz w:val="17"/>
                <w:szCs w:val="17"/>
                <w:color w:val="auto"/>
              </w:rPr>
            </w:pPr>
          </w:p>
        </w:tc>
        <w:tc>
          <w:tcPr>
            <w:tcW w:w="200" w:type="dxa"/>
            <w:vAlign w:val="bottom"/>
            <w:shd w:val="clear" w:color="auto" w:fill="D2EDF0"/>
          </w:tcPr>
          <w:p>
            <w:pPr>
              <w:spacing w:after="0"/>
              <w:rPr>
                <w:sz w:val="17"/>
                <w:szCs w:val="17"/>
                <w:color w:val="auto"/>
              </w:rPr>
            </w:pPr>
          </w:p>
        </w:tc>
        <w:tc>
          <w:tcPr>
            <w:tcW w:w="860" w:type="dxa"/>
            <w:vAlign w:val="bottom"/>
            <w:shd w:val="clear" w:color="auto" w:fill="D2EDF0"/>
          </w:tcPr>
          <w:p>
            <w:pPr>
              <w:spacing w:after="0"/>
              <w:rPr>
                <w:sz w:val="17"/>
                <w:szCs w:val="17"/>
                <w:color w:val="auto"/>
              </w:rPr>
            </w:pPr>
          </w:p>
        </w:tc>
        <w:tc>
          <w:tcPr>
            <w:tcW w:w="80" w:type="dxa"/>
            <w:vAlign w:val="bottom"/>
            <w:shd w:val="clear" w:color="auto" w:fill="D2EDF0"/>
          </w:tcPr>
          <w:p>
            <w:pPr>
              <w:spacing w:after="0"/>
              <w:rPr>
                <w:sz w:val="17"/>
                <w:szCs w:val="17"/>
                <w:color w:val="auto"/>
              </w:rPr>
            </w:pPr>
          </w:p>
        </w:tc>
        <w:tc>
          <w:tcPr>
            <w:tcW w:w="200" w:type="dxa"/>
            <w:vAlign w:val="bottom"/>
            <w:shd w:val="clear" w:color="auto" w:fill="D2EDF0"/>
          </w:tcPr>
          <w:p>
            <w:pPr>
              <w:spacing w:after="0"/>
              <w:rPr>
                <w:sz w:val="17"/>
                <w:szCs w:val="17"/>
                <w:color w:val="auto"/>
              </w:rPr>
            </w:pPr>
          </w:p>
        </w:tc>
        <w:tc>
          <w:tcPr>
            <w:tcW w:w="860" w:type="dxa"/>
            <w:vAlign w:val="bottom"/>
            <w:shd w:val="clear" w:color="auto" w:fill="D2EDF0"/>
          </w:tcPr>
          <w:p>
            <w:pPr>
              <w:spacing w:after="0"/>
              <w:rPr>
                <w:sz w:val="17"/>
                <w:szCs w:val="17"/>
                <w:color w:val="auto"/>
              </w:rPr>
            </w:pPr>
          </w:p>
        </w:tc>
        <w:tc>
          <w:tcPr>
            <w:tcW w:w="80" w:type="dxa"/>
            <w:vAlign w:val="bottom"/>
            <w:shd w:val="clear" w:color="auto" w:fill="D2EDF0"/>
          </w:tcPr>
          <w:p>
            <w:pPr>
              <w:spacing w:after="0"/>
              <w:rPr>
                <w:sz w:val="17"/>
                <w:szCs w:val="17"/>
                <w:color w:val="auto"/>
              </w:rPr>
            </w:pPr>
          </w:p>
        </w:tc>
        <w:tc>
          <w:tcPr>
            <w:tcW w:w="200" w:type="dxa"/>
            <w:vAlign w:val="bottom"/>
            <w:shd w:val="clear" w:color="auto" w:fill="D2EDF0"/>
          </w:tcPr>
          <w:p>
            <w:pPr>
              <w:spacing w:after="0"/>
              <w:rPr>
                <w:sz w:val="17"/>
                <w:szCs w:val="17"/>
                <w:color w:val="auto"/>
              </w:rPr>
            </w:pPr>
          </w:p>
        </w:tc>
        <w:tc>
          <w:tcPr>
            <w:tcW w:w="860" w:type="dxa"/>
            <w:vAlign w:val="bottom"/>
            <w:shd w:val="clear" w:color="auto" w:fill="D2EDF0"/>
          </w:tcPr>
          <w:p>
            <w:pPr>
              <w:spacing w:after="0"/>
              <w:rPr>
                <w:sz w:val="17"/>
                <w:szCs w:val="17"/>
                <w:color w:val="auto"/>
              </w:rPr>
            </w:pPr>
          </w:p>
        </w:tc>
        <w:tc>
          <w:tcPr>
            <w:tcW w:w="80" w:type="dxa"/>
            <w:vAlign w:val="bottom"/>
            <w:shd w:val="clear" w:color="auto" w:fill="D2EDF0"/>
          </w:tcPr>
          <w:p>
            <w:pPr>
              <w:spacing w:after="0"/>
              <w:rPr>
                <w:sz w:val="17"/>
                <w:szCs w:val="17"/>
                <w:color w:val="auto"/>
              </w:rPr>
            </w:pPr>
          </w:p>
        </w:tc>
        <w:tc>
          <w:tcPr>
            <w:tcW w:w="200" w:type="dxa"/>
            <w:vAlign w:val="bottom"/>
            <w:shd w:val="clear" w:color="auto" w:fill="D2EDF0"/>
          </w:tcPr>
          <w:p>
            <w:pPr>
              <w:spacing w:after="0"/>
              <w:rPr>
                <w:sz w:val="17"/>
                <w:szCs w:val="17"/>
                <w:color w:val="auto"/>
              </w:rPr>
            </w:pPr>
          </w:p>
        </w:tc>
        <w:tc>
          <w:tcPr>
            <w:tcW w:w="860" w:type="dxa"/>
            <w:vAlign w:val="bottom"/>
            <w:shd w:val="clear" w:color="auto" w:fill="D2EDF0"/>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60" w:type="dxa"/>
            <w:vAlign w:val="bottom"/>
            <w:shd w:val="clear" w:color="auto" w:fill="D2EDF0"/>
          </w:tcPr>
          <w:p>
            <w:pPr>
              <w:ind w:left="60"/>
              <w:spacing w:after="0" w:line="200" w:lineRule="exact"/>
              <w:rPr>
                <w:sz w:val="20"/>
                <w:szCs w:val="20"/>
                <w:color w:val="auto"/>
              </w:rPr>
            </w:pPr>
            <w:r>
              <w:rPr>
                <w:rFonts w:ascii="Arial" w:cs="Arial" w:eastAsia="Arial" w:hAnsi="Arial"/>
                <w:sz w:val="20"/>
                <w:szCs w:val="20"/>
                <w:color w:val="auto"/>
              </w:rPr>
              <w:t>common stockholders, basic and</w:t>
            </w:r>
          </w:p>
        </w:tc>
        <w:tc>
          <w:tcPr>
            <w:tcW w:w="2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(0.83)</w:t>
            </w:r>
          </w:p>
        </w:tc>
        <w:tc>
          <w:tcPr>
            <w:tcW w:w="280" w:type="dxa"/>
            <w:vAlign w:val="bottom"/>
            <w:gridSpan w:val="2"/>
            <w:vMerge w:val="restart"/>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(0.44)</w:t>
            </w:r>
          </w:p>
        </w:tc>
        <w:tc>
          <w:tcPr>
            <w:tcW w:w="280" w:type="dxa"/>
            <w:vAlign w:val="bottom"/>
            <w:gridSpan w:val="2"/>
            <w:vMerge w:val="restart"/>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(0.42)</w:t>
            </w:r>
          </w:p>
        </w:tc>
        <w:tc>
          <w:tcPr>
            <w:tcW w:w="280" w:type="dxa"/>
            <w:vAlign w:val="bottom"/>
            <w:gridSpan w:val="2"/>
            <w:vMerge w:val="restart"/>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(1.03)</w:t>
            </w:r>
          </w:p>
        </w:tc>
        <w:tc>
          <w:tcPr>
            <w:tcW w:w="280" w:type="dxa"/>
            <w:vAlign w:val="bottom"/>
            <w:gridSpan w:val="2"/>
            <w:vMerge w:val="restart"/>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86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(1.38)</w:t>
            </w:r>
          </w:p>
        </w:tc>
        <w:tc>
          <w:tcPr>
            <w:tcW w:w="0" w:type="dxa"/>
            <w:vAlign w:val="bottom"/>
          </w:tcPr>
          <w:p>
            <w:pPr>
              <w:spacing w:after="0"/>
              <w:rPr>
                <w:sz w:val="1"/>
                <w:szCs w:val="1"/>
                <w:color w:val="auto"/>
              </w:rPr>
            </w:pPr>
          </w:p>
        </w:tc>
      </w:tr>
      <w:tr>
        <w:trPr>
          <w:trHeight w:val="272"/>
        </w:trPr>
        <w:tc>
          <w:tcPr>
            <w:tcW w:w="3460" w:type="dxa"/>
            <w:vAlign w:val="bottom"/>
            <w:shd w:val="clear" w:color="auto" w:fill="D2EDF0"/>
          </w:tcPr>
          <w:p>
            <w:pPr>
              <w:ind w:left="60"/>
              <w:spacing w:after="0" w:line="272" w:lineRule="exact"/>
              <w:rPr>
                <w:sz w:val="20"/>
                <w:szCs w:val="20"/>
                <w:color w:val="auto"/>
              </w:rPr>
            </w:pPr>
            <w:r>
              <w:rPr>
                <w:rFonts w:ascii="Arial" w:cs="Arial" w:eastAsia="Arial" w:hAnsi="Arial"/>
                <w:sz w:val="20"/>
                <w:szCs w:val="20"/>
                <w:color w:val="auto"/>
              </w:rPr>
              <w:t>diluted</w:t>
            </w:r>
            <w:r>
              <w:rPr>
                <w:rFonts w:ascii="Arial" w:cs="Arial" w:eastAsia="Arial" w:hAnsi="Arial"/>
                <w:sz w:val="26"/>
                <w:szCs w:val="26"/>
                <w:color w:val="auto"/>
                <w:vertAlign w:val="superscript"/>
              </w:rPr>
              <w:t>(2)</w:t>
            </w:r>
          </w:p>
        </w:tc>
        <w:tc>
          <w:tcPr>
            <w:tcW w:w="200" w:type="dxa"/>
            <w:vAlign w:val="bottom"/>
            <w:vMerge w:val="continue"/>
            <w:shd w:val="clear" w:color="auto" w:fill="D2EDF0"/>
          </w:tcPr>
          <w:p>
            <w:pPr>
              <w:spacing w:after="0"/>
              <w:rPr>
                <w:sz w:val="23"/>
                <w:szCs w:val="23"/>
                <w:color w:val="auto"/>
              </w:rPr>
            </w:pPr>
          </w:p>
        </w:tc>
        <w:tc>
          <w:tcPr>
            <w:tcW w:w="860" w:type="dxa"/>
            <w:vAlign w:val="bottom"/>
            <w:vMerge w:val="continue"/>
            <w:shd w:val="clear" w:color="auto" w:fill="D2EDF0"/>
          </w:tcPr>
          <w:p>
            <w:pPr>
              <w:spacing w:after="0"/>
              <w:rPr>
                <w:sz w:val="23"/>
                <w:szCs w:val="23"/>
                <w:color w:val="auto"/>
              </w:rPr>
            </w:pPr>
          </w:p>
        </w:tc>
        <w:tc>
          <w:tcPr>
            <w:tcW w:w="280" w:type="dxa"/>
            <w:vAlign w:val="bottom"/>
            <w:gridSpan w:val="2"/>
            <w:vMerge w:val="continue"/>
            <w:shd w:val="clear" w:color="auto" w:fill="D2EDF0"/>
          </w:tcPr>
          <w:p>
            <w:pPr>
              <w:spacing w:after="0"/>
              <w:rPr>
                <w:sz w:val="23"/>
                <w:szCs w:val="23"/>
                <w:color w:val="auto"/>
              </w:rPr>
            </w:pPr>
          </w:p>
        </w:tc>
        <w:tc>
          <w:tcPr>
            <w:tcW w:w="860" w:type="dxa"/>
            <w:vAlign w:val="bottom"/>
            <w:vMerge w:val="continue"/>
            <w:shd w:val="clear" w:color="auto" w:fill="D2EDF0"/>
          </w:tcPr>
          <w:p>
            <w:pPr>
              <w:spacing w:after="0"/>
              <w:rPr>
                <w:sz w:val="23"/>
                <w:szCs w:val="23"/>
                <w:color w:val="auto"/>
              </w:rPr>
            </w:pPr>
          </w:p>
        </w:tc>
        <w:tc>
          <w:tcPr>
            <w:tcW w:w="280" w:type="dxa"/>
            <w:vAlign w:val="bottom"/>
            <w:gridSpan w:val="2"/>
            <w:vMerge w:val="continue"/>
            <w:shd w:val="clear" w:color="auto" w:fill="D2EDF0"/>
          </w:tcPr>
          <w:p>
            <w:pPr>
              <w:spacing w:after="0"/>
              <w:rPr>
                <w:sz w:val="23"/>
                <w:szCs w:val="23"/>
                <w:color w:val="auto"/>
              </w:rPr>
            </w:pPr>
          </w:p>
        </w:tc>
        <w:tc>
          <w:tcPr>
            <w:tcW w:w="860" w:type="dxa"/>
            <w:vAlign w:val="bottom"/>
            <w:vMerge w:val="continue"/>
            <w:shd w:val="clear" w:color="auto" w:fill="D2EDF0"/>
          </w:tcPr>
          <w:p>
            <w:pPr>
              <w:spacing w:after="0"/>
              <w:rPr>
                <w:sz w:val="23"/>
                <w:szCs w:val="23"/>
                <w:color w:val="auto"/>
              </w:rPr>
            </w:pPr>
          </w:p>
        </w:tc>
        <w:tc>
          <w:tcPr>
            <w:tcW w:w="280" w:type="dxa"/>
            <w:vAlign w:val="bottom"/>
            <w:gridSpan w:val="2"/>
            <w:vMerge w:val="continue"/>
            <w:shd w:val="clear" w:color="auto" w:fill="D2EDF0"/>
          </w:tcPr>
          <w:p>
            <w:pPr>
              <w:spacing w:after="0"/>
              <w:rPr>
                <w:sz w:val="23"/>
                <w:szCs w:val="23"/>
                <w:color w:val="auto"/>
              </w:rPr>
            </w:pPr>
          </w:p>
        </w:tc>
        <w:tc>
          <w:tcPr>
            <w:tcW w:w="860" w:type="dxa"/>
            <w:vAlign w:val="bottom"/>
            <w:vMerge w:val="continue"/>
            <w:shd w:val="clear" w:color="auto" w:fill="D2EDF0"/>
          </w:tcPr>
          <w:p>
            <w:pPr>
              <w:spacing w:after="0"/>
              <w:rPr>
                <w:sz w:val="23"/>
                <w:szCs w:val="23"/>
                <w:color w:val="auto"/>
              </w:rPr>
            </w:pPr>
          </w:p>
        </w:tc>
        <w:tc>
          <w:tcPr>
            <w:tcW w:w="280" w:type="dxa"/>
            <w:vAlign w:val="bottom"/>
            <w:gridSpan w:val="2"/>
            <w:vMerge w:val="continue"/>
            <w:shd w:val="clear" w:color="auto" w:fill="D2EDF0"/>
          </w:tcPr>
          <w:p>
            <w:pPr>
              <w:spacing w:after="0"/>
              <w:rPr>
                <w:sz w:val="23"/>
                <w:szCs w:val="23"/>
                <w:color w:val="auto"/>
              </w:rPr>
            </w:pPr>
          </w:p>
        </w:tc>
        <w:tc>
          <w:tcPr>
            <w:tcW w:w="860" w:type="dxa"/>
            <w:vAlign w:val="bottom"/>
            <w:vMerge w:val="continue"/>
            <w:shd w:val="clear" w:color="auto" w:fill="D2EDF0"/>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60"/>
              <w:spacing w:after="0" w:line="213" w:lineRule="exact"/>
              <w:rPr>
                <w:sz w:val="20"/>
                <w:szCs w:val="20"/>
                <w:color w:val="auto"/>
              </w:rPr>
            </w:pPr>
            <w:r>
              <w:rPr>
                <w:rFonts w:ascii="Arial" w:cs="Arial" w:eastAsia="Arial" w:hAnsi="Arial"/>
                <w:sz w:val="20"/>
                <w:szCs w:val="20"/>
                <w:color w:val="auto"/>
              </w:rPr>
              <w:t>Weighted-average shares used to</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60" w:type="dxa"/>
            <w:vAlign w:val="bottom"/>
          </w:tcPr>
          <w:p>
            <w:pPr>
              <w:ind w:left="140"/>
              <w:spacing w:after="0" w:line="200" w:lineRule="exact"/>
              <w:rPr>
                <w:sz w:val="20"/>
                <w:szCs w:val="20"/>
                <w:color w:val="auto"/>
              </w:rPr>
            </w:pPr>
            <w:r>
              <w:rPr>
                <w:rFonts w:ascii="Arial" w:cs="Arial" w:eastAsia="Arial" w:hAnsi="Arial"/>
                <w:sz w:val="20"/>
                <w:szCs w:val="20"/>
                <w:color w:val="auto"/>
              </w:rPr>
              <w:t>compute net loss per share</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60" w:type="dxa"/>
            <w:vAlign w:val="bottom"/>
          </w:tcPr>
          <w:p>
            <w:pPr>
              <w:ind w:left="140"/>
              <w:spacing w:after="0" w:line="200" w:lineRule="exact"/>
              <w:rPr>
                <w:sz w:val="20"/>
                <w:szCs w:val="20"/>
                <w:color w:val="auto"/>
              </w:rPr>
            </w:pPr>
            <w:r>
              <w:rPr>
                <w:rFonts w:ascii="Arial" w:cs="Arial" w:eastAsia="Arial" w:hAnsi="Arial"/>
                <w:sz w:val="20"/>
                <w:szCs w:val="20"/>
                <w:color w:val="auto"/>
              </w:rPr>
              <w:t>attributable to common</w:t>
            </w: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111,321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106,387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101,009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96,014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53,669</w:t>
            </w:r>
          </w:p>
        </w:tc>
        <w:tc>
          <w:tcPr>
            <w:tcW w:w="0" w:type="dxa"/>
            <w:vAlign w:val="bottom"/>
          </w:tcPr>
          <w:p>
            <w:pPr>
              <w:spacing w:after="0"/>
              <w:rPr>
                <w:sz w:val="1"/>
                <w:szCs w:val="1"/>
                <w:color w:val="auto"/>
              </w:rPr>
            </w:pPr>
          </w:p>
        </w:tc>
      </w:tr>
      <w:tr>
        <w:trPr>
          <w:trHeight w:val="265"/>
        </w:trPr>
        <w:tc>
          <w:tcPr>
            <w:tcW w:w="3460" w:type="dxa"/>
            <w:vAlign w:val="bottom"/>
          </w:tcPr>
          <w:p>
            <w:pPr>
              <w:ind w:left="140"/>
              <w:spacing w:after="0"/>
              <w:rPr>
                <w:sz w:val="20"/>
                <w:szCs w:val="20"/>
                <w:color w:val="auto"/>
              </w:rPr>
            </w:pPr>
            <w:r>
              <w:rPr>
                <w:rFonts w:ascii="Arial" w:cs="Arial" w:eastAsia="Arial" w:hAnsi="Arial"/>
                <w:sz w:val="20"/>
                <w:szCs w:val="20"/>
                <w:color w:val="auto"/>
              </w:rPr>
              <w:t>stockholders, basic and diluted</w:t>
            </w:r>
          </w:p>
        </w:tc>
        <w:tc>
          <w:tcPr>
            <w:tcW w:w="20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2192655</wp:posOffset>
            </wp:positionH>
            <wp:positionV relativeFrom="paragraph">
              <wp:posOffset>-1195070</wp:posOffset>
            </wp:positionV>
            <wp:extent cx="357187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71875" cy="38100"/>
                    </a:xfrm>
                    <a:prstGeom prst="rect">
                      <a:avLst/>
                    </a:prstGeom>
                    <a:noFill/>
                  </pic:spPr>
                </pic:pic>
              </a:graphicData>
            </a:graphic>
          </wp:anchor>
        </w:drawing>
      </w:r>
    </w:p>
    <w:p>
      <w:pPr>
        <w:sectPr>
          <w:pgSz w:w="11880" w:h="15480" w:orient="portrait"/>
          <w:cols w:equalWidth="0" w:num="1">
            <w:col w:w="9080"/>
          </w:cols>
          <w:pgMar w:left="1400" w:top="1203"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880" w:h="15480" w:orient="portrait"/>
          <w:cols w:equalWidth="0" w:num="1">
            <w:col w:w="9080"/>
          </w:cols>
          <w:pgMar w:left="1400" w:top="1203" w:right="1400" w:bottom="0" w:gutter="0" w:footer="0" w:header="0"/>
          <w:type w:val="continuous"/>
        </w:sectPr>
      </w:pPr>
    </w:p>
    <w:bookmarkStart w:id="143" w:name="page144"/>
    <w:bookmarkEnd w:id="143"/>
    <w:p>
      <w:pPr>
        <w:ind w:left="20"/>
        <w:spacing w:after="0"/>
        <w:rPr>
          <w:sz w:val="20"/>
          <w:szCs w:val="20"/>
          <w:color w:val="auto"/>
        </w:rPr>
      </w:pPr>
      <w:r>
        <w:rPr>
          <w:rFonts w:ascii="Arial" w:cs="Arial" w:eastAsia="Arial" w:hAnsi="Arial"/>
          <w:sz w:val="12"/>
          <w:szCs w:val="12"/>
          <w:color w:val="auto"/>
        </w:rPr>
        <w:t>_______________</w:t>
      </w:r>
    </w:p>
    <w:p>
      <w:pPr>
        <w:ind w:left="740" w:hanging="720"/>
        <w:spacing w:after="0"/>
        <w:tabs>
          <w:tab w:leader="none" w:pos="74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Includes stock-based compensation expense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7"/>
          </w:tcPr>
          <w:p>
            <w:pPr>
              <w:jc w:val="right"/>
              <w:ind w:right="482"/>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342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43"/>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42"/>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2EDF0"/>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42"/>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D2EDF0"/>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42"/>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90"/>
        </w:trPr>
        <w:tc>
          <w:tcPr>
            <w:tcW w:w="3420" w:type="dxa"/>
            <w:vAlign w:val="bottom"/>
            <w:shd w:val="clear" w:color="auto" w:fill="D2EDF0"/>
          </w:tcPr>
          <w:p>
            <w:pPr>
              <w:ind w:left="60"/>
              <w:spacing w:after="0"/>
              <w:rPr>
                <w:sz w:val="20"/>
                <w:szCs w:val="20"/>
                <w:color w:val="auto"/>
              </w:rPr>
            </w:pPr>
            <w:r>
              <w:rPr>
                <w:rFonts w:ascii="Arial" w:cs="Arial" w:eastAsia="Arial" w:hAnsi="Arial"/>
                <w:sz w:val="20"/>
                <w:szCs w:val="20"/>
                <w:color w:val="auto"/>
              </w:rPr>
              <w:t>Cost of revenue</w:t>
            </w:r>
          </w:p>
        </w:tc>
        <w:tc>
          <w:tcPr>
            <w:tcW w:w="2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8,369</w:t>
            </w:r>
          </w:p>
        </w:tc>
        <w:tc>
          <w:tcPr>
            <w:tcW w:w="320" w:type="dxa"/>
            <w:vAlign w:val="bottom"/>
            <w:gridSpan w:val="2"/>
            <w:shd w:val="clear" w:color="auto" w:fill="D2EDF0"/>
          </w:tcPr>
          <w:p>
            <w:pPr>
              <w:jc w:val="right"/>
              <w:ind w:right="80"/>
              <w:spacing w:after="0"/>
              <w:rPr>
                <w:sz w:val="20"/>
                <w:szCs w:val="20"/>
                <w:color w:val="auto"/>
              </w:rPr>
            </w:pPr>
            <w:r>
              <w:rPr>
                <w:rFonts w:ascii="Arial" w:cs="Arial" w:eastAsia="Arial" w:hAnsi="Arial"/>
                <w:sz w:val="20"/>
                <w:szCs w:val="20"/>
                <w:color w:val="auto"/>
              </w:rPr>
              <w:t>$</w:t>
            </w:r>
          </w:p>
        </w:tc>
        <w:tc>
          <w:tcPr>
            <w:tcW w:w="8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4,446</w:t>
            </w:r>
          </w:p>
        </w:tc>
        <w:tc>
          <w:tcPr>
            <w:tcW w:w="320" w:type="dxa"/>
            <w:vAlign w:val="bottom"/>
            <w:gridSpan w:val="2"/>
            <w:shd w:val="clear" w:color="auto" w:fill="D2EDF0"/>
          </w:tcPr>
          <w:p>
            <w:pPr>
              <w:jc w:val="right"/>
              <w:ind w:right="80"/>
              <w:spacing w:after="0"/>
              <w:rPr>
                <w:sz w:val="20"/>
                <w:szCs w:val="20"/>
                <w:color w:val="auto"/>
              </w:rPr>
            </w:pPr>
            <w:r>
              <w:rPr>
                <w:rFonts w:ascii="Arial" w:cs="Arial" w:eastAsia="Arial" w:hAnsi="Arial"/>
                <w:sz w:val="20"/>
                <w:szCs w:val="20"/>
                <w:color w:val="auto"/>
              </w:rPr>
              <w:t>$</w:t>
            </w:r>
          </w:p>
        </w:tc>
        <w:tc>
          <w:tcPr>
            <w:tcW w:w="8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3,158</w:t>
            </w:r>
          </w:p>
        </w:tc>
        <w:tc>
          <w:tcPr>
            <w:tcW w:w="320" w:type="dxa"/>
            <w:vAlign w:val="bottom"/>
            <w:gridSpan w:val="2"/>
            <w:shd w:val="clear" w:color="auto" w:fill="D2EDF0"/>
          </w:tcPr>
          <w:p>
            <w:pPr>
              <w:jc w:val="right"/>
              <w:ind w:right="80"/>
              <w:spacing w:after="0"/>
              <w:rPr>
                <w:sz w:val="20"/>
                <w:szCs w:val="20"/>
                <w:color w:val="auto"/>
              </w:rPr>
            </w:pPr>
            <w:r>
              <w:rPr>
                <w:rFonts w:ascii="Arial" w:cs="Arial" w:eastAsia="Arial" w:hAnsi="Arial"/>
                <w:sz w:val="20"/>
                <w:szCs w:val="20"/>
                <w:color w:val="auto"/>
              </w:rPr>
              <w:t>$</w:t>
            </w:r>
          </w:p>
        </w:tc>
        <w:tc>
          <w:tcPr>
            <w:tcW w:w="8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2,817</w:t>
            </w:r>
          </w:p>
        </w:tc>
        <w:tc>
          <w:tcPr>
            <w:tcW w:w="320" w:type="dxa"/>
            <w:vAlign w:val="bottom"/>
            <w:gridSpan w:val="2"/>
            <w:shd w:val="clear" w:color="auto" w:fill="D2EDF0"/>
          </w:tcPr>
          <w:p>
            <w:pPr>
              <w:jc w:val="right"/>
              <w:ind w:right="80"/>
              <w:spacing w:after="0"/>
              <w:rPr>
                <w:sz w:val="20"/>
                <w:szCs w:val="20"/>
                <w:color w:val="auto"/>
              </w:rPr>
            </w:pPr>
            <w:r>
              <w:rPr>
                <w:rFonts w:ascii="Arial" w:cs="Arial" w:eastAsia="Arial" w:hAnsi="Arial"/>
                <w:sz w:val="20"/>
                <w:szCs w:val="20"/>
                <w:color w:val="auto"/>
              </w:rPr>
              <w:t>$</w:t>
            </w:r>
          </w:p>
        </w:tc>
        <w:tc>
          <w:tcPr>
            <w:tcW w:w="8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1,707</w:t>
            </w:r>
          </w:p>
        </w:tc>
        <w:tc>
          <w:tcPr>
            <w:tcW w:w="0" w:type="dxa"/>
            <w:vAlign w:val="bottom"/>
          </w:tcPr>
          <w:p>
            <w:pPr>
              <w:spacing w:after="0"/>
              <w:rPr>
                <w:sz w:val="1"/>
                <w:szCs w:val="1"/>
                <w:color w:val="auto"/>
              </w:rPr>
            </w:pPr>
          </w:p>
        </w:tc>
      </w:tr>
      <w:tr>
        <w:trPr>
          <w:trHeight w:val="296"/>
        </w:trPr>
        <w:tc>
          <w:tcPr>
            <w:tcW w:w="3420" w:type="dxa"/>
            <w:vAlign w:val="bottom"/>
          </w:tcPr>
          <w:p>
            <w:pPr>
              <w:ind w:left="60"/>
              <w:spacing w:after="0"/>
              <w:rPr>
                <w:sz w:val="20"/>
                <w:szCs w:val="20"/>
                <w:color w:val="auto"/>
              </w:rPr>
            </w:pPr>
            <w:r>
              <w:rPr>
                <w:rFonts w:ascii="Arial" w:cs="Arial" w:eastAsia="Arial" w:hAnsi="Arial"/>
                <w:sz w:val="20"/>
                <w:szCs w:val="20"/>
                <w:color w:val="auto"/>
              </w:rPr>
              <w:t>Sales and marketing</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49,383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29,410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19,842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16,032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6,911</w:t>
            </w:r>
          </w:p>
        </w:tc>
        <w:tc>
          <w:tcPr>
            <w:tcW w:w="0" w:type="dxa"/>
            <w:vAlign w:val="bottom"/>
          </w:tcPr>
          <w:p>
            <w:pPr>
              <w:spacing w:after="0"/>
              <w:rPr>
                <w:sz w:val="1"/>
                <w:szCs w:val="1"/>
                <w:color w:val="auto"/>
              </w:rPr>
            </w:pPr>
          </w:p>
        </w:tc>
      </w:tr>
      <w:tr>
        <w:trPr>
          <w:trHeight w:val="304"/>
        </w:trPr>
        <w:tc>
          <w:tcPr>
            <w:tcW w:w="3420" w:type="dxa"/>
            <w:vAlign w:val="bottom"/>
            <w:shd w:val="clear" w:color="auto" w:fill="D2EDF0"/>
          </w:tcPr>
          <w:p>
            <w:pPr>
              <w:ind w:left="60"/>
              <w:spacing w:after="0"/>
              <w:rPr>
                <w:sz w:val="20"/>
                <w:szCs w:val="20"/>
                <w:color w:val="auto"/>
              </w:rPr>
            </w:pPr>
            <w:r>
              <w:rPr>
                <w:rFonts w:ascii="Arial" w:cs="Arial" w:eastAsia="Arial" w:hAnsi="Arial"/>
                <w:sz w:val="20"/>
                <w:szCs w:val="20"/>
                <w:color w:val="auto"/>
              </w:rPr>
              <w:t>Research and development</w:t>
            </w:r>
          </w:p>
        </w:tc>
        <w:tc>
          <w:tcPr>
            <w:tcW w:w="220" w:type="dxa"/>
            <w:vAlign w:val="bottom"/>
            <w:shd w:val="clear" w:color="auto" w:fill="D2EDF0"/>
          </w:tcPr>
          <w:p>
            <w:pPr>
              <w:spacing w:after="0"/>
              <w:rPr>
                <w:sz w:val="24"/>
                <w:szCs w:val="24"/>
                <w:color w:val="auto"/>
              </w:rPr>
            </w:pPr>
          </w:p>
        </w:tc>
        <w:tc>
          <w:tcPr>
            <w:tcW w:w="8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31,499</w:t>
            </w:r>
          </w:p>
        </w:tc>
        <w:tc>
          <w:tcPr>
            <w:tcW w:w="80" w:type="dxa"/>
            <w:vAlign w:val="bottom"/>
            <w:shd w:val="clear" w:color="auto" w:fill="D2EDF0"/>
          </w:tcPr>
          <w:p>
            <w:pPr>
              <w:spacing w:after="0"/>
              <w:rPr>
                <w:sz w:val="24"/>
                <w:szCs w:val="24"/>
                <w:color w:val="auto"/>
              </w:rPr>
            </w:pPr>
          </w:p>
        </w:tc>
        <w:tc>
          <w:tcPr>
            <w:tcW w:w="240" w:type="dxa"/>
            <w:vAlign w:val="bottom"/>
            <w:shd w:val="clear" w:color="auto" w:fill="D2EDF0"/>
          </w:tcPr>
          <w:p>
            <w:pPr>
              <w:spacing w:after="0"/>
              <w:rPr>
                <w:sz w:val="24"/>
                <w:szCs w:val="24"/>
                <w:color w:val="auto"/>
              </w:rPr>
            </w:pPr>
          </w:p>
        </w:tc>
        <w:tc>
          <w:tcPr>
            <w:tcW w:w="8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20,593</w:t>
            </w:r>
          </w:p>
        </w:tc>
        <w:tc>
          <w:tcPr>
            <w:tcW w:w="80" w:type="dxa"/>
            <w:vAlign w:val="bottom"/>
            <w:shd w:val="clear" w:color="auto" w:fill="D2EDF0"/>
          </w:tcPr>
          <w:p>
            <w:pPr>
              <w:spacing w:after="0"/>
              <w:rPr>
                <w:sz w:val="24"/>
                <w:szCs w:val="24"/>
                <w:color w:val="auto"/>
              </w:rPr>
            </w:pPr>
          </w:p>
        </w:tc>
        <w:tc>
          <w:tcPr>
            <w:tcW w:w="240" w:type="dxa"/>
            <w:vAlign w:val="bottom"/>
            <w:shd w:val="clear" w:color="auto" w:fill="D2EDF0"/>
          </w:tcPr>
          <w:p>
            <w:pPr>
              <w:spacing w:after="0"/>
              <w:rPr>
                <w:sz w:val="24"/>
                <w:szCs w:val="24"/>
                <w:color w:val="auto"/>
              </w:rPr>
            </w:pPr>
          </w:p>
        </w:tc>
        <w:tc>
          <w:tcPr>
            <w:tcW w:w="8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14,794</w:t>
            </w:r>
          </w:p>
        </w:tc>
        <w:tc>
          <w:tcPr>
            <w:tcW w:w="80" w:type="dxa"/>
            <w:vAlign w:val="bottom"/>
            <w:shd w:val="clear" w:color="auto" w:fill="D2EDF0"/>
          </w:tcPr>
          <w:p>
            <w:pPr>
              <w:spacing w:after="0"/>
              <w:rPr>
                <w:sz w:val="24"/>
                <w:szCs w:val="24"/>
                <w:color w:val="auto"/>
              </w:rPr>
            </w:pPr>
          </w:p>
        </w:tc>
        <w:tc>
          <w:tcPr>
            <w:tcW w:w="240" w:type="dxa"/>
            <w:vAlign w:val="bottom"/>
            <w:shd w:val="clear" w:color="auto" w:fill="D2EDF0"/>
          </w:tcPr>
          <w:p>
            <w:pPr>
              <w:spacing w:after="0"/>
              <w:rPr>
                <w:sz w:val="24"/>
                <w:szCs w:val="24"/>
                <w:color w:val="auto"/>
              </w:rPr>
            </w:pPr>
          </w:p>
        </w:tc>
        <w:tc>
          <w:tcPr>
            <w:tcW w:w="8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8,911</w:t>
            </w:r>
          </w:p>
        </w:tc>
        <w:tc>
          <w:tcPr>
            <w:tcW w:w="80" w:type="dxa"/>
            <w:vAlign w:val="bottom"/>
            <w:shd w:val="clear" w:color="auto" w:fill="D2EDF0"/>
          </w:tcPr>
          <w:p>
            <w:pPr>
              <w:spacing w:after="0"/>
              <w:rPr>
                <w:sz w:val="24"/>
                <w:szCs w:val="24"/>
                <w:color w:val="auto"/>
              </w:rPr>
            </w:pPr>
          </w:p>
        </w:tc>
        <w:tc>
          <w:tcPr>
            <w:tcW w:w="240" w:type="dxa"/>
            <w:vAlign w:val="bottom"/>
            <w:shd w:val="clear" w:color="auto" w:fill="D2EDF0"/>
          </w:tcPr>
          <w:p>
            <w:pPr>
              <w:spacing w:after="0"/>
              <w:rPr>
                <w:sz w:val="24"/>
                <w:szCs w:val="24"/>
                <w:color w:val="auto"/>
              </w:rPr>
            </w:pPr>
          </w:p>
        </w:tc>
        <w:tc>
          <w:tcPr>
            <w:tcW w:w="8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5,804</w:t>
            </w:r>
          </w:p>
        </w:tc>
        <w:tc>
          <w:tcPr>
            <w:tcW w:w="0" w:type="dxa"/>
            <w:vAlign w:val="bottom"/>
          </w:tcPr>
          <w:p>
            <w:pPr>
              <w:spacing w:after="0"/>
              <w:rPr>
                <w:sz w:val="1"/>
                <w:szCs w:val="1"/>
                <w:color w:val="auto"/>
              </w:rPr>
            </w:pPr>
          </w:p>
        </w:tc>
      </w:tr>
      <w:tr>
        <w:trPr>
          <w:trHeight w:val="290"/>
        </w:trPr>
        <w:tc>
          <w:tcPr>
            <w:tcW w:w="3420" w:type="dxa"/>
            <w:vAlign w:val="bottom"/>
            <w:tcBorders>
              <w:bottom w:val="single" w:sz="8" w:color="D2EDF0"/>
            </w:tcBorders>
          </w:tcPr>
          <w:p>
            <w:pPr>
              <w:ind w:left="60"/>
              <w:spacing w:after="0"/>
              <w:rPr>
                <w:sz w:val="20"/>
                <w:szCs w:val="20"/>
                <w:color w:val="auto"/>
              </w:rPr>
            </w:pPr>
            <w:r>
              <w:rPr>
                <w:rFonts w:ascii="Arial" w:cs="Arial" w:eastAsia="Arial" w:hAnsi="Arial"/>
                <w:sz w:val="20"/>
                <w:szCs w:val="20"/>
                <w:color w:val="auto"/>
              </w:rPr>
              <w:t>General and administrative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31,382</w:t>
            </w:r>
          </w:p>
        </w:tc>
        <w:tc>
          <w:tcPr>
            <w:tcW w:w="80" w:type="dxa"/>
            <w:vAlign w:val="bottom"/>
            <w:tcBorders>
              <w:bottom w:val="single" w:sz="8" w:color="D2EDF0"/>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24,956</w:t>
            </w:r>
          </w:p>
        </w:tc>
        <w:tc>
          <w:tcPr>
            <w:tcW w:w="80" w:type="dxa"/>
            <w:vAlign w:val="bottom"/>
            <w:tcBorders>
              <w:bottom w:val="single" w:sz="8" w:color="D2EDF0"/>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21,779</w:t>
            </w:r>
          </w:p>
        </w:tc>
        <w:tc>
          <w:tcPr>
            <w:tcW w:w="80" w:type="dxa"/>
            <w:vAlign w:val="bottom"/>
            <w:tcBorders>
              <w:bottom w:val="single" w:sz="8" w:color="D2EDF0"/>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15,683</w:t>
            </w:r>
          </w:p>
        </w:tc>
        <w:tc>
          <w:tcPr>
            <w:tcW w:w="80" w:type="dxa"/>
            <w:vAlign w:val="bottom"/>
            <w:tcBorders>
              <w:bottom w:val="single" w:sz="8" w:color="D2EDF0"/>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8,453</w:t>
            </w:r>
          </w:p>
        </w:tc>
        <w:tc>
          <w:tcPr>
            <w:tcW w:w="0" w:type="dxa"/>
            <w:vAlign w:val="bottom"/>
          </w:tcPr>
          <w:p>
            <w:pPr>
              <w:spacing w:after="0"/>
              <w:rPr>
                <w:sz w:val="1"/>
                <w:szCs w:val="1"/>
                <w:color w:val="auto"/>
              </w:rPr>
            </w:pPr>
          </w:p>
        </w:tc>
      </w:tr>
      <w:tr>
        <w:trPr>
          <w:trHeight w:val="198"/>
        </w:trPr>
        <w:tc>
          <w:tcPr>
            <w:tcW w:w="3420" w:type="dxa"/>
            <w:vAlign w:val="bottom"/>
            <w:shd w:val="clear" w:color="auto" w:fill="D2EDF0"/>
          </w:tcPr>
          <w:p>
            <w:pPr>
              <w:ind w:left="280"/>
              <w:spacing w:after="0" w:line="198" w:lineRule="exact"/>
              <w:rPr>
                <w:sz w:val="20"/>
                <w:szCs w:val="20"/>
                <w:color w:val="auto"/>
              </w:rPr>
            </w:pPr>
            <w:r>
              <w:rPr>
                <w:rFonts w:ascii="Arial" w:cs="Arial" w:eastAsia="Arial" w:hAnsi="Arial"/>
                <w:sz w:val="20"/>
                <w:szCs w:val="20"/>
                <w:color w:val="auto"/>
              </w:rPr>
              <w:t>Total stock-based compensation</w:t>
            </w:r>
          </w:p>
        </w:tc>
        <w:tc>
          <w:tcPr>
            <w:tcW w:w="22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84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120,633</w:t>
            </w:r>
          </w:p>
        </w:tc>
        <w:tc>
          <w:tcPr>
            <w:tcW w:w="320" w:type="dxa"/>
            <w:vAlign w:val="bottom"/>
            <w:gridSpan w:val="2"/>
            <w:vMerge w:val="restart"/>
            <w:shd w:val="clear" w:color="auto" w:fill="D2EDF0"/>
          </w:tcPr>
          <w:p>
            <w:pPr>
              <w:jc w:val="right"/>
              <w:ind w:right="80"/>
              <w:spacing w:after="0"/>
              <w:rPr>
                <w:sz w:val="20"/>
                <w:szCs w:val="20"/>
                <w:color w:val="auto"/>
              </w:rPr>
            </w:pPr>
            <w:r>
              <w:rPr>
                <w:rFonts w:ascii="Arial" w:cs="Arial" w:eastAsia="Arial" w:hAnsi="Arial"/>
                <w:sz w:val="20"/>
                <w:szCs w:val="20"/>
                <w:color w:val="auto"/>
              </w:rPr>
              <w:t>$</w:t>
            </w:r>
          </w:p>
        </w:tc>
        <w:tc>
          <w:tcPr>
            <w:tcW w:w="82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79,405</w:t>
            </w:r>
          </w:p>
        </w:tc>
        <w:tc>
          <w:tcPr>
            <w:tcW w:w="320" w:type="dxa"/>
            <w:vAlign w:val="bottom"/>
            <w:gridSpan w:val="2"/>
            <w:vMerge w:val="restart"/>
            <w:shd w:val="clear" w:color="auto" w:fill="D2EDF0"/>
          </w:tcPr>
          <w:p>
            <w:pPr>
              <w:jc w:val="right"/>
              <w:ind w:right="80"/>
              <w:spacing w:after="0"/>
              <w:rPr>
                <w:sz w:val="20"/>
                <w:szCs w:val="20"/>
                <w:color w:val="auto"/>
              </w:rPr>
            </w:pPr>
            <w:r>
              <w:rPr>
                <w:rFonts w:ascii="Arial" w:cs="Arial" w:eastAsia="Arial" w:hAnsi="Arial"/>
                <w:sz w:val="20"/>
                <w:szCs w:val="20"/>
                <w:color w:val="auto"/>
              </w:rPr>
              <w:t>$</w:t>
            </w:r>
          </w:p>
        </w:tc>
        <w:tc>
          <w:tcPr>
            <w:tcW w:w="82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59,573</w:t>
            </w:r>
          </w:p>
        </w:tc>
        <w:tc>
          <w:tcPr>
            <w:tcW w:w="320" w:type="dxa"/>
            <w:vAlign w:val="bottom"/>
            <w:gridSpan w:val="2"/>
            <w:vMerge w:val="restart"/>
            <w:shd w:val="clear" w:color="auto" w:fill="D2EDF0"/>
          </w:tcPr>
          <w:p>
            <w:pPr>
              <w:jc w:val="right"/>
              <w:ind w:right="80"/>
              <w:spacing w:after="0"/>
              <w:rPr>
                <w:sz w:val="20"/>
                <w:szCs w:val="20"/>
                <w:color w:val="auto"/>
              </w:rPr>
            </w:pPr>
            <w:r>
              <w:rPr>
                <w:rFonts w:ascii="Arial" w:cs="Arial" w:eastAsia="Arial" w:hAnsi="Arial"/>
                <w:sz w:val="20"/>
                <w:szCs w:val="20"/>
                <w:color w:val="auto"/>
              </w:rPr>
              <w:t>$</w:t>
            </w:r>
          </w:p>
        </w:tc>
        <w:tc>
          <w:tcPr>
            <w:tcW w:w="82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43,443</w:t>
            </w:r>
          </w:p>
        </w:tc>
        <w:tc>
          <w:tcPr>
            <w:tcW w:w="320" w:type="dxa"/>
            <w:vAlign w:val="bottom"/>
            <w:gridSpan w:val="2"/>
            <w:vMerge w:val="restart"/>
            <w:shd w:val="clear" w:color="auto" w:fill="D2EDF0"/>
          </w:tcPr>
          <w:p>
            <w:pPr>
              <w:jc w:val="right"/>
              <w:ind w:right="80"/>
              <w:spacing w:after="0"/>
              <w:rPr>
                <w:sz w:val="20"/>
                <w:szCs w:val="20"/>
                <w:color w:val="auto"/>
              </w:rPr>
            </w:pPr>
            <w:r>
              <w:rPr>
                <w:rFonts w:ascii="Arial" w:cs="Arial" w:eastAsia="Arial" w:hAnsi="Arial"/>
                <w:sz w:val="20"/>
                <w:szCs w:val="20"/>
                <w:color w:val="auto"/>
              </w:rPr>
              <w:t>$</w:t>
            </w:r>
          </w:p>
        </w:tc>
        <w:tc>
          <w:tcPr>
            <w:tcW w:w="82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22,875</w:t>
            </w:r>
          </w:p>
        </w:tc>
        <w:tc>
          <w:tcPr>
            <w:tcW w:w="0" w:type="dxa"/>
            <w:vAlign w:val="bottom"/>
          </w:tcPr>
          <w:p>
            <w:pPr>
              <w:spacing w:after="0"/>
              <w:rPr>
                <w:sz w:val="1"/>
                <w:szCs w:val="1"/>
                <w:color w:val="auto"/>
              </w:rPr>
            </w:pPr>
          </w:p>
        </w:tc>
      </w:tr>
      <w:tr>
        <w:trPr>
          <w:trHeight w:val="262"/>
        </w:trPr>
        <w:tc>
          <w:tcPr>
            <w:tcW w:w="3420" w:type="dxa"/>
            <w:vAlign w:val="bottom"/>
            <w:shd w:val="clear" w:color="auto" w:fill="D2EDF0"/>
          </w:tcPr>
          <w:p>
            <w:pPr>
              <w:ind w:left="460"/>
              <w:spacing w:after="0"/>
              <w:rPr>
                <w:sz w:val="20"/>
                <w:szCs w:val="20"/>
                <w:color w:val="auto"/>
              </w:rPr>
            </w:pPr>
            <w:r>
              <w:rPr>
                <w:rFonts w:ascii="Arial" w:cs="Arial" w:eastAsia="Arial" w:hAnsi="Arial"/>
                <w:sz w:val="20"/>
                <w:szCs w:val="20"/>
                <w:color w:val="auto"/>
              </w:rPr>
              <w:t>expense</w:t>
            </w:r>
          </w:p>
        </w:tc>
        <w:tc>
          <w:tcPr>
            <w:tcW w:w="220" w:type="dxa"/>
            <w:vAlign w:val="bottom"/>
            <w:vMerge w:val="continue"/>
            <w:shd w:val="clear" w:color="auto" w:fill="D2EDF0"/>
          </w:tcPr>
          <w:p>
            <w:pPr>
              <w:spacing w:after="0"/>
              <w:rPr>
                <w:sz w:val="22"/>
                <w:szCs w:val="22"/>
                <w:color w:val="auto"/>
              </w:rPr>
            </w:pPr>
          </w:p>
        </w:tc>
        <w:tc>
          <w:tcPr>
            <w:tcW w:w="840" w:type="dxa"/>
            <w:vAlign w:val="bottom"/>
            <w:vMerge w:val="continue"/>
            <w:shd w:val="clear" w:color="auto" w:fill="D2EDF0"/>
          </w:tcPr>
          <w:p>
            <w:pPr>
              <w:spacing w:after="0"/>
              <w:rPr>
                <w:sz w:val="22"/>
                <w:szCs w:val="22"/>
                <w:color w:val="auto"/>
              </w:rPr>
            </w:pPr>
          </w:p>
        </w:tc>
        <w:tc>
          <w:tcPr>
            <w:tcW w:w="320" w:type="dxa"/>
            <w:vAlign w:val="bottom"/>
            <w:gridSpan w:val="2"/>
            <w:vMerge w:val="continue"/>
            <w:shd w:val="clear" w:color="auto" w:fill="D2EDF0"/>
          </w:tcPr>
          <w:p>
            <w:pPr>
              <w:spacing w:after="0"/>
              <w:rPr>
                <w:sz w:val="22"/>
                <w:szCs w:val="22"/>
                <w:color w:val="auto"/>
              </w:rPr>
            </w:pPr>
          </w:p>
        </w:tc>
        <w:tc>
          <w:tcPr>
            <w:tcW w:w="820" w:type="dxa"/>
            <w:vAlign w:val="bottom"/>
            <w:vMerge w:val="continue"/>
            <w:shd w:val="clear" w:color="auto" w:fill="D2EDF0"/>
          </w:tcPr>
          <w:p>
            <w:pPr>
              <w:spacing w:after="0"/>
              <w:rPr>
                <w:sz w:val="22"/>
                <w:szCs w:val="22"/>
                <w:color w:val="auto"/>
              </w:rPr>
            </w:pPr>
          </w:p>
        </w:tc>
        <w:tc>
          <w:tcPr>
            <w:tcW w:w="320" w:type="dxa"/>
            <w:vAlign w:val="bottom"/>
            <w:gridSpan w:val="2"/>
            <w:vMerge w:val="continue"/>
            <w:shd w:val="clear" w:color="auto" w:fill="D2EDF0"/>
          </w:tcPr>
          <w:p>
            <w:pPr>
              <w:spacing w:after="0"/>
              <w:rPr>
                <w:sz w:val="22"/>
                <w:szCs w:val="22"/>
                <w:color w:val="auto"/>
              </w:rPr>
            </w:pPr>
          </w:p>
        </w:tc>
        <w:tc>
          <w:tcPr>
            <w:tcW w:w="820" w:type="dxa"/>
            <w:vAlign w:val="bottom"/>
            <w:vMerge w:val="continue"/>
            <w:shd w:val="clear" w:color="auto" w:fill="D2EDF0"/>
          </w:tcPr>
          <w:p>
            <w:pPr>
              <w:spacing w:after="0"/>
              <w:rPr>
                <w:sz w:val="22"/>
                <w:szCs w:val="22"/>
                <w:color w:val="auto"/>
              </w:rPr>
            </w:pPr>
          </w:p>
        </w:tc>
        <w:tc>
          <w:tcPr>
            <w:tcW w:w="320" w:type="dxa"/>
            <w:vAlign w:val="bottom"/>
            <w:gridSpan w:val="2"/>
            <w:vMerge w:val="continue"/>
            <w:shd w:val="clear" w:color="auto" w:fill="D2EDF0"/>
          </w:tcPr>
          <w:p>
            <w:pPr>
              <w:spacing w:after="0"/>
              <w:rPr>
                <w:sz w:val="22"/>
                <w:szCs w:val="22"/>
                <w:color w:val="auto"/>
              </w:rPr>
            </w:pPr>
          </w:p>
        </w:tc>
        <w:tc>
          <w:tcPr>
            <w:tcW w:w="820" w:type="dxa"/>
            <w:vAlign w:val="bottom"/>
            <w:vMerge w:val="continue"/>
            <w:shd w:val="clear" w:color="auto" w:fill="D2EDF0"/>
          </w:tcPr>
          <w:p>
            <w:pPr>
              <w:spacing w:after="0"/>
              <w:rPr>
                <w:sz w:val="22"/>
                <w:szCs w:val="22"/>
                <w:color w:val="auto"/>
              </w:rPr>
            </w:pPr>
          </w:p>
        </w:tc>
        <w:tc>
          <w:tcPr>
            <w:tcW w:w="320" w:type="dxa"/>
            <w:vAlign w:val="bottom"/>
            <w:gridSpan w:val="2"/>
            <w:vMerge w:val="continue"/>
            <w:shd w:val="clear" w:color="auto" w:fill="D2EDF0"/>
          </w:tcPr>
          <w:p>
            <w:pPr>
              <w:spacing w:after="0"/>
              <w:rPr>
                <w:sz w:val="22"/>
                <w:szCs w:val="22"/>
                <w:color w:val="auto"/>
              </w:rPr>
            </w:pPr>
          </w:p>
        </w:tc>
        <w:tc>
          <w:tcPr>
            <w:tcW w:w="820" w:type="dxa"/>
            <w:vAlign w:val="bottom"/>
            <w:vMerge w:val="continue"/>
            <w:shd w:val="clear" w:color="auto" w:fill="D2EDF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D2EDF0"/>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-1085215</wp:posOffset>
            </wp:positionV>
            <wp:extent cx="3571875" cy="1085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71875" cy="1085850"/>
                    </a:xfrm>
                    <a:prstGeom prst="rect">
                      <a:avLst/>
                    </a:prstGeom>
                    <a:noFill/>
                  </pic:spPr>
                </pic:pic>
              </a:graphicData>
            </a:graphic>
          </wp:anchor>
        </w:drawing>
      </w:r>
    </w:p>
    <w:p>
      <w:pPr>
        <w:spacing w:after="0" w:line="114" w:lineRule="exact"/>
        <w:rPr>
          <w:sz w:val="20"/>
          <w:szCs w:val="20"/>
          <w:color w:val="auto"/>
        </w:rPr>
      </w:pPr>
    </w:p>
    <w:p>
      <w:pPr>
        <w:jc w:val="both"/>
        <w:ind w:left="20" w:right="80"/>
        <w:spacing w:after="0" w:line="287" w:lineRule="auto"/>
        <w:tabs>
          <w:tab w:leader="none" w:pos="74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See Note 12 to our consolidated financial statements in this Annual Report on Form 10-K for details on the calculation of basic and diluted net loss per share attributable to common stockholders.</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3380" w:type="dxa"/>
            <w:vAlign w:val="bottom"/>
          </w:tcPr>
          <w:p>
            <w:pPr>
              <w:ind w:left="60"/>
              <w:spacing w:after="0"/>
              <w:rPr>
                <w:sz w:val="20"/>
                <w:szCs w:val="20"/>
                <w:color w:val="auto"/>
              </w:rPr>
            </w:pPr>
            <w:r>
              <w:rPr>
                <w:rFonts w:ascii="Arial" w:cs="Arial" w:eastAsia="Arial" w:hAnsi="Arial"/>
                <w:sz w:val="18"/>
                <w:szCs w:val="18"/>
                <w:b w:val="1"/>
                <w:bCs w:val="1"/>
                <w:color w:val="auto"/>
              </w:rPr>
              <w:t>Consolidated Balance Sheet Data:</w:t>
            </w: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338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1060" w:type="dxa"/>
            <w:vAlign w:val="bottom"/>
            <w:tcBorders>
              <w:bottom w:val="single" w:sz="8" w:color="auto"/>
            </w:tcBorders>
          </w:tcPr>
          <w:p>
            <w:pPr>
              <w:jc w:val="right"/>
              <w:ind w:right="24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1060" w:type="dxa"/>
            <w:vAlign w:val="bottom"/>
            <w:tcBorders>
              <w:bottom w:val="single" w:sz="8" w:color="auto"/>
            </w:tcBorders>
          </w:tcPr>
          <w:p>
            <w:pPr>
              <w:jc w:val="right"/>
              <w:ind w:right="245"/>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2EDF0"/>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41"/>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D2EDF0"/>
            </w:tcBorders>
          </w:tcPr>
          <w:p>
            <w:pPr>
              <w:spacing w:after="0"/>
              <w:rPr>
                <w:sz w:val="24"/>
                <w:szCs w:val="24"/>
                <w:color w:val="auto"/>
              </w:rPr>
            </w:pPr>
          </w:p>
        </w:tc>
        <w:tc>
          <w:tcPr>
            <w:tcW w:w="1060" w:type="dxa"/>
            <w:vAlign w:val="bottom"/>
            <w:tcBorders>
              <w:bottom w:val="single" w:sz="8" w:color="auto"/>
            </w:tcBorders>
          </w:tcPr>
          <w:p>
            <w:pPr>
              <w:jc w:val="right"/>
              <w:ind w:right="245"/>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90"/>
        </w:trPr>
        <w:tc>
          <w:tcPr>
            <w:tcW w:w="3380" w:type="dxa"/>
            <w:vAlign w:val="bottom"/>
            <w:shd w:val="clear" w:color="auto" w:fill="D2EDF0"/>
          </w:tcPr>
          <w:p>
            <w:pPr>
              <w:ind w:left="60"/>
              <w:spacing w:after="0"/>
              <w:rPr>
                <w:sz w:val="20"/>
                <w:szCs w:val="20"/>
                <w:color w:val="auto"/>
              </w:rPr>
            </w:pPr>
            <w:r>
              <w:rPr>
                <w:rFonts w:ascii="Arial" w:cs="Arial" w:eastAsia="Arial" w:hAnsi="Arial"/>
                <w:sz w:val="20"/>
                <w:szCs w:val="20"/>
                <w:color w:val="auto"/>
              </w:rPr>
              <w:t>Cash and cash equivalents</w:t>
            </w:r>
          </w:p>
        </w:tc>
        <w:tc>
          <w:tcPr>
            <w:tcW w:w="10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$ 300,866</w:t>
            </w:r>
          </w:p>
        </w:tc>
        <w:tc>
          <w:tcPr>
            <w:tcW w:w="114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$ 278,000</w:t>
            </w:r>
          </w:p>
        </w:tc>
        <w:tc>
          <w:tcPr>
            <w:tcW w:w="114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$ 178,223</w:t>
            </w:r>
          </w:p>
        </w:tc>
        <w:tc>
          <w:tcPr>
            <w:tcW w:w="80" w:type="dxa"/>
            <w:vAlign w:val="bottom"/>
            <w:shd w:val="clear" w:color="auto" w:fill="D2EDF0"/>
          </w:tcPr>
          <w:p>
            <w:pPr>
              <w:spacing w:after="0"/>
              <w:rPr>
                <w:sz w:val="24"/>
                <w:szCs w:val="24"/>
                <w:color w:val="auto"/>
              </w:rPr>
            </w:pPr>
          </w:p>
        </w:tc>
        <w:tc>
          <w:tcPr>
            <w:tcW w:w="1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74,363</w:t>
            </w:r>
          </w:p>
        </w:tc>
        <w:tc>
          <w:tcPr>
            <w:tcW w:w="114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$ 165,116</w:t>
            </w:r>
          </w:p>
        </w:tc>
        <w:tc>
          <w:tcPr>
            <w:tcW w:w="0" w:type="dxa"/>
            <w:vAlign w:val="bottom"/>
          </w:tcPr>
          <w:p>
            <w:pPr>
              <w:spacing w:after="0"/>
              <w:rPr>
                <w:sz w:val="1"/>
                <w:szCs w:val="1"/>
                <w:color w:val="auto"/>
              </w:rPr>
            </w:pPr>
          </w:p>
        </w:tc>
      </w:tr>
      <w:tr>
        <w:trPr>
          <w:trHeight w:val="296"/>
        </w:trPr>
        <w:tc>
          <w:tcPr>
            <w:tcW w:w="3380" w:type="dxa"/>
            <w:vAlign w:val="bottom"/>
          </w:tcPr>
          <w:p>
            <w:pPr>
              <w:ind w:left="60"/>
              <w:spacing w:after="0"/>
              <w:rPr>
                <w:sz w:val="20"/>
                <w:szCs w:val="20"/>
                <w:color w:val="auto"/>
              </w:rPr>
            </w:pPr>
            <w:r>
              <w:rPr>
                <w:rFonts w:ascii="Arial" w:cs="Arial" w:eastAsia="Arial" w:hAnsi="Arial"/>
                <w:sz w:val="20"/>
                <w:szCs w:val="20"/>
                <w:color w:val="auto"/>
              </w:rPr>
              <w:t>Short-term investments</w:t>
            </w:r>
          </w:p>
        </w:tc>
        <w:tc>
          <w:tcPr>
            <w:tcW w:w="1060" w:type="dxa"/>
            <w:vAlign w:val="bottom"/>
          </w:tcPr>
          <w:p>
            <w:pPr>
              <w:jc w:val="right"/>
              <w:spacing w:after="0"/>
              <w:rPr>
                <w:sz w:val="20"/>
                <w:szCs w:val="20"/>
                <w:color w:val="auto"/>
              </w:rPr>
            </w:pPr>
            <w:r>
              <w:rPr>
                <w:rFonts w:ascii="Arial" w:cs="Arial" w:eastAsia="Arial" w:hAnsi="Arial"/>
                <w:sz w:val="20"/>
                <w:szCs w:val="20"/>
                <w:color w:val="auto"/>
              </w:rPr>
              <w:t>266,569</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234,292</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113,623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137,904</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118,119</w:t>
            </w:r>
          </w:p>
        </w:tc>
        <w:tc>
          <w:tcPr>
            <w:tcW w:w="0" w:type="dxa"/>
            <w:vAlign w:val="bottom"/>
          </w:tcPr>
          <w:p>
            <w:pPr>
              <w:spacing w:after="0"/>
              <w:rPr>
                <w:sz w:val="1"/>
                <w:szCs w:val="1"/>
                <w:color w:val="auto"/>
              </w:rPr>
            </w:pPr>
          </w:p>
        </w:tc>
      </w:tr>
      <w:tr>
        <w:trPr>
          <w:trHeight w:val="304"/>
        </w:trPr>
        <w:tc>
          <w:tcPr>
            <w:tcW w:w="3380" w:type="dxa"/>
            <w:vAlign w:val="bottom"/>
            <w:shd w:val="clear" w:color="auto" w:fill="D2EDF0"/>
          </w:tcPr>
          <w:p>
            <w:pPr>
              <w:ind w:left="60"/>
              <w:spacing w:after="0"/>
              <w:rPr>
                <w:sz w:val="20"/>
                <w:szCs w:val="20"/>
                <w:color w:val="auto"/>
              </w:rPr>
            </w:pPr>
            <w:r>
              <w:rPr>
                <w:rFonts w:ascii="Arial" w:cs="Arial" w:eastAsia="Arial" w:hAnsi="Arial"/>
                <w:sz w:val="20"/>
                <w:szCs w:val="20"/>
                <w:color w:val="auto"/>
              </w:rPr>
              <w:t>Working capital</w:t>
            </w:r>
            <w:r>
              <w:rPr>
                <w:rFonts w:ascii="Arial" w:cs="Arial" w:eastAsia="Arial" w:hAnsi="Arial"/>
                <w:sz w:val="26"/>
                <w:szCs w:val="26"/>
                <w:color w:val="auto"/>
                <w:vertAlign w:val="superscript"/>
              </w:rPr>
              <w:t>(1)</w:t>
            </w:r>
          </w:p>
        </w:tc>
        <w:tc>
          <w:tcPr>
            <w:tcW w:w="10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273,007</w:t>
            </w:r>
          </w:p>
        </w:tc>
        <w:tc>
          <w:tcPr>
            <w:tcW w:w="114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265,556</w:t>
            </w:r>
          </w:p>
        </w:tc>
        <w:tc>
          <w:tcPr>
            <w:tcW w:w="114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108,891</w:t>
            </w:r>
          </w:p>
        </w:tc>
        <w:tc>
          <w:tcPr>
            <w:tcW w:w="80" w:type="dxa"/>
            <w:vAlign w:val="bottom"/>
            <w:shd w:val="clear" w:color="auto" w:fill="D2EDF0"/>
          </w:tcPr>
          <w:p>
            <w:pPr>
              <w:spacing w:after="0"/>
              <w:rPr>
                <w:sz w:val="24"/>
                <w:szCs w:val="24"/>
                <w:color w:val="auto"/>
              </w:rPr>
            </w:pPr>
          </w:p>
        </w:tc>
        <w:tc>
          <w:tcPr>
            <w:tcW w:w="18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35,319</w:t>
            </w:r>
          </w:p>
        </w:tc>
        <w:tc>
          <w:tcPr>
            <w:tcW w:w="114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142,484</w:t>
            </w:r>
          </w:p>
        </w:tc>
        <w:tc>
          <w:tcPr>
            <w:tcW w:w="0" w:type="dxa"/>
            <w:vAlign w:val="bottom"/>
          </w:tcPr>
          <w:p>
            <w:pPr>
              <w:spacing w:after="0"/>
              <w:rPr>
                <w:sz w:val="1"/>
                <w:szCs w:val="1"/>
                <w:color w:val="auto"/>
              </w:rPr>
            </w:pPr>
          </w:p>
        </w:tc>
      </w:tr>
      <w:tr>
        <w:trPr>
          <w:trHeight w:val="296"/>
        </w:trPr>
        <w:tc>
          <w:tcPr>
            <w:tcW w:w="3380" w:type="dxa"/>
            <w:vAlign w:val="bottom"/>
          </w:tcPr>
          <w:p>
            <w:pPr>
              <w:ind w:left="60"/>
              <w:spacing w:after="0"/>
              <w:rPr>
                <w:sz w:val="20"/>
                <w:szCs w:val="20"/>
                <w:color w:val="auto"/>
              </w:rPr>
            </w:pPr>
            <w:r>
              <w:rPr>
                <w:rFonts w:ascii="Arial" w:cs="Arial" w:eastAsia="Arial" w:hAnsi="Arial"/>
                <w:sz w:val="20"/>
                <w:szCs w:val="20"/>
                <w:color w:val="auto"/>
              </w:rPr>
              <w:t>Total assets</w:t>
            </w:r>
          </w:p>
        </w:tc>
        <w:tc>
          <w:tcPr>
            <w:tcW w:w="1060" w:type="dxa"/>
            <w:vAlign w:val="bottom"/>
          </w:tcPr>
          <w:p>
            <w:pPr>
              <w:jc w:val="right"/>
              <w:spacing w:after="0"/>
              <w:rPr>
                <w:sz w:val="20"/>
                <w:szCs w:val="20"/>
                <w:color w:val="auto"/>
              </w:rPr>
            </w:pPr>
            <w:r>
              <w:rPr>
                <w:rFonts w:ascii="Arial" w:cs="Arial" w:eastAsia="Arial" w:hAnsi="Arial"/>
                <w:sz w:val="20"/>
                <w:szCs w:val="20"/>
                <w:color w:val="auto"/>
              </w:rPr>
              <w:t>1,439,530</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1,248,819</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690,589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558,612</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460,612</w:t>
            </w:r>
          </w:p>
        </w:tc>
        <w:tc>
          <w:tcPr>
            <w:tcW w:w="0" w:type="dxa"/>
            <w:vAlign w:val="bottom"/>
          </w:tcPr>
          <w:p>
            <w:pPr>
              <w:spacing w:after="0"/>
              <w:rPr>
                <w:sz w:val="1"/>
                <w:szCs w:val="1"/>
                <w:color w:val="auto"/>
              </w:rPr>
            </w:pPr>
          </w:p>
        </w:tc>
      </w:tr>
      <w:tr>
        <w:trPr>
          <w:trHeight w:val="212"/>
        </w:trPr>
        <w:tc>
          <w:tcPr>
            <w:tcW w:w="3380" w:type="dxa"/>
            <w:vAlign w:val="bottom"/>
            <w:shd w:val="clear" w:color="auto" w:fill="D2EDF0"/>
          </w:tcPr>
          <w:p>
            <w:pPr>
              <w:ind w:left="60"/>
              <w:spacing w:after="0" w:line="212" w:lineRule="exact"/>
              <w:rPr>
                <w:sz w:val="20"/>
                <w:szCs w:val="20"/>
                <w:color w:val="auto"/>
              </w:rPr>
            </w:pPr>
            <w:r>
              <w:rPr>
                <w:rFonts w:ascii="Arial" w:cs="Arial" w:eastAsia="Arial" w:hAnsi="Arial"/>
                <w:sz w:val="20"/>
                <w:szCs w:val="20"/>
                <w:color w:val="auto"/>
              </w:rPr>
              <w:t>Deferred revenue, current and non-</w:t>
            </w:r>
          </w:p>
        </w:tc>
        <w:tc>
          <w:tcPr>
            <w:tcW w:w="106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664,602</w:t>
            </w:r>
          </w:p>
        </w:tc>
        <w:tc>
          <w:tcPr>
            <w:tcW w:w="1140" w:type="dxa"/>
            <w:vAlign w:val="bottom"/>
            <w:gridSpan w:val="2"/>
            <w:vMerge w:val="restart"/>
            <w:shd w:val="clear" w:color="auto" w:fill="D2EDF0"/>
          </w:tcPr>
          <w:p>
            <w:pPr>
              <w:jc w:val="right"/>
              <w:spacing w:after="0"/>
              <w:rPr>
                <w:sz w:val="20"/>
                <w:szCs w:val="20"/>
                <w:color w:val="auto"/>
              </w:rPr>
            </w:pPr>
            <w:r>
              <w:rPr>
                <w:rFonts w:ascii="Arial" w:cs="Arial" w:eastAsia="Arial" w:hAnsi="Arial"/>
                <w:sz w:val="20"/>
                <w:szCs w:val="20"/>
                <w:color w:val="auto"/>
              </w:rPr>
              <w:t>530,885</w:t>
            </w:r>
          </w:p>
        </w:tc>
        <w:tc>
          <w:tcPr>
            <w:tcW w:w="1140" w:type="dxa"/>
            <w:vAlign w:val="bottom"/>
            <w:gridSpan w:val="2"/>
            <w:vMerge w:val="restart"/>
            <w:shd w:val="clear" w:color="auto" w:fill="D2EDF0"/>
          </w:tcPr>
          <w:p>
            <w:pPr>
              <w:jc w:val="right"/>
              <w:spacing w:after="0"/>
              <w:rPr>
                <w:sz w:val="20"/>
                <w:szCs w:val="20"/>
                <w:color w:val="auto"/>
              </w:rPr>
            </w:pPr>
            <w:r>
              <w:rPr>
                <w:rFonts w:ascii="Arial" w:cs="Arial" w:eastAsia="Arial" w:hAnsi="Arial"/>
                <w:sz w:val="20"/>
                <w:szCs w:val="20"/>
                <w:color w:val="auto"/>
              </w:rPr>
              <w:t>434,510</w:t>
            </w:r>
          </w:p>
        </w:tc>
        <w:tc>
          <w:tcPr>
            <w:tcW w:w="80" w:type="dxa"/>
            <w:vAlign w:val="bottom"/>
            <w:shd w:val="clear" w:color="auto" w:fill="D2EDF0"/>
          </w:tcPr>
          <w:p>
            <w:pPr>
              <w:spacing w:after="0"/>
              <w:rPr>
                <w:sz w:val="18"/>
                <w:szCs w:val="18"/>
                <w:color w:val="auto"/>
              </w:rPr>
            </w:pPr>
          </w:p>
        </w:tc>
        <w:tc>
          <w:tcPr>
            <w:tcW w:w="180" w:type="dxa"/>
            <w:vAlign w:val="bottom"/>
            <w:shd w:val="clear" w:color="auto" w:fill="D2EDF0"/>
          </w:tcPr>
          <w:p>
            <w:pPr>
              <w:spacing w:after="0"/>
              <w:rPr>
                <w:sz w:val="18"/>
                <w:szCs w:val="18"/>
                <w:color w:val="auto"/>
              </w:rPr>
            </w:pPr>
          </w:p>
        </w:tc>
        <w:tc>
          <w:tcPr>
            <w:tcW w:w="88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363,127</w:t>
            </w:r>
          </w:p>
        </w:tc>
        <w:tc>
          <w:tcPr>
            <w:tcW w:w="1140" w:type="dxa"/>
            <w:vAlign w:val="bottom"/>
            <w:gridSpan w:val="2"/>
            <w:vMerge w:val="restart"/>
            <w:shd w:val="clear" w:color="auto" w:fill="D2EDF0"/>
          </w:tcPr>
          <w:p>
            <w:pPr>
              <w:jc w:val="right"/>
              <w:spacing w:after="0"/>
              <w:rPr>
                <w:sz w:val="20"/>
                <w:szCs w:val="20"/>
                <w:color w:val="auto"/>
              </w:rPr>
            </w:pPr>
            <w:r>
              <w:rPr>
                <w:rFonts w:ascii="Arial" w:cs="Arial" w:eastAsia="Arial" w:hAnsi="Arial"/>
                <w:sz w:val="20"/>
                <w:szCs w:val="20"/>
                <w:color w:val="auto"/>
              </w:rPr>
              <w:t>289,903</w:t>
            </w:r>
          </w:p>
        </w:tc>
        <w:tc>
          <w:tcPr>
            <w:tcW w:w="0" w:type="dxa"/>
            <w:vAlign w:val="bottom"/>
          </w:tcPr>
          <w:p>
            <w:pPr>
              <w:spacing w:after="0"/>
              <w:rPr>
                <w:sz w:val="1"/>
                <w:szCs w:val="1"/>
                <w:color w:val="auto"/>
              </w:rPr>
            </w:pPr>
          </w:p>
        </w:tc>
      </w:tr>
      <w:tr>
        <w:trPr>
          <w:trHeight w:val="272"/>
        </w:trPr>
        <w:tc>
          <w:tcPr>
            <w:tcW w:w="3380" w:type="dxa"/>
            <w:vAlign w:val="bottom"/>
            <w:shd w:val="clear" w:color="auto" w:fill="D2EDF0"/>
          </w:tcPr>
          <w:p>
            <w:pPr>
              <w:ind w:left="240"/>
              <w:spacing w:after="0"/>
              <w:rPr>
                <w:sz w:val="20"/>
                <w:szCs w:val="20"/>
                <w:color w:val="auto"/>
              </w:rPr>
            </w:pPr>
            <w:r>
              <w:rPr>
                <w:rFonts w:ascii="Arial" w:cs="Arial" w:eastAsia="Arial" w:hAnsi="Arial"/>
                <w:sz w:val="20"/>
                <w:szCs w:val="20"/>
                <w:color w:val="auto"/>
              </w:rPr>
              <w:t>current</w:t>
            </w:r>
          </w:p>
        </w:tc>
        <w:tc>
          <w:tcPr>
            <w:tcW w:w="1060" w:type="dxa"/>
            <w:vAlign w:val="bottom"/>
            <w:vMerge w:val="continue"/>
            <w:shd w:val="clear" w:color="auto" w:fill="D2EDF0"/>
          </w:tcPr>
          <w:p>
            <w:pPr>
              <w:spacing w:after="0"/>
              <w:rPr>
                <w:sz w:val="23"/>
                <w:szCs w:val="23"/>
                <w:color w:val="auto"/>
              </w:rPr>
            </w:pPr>
          </w:p>
        </w:tc>
        <w:tc>
          <w:tcPr>
            <w:tcW w:w="1140" w:type="dxa"/>
            <w:vAlign w:val="bottom"/>
            <w:gridSpan w:val="2"/>
            <w:vMerge w:val="continue"/>
            <w:shd w:val="clear" w:color="auto" w:fill="D2EDF0"/>
          </w:tcPr>
          <w:p>
            <w:pPr>
              <w:spacing w:after="0"/>
              <w:rPr>
                <w:sz w:val="23"/>
                <w:szCs w:val="23"/>
                <w:color w:val="auto"/>
              </w:rPr>
            </w:pPr>
          </w:p>
        </w:tc>
        <w:tc>
          <w:tcPr>
            <w:tcW w:w="1140" w:type="dxa"/>
            <w:vAlign w:val="bottom"/>
            <w:gridSpan w:val="2"/>
            <w:vMerge w:val="continue"/>
            <w:shd w:val="clear" w:color="auto" w:fill="D2EDF0"/>
          </w:tcPr>
          <w:p>
            <w:pPr>
              <w:spacing w:after="0"/>
              <w:rPr>
                <w:sz w:val="23"/>
                <w:szCs w:val="23"/>
                <w:color w:val="auto"/>
              </w:rPr>
            </w:pPr>
          </w:p>
        </w:tc>
        <w:tc>
          <w:tcPr>
            <w:tcW w:w="80" w:type="dxa"/>
            <w:vAlign w:val="bottom"/>
            <w:shd w:val="clear" w:color="auto" w:fill="D2EDF0"/>
          </w:tcPr>
          <w:p>
            <w:pPr>
              <w:spacing w:after="0"/>
              <w:rPr>
                <w:sz w:val="23"/>
                <w:szCs w:val="23"/>
                <w:color w:val="auto"/>
              </w:rPr>
            </w:pPr>
          </w:p>
        </w:tc>
        <w:tc>
          <w:tcPr>
            <w:tcW w:w="180" w:type="dxa"/>
            <w:vAlign w:val="bottom"/>
            <w:shd w:val="clear" w:color="auto" w:fill="D2EDF0"/>
          </w:tcPr>
          <w:p>
            <w:pPr>
              <w:spacing w:after="0"/>
              <w:rPr>
                <w:sz w:val="23"/>
                <w:szCs w:val="23"/>
                <w:color w:val="auto"/>
              </w:rPr>
            </w:pPr>
          </w:p>
        </w:tc>
        <w:tc>
          <w:tcPr>
            <w:tcW w:w="880" w:type="dxa"/>
            <w:vAlign w:val="bottom"/>
            <w:vMerge w:val="continue"/>
            <w:shd w:val="clear" w:color="auto" w:fill="D2EDF0"/>
          </w:tcPr>
          <w:p>
            <w:pPr>
              <w:spacing w:after="0"/>
              <w:rPr>
                <w:sz w:val="23"/>
                <w:szCs w:val="23"/>
                <w:color w:val="auto"/>
              </w:rPr>
            </w:pPr>
          </w:p>
        </w:tc>
        <w:tc>
          <w:tcPr>
            <w:tcW w:w="1140" w:type="dxa"/>
            <w:vAlign w:val="bottom"/>
            <w:gridSpan w:val="2"/>
            <w:vMerge w:val="continue"/>
            <w:shd w:val="clear" w:color="auto" w:fill="D2EDF0"/>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3380" w:type="dxa"/>
            <w:vAlign w:val="bottom"/>
          </w:tcPr>
          <w:p>
            <w:pPr>
              <w:ind w:left="60"/>
              <w:spacing w:after="0" w:line="208" w:lineRule="exact"/>
              <w:rPr>
                <w:sz w:val="20"/>
                <w:szCs w:val="20"/>
                <w:color w:val="auto"/>
              </w:rPr>
            </w:pPr>
            <w:r>
              <w:rPr>
                <w:rFonts w:ascii="Arial" w:cs="Arial" w:eastAsia="Arial" w:hAnsi="Arial"/>
                <w:sz w:val="20"/>
                <w:szCs w:val="20"/>
                <w:color w:val="auto"/>
              </w:rPr>
              <w:t>Term loan, net of issuance costs (net</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361,970</w:t>
            </w:r>
          </w:p>
        </w:tc>
        <w:tc>
          <w:tcPr>
            <w:tcW w:w="1140" w:type="dxa"/>
            <w:vAlign w:val="bottom"/>
            <w:gridSpan w:val="2"/>
            <w:vMerge w:val="restart"/>
          </w:tcPr>
          <w:p>
            <w:pPr>
              <w:jc w:val="right"/>
              <w:spacing w:after="0"/>
              <w:rPr>
                <w:sz w:val="20"/>
                <w:szCs w:val="20"/>
                <w:color w:val="auto"/>
              </w:rPr>
            </w:pPr>
            <w:r>
              <w:rPr>
                <w:rFonts w:ascii="Arial" w:cs="Arial" w:eastAsia="Arial" w:hAnsi="Arial"/>
                <w:sz w:val="20"/>
                <w:szCs w:val="20"/>
                <w:color w:val="auto"/>
              </w:rPr>
              <w:t>364,728</w:t>
            </w:r>
          </w:p>
        </w:tc>
        <w:tc>
          <w:tcPr>
            <w:tcW w:w="80" w:type="dxa"/>
            <w:vAlign w:val="bottom"/>
          </w:tcPr>
          <w:p>
            <w:pPr>
              <w:spacing w:after="0"/>
              <w:rPr>
                <w:sz w:val="18"/>
                <w:szCs w:val="18"/>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9"/>
        </w:trPr>
        <w:tc>
          <w:tcPr>
            <w:tcW w:w="3380" w:type="dxa"/>
            <w:vAlign w:val="bottom"/>
          </w:tcPr>
          <w:p>
            <w:pPr>
              <w:ind w:left="60"/>
              <w:spacing w:after="0"/>
              <w:rPr>
                <w:sz w:val="20"/>
                <w:szCs w:val="20"/>
                <w:color w:val="auto"/>
              </w:rPr>
            </w:pPr>
            <w:r>
              <w:rPr>
                <w:rFonts w:ascii="Arial" w:cs="Arial" w:eastAsia="Arial" w:hAnsi="Arial"/>
                <w:sz w:val="20"/>
                <w:szCs w:val="20"/>
                <w:color w:val="auto"/>
              </w:rPr>
              <w:t>of current portion)</w:t>
            </w:r>
          </w:p>
        </w:tc>
        <w:tc>
          <w:tcPr>
            <w:tcW w:w="1060" w:type="dxa"/>
            <w:vAlign w:val="bottom"/>
            <w:vMerge w:val="continue"/>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3380" w:type="dxa"/>
            <w:vAlign w:val="bottom"/>
            <w:shd w:val="clear" w:color="auto" w:fill="D2EDF0"/>
          </w:tcPr>
          <w:p>
            <w:pPr>
              <w:ind w:left="60"/>
              <w:spacing w:after="0"/>
              <w:rPr>
                <w:sz w:val="20"/>
                <w:szCs w:val="20"/>
                <w:color w:val="auto"/>
              </w:rPr>
            </w:pPr>
            <w:r>
              <w:rPr>
                <w:rFonts w:ascii="Arial" w:cs="Arial" w:eastAsia="Arial" w:hAnsi="Arial"/>
                <w:sz w:val="20"/>
                <w:szCs w:val="20"/>
                <w:color w:val="auto"/>
              </w:rPr>
              <w:t>Accumulated deficit</w:t>
            </w:r>
          </w:p>
        </w:tc>
        <w:tc>
          <w:tcPr>
            <w:tcW w:w="10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(746,751)</w:t>
            </w:r>
          </w:p>
        </w:tc>
        <w:tc>
          <w:tcPr>
            <w:tcW w:w="114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(654,529)</w:t>
            </w:r>
          </w:p>
        </w:tc>
        <w:tc>
          <w:tcPr>
            <w:tcW w:w="114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(607,852)</w:t>
            </w:r>
          </w:p>
        </w:tc>
        <w:tc>
          <w:tcPr>
            <w:tcW w:w="80" w:type="dxa"/>
            <w:vAlign w:val="bottom"/>
            <w:shd w:val="clear" w:color="auto" w:fill="D2EDF0"/>
          </w:tcPr>
          <w:p>
            <w:pPr>
              <w:spacing w:after="0"/>
              <w:rPr>
                <w:sz w:val="24"/>
                <w:szCs w:val="24"/>
                <w:color w:val="auto"/>
              </w:rPr>
            </w:pPr>
          </w:p>
        </w:tc>
        <w:tc>
          <w:tcPr>
            <w:tcW w:w="18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w w:val="98"/>
              </w:rPr>
              <w:t>(565,121)</w:t>
            </w:r>
          </w:p>
        </w:tc>
        <w:tc>
          <w:tcPr>
            <w:tcW w:w="114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(466,108)</w:t>
            </w:r>
          </w:p>
        </w:tc>
        <w:tc>
          <w:tcPr>
            <w:tcW w:w="0" w:type="dxa"/>
            <w:vAlign w:val="bottom"/>
          </w:tcPr>
          <w:p>
            <w:pPr>
              <w:spacing w:after="0"/>
              <w:rPr>
                <w:sz w:val="1"/>
                <w:szCs w:val="1"/>
                <w:color w:val="auto"/>
              </w:rPr>
            </w:pPr>
          </w:p>
        </w:tc>
      </w:tr>
      <w:tr>
        <w:trPr>
          <w:trHeight w:val="292"/>
        </w:trPr>
        <w:tc>
          <w:tcPr>
            <w:tcW w:w="3380" w:type="dxa"/>
            <w:vAlign w:val="bottom"/>
          </w:tcPr>
          <w:p>
            <w:pPr>
              <w:ind w:left="60"/>
              <w:spacing w:after="0"/>
              <w:rPr>
                <w:sz w:val="20"/>
                <w:szCs w:val="20"/>
                <w:color w:val="auto"/>
              </w:rPr>
            </w:pPr>
            <w:r>
              <w:rPr>
                <w:rFonts w:ascii="Arial" w:cs="Arial" w:eastAsia="Arial" w:hAnsi="Arial"/>
                <w:sz w:val="20"/>
                <w:szCs w:val="20"/>
                <w:color w:val="auto"/>
              </w:rPr>
              <w:t>Total stockholders' equity</w:t>
            </w:r>
          </w:p>
        </w:tc>
        <w:tc>
          <w:tcPr>
            <w:tcW w:w="1060" w:type="dxa"/>
            <w:vAlign w:val="bottom"/>
          </w:tcPr>
          <w:p>
            <w:pPr>
              <w:jc w:val="right"/>
              <w:spacing w:after="0"/>
              <w:rPr>
                <w:sz w:val="20"/>
                <w:szCs w:val="20"/>
                <w:color w:val="auto"/>
              </w:rPr>
            </w:pPr>
            <w:r>
              <w:rPr>
                <w:rFonts w:ascii="Arial" w:cs="Arial" w:eastAsia="Arial" w:hAnsi="Arial"/>
                <w:sz w:val="20"/>
                <w:szCs w:val="20"/>
                <w:color w:val="auto"/>
              </w:rPr>
              <w:t>270,866</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215,313</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150,665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98,905</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121,763</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0"/>
        <w:spacing w:after="0"/>
        <w:rPr>
          <w:sz w:val="20"/>
          <w:szCs w:val="20"/>
          <w:color w:val="auto"/>
        </w:rPr>
      </w:pPr>
      <w:r>
        <w:rPr>
          <w:rFonts w:ascii="Arial" w:cs="Arial" w:eastAsia="Arial" w:hAnsi="Arial"/>
          <w:sz w:val="12"/>
          <w:szCs w:val="12"/>
          <w:color w:val="auto"/>
        </w:rPr>
        <w:t>_______________</w:t>
      </w:r>
    </w:p>
    <w:p>
      <w:pPr>
        <w:ind w:left="20" w:right="100"/>
        <w:spacing w:after="0" w:line="268" w:lineRule="auto"/>
        <w:tabs>
          <w:tab w:leader="none" w:pos="74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We define working capital as total current assets less total current liabilities. See our consolidated financial statements in this Annual Report on Form 10-K for further details regarding our current assets and current liabilities.</w:t>
      </w:r>
    </w:p>
    <w:p>
      <w:pPr>
        <w:sectPr>
          <w:pgSz w:w="11880" w:h="15480" w:orient="portrait"/>
          <w:cols w:equalWidth="0" w:num="1">
            <w:col w:w="9040"/>
          </w:cols>
          <w:pgMar w:left="1420" w:top="1210"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880" w:h="15480" w:orient="portrait"/>
          <w:cols w:equalWidth="0" w:num="1">
            <w:col w:w="9040"/>
          </w:cols>
          <w:pgMar w:left="1420" w:top="1210" w:right="1420" w:bottom="0" w:gutter="0" w:footer="0" w:header="0"/>
          <w:type w:val="continuous"/>
        </w:sectPr>
      </w:pPr>
    </w:p>
    <w:bookmarkStart w:id="144" w:name="page145"/>
    <w:bookmarkEnd w:id="144"/>
    <w:p>
      <w:pPr>
        <w:ind w:right="180"/>
        <w:spacing w:after="0" w:line="298" w:lineRule="auto"/>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151" w:lineRule="exact"/>
        <w:rPr>
          <w:sz w:val="20"/>
          <w:szCs w:val="20"/>
          <w:color w:val="auto"/>
        </w:rPr>
      </w:pPr>
    </w:p>
    <w:p>
      <w:pPr>
        <w:ind w:right="20" w:firstLine="360"/>
        <w:spacing w:after="0" w:line="226" w:lineRule="auto"/>
        <w:rPr>
          <w:sz w:val="20"/>
          <w:szCs w:val="20"/>
          <w:color w:val="auto"/>
        </w:rPr>
      </w:pPr>
      <w:r>
        <w:rPr>
          <w:rFonts w:ascii="Arial" w:cs="Arial" w:eastAsia="Arial" w:hAnsi="Arial"/>
          <w:sz w:val="20"/>
          <w:szCs w:val="20"/>
          <w:i w:val="1"/>
          <w:iCs w:val="1"/>
          <w:color w:val="auto"/>
        </w:rPr>
        <w:t>The following discussion and analysis of our financial condition and results of operations should be read in conjunction with our consolidated financial statements and related notes included elsewhere in this Annual Report on Form 10-K, or this Form 10-K. This Form 10-K contains forward-looking statements within the meaning of Section 27A of the Securities Act of 1933, as amended, or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 Item 1A of this Form 10-K and in our other filings with the SEC.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Overview</w:t>
      </w:r>
    </w:p>
    <w:p>
      <w:pPr>
        <w:spacing w:after="0" w:line="251" w:lineRule="exact"/>
        <w:rPr>
          <w:sz w:val="20"/>
          <w:szCs w:val="20"/>
          <w:color w:val="auto"/>
        </w:rPr>
      </w:pPr>
    </w:p>
    <w:p>
      <w:pPr>
        <w:ind w:right="220" w:firstLine="360"/>
        <w:spacing w:after="0" w:line="268" w:lineRule="auto"/>
        <w:rPr>
          <w:sz w:val="20"/>
          <w:szCs w:val="20"/>
          <w:color w:val="auto"/>
        </w:rPr>
      </w:pPr>
      <w:r>
        <w:rPr>
          <w:rFonts w:ascii="Arial" w:cs="Arial" w:eastAsia="Arial" w:hAnsi="Arial"/>
          <w:sz w:val="20"/>
          <w:szCs w:val="20"/>
          <w:color w:val="auto"/>
        </w:rPr>
        <w:t>We are a leading provider of exposure management solutions. Exposure management is an effective discipline for managing, measuring and comparing cybersecurity risk in today's complex IT environments.</w:t>
      </w:r>
    </w:p>
    <w:p>
      <w:pPr>
        <w:spacing w:after="0" w:line="190" w:lineRule="exact"/>
        <w:rPr>
          <w:sz w:val="20"/>
          <w:szCs w:val="20"/>
          <w:color w:val="auto"/>
        </w:rPr>
      </w:pPr>
    </w:p>
    <w:p>
      <w:pPr>
        <w:ind w:right="40" w:firstLine="360"/>
        <w:spacing w:after="0" w:line="257" w:lineRule="auto"/>
        <w:rPr>
          <w:sz w:val="20"/>
          <w:szCs w:val="20"/>
          <w:color w:val="auto"/>
        </w:rPr>
      </w:pPr>
      <w:r>
        <w:rPr>
          <w:rFonts w:ascii="Arial" w:cs="Arial" w:eastAsia="Arial" w:hAnsi="Arial"/>
          <w:sz w:val="20"/>
          <w:szCs w:val="20"/>
          <w:color w:val="auto"/>
        </w:rPr>
        <w:t>In October 2022, we launched our Tenable One Exposure Management Platform (Tenable One), which unifies a variety of data sources into a single exposure view to help organizations gain visibility, prioritize efforts and communicate cyber risks. Building on our existing products, Tenable One is designed to take advantage of the integrations that already exist with our partners and form the foundation of an exposure management program, alongside the other tools, such as endpoint detection and response (EDR) and firewalls, and required business processes.</w:t>
      </w:r>
    </w:p>
    <w:p>
      <w:pPr>
        <w:spacing w:after="0" w:line="202" w:lineRule="exact"/>
        <w:rPr>
          <w:sz w:val="20"/>
          <w:szCs w:val="20"/>
          <w:color w:val="auto"/>
        </w:rPr>
      </w:pPr>
    </w:p>
    <w:p>
      <w:pPr>
        <w:ind w:firstLine="360"/>
        <w:spacing w:after="0" w:line="257" w:lineRule="auto"/>
        <w:rPr>
          <w:sz w:val="20"/>
          <w:szCs w:val="20"/>
          <w:color w:val="auto"/>
        </w:rPr>
      </w:pPr>
      <w:r>
        <w:rPr>
          <w:rFonts w:ascii="Arial" w:cs="Arial" w:eastAsia="Arial" w:hAnsi="Arial"/>
          <w:sz w:val="20"/>
          <w:szCs w:val="20"/>
          <w:color w:val="auto"/>
        </w:rPr>
        <w:t>With Tenable One, organizations can translate technical data about assets, vulnerabilities and threats into clear business insights and actionable intelligence for security executives and practitioners. The platform combines the broadest vulnerability coverage in the industry, spanning IT assets, cloud resources, containers, web apps and identity systems. Tenable One builds on the speed and breadth of vulnerability coverage from Tenable Research and adds aggregated exposure view analytics, guidance on mitigating attack pathways and a centralized asset inventory.</w:t>
      </w:r>
    </w:p>
    <w:p>
      <w:pPr>
        <w:spacing w:after="0" w:line="202" w:lineRule="exact"/>
        <w:rPr>
          <w:sz w:val="20"/>
          <w:szCs w:val="20"/>
          <w:color w:val="auto"/>
        </w:rPr>
      </w:pPr>
    </w:p>
    <w:p>
      <w:pPr>
        <w:ind w:right="340" w:firstLine="360"/>
        <w:spacing w:after="0" w:line="268" w:lineRule="auto"/>
        <w:rPr>
          <w:sz w:val="20"/>
          <w:szCs w:val="20"/>
          <w:color w:val="auto"/>
        </w:rPr>
      </w:pPr>
      <w:r>
        <w:rPr>
          <w:rFonts w:ascii="Arial" w:cs="Arial" w:eastAsia="Arial" w:hAnsi="Arial"/>
          <w:sz w:val="20"/>
          <w:szCs w:val="20"/>
          <w:color w:val="auto"/>
        </w:rPr>
        <w:t>Tenable One incorporates Tenable.io, Tenable.io Web Application Scanning, Tenable Lumin Exposure View, Tenable.cs, Tenable.ad and Tenable.asm. All of these products are also offered as standalone solutions, alongside Tenable.sc, Tenable.ot and Nessus.</w:t>
      </w:r>
    </w:p>
    <w:p>
      <w:pPr>
        <w:spacing w:after="0" w:line="190" w:lineRule="exact"/>
        <w:rPr>
          <w:sz w:val="20"/>
          <w:szCs w:val="20"/>
          <w:color w:val="auto"/>
        </w:rPr>
      </w:pPr>
    </w:p>
    <w:p>
      <w:pPr>
        <w:ind w:right="200" w:firstLine="360"/>
        <w:spacing w:after="0" w:line="262" w:lineRule="auto"/>
        <w:rPr>
          <w:sz w:val="20"/>
          <w:szCs w:val="20"/>
          <w:color w:val="auto"/>
        </w:rPr>
      </w:pPr>
      <w:r>
        <w:rPr>
          <w:rFonts w:ascii="Arial" w:cs="Arial" w:eastAsia="Arial" w:hAnsi="Arial"/>
          <w:sz w:val="20"/>
          <w:szCs w:val="20"/>
          <w:color w:val="auto"/>
        </w:rPr>
        <w:t>Our platform offerings are primarily sold on a subscription basis with a one-year term. Our subscription terms are generally not longer than three years. These offerings are typically prepaid in advance. To a lesser extent, we recognize revenue ratably from perpetual licenses and from the related ongoing maintenance.</w:t>
      </w:r>
    </w:p>
    <w:p>
      <w:pPr>
        <w:spacing w:after="0" w:line="196" w:lineRule="exact"/>
        <w:rPr>
          <w:sz w:val="20"/>
          <w:szCs w:val="20"/>
          <w:color w:val="auto"/>
        </w:rPr>
      </w:pPr>
    </w:p>
    <w:p>
      <w:pPr>
        <w:ind w:right="20" w:firstLine="360"/>
        <w:spacing w:after="0" w:line="289" w:lineRule="auto"/>
        <w:rPr>
          <w:sz w:val="20"/>
          <w:szCs w:val="20"/>
          <w:color w:val="auto"/>
        </w:rPr>
      </w:pPr>
      <w:r>
        <w:rPr>
          <w:rFonts w:ascii="Arial" w:cs="Arial" w:eastAsia="Arial" w:hAnsi="Arial"/>
          <w:sz w:val="19"/>
          <w:szCs w:val="19"/>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enterprise platform offerings to</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880" w:h="15480" w:orient="portrait"/>
          <w:cols w:equalWidth="0" w:num="1">
            <w:col w:w="9000"/>
          </w:cols>
          <w:pgMar w:left="1440" w:top="1203" w:right="1440" w:bottom="0" w:gutter="0" w:footer="0" w:header="0"/>
          <w:type w:val="continuous"/>
        </w:sectPr>
      </w:pPr>
    </w:p>
    <w:bookmarkStart w:id="145" w:name="page146"/>
    <w:bookmarkEnd w:id="145"/>
    <w:p>
      <w:pPr>
        <w:ind w:right="840"/>
        <w:spacing w:after="0" w:line="287" w:lineRule="auto"/>
        <w:rPr>
          <w:sz w:val="20"/>
          <w:szCs w:val="20"/>
          <w:color w:val="auto"/>
        </w:rPr>
      </w:pPr>
      <w:r>
        <w:rPr>
          <w:rFonts w:ascii="Arial" w:cs="Arial" w:eastAsia="Arial" w:hAnsi="Arial"/>
          <w:sz w:val="20"/>
          <w:szCs w:val="20"/>
          <w:color w:val="auto"/>
        </w:rPr>
        <w:t>our distributors, which in turn sell to our resellers, which then sell to end users, which we call customers.</w:t>
      </w:r>
    </w:p>
    <w:p>
      <w:pPr>
        <w:spacing w:after="0" w:line="170" w:lineRule="exact"/>
        <w:rPr>
          <w:sz w:val="20"/>
          <w:szCs w:val="20"/>
          <w:color w:val="auto"/>
        </w:rPr>
      </w:pPr>
    </w:p>
    <w:p>
      <w:pPr>
        <w:ind w:right="40" w:firstLine="360"/>
        <w:spacing w:after="0" w:line="255" w:lineRule="auto"/>
        <w:rPr>
          <w:sz w:val="20"/>
          <w:szCs w:val="20"/>
          <w:color w:val="auto"/>
        </w:rPr>
      </w:pPr>
      <w:r>
        <w:rPr>
          <w:rFonts w:ascii="Arial" w:cs="Arial" w:eastAsia="Arial" w:hAnsi="Arial"/>
          <w:sz w:val="20"/>
          <w:szCs w:val="20"/>
          <w:color w:val="auto"/>
        </w:rPr>
        <w:t>Revenue in 2022, 2021 and 2020 was $683.2 million, $541.1 million and $440.2 million, representing year-over-year growth of 26% and 23%, respectively. Our recurring revenue, which includes revenue from subscription arrangements for software (both revenue recognized ratably over the subscription term and upon delivery) and cloud-based solutions and maintenance associated with perpetual licenses, represented 95% of revenue in 2022 and 2021 and 94% of revenue in 2020. Our net loss in 2022, 2021 and 2020 was $92.2 million, $46.7 million and $42.7 million, respectively, as we continue to invest in our business and market opportunity. Our cash flows from operating activities were $131.2 million, $96.8 million and $64.2 million in 2022, 2021 and 2020, respectively.</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Financial Highlights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Below are our key financial results: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r>
      <w:tr>
        <w:trPr>
          <w:trHeight w:val="265"/>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 except per share data)</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1"/>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8"/>
                <w:szCs w:val="18"/>
                <w:b w:val="1"/>
                <w:bCs w:val="1"/>
                <w:color w:val="auto"/>
                <w:w w:val="99"/>
              </w:rPr>
              <w:t>2020</w:t>
            </w:r>
          </w:p>
        </w:tc>
      </w:tr>
      <w:tr>
        <w:trPr>
          <w:trHeight w:val="29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Revenue</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683,191</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541,130</w:t>
            </w:r>
          </w:p>
        </w:tc>
        <w:tc>
          <w:tcPr>
            <w:tcW w:w="500" w:type="dxa"/>
            <w:vAlign w:val="bottom"/>
            <w:gridSpan w:val="2"/>
            <w:shd w:val="clear" w:color="auto" w:fill="D2EDF0"/>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440,221</w:t>
            </w:r>
          </w:p>
        </w:tc>
      </w:tr>
      <w:tr>
        <w:trPr>
          <w:trHeight w:val="296"/>
        </w:trPr>
        <w:tc>
          <w:tcPr>
            <w:tcW w:w="4940" w:type="dxa"/>
            <w:vAlign w:val="bottom"/>
          </w:tcPr>
          <w:p>
            <w:pPr>
              <w:ind w:left="60"/>
              <w:spacing w:after="0"/>
              <w:rPr>
                <w:sz w:val="20"/>
                <w:szCs w:val="20"/>
                <w:color w:val="auto"/>
              </w:rPr>
            </w:pPr>
            <w:r>
              <w:rPr>
                <w:rFonts w:ascii="Arial" w:cs="Arial" w:eastAsia="Arial" w:hAnsi="Arial"/>
                <w:sz w:val="20"/>
                <w:szCs w:val="20"/>
                <w:color w:val="auto"/>
              </w:rPr>
              <w:t>Loss from operations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(67,815)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(41,768)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(36,433)</w:t>
            </w:r>
          </w:p>
        </w:tc>
      </w:tr>
      <w:tr>
        <w:trPr>
          <w:trHeight w:val="304"/>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Net loss</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(92,222)</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(46,677)</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(42,731)</w:t>
            </w:r>
          </w:p>
        </w:tc>
      </w:tr>
      <w:tr>
        <w:trPr>
          <w:trHeight w:val="296"/>
        </w:trPr>
        <w:tc>
          <w:tcPr>
            <w:tcW w:w="4940" w:type="dxa"/>
            <w:vAlign w:val="bottom"/>
          </w:tcPr>
          <w:p>
            <w:pPr>
              <w:ind w:left="60"/>
              <w:spacing w:after="0"/>
              <w:rPr>
                <w:sz w:val="20"/>
                <w:szCs w:val="20"/>
                <w:color w:val="auto"/>
              </w:rPr>
            </w:pPr>
            <w:r>
              <w:rPr>
                <w:rFonts w:ascii="Arial" w:cs="Arial" w:eastAsia="Arial" w:hAnsi="Arial"/>
                <w:sz w:val="20"/>
                <w:szCs w:val="20"/>
                <w:color w:val="auto"/>
              </w:rPr>
              <w:t>Net loss per share, basic and diluted</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(0.83)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(0.44)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(0.42)</w:t>
            </w:r>
          </w:p>
        </w:tc>
      </w:tr>
      <w:tr>
        <w:trPr>
          <w:trHeight w:val="304"/>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Net cash provided by operating activities</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131,151</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96,765</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64,232</w:t>
            </w:r>
          </w:p>
        </w:tc>
      </w:tr>
      <w:tr>
        <w:trPr>
          <w:trHeight w:val="296"/>
        </w:trPr>
        <w:tc>
          <w:tcPr>
            <w:tcW w:w="4940" w:type="dxa"/>
            <w:vAlign w:val="bottom"/>
          </w:tcPr>
          <w:p>
            <w:pPr>
              <w:ind w:left="60"/>
              <w:spacing w:after="0"/>
              <w:rPr>
                <w:sz w:val="20"/>
                <w:szCs w:val="20"/>
                <w:color w:val="auto"/>
              </w:rPr>
            </w:pPr>
            <w:r>
              <w:rPr>
                <w:rFonts w:ascii="Arial" w:cs="Arial" w:eastAsia="Arial" w:hAnsi="Arial"/>
                <w:sz w:val="20"/>
                <w:szCs w:val="20"/>
                <w:color w:val="auto"/>
              </w:rPr>
              <w:t>Purchases of property and equipment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(9,359)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(3,887)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(18,882)</w:t>
            </w:r>
          </w:p>
        </w:tc>
      </w:tr>
      <w:tr>
        <w:trPr>
          <w:trHeight w:val="304"/>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Capitalized software development costs</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(9,789)</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(2,674)</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(1,395)</w:t>
            </w:r>
          </w:p>
        </w:tc>
      </w:tr>
    </w:tbl>
    <w:p>
      <w:pPr>
        <w:spacing w:after="0" w:line="284"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Key Operating and Financial Metrics</w:t>
      </w:r>
    </w:p>
    <w:p>
      <w:pPr>
        <w:spacing w:after="0" w:line="251" w:lineRule="exact"/>
        <w:rPr>
          <w:sz w:val="20"/>
          <w:szCs w:val="20"/>
          <w:color w:val="auto"/>
        </w:rPr>
      </w:pPr>
    </w:p>
    <w:p>
      <w:pPr>
        <w:ind w:right="240" w:firstLine="360"/>
        <w:spacing w:after="0" w:line="262" w:lineRule="auto"/>
        <w:rPr>
          <w:sz w:val="20"/>
          <w:szCs w:val="20"/>
          <w:color w:val="auto"/>
        </w:rPr>
      </w:pPr>
      <w:r>
        <w:rPr>
          <w:rFonts w:ascii="Arial" w:cs="Arial" w:eastAsia="Arial" w:hAnsi="Arial"/>
          <w:sz w:val="20"/>
          <w:szCs w:val="20"/>
          <w:color w:val="auto"/>
        </w:rPr>
        <w:t>To supplement our consolidated financial statements, which are prepared and presented in accordance with GAAP, we use and monitor the following operating and financial metrics, which include non-GAAP financial measures, to understand and evaluate our core operating and financial performance.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Calculated Current Billings</w:t>
      </w:r>
    </w:p>
    <w:p>
      <w:pPr>
        <w:spacing w:after="0" w:line="249" w:lineRule="exact"/>
        <w:rPr>
          <w:sz w:val="20"/>
          <w:szCs w:val="20"/>
          <w:color w:val="auto"/>
        </w:rPr>
      </w:pPr>
    </w:p>
    <w:p>
      <w:pPr>
        <w:ind w:right="60" w:firstLine="360"/>
        <w:spacing w:after="0" w:line="259" w:lineRule="auto"/>
        <w:rPr>
          <w:sz w:val="20"/>
          <w:szCs w:val="20"/>
          <w:color w:val="auto"/>
        </w:rPr>
      </w:pPr>
      <w:r>
        <w:rPr>
          <w:rFonts w:ascii="Arial" w:cs="Arial" w:eastAsia="Arial" w:hAnsi="Arial"/>
          <w:sz w:val="20"/>
          <w:szCs w:val="20"/>
          <w:color w:val="auto"/>
        </w:rPr>
        <w:t>We use the non-GAAP measure of calculated current billings, which we believe is a key metric to measure our periodic performance. Given that most of our customers pay in advance, we typically recognize a majority of the related revenue ratably over time. We use calculated current billings to measure and monitor our ability to provide our business with the working capital generated by upfront payments from our customers.</w:t>
      </w:r>
    </w:p>
    <w:p>
      <w:pPr>
        <w:spacing w:after="0" w:line="199" w:lineRule="exact"/>
        <w:rPr>
          <w:sz w:val="20"/>
          <w:szCs w:val="20"/>
          <w:color w:val="auto"/>
        </w:rPr>
      </w:pPr>
    </w:p>
    <w:p>
      <w:pPr>
        <w:ind w:right="140" w:firstLine="360"/>
        <w:spacing w:after="0" w:line="257" w:lineRule="auto"/>
        <w:rPr>
          <w:sz w:val="20"/>
          <w:szCs w:val="20"/>
          <w:color w:val="auto"/>
        </w:rPr>
      </w:pPr>
      <w:r>
        <w:rPr>
          <w:rFonts w:ascii="Arial" w:cs="Arial" w:eastAsia="Arial" w:hAnsi="Arial"/>
          <w:sz w:val="20"/>
          <w:szCs w:val="20"/>
          <w:color w:val="auto"/>
        </w:rPr>
        <w:t>Calculated current billings consists of revenue recognized in a period plus the change in current deferred revenue in the corresponding period. We believe that calculated current billings, which excludes deferred revenue for periods beyond twelve months in a customer’s contractual term, more closely correlates with annual contract value. Variability in total billings, depending on the timing of large multi-year contracts and the preference for annual billing versus multi-year upfront billing, may distort growth in one period over another.</w:t>
      </w:r>
    </w:p>
    <w:p>
      <w:pPr>
        <w:spacing w:after="0" w:line="202" w:lineRule="exact"/>
        <w:rPr>
          <w:sz w:val="20"/>
          <w:szCs w:val="20"/>
          <w:color w:val="auto"/>
        </w:rPr>
      </w:pPr>
    </w:p>
    <w:p>
      <w:pPr>
        <w:ind w:right="80" w:firstLine="360"/>
        <w:spacing w:after="0" w:line="287" w:lineRule="auto"/>
        <w:rPr>
          <w:sz w:val="20"/>
          <w:szCs w:val="20"/>
          <w:color w:val="auto"/>
        </w:rPr>
      </w:pPr>
      <w:r>
        <w:rPr>
          <w:rFonts w:ascii="Arial" w:cs="Arial" w:eastAsia="Arial" w:hAnsi="Arial"/>
          <w:sz w:val="20"/>
          <w:szCs w:val="20"/>
          <w:color w:val="auto"/>
        </w:rPr>
        <w:t>Calculated current billings may vary from period-to-period for a number of reasons, and therefore has a number of limitations as a quarter-to-quarter or year-over-year comparative measure.</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880" w:h="15480" w:orient="portrait"/>
          <w:cols w:equalWidth="0" w:num="1">
            <w:col w:w="9000"/>
          </w:cols>
          <w:pgMar w:left="1440" w:top="1204" w:right="1440" w:bottom="0" w:gutter="0" w:footer="0" w:header="0"/>
          <w:type w:val="continuous"/>
        </w:sectPr>
      </w:pPr>
    </w:p>
    <w:bookmarkStart w:id="146" w:name="page147"/>
    <w:bookmarkEnd w:id="146"/>
    <w:p>
      <w:pPr>
        <w:spacing w:after="0" w:line="255" w:lineRule="auto"/>
        <w:rPr>
          <w:sz w:val="20"/>
          <w:szCs w:val="20"/>
          <w:color w:val="auto"/>
        </w:rPr>
      </w:pPr>
      <w:r>
        <w:rPr>
          <w:rFonts w:ascii="Arial" w:cs="Arial" w:eastAsia="Arial" w:hAnsi="Arial"/>
          <w:sz w:val="20"/>
          <w:szCs w:val="20"/>
          <w:color w:val="auto"/>
        </w:rPr>
        <w:t>Calculated current billings in any one period may be impacted by the timing and amount of new sales transactions, the timing and amount of renewal transactions, including early renewals, as well as the timing and amount of multi-year prepaid contracts, all of which could favorably or unfavorably impact quarter-to-quarter and year-over-year comparisons. For example, an increasing number of large sales transactions, for which the timing has and will continue to vary, may occur in quarters subsequent to or in advance of those that we anticipate. Additionally, our calculation of calculated current billings may be different from other companies that report similar financial measures. Because of these and other limitations, you should consider calculated current billings along with revenue and our other GAAP financial results.</w:t>
      </w:r>
    </w:p>
    <w:p>
      <w:pPr>
        <w:spacing w:after="0" w:line="201" w:lineRule="exact"/>
        <w:rPr>
          <w:sz w:val="20"/>
          <w:szCs w:val="20"/>
          <w:color w:val="auto"/>
        </w:rPr>
      </w:pPr>
    </w:p>
    <w:p>
      <w:pPr>
        <w:ind w:right="300" w:firstLine="360"/>
        <w:spacing w:after="0" w:line="287" w:lineRule="auto"/>
        <w:rPr>
          <w:sz w:val="20"/>
          <w:szCs w:val="20"/>
          <w:color w:val="auto"/>
        </w:rPr>
      </w:pPr>
      <w:r>
        <w:rPr>
          <w:rFonts w:ascii="Arial" w:cs="Arial" w:eastAsia="Arial" w:hAnsi="Arial"/>
          <w:sz w:val="20"/>
          <w:szCs w:val="20"/>
          <w:color w:val="auto"/>
        </w:rPr>
        <w:t>The following table presents a reconciliation of revenue, the most directly comparable financial measure calculated in accordance with GAAP, to calculated current billings: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r>
      <w:tr>
        <w:trPr>
          <w:trHeight w:val="280"/>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3"/>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2020</w:t>
            </w:r>
          </w:p>
        </w:tc>
      </w:tr>
      <w:tr>
        <w:trPr>
          <w:trHeight w:val="29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Revenue</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683,191</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541,130</w:t>
            </w:r>
          </w:p>
        </w:tc>
        <w:tc>
          <w:tcPr>
            <w:tcW w:w="480" w:type="dxa"/>
            <w:vAlign w:val="bottom"/>
            <w:gridSpan w:val="2"/>
            <w:shd w:val="clear" w:color="auto" w:fill="D2EDF0"/>
          </w:tcPr>
          <w:p>
            <w:pPr>
              <w:jc w:val="right"/>
              <w:ind w:right="240"/>
              <w:spacing w:after="0"/>
              <w:rPr>
                <w:sz w:val="20"/>
                <w:szCs w:val="20"/>
                <w:color w:val="auto"/>
              </w:rPr>
            </w:pPr>
            <w:r>
              <w:rPr>
                <w:rFonts w:ascii="Arial" w:cs="Arial" w:eastAsia="Arial" w:hAnsi="Arial"/>
                <w:sz w:val="20"/>
                <w:szCs w:val="20"/>
                <w:color w:val="auto"/>
              </w:rPr>
              <w:t>$</w:t>
            </w: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440,221</w:t>
            </w:r>
          </w:p>
        </w:tc>
      </w:tr>
      <w:tr>
        <w:trPr>
          <w:trHeight w:val="296"/>
        </w:trPr>
        <w:tc>
          <w:tcPr>
            <w:tcW w:w="4940" w:type="dxa"/>
            <w:vAlign w:val="bottom"/>
          </w:tcPr>
          <w:p>
            <w:pPr>
              <w:ind w:left="60"/>
              <w:spacing w:after="0"/>
              <w:rPr>
                <w:sz w:val="20"/>
                <w:szCs w:val="20"/>
                <w:color w:val="auto"/>
              </w:rPr>
            </w:pPr>
            <w:r>
              <w:rPr>
                <w:rFonts w:ascii="Arial" w:cs="Arial" w:eastAsia="Arial" w:hAnsi="Arial"/>
                <w:sz w:val="20"/>
                <w:szCs w:val="20"/>
                <w:color w:val="auto"/>
              </w:rPr>
              <w:t>Deferred revenue (current), end of period</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502,115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407,498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328,819</w:t>
            </w:r>
          </w:p>
        </w:tc>
      </w:tr>
      <w:tr>
        <w:trPr>
          <w:trHeight w:val="309"/>
        </w:trPr>
        <w:tc>
          <w:tcPr>
            <w:tcW w:w="494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20"/>
                <w:szCs w:val="20"/>
                <w:color w:val="auto"/>
              </w:rPr>
              <w:t>Deferred revenue (current), beginning of period</w:t>
            </w:r>
            <w:r>
              <w:rPr>
                <w:rFonts w:ascii="Arial" w:cs="Arial" w:eastAsia="Arial" w:hAnsi="Arial"/>
                <w:sz w:val="26"/>
                <w:szCs w:val="26"/>
                <w:color w:val="auto"/>
                <w:vertAlign w:val="superscript"/>
              </w:rPr>
              <w:t>(1)</w:t>
            </w: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(408,443)</w:t>
            </w:r>
          </w:p>
        </w:tc>
        <w:tc>
          <w:tcPr>
            <w:tcW w:w="80" w:type="dxa"/>
            <w:vAlign w:val="bottom"/>
            <w:tcBorders>
              <w:bottom w:val="single" w:sz="8" w:color="D2EDF0"/>
            </w:tcBorders>
            <w:shd w:val="clear" w:color="auto" w:fill="D2EDF0"/>
          </w:tcPr>
          <w:p>
            <w:pPr>
              <w:spacing w:after="0"/>
              <w:rPr>
                <w:sz w:val="24"/>
                <w:szCs w:val="24"/>
                <w:color w:val="auto"/>
              </w:rPr>
            </w:pP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(331,462)</w:t>
            </w:r>
          </w:p>
        </w:tc>
        <w:tc>
          <w:tcPr>
            <w:tcW w:w="80" w:type="dxa"/>
            <w:vAlign w:val="bottom"/>
            <w:tcBorders>
              <w:bottom w:val="single" w:sz="8" w:color="D2EDF0"/>
            </w:tcBorders>
            <w:shd w:val="clear" w:color="auto" w:fill="D2EDF0"/>
          </w:tcPr>
          <w:p>
            <w:pPr>
              <w:spacing w:after="0"/>
              <w:rPr>
                <w:sz w:val="24"/>
                <w:szCs w:val="24"/>
                <w:color w:val="auto"/>
              </w:rPr>
            </w:pPr>
          </w:p>
        </w:tc>
        <w:tc>
          <w:tcPr>
            <w:tcW w:w="400" w:type="dxa"/>
            <w:vAlign w:val="bottom"/>
            <w:tcBorders>
              <w:bottom w:val="single" w:sz="8" w:color="auto"/>
            </w:tcBorders>
            <w:shd w:val="clear" w:color="auto" w:fill="D2EDF0"/>
          </w:tcPr>
          <w:p>
            <w:pPr>
              <w:spacing w:after="0"/>
              <w:rPr>
                <w:sz w:val="24"/>
                <w:szCs w:val="24"/>
                <w:color w:val="auto"/>
              </w:rPr>
            </w:pPr>
          </w:p>
        </w:tc>
        <w:tc>
          <w:tcPr>
            <w:tcW w:w="9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(274,348)</w:t>
            </w:r>
          </w:p>
        </w:tc>
      </w:tr>
      <w:tr>
        <w:trPr>
          <w:trHeight w:val="260"/>
        </w:trPr>
        <w:tc>
          <w:tcPr>
            <w:tcW w:w="4940" w:type="dxa"/>
            <w:vAlign w:val="bottom"/>
          </w:tcPr>
          <w:p>
            <w:pPr>
              <w:ind w:left="280"/>
              <w:spacing w:after="0"/>
              <w:rPr>
                <w:sz w:val="20"/>
                <w:szCs w:val="20"/>
                <w:color w:val="auto"/>
              </w:rPr>
            </w:pPr>
            <w:r>
              <w:rPr>
                <w:rFonts w:ascii="Arial" w:cs="Arial" w:eastAsia="Arial" w:hAnsi="Arial"/>
                <w:sz w:val="20"/>
                <w:szCs w:val="20"/>
                <w:color w:val="auto"/>
              </w:rPr>
              <w:t>Calculated current billings</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776,863</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617,166</w:t>
            </w:r>
          </w:p>
        </w:tc>
        <w:tc>
          <w:tcPr>
            <w:tcW w:w="4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494,692</w:t>
            </w:r>
          </w:p>
        </w:tc>
      </w:tr>
      <w:tr>
        <w:trPr>
          <w:trHeight w:val="20"/>
        </w:trPr>
        <w:tc>
          <w:tcPr>
            <w:tcW w:w="4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-37465</wp:posOffset>
            </wp:positionV>
            <wp:extent cx="258127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81275" cy="3810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w:t>
      </w:r>
    </w:p>
    <w:p>
      <w:pPr>
        <w:ind w:right="980"/>
        <w:spacing w:after="0" w:line="287" w:lineRule="auto"/>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Deferred revenue (current), beginning of period for 2022 and 2021 includes $0.9 million and $2.6 million, respectively, related to acquired deferred revenue.</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Free Cash Flow</w:t>
      </w:r>
    </w:p>
    <w:p>
      <w:pPr>
        <w:spacing w:after="0" w:line="249" w:lineRule="exact"/>
        <w:rPr>
          <w:sz w:val="20"/>
          <w:szCs w:val="20"/>
          <w:color w:val="auto"/>
        </w:rPr>
      </w:pPr>
    </w:p>
    <w:p>
      <w:pPr>
        <w:ind w:right="100" w:firstLine="360"/>
        <w:spacing w:after="0" w:line="257" w:lineRule="auto"/>
        <w:rPr>
          <w:sz w:val="20"/>
          <w:szCs w:val="20"/>
          <w:color w:val="auto"/>
        </w:rPr>
      </w:pPr>
      <w:r>
        <w:rPr>
          <w:rFonts w:ascii="Arial" w:cs="Arial" w:eastAsia="Arial" w:hAnsi="Arial"/>
          <w:sz w:val="20"/>
          <w:szCs w:val="20"/>
          <w:color w:val="auto"/>
        </w:rPr>
        <w:t>We use the non-GAAP measure of free cash flow, which we define as GAAP net cash flows from operating activities reduced by purchases of property and equipment and capitalized software development costs. We believe free cash flow is an important liquidity measure of the cash (if any) that is available, after purchases of property and equipment and capitalized software development costs, for investment in our business and to make acquisitions. We believe that free cash flow is useful as a liquidity measure because it measures our ability to generate or use cash.</w:t>
      </w:r>
    </w:p>
    <w:p>
      <w:pPr>
        <w:spacing w:after="0" w:line="202" w:lineRule="exact"/>
        <w:rPr>
          <w:sz w:val="20"/>
          <w:szCs w:val="20"/>
          <w:color w:val="auto"/>
        </w:rPr>
      </w:pPr>
    </w:p>
    <w:p>
      <w:pPr>
        <w:ind w:right="180" w:firstLine="360"/>
        <w:spacing w:after="0" w:line="255" w:lineRule="auto"/>
        <w:rPr>
          <w:sz w:val="20"/>
          <w:szCs w:val="20"/>
          <w:color w:val="auto"/>
        </w:rPr>
      </w:pPr>
      <w:r>
        <w:rPr>
          <w:rFonts w:ascii="Arial" w:cs="Arial" w:eastAsia="Arial" w:hAnsi="Arial"/>
          <w:sz w:val="20"/>
          <w:szCs w:val="20"/>
          <w:color w:val="auto"/>
        </w:rPr>
        <w:t>Our use of free cash flow has limitations as an analytical tool and you should not consider it in isolation or as a substitute for an analysis of our results under GAAP. First, free cash flow is not a substitute for net cash flows from operating activities. Second, other companies may calculate free cash flow or similarly titled non-GAAP financial measures differently or may use other measures to evaluate their performance, all of which could reduce the usefulness of free cash flow as a tool for comparison. Additionally, the utility of free cash flow is further limited as it does not reflect our future contractual commitments and does not represent the total increase or decrease in our cash balance for a given period. Because of these and other limitations, you should consider free cash flow along with net cash provided by operating activities and our other GAAP financial measures.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880" w:h="15480" w:orient="portrait"/>
          <w:cols w:equalWidth="0" w:num="1">
            <w:col w:w="9000"/>
          </w:cols>
          <w:pgMar w:left="1440" w:top="1204" w:right="1440" w:bottom="0" w:gutter="0" w:footer="0" w:header="0"/>
          <w:type w:val="continuous"/>
        </w:sectPr>
      </w:pPr>
    </w:p>
    <w:bookmarkStart w:id="147" w:name="page148"/>
    <w:bookmarkEnd w:id="147"/>
    <w:p>
      <w:pPr>
        <w:ind w:right="60" w:firstLine="360"/>
        <w:spacing w:after="0" w:line="287" w:lineRule="auto"/>
        <w:rPr>
          <w:sz w:val="20"/>
          <w:szCs w:val="20"/>
          <w:color w:val="auto"/>
        </w:rPr>
      </w:pPr>
      <w:r>
        <w:rPr>
          <w:rFonts w:ascii="Arial" w:cs="Arial" w:eastAsia="Arial" w:hAnsi="Arial"/>
          <w:sz w:val="20"/>
          <w:szCs w:val="20"/>
          <w:color w:val="auto"/>
        </w:rPr>
        <w:t>The following table presents a reconciliation of net cash provided by operating activities, the most directly comparable financial measure calculated in accordance with GAAP, to free cash flow: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r>
      <w:tr>
        <w:trPr>
          <w:trHeight w:val="280"/>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3"/>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w w:val="99"/>
              </w:rPr>
              <w:t>2020</w:t>
            </w:r>
          </w:p>
        </w:tc>
      </w:tr>
      <w:tr>
        <w:trPr>
          <w:trHeight w:val="29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Net cash provided by operating activities</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131,151</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96,765</w:t>
            </w:r>
          </w:p>
        </w:tc>
        <w:tc>
          <w:tcPr>
            <w:tcW w:w="500" w:type="dxa"/>
            <w:vAlign w:val="bottom"/>
            <w:gridSpan w:val="2"/>
            <w:shd w:val="clear" w:color="auto" w:fill="D2EDF0"/>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64,232</w:t>
            </w:r>
          </w:p>
        </w:tc>
      </w:tr>
      <w:tr>
        <w:trPr>
          <w:trHeight w:val="296"/>
        </w:trPr>
        <w:tc>
          <w:tcPr>
            <w:tcW w:w="4940" w:type="dxa"/>
            <w:vAlign w:val="bottom"/>
          </w:tcPr>
          <w:p>
            <w:pPr>
              <w:ind w:left="60"/>
              <w:spacing w:after="0"/>
              <w:rPr>
                <w:sz w:val="20"/>
                <w:szCs w:val="20"/>
                <w:color w:val="auto"/>
              </w:rPr>
            </w:pPr>
            <w:r>
              <w:rPr>
                <w:rFonts w:ascii="Arial" w:cs="Arial" w:eastAsia="Arial" w:hAnsi="Arial"/>
                <w:sz w:val="20"/>
                <w:szCs w:val="20"/>
                <w:color w:val="auto"/>
              </w:rPr>
              <w:t>Purchases of property and equipment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(9,359)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(3,887)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(18,882)</w:t>
            </w:r>
          </w:p>
        </w:tc>
      </w:tr>
      <w:tr>
        <w:trPr>
          <w:trHeight w:val="314"/>
        </w:trPr>
        <w:tc>
          <w:tcPr>
            <w:tcW w:w="4940" w:type="dxa"/>
            <w:vAlign w:val="bottom"/>
            <w:tcBorders>
              <w:bottom w:val="single" w:sz="8" w:color="D2EDF0"/>
            </w:tcBorders>
            <w:shd w:val="clear" w:color="auto" w:fill="D2EDF0"/>
          </w:tcPr>
          <w:p>
            <w:pPr>
              <w:ind w:left="60"/>
              <w:spacing w:after="0" w:line="293" w:lineRule="exact"/>
              <w:rPr>
                <w:sz w:val="20"/>
                <w:szCs w:val="20"/>
                <w:color w:val="auto"/>
              </w:rPr>
            </w:pPr>
            <w:r>
              <w:rPr>
                <w:rFonts w:ascii="Arial" w:cs="Arial" w:eastAsia="Arial" w:hAnsi="Arial"/>
                <w:sz w:val="20"/>
                <w:szCs w:val="20"/>
                <w:color w:val="auto"/>
              </w:rPr>
              <w:t>Capitalized software development costs</w:t>
            </w:r>
            <w:r>
              <w:rPr>
                <w:rFonts w:ascii="Arial" w:cs="Arial" w:eastAsia="Arial" w:hAnsi="Arial"/>
                <w:sz w:val="26"/>
                <w:szCs w:val="26"/>
                <w:color w:val="auto"/>
                <w:vertAlign w:val="superscript"/>
              </w:rPr>
              <w:t>(1)</w:t>
            </w: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(9,789)</w:t>
            </w:r>
          </w:p>
        </w:tc>
        <w:tc>
          <w:tcPr>
            <w:tcW w:w="80" w:type="dxa"/>
            <w:vAlign w:val="bottom"/>
            <w:tcBorders>
              <w:bottom w:val="single" w:sz="8" w:color="D2EDF0"/>
            </w:tcBorders>
            <w:shd w:val="clear" w:color="auto" w:fill="D2EDF0"/>
          </w:tcPr>
          <w:p>
            <w:pPr>
              <w:spacing w:after="0"/>
              <w:rPr>
                <w:sz w:val="24"/>
                <w:szCs w:val="24"/>
                <w:color w:val="auto"/>
              </w:rPr>
            </w:pP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(2,674)</w:t>
            </w:r>
          </w:p>
        </w:tc>
        <w:tc>
          <w:tcPr>
            <w:tcW w:w="80" w:type="dxa"/>
            <w:vAlign w:val="bottom"/>
            <w:tcBorders>
              <w:bottom w:val="single" w:sz="8" w:color="D2EDF0"/>
            </w:tcBorders>
            <w:shd w:val="clear" w:color="auto" w:fill="D2EDF0"/>
          </w:tcPr>
          <w:p>
            <w:pPr>
              <w:spacing w:after="0"/>
              <w:rPr>
                <w:sz w:val="24"/>
                <w:szCs w:val="24"/>
                <w:color w:val="auto"/>
              </w:rPr>
            </w:pPr>
          </w:p>
        </w:tc>
        <w:tc>
          <w:tcPr>
            <w:tcW w:w="420" w:type="dxa"/>
            <w:vAlign w:val="bottom"/>
            <w:tcBorders>
              <w:bottom w:val="single" w:sz="8" w:color="auto"/>
            </w:tcBorders>
            <w:shd w:val="clear" w:color="auto" w:fill="D2EDF0"/>
          </w:tcPr>
          <w:p>
            <w:pPr>
              <w:spacing w:after="0"/>
              <w:rPr>
                <w:sz w:val="24"/>
                <w:szCs w:val="24"/>
                <w:color w:val="auto"/>
              </w:rPr>
            </w:pPr>
          </w:p>
        </w:tc>
        <w:tc>
          <w:tcPr>
            <w:tcW w:w="88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(1,395)</w:t>
            </w:r>
          </w:p>
        </w:tc>
      </w:tr>
      <w:tr>
        <w:trPr>
          <w:trHeight w:val="240"/>
        </w:trPr>
        <w:tc>
          <w:tcPr>
            <w:tcW w:w="4940" w:type="dxa"/>
            <w:vAlign w:val="bottom"/>
          </w:tcPr>
          <w:p>
            <w:pPr>
              <w:ind w:left="280"/>
              <w:spacing w:after="0" w:line="240" w:lineRule="exact"/>
              <w:rPr>
                <w:sz w:val="20"/>
                <w:szCs w:val="20"/>
                <w:color w:val="auto"/>
              </w:rPr>
            </w:pPr>
            <w:r>
              <w:rPr>
                <w:rFonts w:ascii="Arial" w:cs="Arial" w:eastAsia="Arial" w:hAnsi="Arial"/>
                <w:sz w:val="20"/>
                <w:szCs w:val="20"/>
                <w:color w:val="auto"/>
              </w:rPr>
              <w:t>Free cash flow</w:t>
            </w:r>
            <w:r>
              <w:rPr>
                <w:rFonts w:ascii="Arial" w:cs="Arial" w:eastAsia="Arial" w:hAnsi="Arial"/>
                <w:sz w:val="26"/>
                <w:szCs w:val="26"/>
                <w:color w:val="auto"/>
                <w:vertAlign w:val="superscript"/>
              </w:rPr>
              <w:t>(2)</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112,003</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90,204</w:t>
            </w:r>
          </w:p>
        </w:tc>
        <w:tc>
          <w:tcPr>
            <w:tcW w:w="5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43,955</w:t>
            </w:r>
          </w:p>
        </w:tc>
      </w:tr>
      <w:tr>
        <w:trPr>
          <w:trHeight w:val="20"/>
        </w:trPr>
        <w:tc>
          <w:tcPr>
            <w:tcW w:w="4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-37465</wp:posOffset>
            </wp:positionV>
            <wp:extent cx="258127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81275" cy="3810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w:t>
      </w:r>
    </w:p>
    <w:p>
      <w:pPr>
        <w:ind w:right="760"/>
        <w:spacing w:after="0" w:line="285" w:lineRule="auto"/>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Capitalized software development costs were previously included in purchases of property and equipment.</w:t>
      </w:r>
    </w:p>
    <w:p>
      <w:pPr>
        <w:ind w:left="720" w:hanging="720"/>
        <w:spacing w:after="0"/>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Free cash flow for the periods presented was impacted by:</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r>
      <w:tr>
        <w:trPr>
          <w:trHeight w:val="265"/>
        </w:trPr>
        <w:tc>
          <w:tcPr>
            <w:tcW w:w="496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D2EDF0"/>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D2EDF0"/>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2020</w:t>
            </w:r>
          </w:p>
        </w:tc>
      </w:tr>
      <w:tr>
        <w:trPr>
          <w:trHeight w:val="275"/>
        </w:trPr>
        <w:tc>
          <w:tcPr>
            <w:tcW w:w="4960" w:type="dxa"/>
            <w:vAlign w:val="bottom"/>
            <w:shd w:val="clear" w:color="auto" w:fill="D2EDF0"/>
          </w:tcPr>
          <w:p>
            <w:pPr>
              <w:ind w:left="60"/>
              <w:spacing w:after="0"/>
              <w:rPr>
                <w:sz w:val="20"/>
                <w:szCs w:val="20"/>
                <w:color w:val="auto"/>
              </w:rPr>
            </w:pPr>
            <w:r>
              <w:rPr>
                <w:rFonts w:ascii="Arial" w:cs="Arial" w:eastAsia="Arial" w:hAnsi="Arial"/>
                <w:sz w:val="18"/>
                <w:szCs w:val="18"/>
                <w:color w:val="auto"/>
              </w:rPr>
              <w:t>Employee stock purchase plan activity</w:t>
            </w:r>
          </w:p>
        </w:tc>
        <w:tc>
          <w:tcPr>
            <w:tcW w:w="300" w:type="dxa"/>
            <w:vAlign w:val="bottom"/>
            <w:shd w:val="clear" w:color="auto" w:fill="D2EDF0"/>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2EDF0"/>
          </w:tcPr>
          <w:p>
            <w:pPr>
              <w:jc w:val="right"/>
              <w:spacing w:after="0"/>
              <w:rPr>
                <w:sz w:val="20"/>
                <w:szCs w:val="20"/>
                <w:color w:val="auto"/>
              </w:rPr>
            </w:pPr>
            <w:r>
              <w:rPr>
                <w:rFonts w:ascii="Arial" w:cs="Arial" w:eastAsia="Arial" w:hAnsi="Arial"/>
                <w:sz w:val="18"/>
                <w:szCs w:val="18"/>
                <w:color w:val="auto"/>
              </w:rPr>
              <w:t>837</w:t>
            </w:r>
          </w:p>
        </w:tc>
        <w:tc>
          <w:tcPr>
            <w:tcW w:w="360" w:type="dxa"/>
            <w:vAlign w:val="bottom"/>
            <w:gridSpan w:val="2"/>
            <w:shd w:val="clear" w:color="auto" w:fill="D2EDF0"/>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(283)</w:t>
            </w:r>
          </w:p>
        </w:tc>
        <w:tc>
          <w:tcPr>
            <w:tcW w:w="480" w:type="dxa"/>
            <w:vAlign w:val="bottom"/>
            <w:gridSpan w:val="2"/>
            <w:shd w:val="clear" w:color="auto" w:fill="D2EDF0"/>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D2EDF0"/>
          </w:tcPr>
          <w:p>
            <w:pPr>
              <w:jc w:val="right"/>
              <w:spacing w:after="0"/>
              <w:rPr>
                <w:sz w:val="20"/>
                <w:szCs w:val="20"/>
                <w:color w:val="auto"/>
              </w:rPr>
            </w:pPr>
            <w:r>
              <w:rPr>
                <w:rFonts w:ascii="Arial" w:cs="Arial" w:eastAsia="Arial" w:hAnsi="Arial"/>
                <w:sz w:val="18"/>
                <w:szCs w:val="18"/>
                <w:color w:val="auto"/>
              </w:rPr>
              <w:t>893</w:t>
            </w:r>
          </w:p>
        </w:tc>
      </w:tr>
      <w:tr>
        <w:trPr>
          <w:trHeight w:val="280"/>
        </w:trPr>
        <w:tc>
          <w:tcPr>
            <w:tcW w:w="4960" w:type="dxa"/>
            <w:vAlign w:val="bottom"/>
          </w:tcPr>
          <w:p>
            <w:pPr>
              <w:ind w:left="60"/>
              <w:spacing w:after="0"/>
              <w:rPr>
                <w:sz w:val="20"/>
                <w:szCs w:val="20"/>
                <w:color w:val="auto"/>
              </w:rPr>
            </w:pPr>
            <w:r>
              <w:rPr>
                <w:rFonts w:ascii="Arial" w:cs="Arial" w:eastAsia="Arial" w:hAnsi="Arial"/>
                <w:sz w:val="18"/>
                <w:szCs w:val="18"/>
                <w:color w:val="auto"/>
              </w:rPr>
              <w:t>Acquisition-related expenses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(6,464)</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90"/>
        </w:trPr>
        <w:tc>
          <w:tcPr>
            <w:tcW w:w="4960" w:type="dxa"/>
            <w:vAlign w:val="bottom"/>
            <w:shd w:val="clear" w:color="auto" w:fill="D2EDF0"/>
          </w:tcPr>
          <w:p>
            <w:pPr>
              <w:ind w:left="60"/>
              <w:spacing w:after="0"/>
              <w:rPr>
                <w:sz w:val="20"/>
                <w:szCs w:val="20"/>
                <w:color w:val="auto"/>
              </w:rPr>
            </w:pPr>
            <w:r>
              <w:rPr>
                <w:rFonts w:ascii="Arial" w:cs="Arial" w:eastAsia="Arial" w:hAnsi="Arial"/>
                <w:sz w:val="18"/>
                <w:szCs w:val="18"/>
                <w:color w:val="auto"/>
              </w:rPr>
              <w:t>Costs related to intra-entity asset transfers</w:t>
            </w:r>
          </w:p>
        </w:tc>
        <w:tc>
          <w:tcPr>
            <w:tcW w:w="300" w:type="dxa"/>
            <w:vAlign w:val="bottom"/>
            <w:shd w:val="clear" w:color="auto" w:fill="D2EDF0"/>
          </w:tcPr>
          <w:p>
            <w:pPr>
              <w:spacing w:after="0"/>
              <w:rPr>
                <w:sz w:val="24"/>
                <w:szCs w:val="24"/>
                <w:color w:val="auto"/>
              </w:rPr>
            </w:pPr>
          </w:p>
        </w:tc>
        <w:tc>
          <w:tcPr>
            <w:tcW w:w="1020" w:type="dxa"/>
            <w:vAlign w:val="bottom"/>
            <w:shd w:val="clear" w:color="auto" w:fill="D2EDF0"/>
          </w:tcPr>
          <w:p>
            <w:pPr>
              <w:jc w:val="right"/>
              <w:spacing w:after="0"/>
              <w:rPr>
                <w:sz w:val="20"/>
                <w:szCs w:val="20"/>
                <w:color w:val="auto"/>
              </w:rPr>
            </w:pPr>
            <w:r>
              <w:rPr>
                <w:rFonts w:ascii="Arial" w:cs="Arial" w:eastAsia="Arial" w:hAnsi="Arial"/>
                <w:sz w:val="18"/>
                <w:szCs w:val="18"/>
                <w:color w:val="auto"/>
              </w:rPr>
              <w:t>(838)</w:t>
            </w:r>
          </w:p>
        </w:tc>
        <w:tc>
          <w:tcPr>
            <w:tcW w:w="6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18"/>
                <w:szCs w:val="18"/>
                <w:color w:val="auto"/>
              </w:rPr>
              <w:t>—</w:t>
            </w:r>
          </w:p>
        </w:tc>
      </w:tr>
      <w:tr>
        <w:trPr>
          <w:trHeight w:val="280"/>
        </w:trPr>
        <w:tc>
          <w:tcPr>
            <w:tcW w:w="4960" w:type="dxa"/>
            <w:vAlign w:val="bottom"/>
          </w:tcPr>
          <w:p>
            <w:pPr>
              <w:ind w:left="60"/>
              <w:spacing w:after="0"/>
              <w:rPr>
                <w:sz w:val="20"/>
                <w:szCs w:val="20"/>
                <w:color w:val="auto"/>
              </w:rPr>
            </w:pPr>
            <w:r>
              <w:rPr>
                <w:rFonts w:ascii="Arial" w:cs="Arial" w:eastAsia="Arial" w:hAnsi="Arial"/>
                <w:sz w:val="18"/>
                <w:szCs w:val="18"/>
                <w:color w:val="auto"/>
              </w:rPr>
              <w:t>Tax payment on intra-entity asset transfers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0"/>
        </w:trPr>
        <w:tc>
          <w:tcPr>
            <w:tcW w:w="4960" w:type="dxa"/>
            <w:vAlign w:val="bottom"/>
            <w:shd w:val="clear" w:color="auto" w:fill="D2EDF0"/>
          </w:tcPr>
          <w:p>
            <w:pPr>
              <w:ind w:left="60"/>
              <w:spacing w:after="0"/>
              <w:rPr>
                <w:sz w:val="20"/>
                <w:szCs w:val="20"/>
                <w:color w:val="auto"/>
              </w:rPr>
            </w:pPr>
            <w:r>
              <w:rPr>
                <w:rFonts w:ascii="Arial" w:cs="Arial" w:eastAsia="Arial" w:hAnsi="Arial"/>
                <w:sz w:val="18"/>
                <w:szCs w:val="18"/>
                <w:color w:val="auto"/>
              </w:rPr>
              <w:t>Proceeds from lease incentives</w:t>
            </w:r>
          </w:p>
        </w:tc>
        <w:tc>
          <w:tcPr>
            <w:tcW w:w="300" w:type="dxa"/>
            <w:vAlign w:val="bottom"/>
            <w:shd w:val="clear" w:color="auto" w:fill="D2EDF0"/>
          </w:tcPr>
          <w:p>
            <w:pPr>
              <w:spacing w:after="0"/>
              <w:rPr>
                <w:sz w:val="24"/>
                <w:szCs w:val="24"/>
                <w:color w:val="auto"/>
              </w:rPr>
            </w:pPr>
          </w:p>
        </w:tc>
        <w:tc>
          <w:tcPr>
            <w:tcW w:w="1020" w:type="dxa"/>
            <w:vAlign w:val="bottom"/>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18"/>
                <w:szCs w:val="18"/>
                <w:color w:val="auto"/>
              </w:rPr>
              <w:t>14,199</w:t>
            </w:r>
          </w:p>
        </w:tc>
      </w:tr>
      <w:tr>
        <w:trPr>
          <w:trHeight w:val="275"/>
        </w:trPr>
        <w:tc>
          <w:tcPr>
            <w:tcW w:w="4960" w:type="dxa"/>
            <w:vAlign w:val="bottom"/>
          </w:tcPr>
          <w:p>
            <w:pPr>
              <w:ind w:left="60"/>
              <w:spacing w:after="0"/>
              <w:rPr>
                <w:sz w:val="20"/>
                <w:szCs w:val="20"/>
                <w:color w:val="auto"/>
              </w:rPr>
            </w:pPr>
            <w:r>
              <w:rPr>
                <w:rFonts w:ascii="Arial" w:cs="Arial" w:eastAsia="Arial" w:hAnsi="Arial"/>
                <w:sz w:val="18"/>
                <w:szCs w:val="18"/>
                <w:color w:val="auto"/>
              </w:rPr>
              <w:t>Capital expenditures related to new headquarters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(928)</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(17,241)</w:t>
            </w:r>
          </w:p>
        </w:tc>
      </w:tr>
    </w:tbl>
    <w:p>
      <w:pPr>
        <w:spacing w:after="0" w:line="20" w:lineRule="exact"/>
        <w:rPr>
          <w:sz w:val="20"/>
          <w:szCs w:val="20"/>
          <w:color w:val="auto"/>
        </w:rPr>
      </w:pPr>
    </w:p>
    <w:p>
      <w:pPr>
        <w:spacing w:after="0" w:line="180" w:lineRule="exact"/>
        <w:rPr>
          <w:sz w:val="20"/>
          <w:szCs w:val="20"/>
          <w:color w:val="auto"/>
        </w:rPr>
      </w:pPr>
    </w:p>
    <w:p>
      <w:pPr>
        <w:ind w:right="420" w:firstLine="720"/>
        <w:spacing w:after="0" w:line="265" w:lineRule="auto"/>
        <w:rPr>
          <w:sz w:val="20"/>
          <w:szCs w:val="20"/>
          <w:color w:val="auto"/>
        </w:rPr>
      </w:pPr>
      <w:r>
        <w:rPr>
          <w:rFonts w:ascii="Arial" w:cs="Arial" w:eastAsia="Arial" w:hAnsi="Arial"/>
          <w:sz w:val="17"/>
          <w:szCs w:val="17"/>
          <w:color w:val="auto"/>
        </w:rPr>
        <w:t>Free cash flow in 2022 was benefited by approximately $10 million due to prepayments of software subscription costs, insurance and rent in 2021 and 2020. The 2021 prepayments reduced free cash flow by</w:t>
      </w:r>
    </w:p>
    <w:p>
      <w:pPr>
        <w:ind w:right="80"/>
        <w:spacing w:after="0" w:line="287" w:lineRule="auto"/>
        <w:rPr>
          <w:sz w:val="20"/>
          <w:szCs w:val="20"/>
          <w:color w:val="auto"/>
        </w:rPr>
      </w:pPr>
      <w:r>
        <w:rPr>
          <w:rFonts w:ascii="Arial" w:cs="Arial" w:eastAsia="Arial" w:hAnsi="Arial"/>
          <w:sz w:val="18"/>
          <w:szCs w:val="18"/>
          <w:color w:val="auto"/>
        </w:rPr>
        <w:t>$8 million and were offset by a benefit of approximately $15 million from similar prepayments made in 2020. The 2020 prepayments reduced free cash flow by approximately $17 million.</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Customer Metrics</w:t>
      </w:r>
    </w:p>
    <w:p>
      <w:pPr>
        <w:spacing w:after="0" w:line="249" w:lineRule="exact"/>
        <w:rPr>
          <w:sz w:val="20"/>
          <w:szCs w:val="20"/>
          <w:color w:val="auto"/>
        </w:rPr>
      </w:pPr>
    </w:p>
    <w:p>
      <w:pPr>
        <w:ind w:right="100" w:firstLine="360"/>
        <w:spacing w:after="0" w:line="314" w:lineRule="auto"/>
        <w:rPr>
          <w:sz w:val="20"/>
          <w:szCs w:val="20"/>
          <w:color w:val="auto"/>
        </w:rPr>
      </w:pPr>
      <w:r>
        <w:rPr>
          <w:rFonts w:ascii="Arial" w:cs="Arial" w:eastAsia="Arial" w:hAnsi="Arial"/>
          <w:sz w:val="19"/>
          <w:szCs w:val="19"/>
          <w:color w:val="auto"/>
        </w:rPr>
        <w:t>We believe that our customer base provides a significant opportunity to expand sales of our enterprise platform offerings. The following tables summarize key components of our customer base: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9"/>
              </w:rPr>
              <w:t>Year Ended December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940" w:type="dxa"/>
            <w:vAlign w:val="bottom"/>
            <w:tcBorders>
              <w:bottom w:val="single" w:sz="8" w:color="D2EDF0"/>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3"/>
                <w:szCs w:val="23"/>
                <w:color w:val="auto"/>
              </w:rPr>
            </w:pPr>
          </w:p>
        </w:tc>
        <w:tc>
          <w:tcPr>
            <w:tcW w:w="80" w:type="dxa"/>
            <w:vAlign w:val="bottom"/>
            <w:tcBorders>
              <w:bottom w:val="single" w:sz="8" w:color="D2EDF0"/>
            </w:tcBorders>
          </w:tcPr>
          <w:p>
            <w:pPr>
              <w:spacing w:after="0"/>
              <w:rPr>
                <w:sz w:val="23"/>
                <w:szCs w:val="23"/>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65"/>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8"/>
        </w:trPr>
        <w:tc>
          <w:tcPr>
            <w:tcW w:w="4940" w:type="dxa"/>
            <w:vAlign w:val="bottom"/>
            <w:shd w:val="clear" w:color="auto" w:fill="D2EDF0"/>
          </w:tcPr>
          <w:p>
            <w:pPr>
              <w:ind w:left="60"/>
              <w:spacing w:after="0" w:line="198" w:lineRule="exact"/>
              <w:rPr>
                <w:sz w:val="20"/>
                <w:szCs w:val="20"/>
                <w:color w:val="auto"/>
              </w:rPr>
            </w:pPr>
            <w:r>
              <w:rPr>
                <w:rFonts w:ascii="Arial" w:cs="Arial" w:eastAsia="Arial" w:hAnsi="Arial"/>
                <w:sz w:val="20"/>
                <w:szCs w:val="20"/>
                <w:color w:val="auto"/>
              </w:rPr>
              <w:t>Number of new enterprise platform customers added</w:t>
            </w:r>
          </w:p>
        </w:tc>
        <w:tc>
          <w:tcPr>
            <w:tcW w:w="92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2,078</w:t>
            </w:r>
          </w:p>
        </w:tc>
        <w:tc>
          <w:tcPr>
            <w:tcW w:w="1760" w:type="dxa"/>
            <w:vAlign w:val="bottom"/>
            <w:gridSpan w:val="3"/>
            <w:vMerge w:val="restart"/>
            <w:shd w:val="clear" w:color="auto" w:fill="D2EDF0"/>
          </w:tcPr>
          <w:p>
            <w:pPr>
              <w:jc w:val="right"/>
              <w:ind w:right="310"/>
              <w:spacing w:after="0"/>
              <w:rPr>
                <w:sz w:val="20"/>
                <w:szCs w:val="20"/>
                <w:color w:val="auto"/>
              </w:rPr>
            </w:pPr>
            <w:r>
              <w:rPr>
                <w:rFonts w:ascii="Arial" w:cs="Arial" w:eastAsia="Arial" w:hAnsi="Arial"/>
                <w:sz w:val="20"/>
                <w:szCs w:val="20"/>
                <w:color w:val="auto"/>
              </w:rPr>
              <w:t>1,882</w:t>
            </w:r>
          </w:p>
        </w:tc>
        <w:tc>
          <w:tcPr>
            <w:tcW w:w="80" w:type="dxa"/>
            <w:vAlign w:val="bottom"/>
            <w:shd w:val="clear" w:color="auto" w:fill="D2EDF0"/>
          </w:tcPr>
          <w:p>
            <w:pPr>
              <w:spacing w:after="0"/>
              <w:rPr>
                <w:sz w:val="17"/>
                <w:szCs w:val="17"/>
                <w:color w:val="auto"/>
              </w:rPr>
            </w:pPr>
          </w:p>
        </w:tc>
        <w:tc>
          <w:tcPr>
            <w:tcW w:w="380" w:type="dxa"/>
            <w:vAlign w:val="bottom"/>
            <w:shd w:val="clear" w:color="auto" w:fill="D2EDF0"/>
          </w:tcPr>
          <w:p>
            <w:pPr>
              <w:spacing w:after="0"/>
              <w:rPr>
                <w:sz w:val="17"/>
                <w:szCs w:val="17"/>
                <w:color w:val="auto"/>
              </w:rPr>
            </w:pPr>
          </w:p>
        </w:tc>
        <w:tc>
          <w:tcPr>
            <w:tcW w:w="920" w:type="dxa"/>
            <w:vAlign w:val="bottom"/>
            <w:vMerge w:val="restart"/>
            <w:shd w:val="clear" w:color="auto" w:fill="D2EDF0"/>
          </w:tcPr>
          <w:p>
            <w:pPr>
              <w:jc w:val="right"/>
              <w:ind w:right="305"/>
              <w:spacing w:after="0"/>
              <w:rPr>
                <w:sz w:val="20"/>
                <w:szCs w:val="20"/>
                <w:color w:val="auto"/>
              </w:rPr>
            </w:pPr>
            <w:r>
              <w:rPr>
                <w:rFonts w:ascii="Arial" w:cs="Arial" w:eastAsia="Arial" w:hAnsi="Arial"/>
                <w:sz w:val="20"/>
                <w:szCs w:val="20"/>
                <w:color w:val="auto"/>
                <w:w w:val="99"/>
              </w:rPr>
              <w:t>1,455</w:t>
            </w:r>
          </w:p>
        </w:tc>
        <w:tc>
          <w:tcPr>
            <w:tcW w:w="0" w:type="dxa"/>
            <w:vAlign w:val="bottom"/>
          </w:tcPr>
          <w:p>
            <w:pPr>
              <w:spacing w:after="0"/>
              <w:rPr>
                <w:sz w:val="1"/>
                <w:szCs w:val="1"/>
                <w:color w:val="auto"/>
              </w:rPr>
            </w:pPr>
          </w:p>
        </w:tc>
      </w:tr>
      <w:tr>
        <w:trPr>
          <w:trHeight w:val="272"/>
        </w:trPr>
        <w:tc>
          <w:tcPr>
            <w:tcW w:w="4940" w:type="dxa"/>
            <w:vAlign w:val="bottom"/>
            <w:shd w:val="clear" w:color="auto" w:fill="D2EDF0"/>
          </w:tcPr>
          <w:p>
            <w:pPr>
              <w:ind w:left="60"/>
              <w:spacing w:after="0" w:line="272" w:lineRule="exact"/>
              <w:rPr>
                <w:sz w:val="20"/>
                <w:szCs w:val="20"/>
                <w:color w:val="auto"/>
              </w:rPr>
            </w:pPr>
            <w:r>
              <w:rPr>
                <w:rFonts w:ascii="Arial" w:cs="Arial" w:eastAsia="Arial" w:hAnsi="Arial"/>
                <w:sz w:val="20"/>
                <w:szCs w:val="20"/>
                <w:color w:val="auto"/>
              </w:rPr>
              <w:t>in period</w:t>
            </w:r>
            <w:r>
              <w:rPr>
                <w:rFonts w:ascii="Arial" w:cs="Arial" w:eastAsia="Arial" w:hAnsi="Arial"/>
                <w:sz w:val="26"/>
                <w:szCs w:val="26"/>
                <w:color w:val="auto"/>
                <w:vertAlign w:val="superscript"/>
              </w:rPr>
              <w:t>(1)(2)</w:t>
            </w:r>
          </w:p>
        </w:tc>
        <w:tc>
          <w:tcPr>
            <w:tcW w:w="920" w:type="dxa"/>
            <w:vAlign w:val="bottom"/>
            <w:vMerge w:val="continue"/>
            <w:shd w:val="clear" w:color="auto" w:fill="D2EDF0"/>
          </w:tcPr>
          <w:p>
            <w:pPr>
              <w:spacing w:after="0"/>
              <w:rPr>
                <w:sz w:val="23"/>
                <w:szCs w:val="23"/>
                <w:color w:val="auto"/>
              </w:rPr>
            </w:pPr>
          </w:p>
        </w:tc>
        <w:tc>
          <w:tcPr>
            <w:tcW w:w="1760" w:type="dxa"/>
            <w:vAlign w:val="bottom"/>
            <w:gridSpan w:val="3"/>
            <w:vMerge w:val="continue"/>
            <w:shd w:val="clear" w:color="auto" w:fill="D2EDF0"/>
          </w:tcPr>
          <w:p>
            <w:pPr>
              <w:spacing w:after="0"/>
              <w:rPr>
                <w:sz w:val="23"/>
                <w:szCs w:val="23"/>
                <w:color w:val="auto"/>
              </w:rPr>
            </w:pPr>
          </w:p>
        </w:tc>
        <w:tc>
          <w:tcPr>
            <w:tcW w:w="80" w:type="dxa"/>
            <w:vAlign w:val="bottom"/>
            <w:shd w:val="clear" w:color="auto" w:fill="D2EDF0"/>
          </w:tcPr>
          <w:p>
            <w:pPr>
              <w:spacing w:after="0"/>
              <w:rPr>
                <w:sz w:val="23"/>
                <w:szCs w:val="23"/>
                <w:color w:val="auto"/>
              </w:rPr>
            </w:pPr>
          </w:p>
        </w:tc>
        <w:tc>
          <w:tcPr>
            <w:tcW w:w="380" w:type="dxa"/>
            <w:vAlign w:val="bottom"/>
            <w:shd w:val="clear" w:color="auto" w:fill="D2EDF0"/>
          </w:tcPr>
          <w:p>
            <w:pPr>
              <w:spacing w:after="0"/>
              <w:rPr>
                <w:sz w:val="23"/>
                <w:szCs w:val="23"/>
                <w:color w:val="auto"/>
              </w:rPr>
            </w:pPr>
          </w:p>
        </w:tc>
        <w:tc>
          <w:tcPr>
            <w:tcW w:w="920" w:type="dxa"/>
            <w:vAlign w:val="bottom"/>
            <w:vMerge w:val="continue"/>
            <w:shd w:val="clear" w:color="auto" w:fill="D2EDF0"/>
          </w:tcPr>
          <w:p>
            <w:pPr>
              <w:spacing w:after="0"/>
              <w:rPr>
                <w:sz w:val="23"/>
                <w:szCs w:val="23"/>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w:t>
      </w:r>
    </w:p>
    <w:p>
      <w:pPr>
        <w:ind w:right="260"/>
        <w:spacing w:after="0" w:line="262" w:lineRule="auto"/>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We define an enterprise platform customer as a customer that has licensed Tenable One, Tenable.io, Tenable.cs, Tenable.ad, Tenable.ot or Tenable.sc for an annual amount of $5,000 or greater. New enterprise platform customers represent new customer logos during the periods presented and do not include customer conversions from Nessus Expert to enterprise platforms.</w:t>
      </w:r>
    </w:p>
    <w:p>
      <w:pPr>
        <w:spacing w:after="0" w:line="20" w:lineRule="exact"/>
        <w:rPr>
          <w:rFonts w:ascii="Arial" w:cs="Arial" w:eastAsia="Arial" w:hAnsi="Arial"/>
          <w:sz w:val="18"/>
          <w:szCs w:val="18"/>
          <w:color w:val="auto"/>
        </w:rPr>
      </w:pPr>
    </w:p>
    <w:p>
      <w:pPr>
        <w:ind w:right="500"/>
        <w:spacing w:after="0" w:line="287" w:lineRule="auto"/>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number of new enterprise platform customers added in 2021 includes 95 legacy customers of companies we acquired.</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48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860" w:type="dxa"/>
            <w:vAlign w:val="bottom"/>
            <w:tcBorders>
              <w:bottom w:val="single" w:sz="8" w:color="D2EDF0"/>
            </w:tcBorders>
          </w:tcPr>
          <w:p>
            <w:pPr>
              <w:spacing w:after="0"/>
              <w:rPr>
                <w:sz w:val="23"/>
                <w:szCs w:val="23"/>
                <w:color w:val="auto"/>
              </w:rPr>
            </w:pPr>
          </w:p>
        </w:tc>
        <w:tc>
          <w:tcPr>
            <w:tcW w:w="1300" w:type="dxa"/>
            <w:vAlign w:val="bottom"/>
            <w:tcBorders>
              <w:bottom w:val="single" w:sz="8" w:color="auto"/>
            </w:tcBorders>
          </w:tcPr>
          <w:p>
            <w:pPr>
              <w:jc w:val="right"/>
              <w:ind w:right="365"/>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3"/>
                <w:szCs w:val="23"/>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3"/>
                <w:szCs w:val="23"/>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3"/>
        </w:trPr>
        <w:tc>
          <w:tcPr>
            <w:tcW w:w="4860" w:type="dxa"/>
            <w:vAlign w:val="bottom"/>
            <w:shd w:val="clear" w:color="auto" w:fill="D2EDF0"/>
          </w:tcPr>
          <w:p>
            <w:pPr>
              <w:ind w:left="60"/>
              <w:spacing w:after="0" w:line="213" w:lineRule="exact"/>
              <w:rPr>
                <w:sz w:val="20"/>
                <w:szCs w:val="20"/>
                <w:color w:val="auto"/>
              </w:rPr>
            </w:pPr>
            <w:r>
              <w:rPr>
                <w:rFonts w:ascii="Arial" w:cs="Arial" w:eastAsia="Arial" w:hAnsi="Arial"/>
                <w:sz w:val="20"/>
                <w:szCs w:val="20"/>
                <w:color w:val="auto"/>
              </w:rPr>
              <w:t>Number of customers with $100,000 and greater in</w:t>
            </w:r>
          </w:p>
        </w:tc>
        <w:tc>
          <w:tcPr>
            <w:tcW w:w="1300" w:type="dxa"/>
            <w:vAlign w:val="bottom"/>
            <w:vMerge w:val="restart"/>
            <w:shd w:val="clear" w:color="auto" w:fill="D2EDF0"/>
          </w:tcPr>
          <w:p>
            <w:pPr>
              <w:jc w:val="right"/>
              <w:ind w:right="305"/>
              <w:spacing w:after="0"/>
              <w:rPr>
                <w:sz w:val="20"/>
                <w:szCs w:val="20"/>
                <w:color w:val="auto"/>
              </w:rPr>
            </w:pPr>
            <w:r>
              <w:rPr>
                <w:rFonts w:ascii="Arial" w:cs="Arial" w:eastAsia="Arial" w:hAnsi="Arial"/>
                <w:sz w:val="20"/>
                <w:szCs w:val="20"/>
                <w:color w:val="auto"/>
              </w:rPr>
              <w:t>1,420</w:t>
            </w:r>
          </w:p>
        </w:tc>
        <w:tc>
          <w:tcPr>
            <w:tcW w:w="1380" w:type="dxa"/>
            <w:vAlign w:val="bottom"/>
            <w:gridSpan w:val="2"/>
            <w:vMerge w:val="restart"/>
            <w:shd w:val="clear" w:color="auto" w:fill="D2EDF0"/>
          </w:tcPr>
          <w:p>
            <w:pPr>
              <w:jc w:val="right"/>
              <w:ind w:right="310"/>
              <w:spacing w:after="0"/>
              <w:rPr>
                <w:sz w:val="20"/>
                <w:szCs w:val="20"/>
                <w:color w:val="auto"/>
              </w:rPr>
            </w:pPr>
            <w:r>
              <w:rPr>
                <w:rFonts w:ascii="Arial" w:cs="Arial" w:eastAsia="Arial" w:hAnsi="Arial"/>
                <w:sz w:val="20"/>
                <w:szCs w:val="20"/>
                <w:color w:val="auto"/>
              </w:rPr>
              <w:t>1,095</w:t>
            </w:r>
          </w:p>
        </w:tc>
        <w:tc>
          <w:tcPr>
            <w:tcW w:w="1380" w:type="dxa"/>
            <w:vAlign w:val="bottom"/>
            <w:gridSpan w:val="2"/>
            <w:vMerge w:val="restart"/>
            <w:shd w:val="clear" w:color="auto" w:fill="D2EDF0"/>
          </w:tcPr>
          <w:p>
            <w:pPr>
              <w:jc w:val="right"/>
              <w:ind w:right="410"/>
              <w:spacing w:after="0"/>
              <w:rPr>
                <w:sz w:val="20"/>
                <w:szCs w:val="20"/>
                <w:color w:val="auto"/>
              </w:rPr>
            </w:pPr>
            <w:r>
              <w:rPr>
                <w:rFonts w:ascii="Arial" w:cs="Arial" w:eastAsia="Arial" w:hAnsi="Arial"/>
                <w:sz w:val="20"/>
                <w:szCs w:val="20"/>
                <w:color w:val="auto"/>
              </w:rPr>
              <w:t>837</w:t>
            </w:r>
          </w:p>
        </w:tc>
        <w:tc>
          <w:tcPr>
            <w:tcW w:w="0" w:type="dxa"/>
            <w:vAlign w:val="bottom"/>
          </w:tcPr>
          <w:p>
            <w:pPr>
              <w:spacing w:after="0"/>
              <w:rPr>
                <w:sz w:val="1"/>
                <w:szCs w:val="1"/>
                <w:color w:val="auto"/>
              </w:rPr>
            </w:pPr>
          </w:p>
        </w:tc>
      </w:tr>
      <w:tr>
        <w:trPr>
          <w:trHeight w:val="272"/>
        </w:trPr>
        <w:tc>
          <w:tcPr>
            <w:tcW w:w="4860" w:type="dxa"/>
            <w:vAlign w:val="bottom"/>
            <w:shd w:val="clear" w:color="auto" w:fill="D2EDF0"/>
          </w:tcPr>
          <w:p>
            <w:pPr>
              <w:ind w:left="140"/>
              <w:spacing w:after="0"/>
              <w:rPr>
                <w:sz w:val="20"/>
                <w:szCs w:val="20"/>
                <w:color w:val="auto"/>
              </w:rPr>
            </w:pPr>
            <w:r>
              <w:rPr>
                <w:rFonts w:ascii="Arial" w:cs="Arial" w:eastAsia="Arial" w:hAnsi="Arial"/>
                <w:sz w:val="20"/>
                <w:szCs w:val="20"/>
                <w:color w:val="auto"/>
              </w:rPr>
              <w:t>annual contract value at end of period</w:t>
            </w:r>
          </w:p>
        </w:tc>
        <w:tc>
          <w:tcPr>
            <w:tcW w:w="1300" w:type="dxa"/>
            <w:vAlign w:val="bottom"/>
            <w:vMerge w:val="continue"/>
            <w:shd w:val="clear" w:color="auto" w:fill="D2EDF0"/>
          </w:tcPr>
          <w:p>
            <w:pPr>
              <w:spacing w:after="0"/>
              <w:rPr>
                <w:sz w:val="23"/>
                <w:szCs w:val="23"/>
                <w:color w:val="auto"/>
              </w:rPr>
            </w:pPr>
          </w:p>
        </w:tc>
        <w:tc>
          <w:tcPr>
            <w:tcW w:w="1380" w:type="dxa"/>
            <w:vAlign w:val="bottom"/>
            <w:gridSpan w:val="2"/>
            <w:vMerge w:val="continue"/>
            <w:shd w:val="clear" w:color="auto" w:fill="D2EDF0"/>
          </w:tcPr>
          <w:p>
            <w:pPr>
              <w:spacing w:after="0"/>
              <w:rPr>
                <w:sz w:val="23"/>
                <w:szCs w:val="23"/>
                <w:color w:val="auto"/>
              </w:rPr>
            </w:pPr>
          </w:p>
        </w:tc>
        <w:tc>
          <w:tcPr>
            <w:tcW w:w="1380" w:type="dxa"/>
            <w:vAlign w:val="bottom"/>
            <w:gridSpan w:val="2"/>
            <w:vMerge w:val="continue"/>
            <w:shd w:val="clear" w:color="auto" w:fill="D2EDF0"/>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880" w:h="15480" w:orient="portrait"/>
          <w:cols w:equalWidth="0" w:num="1">
            <w:col w:w="9000"/>
          </w:cols>
          <w:pgMar w:left="1440" w:top="1204" w:right="1440" w:bottom="0" w:gutter="0" w:footer="0" w:header="0"/>
          <w:type w:val="continuous"/>
        </w:sectPr>
      </w:pPr>
    </w:p>
    <w:bookmarkStart w:id="148" w:name="page149"/>
    <w:bookmarkEnd w:id="148"/>
    <w:p>
      <w:pPr>
        <w:ind w:left="360"/>
        <w:spacing w:after="0"/>
        <w:rPr>
          <w:sz w:val="20"/>
          <w:szCs w:val="20"/>
          <w:color w:val="auto"/>
        </w:rPr>
      </w:pPr>
      <w:r>
        <w:rPr>
          <w:rFonts w:ascii="Arial" w:cs="Arial" w:eastAsia="Arial" w:hAnsi="Arial"/>
          <w:sz w:val="20"/>
          <w:szCs w:val="20"/>
          <w:b w:val="1"/>
          <w:bCs w:val="1"/>
          <w:i w:val="1"/>
          <w:iCs w:val="1"/>
          <w:color w:val="auto"/>
        </w:rPr>
        <w:t>Dollar-Based Net Expansion Rate</w:t>
      </w:r>
    </w:p>
    <w:p>
      <w:pPr>
        <w:spacing w:after="0" w:line="249" w:lineRule="exact"/>
        <w:rPr>
          <w:sz w:val="20"/>
          <w:szCs w:val="20"/>
          <w:color w:val="auto"/>
        </w:rPr>
      </w:pPr>
    </w:p>
    <w:p>
      <w:pPr>
        <w:ind w:right="160" w:firstLine="360"/>
        <w:spacing w:after="0" w:line="255" w:lineRule="auto"/>
        <w:rPr>
          <w:sz w:val="20"/>
          <w:szCs w:val="20"/>
          <w:color w:val="auto"/>
        </w:rPr>
      </w:pPr>
      <w:r>
        <w:rPr>
          <w:rFonts w:ascii="Arial" w:cs="Arial" w:eastAsia="Arial" w:hAnsi="Arial"/>
          <w:sz w:val="20"/>
          <w:szCs w:val="20"/>
          <w:color w:val="auto"/>
        </w:rPr>
        <w:t>Our dollar-based net expansion rate reflects both our customer retention and ability to drive additional sales to our existing customers. Our dollar-based net expansion rate has historically fluctuated and is expected to continue to fluctuate on a quarterly basis as a result of a number of factors, including existing customers' satisfaction with our solutions, existing customer retention, the pricing of our solutions, the availability of competing solutions and the pricing thereof, and the timing of customer renewals. In addition, our sales pipeline opportunities vary from quarter to quarter between new customers and expansion from existing customers, and we do not prioritize one over the other to maximize the dollar-based net expansion rate. We generally expect the dollar-based net expansion rate to range from 110% to 120%.</w:t>
      </w:r>
    </w:p>
    <w:p>
      <w:pPr>
        <w:spacing w:after="0" w:line="201" w:lineRule="exact"/>
        <w:rPr>
          <w:sz w:val="20"/>
          <w:szCs w:val="20"/>
          <w:color w:val="auto"/>
        </w:rPr>
      </w:pPr>
    </w:p>
    <w:p>
      <w:pPr>
        <w:ind w:right="240" w:firstLine="360"/>
        <w:spacing w:after="0" w:line="287" w:lineRule="auto"/>
        <w:rPr>
          <w:sz w:val="20"/>
          <w:szCs w:val="20"/>
          <w:color w:val="auto"/>
        </w:rPr>
      </w:pPr>
      <w:r>
        <w:rPr>
          <w:rFonts w:ascii="Arial" w:cs="Arial" w:eastAsia="Arial" w:hAnsi="Arial"/>
          <w:sz w:val="20"/>
          <w:szCs w:val="20"/>
          <w:color w:val="auto"/>
        </w:rPr>
        <w:t>Our dollar-based net expansion rate is evaluated on a last twelve months, or LTM, basis, and is calculated as follows:</w:t>
      </w:r>
    </w:p>
    <w:p>
      <w:pPr>
        <w:spacing w:after="0" w:line="170" w:lineRule="exact"/>
        <w:rPr>
          <w:sz w:val="20"/>
          <w:szCs w:val="20"/>
          <w:color w:val="auto"/>
        </w:rPr>
      </w:pPr>
    </w:p>
    <w:p>
      <w:pPr>
        <w:ind w:left="720" w:right="60" w:hanging="360"/>
        <w:spacing w:after="0" w:line="256" w:lineRule="auto"/>
        <w:tabs>
          <w:tab w:leader="none" w:pos="72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Denominator: To calculate our dollar-based net expansion rate as of the end of a reporting period, we first determine the annual recurring revenue, or ARR, from all active subscriptions (both revenue recognized ratably over the subscription term and upon delivery) and maintenance from perpetual licenses as of the last day of the same reporting period in the prior year. This represents recurring payments that we expect to receive in the next 12-month period from the cohort of customers that existed on the last day of the same reporting period in the prior year.</w:t>
      </w:r>
    </w:p>
    <w:p>
      <w:pPr>
        <w:spacing w:after="0" w:line="202" w:lineRule="exact"/>
        <w:rPr>
          <w:rFonts w:ascii="Arial" w:cs="Arial" w:eastAsia="Arial" w:hAnsi="Arial"/>
          <w:sz w:val="20"/>
          <w:szCs w:val="20"/>
          <w:color w:val="auto"/>
        </w:rPr>
      </w:pPr>
    </w:p>
    <w:p>
      <w:pPr>
        <w:ind w:left="720" w:right="200" w:hanging="360"/>
        <w:spacing w:after="0" w:line="268" w:lineRule="auto"/>
        <w:tabs>
          <w:tab w:leader="none" w:pos="72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Numerator: We measure the ARR for that same cohort of customers representing all subscriptions and maintenance from perpetual licenses based on customer orders as of the end of the reporting period.</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We calculate dollar-based net expansion rate by dividing the numerator by the denominator.</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our dollar-based net expansion rate: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4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December 31,</w:t>
            </w: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80"/>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1300" w:type="dxa"/>
            <w:vAlign w:val="bottom"/>
            <w:tcBorders>
              <w:bottom w:val="single" w:sz="8" w:color="auto"/>
            </w:tcBorders>
          </w:tcPr>
          <w:p>
            <w:pPr>
              <w:jc w:val="right"/>
              <w:ind w:right="365"/>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9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Dollar-based net expansion rate</w:t>
            </w:r>
          </w:p>
        </w:tc>
        <w:tc>
          <w:tcPr>
            <w:tcW w:w="13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117 %</w:t>
            </w:r>
          </w:p>
        </w:tc>
        <w:tc>
          <w:tcPr>
            <w:tcW w:w="13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117 %</w:t>
            </w:r>
          </w:p>
        </w:tc>
        <w:tc>
          <w:tcPr>
            <w:tcW w:w="13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110 %</w:t>
            </w:r>
          </w:p>
        </w:tc>
      </w:tr>
    </w:tbl>
    <w:p>
      <w:pPr>
        <w:spacing w:after="0" w:line="284" w:lineRule="exact"/>
        <w:rPr>
          <w:sz w:val="20"/>
          <w:szCs w:val="20"/>
          <w:color w:val="auto"/>
        </w:rPr>
      </w:pPr>
    </w:p>
    <w:p>
      <w:pPr>
        <w:ind w:right="20" w:firstLine="360"/>
        <w:spacing w:after="0" w:line="253" w:lineRule="auto"/>
        <w:rPr>
          <w:sz w:val="20"/>
          <w:szCs w:val="20"/>
          <w:color w:val="auto"/>
        </w:rPr>
      </w:pPr>
      <w:r>
        <w:rPr>
          <w:rFonts w:ascii="Arial" w:cs="Arial" w:eastAsia="Arial" w:hAnsi="Arial"/>
          <w:sz w:val="20"/>
          <w:szCs w:val="20"/>
          <w:color w:val="auto"/>
        </w:rPr>
        <w:t>We have also utilized an alternative dollar-based net expansion rate to assess our ability to expand sales with existing customers and evaluate the performance of our sales team. This alternative dollar-based net expansion rate is based on the methodology described above, but excludes the annual contract value of prior period multi-year sales from ARR in the numerator and the denominator of the calculation. The multi-year sales excluded from ARR has generally been approximately 13% of the total ARR. This methodology measures net expansion by customers with contracts up for renewal during the period. Applying this methodology would have increased the dollar-based net expansion rate by two to four percentage points at December 31, 2022, 2021 and 2020. As the difference between this alternative rate and the dollar-based net expansion rate disclosed above has not differed significantly over the last three years, we no longer include this alternative rate in our internal analysis of the business and will not disclose the impact of the alternative rate in future periods.</w:t>
      </w:r>
    </w:p>
    <w:p>
      <w:pPr>
        <w:sectPr>
          <w:pgSz w:w="11880" w:h="15480" w:orient="portrait"/>
          <w:cols w:equalWidth="0" w:num="1">
            <w:col w:w="9000"/>
          </w:cols>
          <w:pgMar w:left="1440" w:top="12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880" w:h="15480" w:orient="portrait"/>
          <w:cols w:equalWidth="0" w:num="1">
            <w:col w:w="9000"/>
          </w:cols>
          <w:pgMar w:left="1440" w:top="1205" w:right="1440" w:bottom="0" w:gutter="0" w:footer="0" w:header="0"/>
          <w:type w:val="continuous"/>
        </w:sectPr>
      </w:pPr>
    </w:p>
    <w:bookmarkStart w:id="149" w:name="page150"/>
    <w:bookmarkEnd w:id="149"/>
    <w:p>
      <w:pPr>
        <w:ind w:left="360"/>
        <w:spacing w:after="0"/>
        <w:rPr>
          <w:sz w:val="20"/>
          <w:szCs w:val="20"/>
          <w:color w:val="auto"/>
        </w:rPr>
      </w:pPr>
      <w:r>
        <w:rPr>
          <w:rFonts w:ascii="Arial" w:cs="Arial" w:eastAsia="Arial" w:hAnsi="Arial"/>
          <w:sz w:val="20"/>
          <w:szCs w:val="20"/>
          <w:b w:val="1"/>
          <w:bCs w:val="1"/>
          <w:i w:val="1"/>
          <w:iCs w:val="1"/>
          <w:color w:val="auto"/>
        </w:rPr>
        <w:t>Non-GAAP Income from Operations and Non-GAAP Operating Margin</w:t>
      </w:r>
    </w:p>
    <w:p>
      <w:pPr>
        <w:spacing w:after="0" w:line="249" w:lineRule="exact"/>
        <w:rPr>
          <w:sz w:val="20"/>
          <w:szCs w:val="20"/>
          <w:color w:val="auto"/>
        </w:rPr>
      </w:pPr>
    </w:p>
    <w:p>
      <w:pPr>
        <w:ind w:right="120" w:firstLine="360"/>
        <w:spacing w:after="0" w:line="273" w:lineRule="auto"/>
        <w:rPr>
          <w:sz w:val="20"/>
          <w:szCs w:val="20"/>
          <w:color w:val="auto"/>
        </w:rPr>
      </w:pPr>
      <w:r>
        <w:rPr>
          <w:rFonts w:ascii="Arial" w:cs="Arial" w:eastAsia="Arial" w:hAnsi="Arial"/>
          <w:sz w:val="19"/>
          <w:szCs w:val="19"/>
          <w:color w:val="auto"/>
        </w:rPr>
        <w:t>We use non-GAAP income from operations along with non-GAAP operating margin as key indicators of our financial performance. We define these non-GAAP financial measures as their respective GAAP measures, excluding the effects of stock-based compensation, acquisition-related expenses, costs related to the intra-entity asset transfers resulting from the internal restructuring of legal entities and amortization of acquired intangible assets. Acquisition-related expenses include transaction expenses and costs related to the intercompany transfer of acquired intellectual property.</w:t>
      </w:r>
    </w:p>
    <w:p>
      <w:pPr>
        <w:spacing w:after="0" w:line="189" w:lineRule="exact"/>
        <w:rPr>
          <w:sz w:val="20"/>
          <w:szCs w:val="20"/>
          <w:color w:val="auto"/>
        </w:rPr>
      </w:pPr>
    </w:p>
    <w:p>
      <w:pPr>
        <w:ind w:right="300" w:firstLine="360"/>
        <w:spacing w:after="0" w:line="257" w:lineRule="auto"/>
        <w:rPr>
          <w:sz w:val="20"/>
          <w:szCs w:val="20"/>
          <w:color w:val="auto"/>
        </w:rPr>
      </w:pPr>
      <w:r>
        <w:rPr>
          <w:rFonts w:ascii="Arial" w:cs="Arial" w:eastAsia="Arial" w:hAnsi="Arial"/>
          <w:sz w:val="20"/>
          <w:szCs w:val="20"/>
          <w:color w:val="auto"/>
        </w:rPr>
        <w:t>We believe that these non-GAAP financial measures provide useful information about our core operating results over multiple periods. There are a number of limitations related to the use of the non-GAAP financial measures as compared to GAAP loss from operations and operating margin, including that non-GAAP income from operations and non-GAAP operating margin exclude stock-based compensation expense, which has been, and will continue to be, a significant recurring expense in our business and an important part of our compensation strategy.</w:t>
      </w:r>
    </w:p>
    <w:p>
      <w:pPr>
        <w:spacing w:after="0" w:line="202" w:lineRule="exact"/>
        <w:rPr>
          <w:sz w:val="20"/>
          <w:szCs w:val="20"/>
          <w:color w:val="auto"/>
        </w:rPr>
      </w:pPr>
    </w:p>
    <w:p>
      <w:pPr>
        <w:ind w:right="20" w:firstLine="360"/>
        <w:spacing w:after="0" w:line="262" w:lineRule="auto"/>
        <w:rPr>
          <w:sz w:val="20"/>
          <w:szCs w:val="20"/>
          <w:color w:val="auto"/>
        </w:rPr>
      </w:pPr>
      <w:r>
        <w:rPr>
          <w:rFonts w:ascii="Arial" w:cs="Arial" w:eastAsia="Arial" w:hAnsi="Arial"/>
          <w:sz w:val="20"/>
          <w:szCs w:val="20"/>
          <w:color w:val="auto"/>
        </w:rPr>
        <w:t>The following table presents a reconciliation of loss from operations, the most directly comparable financial measure calculated in accordance with GAAP, to non-GAAP income from operations, and operating margin, the most directly comparable financial measure calculated in accordance with GAAP, to non-GAAP operating margin: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7"/>
          </w:tcPr>
          <w:p>
            <w:pPr>
              <w:jc w:val="right"/>
              <w:ind w:right="821"/>
              <w:spacing w:after="0"/>
              <w:rPr>
                <w:sz w:val="20"/>
                <w:szCs w:val="20"/>
                <w:color w:val="auto"/>
              </w:rPr>
            </w:pPr>
            <w:r>
              <w:rPr>
                <w:rFonts w:ascii="Arial" w:cs="Arial" w:eastAsia="Arial" w:hAnsi="Arial"/>
                <w:sz w:val="18"/>
                <w:szCs w:val="18"/>
                <w:b w:val="1"/>
                <w:bCs w:val="1"/>
                <w:color w:val="auto"/>
              </w:rPr>
              <w:t>Year Ended December 31,</w:t>
            </w:r>
          </w:p>
        </w:tc>
      </w:tr>
      <w:tr>
        <w:trPr>
          <w:trHeight w:val="280"/>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(dollars in thousands)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61"/>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61"/>
              <w:spacing w:after="0"/>
              <w:rPr>
                <w:sz w:val="20"/>
                <w:szCs w:val="20"/>
                <w:color w:val="auto"/>
              </w:rPr>
            </w:pPr>
            <w:r>
              <w:rPr>
                <w:rFonts w:ascii="Arial" w:cs="Arial" w:eastAsia="Arial" w:hAnsi="Arial"/>
                <w:sz w:val="18"/>
                <w:szCs w:val="18"/>
                <w:b w:val="1"/>
                <w:bCs w:val="1"/>
                <w:color w:val="auto"/>
              </w:rPr>
              <w:t>2020</w:t>
            </w:r>
          </w:p>
        </w:tc>
      </w:tr>
      <w:tr>
        <w:trPr>
          <w:trHeight w:val="29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Loss from operations</w:t>
            </w:r>
          </w:p>
        </w:tc>
        <w:tc>
          <w:tcPr>
            <w:tcW w:w="2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D2EDF0"/>
          </w:tcPr>
          <w:p>
            <w:pPr>
              <w:jc w:val="right"/>
              <w:ind w:right="102"/>
              <w:spacing w:after="0"/>
              <w:rPr>
                <w:sz w:val="20"/>
                <w:szCs w:val="20"/>
                <w:color w:val="auto"/>
              </w:rPr>
            </w:pPr>
            <w:r>
              <w:rPr>
                <w:rFonts w:ascii="Arial" w:cs="Arial" w:eastAsia="Arial" w:hAnsi="Arial"/>
                <w:sz w:val="20"/>
                <w:szCs w:val="20"/>
                <w:color w:val="auto"/>
              </w:rPr>
              <w:t>(67,815)</w:t>
            </w:r>
          </w:p>
        </w:tc>
        <w:tc>
          <w:tcPr>
            <w:tcW w:w="340" w:type="dxa"/>
            <w:vAlign w:val="bottom"/>
            <w:gridSpan w:val="2"/>
            <w:shd w:val="clear" w:color="auto" w:fill="D2EDF0"/>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DF0"/>
          </w:tcPr>
          <w:p>
            <w:pPr>
              <w:jc w:val="right"/>
              <w:ind w:right="101"/>
              <w:spacing w:after="0"/>
              <w:rPr>
                <w:sz w:val="20"/>
                <w:szCs w:val="20"/>
                <w:color w:val="auto"/>
              </w:rPr>
            </w:pPr>
            <w:r>
              <w:rPr>
                <w:rFonts w:ascii="Arial" w:cs="Arial" w:eastAsia="Arial" w:hAnsi="Arial"/>
                <w:sz w:val="20"/>
                <w:szCs w:val="20"/>
                <w:color w:val="auto"/>
              </w:rPr>
              <w:t>(41,768)</w:t>
            </w:r>
          </w:p>
        </w:tc>
        <w:tc>
          <w:tcPr>
            <w:tcW w:w="340" w:type="dxa"/>
            <w:vAlign w:val="bottom"/>
            <w:gridSpan w:val="2"/>
            <w:shd w:val="clear" w:color="auto" w:fill="D2EDF0"/>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DF0"/>
          </w:tcPr>
          <w:p>
            <w:pPr>
              <w:jc w:val="right"/>
              <w:ind w:right="101"/>
              <w:spacing w:after="0"/>
              <w:rPr>
                <w:sz w:val="20"/>
                <w:szCs w:val="20"/>
                <w:color w:val="auto"/>
              </w:rPr>
            </w:pPr>
            <w:r>
              <w:rPr>
                <w:rFonts w:ascii="Arial" w:cs="Arial" w:eastAsia="Arial" w:hAnsi="Arial"/>
                <w:sz w:val="20"/>
                <w:szCs w:val="20"/>
                <w:color w:val="auto"/>
              </w:rPr>
              <w:t>(36,433)</w:t>
            </w:r>
          </w:p>
        </w:tc>
      </w:tr>
      <w:tr>
        <w:trPr>
          <w:trHeight w:val="296"/>
        </w:trPr>
        <w:tc>
          <w:tcPr>
            <w:tcW w:w="4940" w:type="dxa"/>
            <w:vAlign w:val="bottom"/>
          </w:tcPr>
          <w:p>
            <w:pPr>
              <w:ind w:left="60"/>
              <w:spacing w:after="0"/>
              <w:rPr>
                <w:sz w:val="20"/>
                <w:szCs w:val="20"/>
                <w:color w:val="auto"/>
              </w:rPr>
            </w:pPr>
            <w:r>
              <w:rPr>
                <w:rFonts w:ascii="Arial" w:cs="Arial" w:eastAsia="Arial" w:hAnsi="Arial"/>
                <w:sz w:val="20"/>
                <w:szCs w:val="20"/>
                <w:color w:val="auto"/>
              </w:rPr>
              <w:t>Stock-based compensation</w:t>
            </w:r>
          </w:p>
        </w:tc>
        <w:tc>
          <w:tcPr>
            <w:tcW w:w="240" w:type="dxa"/>
            <w:vAlign w:val="bottom"/>
          </w:tcPr>
          <w:p>
            <w:pPr>
              <w:spacing w:after="0"/>
              <w:rPr>
                <w:sz w:val="24"/>
                <w:szCs w:val="24"/>
                <w:color w:val="auto"/>
              </w:rPr>
            </w:pPr>
          </w:p>
        </w:tc>
        <w:tc>
          <w:tcPr>
            <w:tcW w:w="1060" w:type="dxa"/>
            <w:vAlign w:val="bottom"/>
          </w:tcPr>
          <w:p>
            <w:pPr>
              <w:jc w:val="right"/>
              <w:ind w:right="162"/>
              <w:spacing w:after="0"/>
              <w:rPr>
                <w:sz w:val="20"/>
                <w:szCs w:val="20"/>
                <w:color w:val="auto"/>
              </w:rPr>
            </w:pPr>
            <w:r>
              <w:rPr>
                <w:rFonts w:ascii="Arial" w:cs="Arial" w:eastAsia="Arial" w:hAnsi="Arial"/>
                <w:sz w:val="20"/>
                <w:szCs w:val="20"/>
                <w:color w:val="auto"/>
              </w:rPr>
              <w:t>120,633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79,405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59,573</w:t>
            </w:r>
          </w:p>
        </w:tc>
      </w:tr>
      <w:tr>
        <w:trPr>
          <w:trHeight w:val="304"/>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Acquisition-related expenses</w:t>
            </w:r>
          </w:p>
        </w:tc>
        <w:tc>
          <w:tcPr>
            <w:tcW w:w="240" w:type="dxa"/>
            <w:vAlign w:val="bottom"/>
            <w:shd w:val="clear" w:color="auto" w:fill="D2EDF0"/>
          </w:tcPr>
          <w:p>
            <w:pPr>
              <w:spacing w:after="0"/>
              <w:rPr>
                <w:sz w:val="24"/>
                <w:szCs w:val="24"/>
                <w:color w:val="auto"/>
              </w:rPr>
            </w:pPr>
          </w:p>
        </w:tc>
        <w:tc>
          <w:tcPr>
            <w:tcW w:w="1060" w:type="dxa"/>
            <w:vAlign w:val="bottom"/>
            <w:shd w:val="clear" w:color="auto" w:fill="D2EDF0"/>
          </w:tcPr>
          <w:p>
            <w:pPr>
              <w:jc w:val="right"/>
              <w:ind w:right="162"/>
              <w:spacing w:after="0"/>
              <w:rPr>
                <w:sz w:val="20"/>
                <w:szCs w:val="20"/>
                <w:color w:val="auto"/>
              </w:rPr>
            </w:pPr>
            <w:r>
              <w:rPr>
                <w:rFonts w:ascii="Arial" w:cs="Arial" w:eastAsia="Arial" w:hAnsi="Arial"/>
                <w:sz w:val="20"/>
                <w:szCs w:val="20"/>
                <w:color w:val="auto"/>
              </w:rPr>
              <w:t>2,642</w:t>
            </w:r>
          </w:p>
        </w:tc>
        <w:tc>
          <w:tcPr>
            <w:tcW w:w="80" w:type="dxa"/>
            <w:vAlign w:val="bottom"/>
            <w:shd w:val="clear" w:color="auto" w:fill="D2EDF0"/>
          </w:tcPr>
          <w:p>
            <w:pPr>
              <w:spacing w:after="0"/>
              <w:rPr>
                <w:sz w:val="24"/>
                <w:szCs w:val="24"/>
                <w:color w:val="auto"/>
              </w:rPr>
            </w:pPr>
          </w:p>
        </w:tc>
        <w:tc>
          <w:tcPr>
            <w:tcW w:w="260" w:type="dxa"/>
            <w:vAlign w:val="bottom"/>
            <w:shd w:val="clear" w:color="auto" w:fill="D2EDF0"/>
          </w:tcPr>
          <w:p>
            <w:pPr>
              <w:spacing w:after="0"/>
              <w:rPr>
                <w:sz w:val="24"/>
                <w:szCs w:val="24"/>
                <w:color w:val="auto"/>
              </w:rPr>
            </w:pPr>
          </w:p>
        </w:tc>
        <w:tc>
          <w:tcPr>
            <w:tcW w:w="1040" w:type="dxa"/>
            <w:vAlign w:val="bottom"/>
            <w:shd w:val="clear" w:color="auto" w:fill="D2EDF0"/>
          </w:tcPr>
          <w:p>
            <w:pPr>
              <w:jc w:val="right"/>
              <w:ind w:right="161"/>
              <w:spacing w:after="0"/>
              <w:rPr>
                <w:sz w:val="20"/>
                <w:szCs w:val="20"/>
                <w:color w:val="auto"/>
              </w:rPr>
            </w:pPr>
            <w:r>
              <w:rPr>
                <w:rFonts w:ascii="Arial" w:cs="Arial" w:eastAsia="Arial" w:hAnsi="Arial"/>
                <w:sz w:val="20"/>
                <w:szCs w:val="20"/>
                <w:color w:val="auto"/>
              </w:rPr>
              <w:t>6,901</w:t>
            </w:r>
          </w:p>
        </w:tc>
        <w:tc>
          <w:tcPr>
            <w:tcW w:w="80" w:type="dxa"/>
            <w:vAlign w:val="bottom"/>
            <w:shd w:val="clear" w:color="auto" w:fill="D2EDF0"/>
          </w:tcPr>
          <w:p>
            <w:pPr>
              <w:spacing w:after="0"/>
              <w:rPr>
                <w:sz w:val="24"/>
                <w:szCs w:val="24"/>
                <w:color w:val="auto"/>
              </w:rPr>
            </w:pPr>
          </w:p>
        </w:tc>
        <w:tc>
          <w:tcPr>
            <w:tcW w:w="260" w:type="dxa"/>
            <w:vAlign w:val="bottom"/>
            <w:shd w:val="clear" w:color="auto" w:fill="D2EDF0"/>
          </w:tcPr>
          <w:p>
            <w:pPr>
              <w:spacing w:after="0"/>
              <w:rPr>
                <w:sz w:val="24"/>
                <w:szCs w:val="24"/>
                <w:color w:val="auto"/>
              </w:rPr>
            </w:pPr>
          </w:p>
        </w:tc>
        <w:tc>
          <w:tcPr>
            <w:tcW w:w="1040" w:type="dxa"/>
            <w:vAlign w:val="bottom"/>
            <w:shd w:val="clear" w:color="auto" w:fill="D2EDF0"/>
          </w:tcPr>
          <w:p>
            <w:pPr>
              <w:jc w:val="right"/>
              <w:ind w:right="161"/>
              <w:spacing w:after="0"/>
              <w:rPr>
                <w:sz w:val="20"/>
                <w:szCs w:val="20"/>
                <w:color w:val="auto"/>
              </w:rPr>
            </w:pPr>
            <w:r>
              <w:rPr>
                <w:rFonts w:ascii="Arial" w:cs="Arial" w:eastAsia="Arial" w:hAnsi="Arial"/>
                <w:sz w:val="20"/>
                <w:szCs w:val="20"/>
                <w:color w:val="auto"/>
              </w:rPr>
              <w:t>339</w:t>
            </w:r>
          </w:p>
        </w:tc>
      </w:tr>
      <w:tr>
        <w:trPr>
          <w:trHeight w:val="300"/>
        </w:trPr>
        <w:tc>
          <w:tcPr>
            <w:tcW w:w="4940" w:type="dxa"/>
            <w:vAlign w:val="bottom"/>
          </w:tcPr>
          <w:p>
            <w:pPr>
              <w:ind w:left="60"/>
              <w:spacing w:after="0"/>
              <w:rPr>
                <w:sz w:val="20"/>
                <w:szCs w:val="20"/>
                <w:color w:val="auto"/>
              </w:rPr>
            </w:pPr>
            <w:r>
              <w:rPr>
                <w:rFonts w:ascii="Arial" w:cs="Arial" w:eastAsia="Arial" w:hAnsi="Arial"/>
                <w:sz w:val="20"/>
                <w:szCs w:val="20"/>
                <w:color w:val="auto"/>
              </w:rPr>
              <w:t>Costs related to intra-entity asset transfers</w:t>
            </w:r>
            <w:r>
              <w:rPr>
                <w:rFonts w:ascii="Arial" w:cs="Arial" w:eastAsia="Arial" w:hAnsi="Arial"/>
                <w:sz w:val="26"/>
                <w:szCs w:val="26"/>
                <w:color w:val="auto"/>
                <w:vertAlign w:val="superscript"/>
              </w:rPr>
              <w:t>(1)</w:t>
            </w:r>
          </w:p>
        </w:tc>
        <w:tc>
          <w:tcPr>
            <w:tcW w:w="240" w:type="dxa"/>
            <w:vAlign w:val="bottom"/>
          </w:tcPr>
          <w:p>
            <w:pPr>
              <w:spacing w:after="0"/>
              <w:rPr>
                <w:sz w:val="24"/>
                <w:szCs w:val="24"/>
                <w:color w:val="auto"/>
              </w:rPr>
            </w:pPr>
          </w:p>
        </w:tc>
        <w:tc>
          <w:tcPr>
            <w:tcW w:w="1060" w:type="dxa"/>
            <w:vAlign w:val="bottom"/>
          </w:tcPr>
          <w:p>
            <w:pPr>
              <w:jc w:val="right"/>
              <w:ind w:right="162"/>
              <w:spacing w:after="0"/>
              <w:rPr>
                <w:sz w:val="20"/>
                <w:szCs w:val="20"/>
                <w:color w:val="auto"/>
              </w:rPr>
            </w:pPr>
            <w:r>
              <w:rPr>
                <w:rFonts w:ascii="Arial" w:cs="Arial" w:eastAsia="Arial" w:hAnsi="Arial"/>
                <w:sz w:val="20"/>
                <w:szCs w:val="20"/>
                <w:color w:val="auto"/>
              </w:rPr>
              <w:t>838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w:t>
            </w:r>
          </w:p>
        </w:tc>
      </w:tr>
      <w:tr>
        <w:trPr>
          <w:trHeight w:val="290"/>
        </w:trPr>
        <w:tc>
          <w:tcPr>
            <w:tcW w:w="494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20"/>
                <w:szCs w:val="20"/>
                <w:color w:val="auto"/>
              </w:rPr>
              <w:t>Amortization of acquired intangible assets</w:t>
            </w:r>
          </w:p>
        </w:tc>
        <w:tc>
          <w:tcPr>
            <w:tcW w:w="240" w:type="dxa"/>
            <w:vAlign w:val="bottom"/>
            <w:tcBorders>
              <w:bottom w:val="single" w:sz="8" w:color="auto"/>
            </w:tcBorders>
            <w:shd w:val="clear" w:color="auto" w:fill="D2EDF0"/>
          </w:tcPr>
          <w:p>
            <w:pPr>
              <w:spacing w:after="0"/>
              <w:rPr>
                <w:sz w:val="24"/>
                <w:szCs w:val="24"/>
                <w:color w:val="auto"/>
              </w:rPr>
            </w:pPr>
          </w:p>
        </w:tc>
        <w:tc>
          <w:tcPr>
            <w:tcW w:w="1060" w:type="dxa"/>
            <w:vAlign w:val="bottom"/>
            <w:tcBorders>
              <w:bottom w:val="single" w:sz="8" w:color="auto"/>
            </w:tcBorders>
            <w:shd w:val="clear" w:color="auto" w:fill="D2EDF0"/>
          </w:tcPr>
          <w:p>
            <w:pPr>
              <w:jc w:val="right"/>
              <w:ind w:right="162"/>
              <w:spacing w:after="0"/>
              <w:rPr>
                <w:sz w:val="20"/>
                <w:szCs w:val="20"/>
                <w:color w:val="auto"/>
              </w:rPr>
            </w:pPr>
            <w:r>
              <w:rPr>
                <w:rFonts w:ascii="Arial" w:cs="Arial" w:eastAsia="Arial" w:hAnsi="Arial"/>
                <w:sz w:val="20"/>
                <w:szCs w:val="20"/>
                <w:color w:val="auto"/>
              </w:rPr>
              <w:t>11,372</w:t>
            </w:r>
          </w:p>
        </w:tc>
        <w:tc>
          <w:tcPr>
            <w:tcW w:w="80" w:type="dxa"/>
            <w:vAlign w:val="bottom"/>
            <w:tcBorders>
              <w:bottom w:val="single" w:sz="8" w:color="D2EDF0"/>
            </w:tcBorders>
            <w:shd w:val="clear" w:color="auto" w:fill="D2EDF0"/>
          </w:tcPr>
          <w:p>
            <w:pPr>
              <w:spacing w:after="0"/>
              <w:rPr>
                <w:sz w:val="24"/>
                <w:szCs w:val="24"/>
                <w:color w:val="auto"/>
              </w:rPr>
            </w:pPr>
          </w:p>
        </w:tc>
        <w:tc>
          <w:tcPr>
            <w:tcW w:w="260" w:type="dxa"/>
            <w:vAlign w:val="bottom"/>
            <w:tcBorders>
              <w:bottom w:val="single" w:sz="8" w:color="auto"/>
            </w:tcBorders>
            <w:shd w:val="clear" w:color="auto" w:fill="D2EDF0"/>
          </w:tcPr>
          <w:p>
            <w:pPr>
              <w:spacing w:after="0"/>
              <w:rPr>
                <w:sz w:val="24"/>
                <w:szCs w:val="24"/>
                <w:color w:val="auto"/>
              </w:rPr>
            </w:pPr>
          </w:p>
        </w:tc>
        <w:tc>
          <w:tcPr>
            <w:tcW w:w="1040" w:type="dxa"/>
            <w:vAlign w:val="bottom"/>
            <w:tcBorders>
              <w:bottom w:val="single" w:sz="8" w:color="auto"/>
            </w:tcBorders>
            <w:shd w:val="clear" w:color="auto" w:fill="D2EDF0"/>
          </w:tcPr>
          <w:p>
            <w:pPr>
              <w:jc w:val="right"/>
              <w:ind w:right="161"/>
              <w:spacing w:after="0"/>
              <w:rPr>
                <w:sz w:val="20"/>
                <w:szCs w:val="20"/>
                <w:color w:val="auto"/>
              </w:rPr>
            </w:pPr>
            <w:r>
              <w:rPr>
                <w:rFonts w:ascii="Arial" w:cs="Arial" w:eastAsia="Arial" w:hAnsi="Arial"/>
                <w:sz w:val="20"/>
                <w:szCs w:val="20"/>
                <w:color w:val="auto"/>
              </w:rPr>
              <w:t>6,447</w:t>
            </w:r>
          </w:p>
        </w:tc>
        <w:tc>
          <w:tcPr>
            <w:tcW w:w="80" w:type="dxa"/>
            <w:vAlign w:val="bottom"/>
            <w:tcBorders>
              <w:bottom w:val="single" w:sz="8" w:color="D2EDF0"/>
            </w:tcBorders>
            <w:shd w:val="clear" w:color="auto" w:fill="D2EDF0"/>
          </w:tcPr>
          <w:p>
            <w:pPr>
              <w:spacing w:after="0"/>
              <w:rPr>
                <w:sz w:val="24"/>
                <w:szCs w:val="24"/>
                <w:color w:val="auto"/>
              </w:rPr>
            </w:pPr>
          </w:p>
        </w:tc>
        <w:tc>
          <w:tcPr>
            <w:tcW w:w="260" w:type="dxa"/>
            <w:vAlign w:val="bottom"/>
            <w:tcBorders>
              <w:bottom w:val="single" w:sz="8" w:color="auto"/>
            </w:tcBorders>
            <w:shd w:val="clear" w:color="auto" w:fill="D2EDF0"/>
          </w:tcPr>
          <w:p>
            <w:pPr>
              <w:spacing w:after="0"/>
              <w:rPr>
                <w:sz w:val="24"/>
                <w:szCs w:val="24"/>
                <w:color w:val="auto"/>
              </w:rPr>
            </w:pPr>
          </w:p>
        </w:tc>
        <w:tc>
          <w:tcPr>
            <w:tcW w:w="1040" w:type="dxa"/>
            <w:vAlign w:val="bottom"/>
            <w:tcBorders>
              <w:bottom w:val="single" w:sz="8" w:color="auto"/>
            </w:tcBorders>
            <w:shd w:val="clear" w:color="auto" w:fill="D2EDF0"/>
          </w:tcPr>
          <w:p>
            <w:pPr>
              <w:jc w:val="right"/>
              <w:ind w:right="161"/>
              <w:spacing w:after="0"/>
              <w:rPr>
                <w:sz w:val="20"/>
                <w:szCs w:val="20"/>
                <w:color w:val="auto"/>
              </w:rPr>
            </w:pPr>
            <w:r>
              <w:rPr>
                <w:rFonts w:ascii="Arial" w:cs="Arial" w:eastAsia="Arial" w:hAnsi="Arial"/>
                <w:sz w:val="20"/>
                <w:szCs w:val="20"/>
                <w:color w:val="auto"/>
              </w:rPr>
              <w:t>2,314</w:t>
            </w:r>
          </w:p>
        </w:tc>
      </w:tr>
      <w:tr>
        <w:trPr>
          <w:trHeight w:val="260"/>
        </w:trPr>
        <w:tc>
          <w:tcPr>
            <w:tcW w:w="4940" w:type="dxa"/>
            <w:vAlign w:val="bottom"/>
          </w:tcPr>
          <w:p>
            <w:pPr>
              <w:ind w:left="280"/>
              <w:spacing w:after="0"/>
              <w:rPr>
                <w:sz w:val="20"/>
                <w:szCs w:val="20"/>
                <w:color w:val="auto"/>
              </w:rPr>
            </w:pPr>
            <w:r>
              <w:rPr>
                <w:rFonts w:ascii="Arial" w:cs="Arial" w:eastAsia="Arial" w:hAnsi="Arial"/>
                <w:sz w:val="20"/>
                <w:szCs w:val="20"/>
                <w:color w:val="auto"/>
              </w:rPr>
              <w:t>Non-GAAP income from operations</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62"/>
              <w:spacing w:after="0"/>
              <w:rPr>
                <w:sz w:val="20"/>
                <w:szCs w:val="20"/>
                <w:color w:val="auto"/>
              </w:rPr>
            </w:pPr>
            <w:r>
              <w:rPr>
                <w:rFonts w:ascii="Arial" w:cs="Arial" w:eastAsia="Arial" w:hAnsi="Arial"/>
                <w:sz w:val="20"/>
                <w:szCs w:val="20"/>
                <w:color w:val="auto"/>
              </w:rPr>
              <w:t>67,670</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50,985</w:t>
            </w:r>
          </w:p>
        </w:tc>
        <w:tc>
          <w:tcPr>
            <w:tcW w:w="34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61"/>
              <w:spacing w:after="0"/>
              <w:rPr>
                <w:sz w:val="20"/>
                <w:szCs w:val="20"/>
                <w:color w:val="auto"/>
              </w:rPr>
            </w:pPr>
            <w:r>
              <w:rPr>
                <w:rFonts w:ascii="Arial" w:cs="Arial" w:eastAsia="Arial" w:hAnsi="Arial"/>
                <w:sz w:val="20"/>
                <w:szCs w:val="20"/>
                <w:color w:val="auto"/>
              </w:rPr>
              <w:t>25,793</w:t>
            </w:r>
          </w:p>
        </w:tc>
      </w:tr>
      <w:tr>
        <w:trPr>
          <w:trHeight w:val="20"/>
        </w:trPr>
        <w:tc>
          <w:tcPr>
            <w:tcW w:w="4940" w:type="dxa"/>
            <w:vAlign w:val="bottom"/>
            <w:tcBorders>
              <w:bottom w:val="single" w:sz="8" w:color="D2EDF0"/>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2EDF0"/>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2EDF0"/>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4940" w:type="dxa"/>
            <w:vAlign w:val="bottom"/>
            <w:shd w:val="clear" w:color="auto" w:fill="D2EDF0"/>
          </w:tcPr>
          <w:p>
            <w:pPr>
              <w:spacing w:after="0"/>
              <w:rPr>
                <w:sz w:val="23"/>
                <w:szCs w:val="23"/>
                <w:color w:val="auto"/>
              </w:rPr>
            </w:pPr>
          </w:p>
        </w:tc>
        <w:tc>
          <w:tcPr>
            <w:tcW w:w="240" w:type="dxa"/>
            <w:vAlign w:val="bottom"/>
            <w:shd w:val="clear" w:color="auto" w:fill="D2EDF0"/>
          </w:tcPr>
          <w:p>
            <w:pPr>
              <w:spacing w:after="0"/>
              <w:rPr>
                <w:sz w:val="23"/>
                <w:szCs w:val="23"/>
                <w:color w:val="auto"/>
              </w:rPr>
            </w:pPr>
          </w:p>
        </w:tc>
        <w:tc>
          <w:tcPr>
            <w:tcW w:w="1060" w:type="dxa"/>
            <w:vAlign w:val="bottom"/>
            <w:shd w:val="clear" w:color="auto" w:fill="D2EDF0"/>
          </w:tcPr>
          <w:p>
            <w:pPr>
              <w:spacing w:after="0"/>
              <w:rPr>
                <w:sz w:val="23"/>
                <w:szCs w:val="23"/>
                <w:color w:val="auto"/>
              </w:rPr>
            </w:pPr>
          </w:p>
        </w:tc>
        <w:tc>
          <w:tcPr>
            <w:tcW w:w="80" w:type="dxa"/>
            <w:vAlign w:val="bottom"/>
            <w:shd w:val="clear" w:color="auto" w:fill="D2EDF0"/>
          </w:tcPr>
          <w:p>
            <w:pPr>
              <w:spacing w:after="0"/>
              <w:rPr>
                <w:sz w:val="23"/>
                <w:szCs w:val="23"/>
                <w:color w:val="auto"/>
              </w:rPr>
            </w:pPr>
          </w:p>
        </w:tc>
        <w:tc>
          <w:tcPr>
            <w:tcW w:w="260" w:type="dxa"/>
            <w:vAlign w:val="bottom"/>
            <w:shd w:val="clear" w:color="auto" w:fill="D2EDF0"/>
          </w:tcPr>
          <w:p>
            <w:pPr>
              <w:spacing w:after="0"/>
              <w:rPr>
                <w:sz w:val="23"/>
                <w:szCs w:val="23"/>
                <w:color w:val="auto"/>
              </w:rPr>
            </w:pPr>
          </w:p>
        </w:tc>
        <w:tc>
          <w:tcPr>
            <w:tcW w:w="1040" w:type="dxa"/>
            <w:vAlign w:val="bottom"/>
            <w:shd w:val="clear" w:color="auto" w:fill="D2EDF0"/>
          </w:tcPr>
          <w:p>
            <w:pPr>
              <w:spacing w:after="0"/>
              <w:rPr>
                <w:sz w:val="23"/>
                <w:szCs w:val="23"/>
                <w:color w:val="auto"/>
              </w:rPr>
            </w:pPr>
          </w:p>
        </w:tc>
        <w:tc>
          <w:tcPr>
            <w:tcW w:w="80" w:type="dxa"/>
            <w:vAlign w:val="bottom"/>
            <w:shd w:val="clear" w:color="auto" w:fill="D2EDF0"/>
          </w:tcPr>
          <w:p>
            <w:pPr>
              <w:spacing w:after="0"/>
              <w:rPr>
                <w:sz w:val="23"/>
                <w:szCs w:val="23"/>
                <w:color w:val="auto"/>
              </w:rPr>
            </w:pPr>
          </w:p>
        </w:tc>
        <w:tc>
          <w:tcPr>
            <w:tcW w:w="260" w:type="dxa"/>
            <w:vAlign w:val="bottom"/>
            <w:shd w:val="clear" w:color="auto" w:fill="D2EDF0"/>
          </w:tcPr>
          <w:p>
            <w:pPr>
              <w:spacing w:after="0"/>
              <w:rPr>
                <w:sz w:val="23"/>
                <w:szCs w:val="23"/>
                <w:color w:val="auto"/>
              </w:rPr>
            </w:pPr>
          </w:p>
        </w:tc>
        <w:tc>
          <w:tcPr>
            <w:tcW w:w="1040" w:type="dxa"/>
            <w:vAlign w:val="bottom"/>
            <w:shd w:val="clear" w:color="auto" w:fill="D2EDF0"/>
          </w:tcPr>
          <w:p>
            <w:pPr>
              <w:spacing w:after="0"/>
              <w:rPr>
                <w:sz w:val="23"/>
                <w:szCs w:val="23"/>
                <w:color w:val="auto"/>
              </w:rPr>
            </w:pPr>
          </w:p>
        </w:tc>
      </w:tr>
      <w:tr>
        <w:trPr>
          <w:trHeight w:val="296"/>
        </w:trPr>
        <w:tc>
          <w:tcPr>
            <w:tcW w:w="4940" w:type="dxa"/>
            <w:vAlign w:val="bottom"/>
          </w:tcPr>
          <w:p>
            <w:pPr>
              <w:ind w:left="60"/>
              <w:spacing w:after="0"/>
              <w:rPr>
                <w:sz w:val="20"/>
                <w:szCs w:val="20"/>
                <w:color w:val="auto"/>
              </w:rPr>
            </w:pPr>
            <w:r>
              <w:rPr>
                <w:rFonts w:ascii="Arial" w:cs="Arial" w:eastAsia="Arial" w:hAnsi="Arial"/>
                <w:sz w:val="20"/>
                <w:szCs w:val="20"/>
                <w:color w:val="auto"/>
              </w:rPr>
              <w:t>Operating margin</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304"/>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Non-GAAP operating margin</w:t>
            </w:r>
          </w:p>
        </w:tc>
        <w:tc>
          <w:tcPr>
            <w:tcW w:w="240" w:type="dxa"/>
            <w:vAlign w:val="bottom"/>
            <w:shd w:val="clear" w:color="auto" w:fill="D2EDF0"/>
          </w:tcPr>
          <w:p>
            <w:pPr>
              <w:spacing w:after="0"/>
              <w:rPr>
                <w:sz w:val="24"/>
                <w:szCs w:val="24"/>
                <w:color w:val="auto"/>
              </w:rPr>
            </w:pPr>
          </w:p>
        </w:tc>
        <w:tc>
          <w:tcPr>
            <w:tcW w:w="10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10 %</w:t>
            </w:r>
          </w:p>
        </w:tc>
        <w:tc>
          <w:tcPr>
            <w:tcW w:w="80" w:type="dxa"/>
            <w:vAlign w:val="bottom"/>
            <w:shd w:val="clear" w:color="auto" w:fill="D2EDF0"/>
          </w:tcPr>
          <w:p>
            <w:pPr>
              <w:spacing w:after="0"/>
              <w:rPr>
                <w:sz w:val="24"/>
                <w:szCs w:val="24"/>
                <w:color w:val="auto"/>
              </w:rPr>
            </w:pPr>
          </w:p>
        </w:tc>
        <w:tc>
          <w:tcPr>
            <w:tcW w:w="260" w:type="dxa"/>
            <w:vAlign w:val="bottom"/>
            <w:shd w:val="clear" w:color="auto" w:fill="D2EDF0"/>
          </w:tcPr>
          <w:p>
            <w:pPr>
              <w:spacing w:after="0"/>
              <w:rPr>
                <w:sz w:val="24"/>
                <w:szCs w:val="24"/>
                <w:color w:val="auto"/>
              </w:rPr>
            </w:pP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9 %</w:t>
            </w:r>
          </w:p>
        </w:tc>
        <w:tc>
          <w:tcPr>
            <w:tcW w:w="80" w:type="dxa"/>
            <w:vAlign w:val="bottom"/>
            <w:shd w:val="clear" w:color="auto" w:fill="D2EDF0"/>
          </w:tcPr>
          <w:p>
            <w:pPr>
              <w:spacing w:after="0"/>
              <w:rPr>
                <w:sz w:val="24"/>
                <w:szCs w:val="24"/>
                <w:color w:val="auto"/>
              </w:rPr>
            </w:pPr>
          </w:p>
        </w:tc>
        <w:tc>
          <w:tcPr>
            <w:tcW w:w="260" w:type="dxa"/>
            <w:vAlign w:val="bottom"/>
            <w:shd w:val="clear" w:color="auto" w:fill="D2EDF0"/>
          </w:tcPr>
          <w:p>
            <w:pPr>
              <w:spacing w:after="0"/>
              <w:rPr>
                <w:sz w:val="24"/>
                <w:szCs w:val="24"/>
                <w:color w:val="auto"/>
              </w:rPr>
            </w:pP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-1713865</wp:posOffset>
            </wp:positionV>
            <wp:extent cx="2581275" cy="17145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81275" cy="171450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w:t>
      </w:r>
    </w:p>
    <w:p>
      <w:pPr>
        <w:ind w:left="720" w:hanging="720"/>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costs related to the intra-entity asset transfers resulted from our internal restructuring of Cymptom.</w:t>
      </w:r>
    </w:p>
    <w:p>
      <w:pPr>
        <w:spacing w:after="0" w:line="245"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Non-GAAP Net Income and Non-GAAP Earnings Per Share</w:t>
      </w:r>
    </w:p>
    <w:p>
      <w:pPr>
        <w:spacing w:after="0" w:line="249" w:lineRule="exact"/>
        <w:rPr>
          <w:sz w:val="20"/>
          <w:szCs w:val="20"/>
          <w:color w:val="auto"/>
        </w:rPr>
      </w:pPr>
    </w:p>
    <w:p>
      <w:pPr>
        <w:ind w:right="160" w:firstLine="360"/>
        <w:spacing w:after="0" w:line="256" w:lineRule="auto"/>
        <w:rPr>
          <w:sz w:val="20"/>
          <w:szCs w:val="20"/>
          <w:color w:val="auto"/>
        </w:rPr>
      </w:pPr>
      <w:r>
        <w:rPr>
          <w:rFonts w:ascii="Arial" w:cs="Arial" w:eastAsia="Arial" w:hAnsi="Arial"/>
          <w:sz w:val="20"/>
          <w:szCs w:val="20"/>
          <w:color w:val="auto"/>
        </w:rPr>
        <w:t>We use non-GAAP net income, which excludes stock-based compensation, acquisition-related expenses and amortization of acquired intangible assets, as well as the related tax impacts, and the tax impact and related costs of intra-entity asset transfers resulting from the internal restructuring of legal entities as well as deferred income tax benefits recognized in connection with acquisitions, to calculate non-GAAP earnings per share. We believe that these non-GAAP measures provide important information because they facilitate comparisons of our core operating results over multiple periods.</w:t>
      </w:r>
    </w:p>
    <w:p>
      <w:pPr>
        <w:sectPr>
          <w:pgSz w:w="11880" w:h="15480" w:orient="portrait"/>
          <w:cols w:equalWidth="0" w:num="1">
            <w:col w:w="9000"/>
          </w:cols>
          <w:pgMar w:left="1440" w:top="12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880" w:h="15480" w:orient="portrait"/>
          <w:cols w:equalWidth="0" w:num="1">
            <w:col w:w="9000"/>
          </w:cols>
          <w:pgMar w:left="1440" w:top="1205" w:right="1440" w:bottom="0" w:gutter="0" w:footer="0" w:header="0"/>
          <w:type w:val="continuous"/>
        </w:sectPr>
      </w:pPr>
    </w:p>
    <w:bookmarkStart w:id="150" w:name="page151"/>
    <w:bookmarkEnd w:id="150"/>
    <w:p>
      <w:pPr>
        <w:ind w:right="280" w:firstLine="360"/>
        <w:spacing w:after="0" w:line="268" w:lineRule="auto"/>
        <w:rPr>
          <w:sz w:val="20"/>
          <w:szCs w:val="20"/>
          <w:color w:val="auto"/>
        </w:rPr>
      </w:pPr>
      <w:r>
        <w:rPr>
          <w:rFonts w:ascii="Arial" w:cs="Arial" w:eastAsia="Arial" w:hAnsi="Arial"/>
          <w:sz w:val="20"/>
          <w:szCs w:val="20"/>
          <w:color w:val="auto"/>
        </w:rPr>
        <w:t>The following table presents a reconciliation of net loss and net loss per share, the most comparable financial measures calculated in accordance with GAAP, to non-GAAP net income and non-GAAP earnings per share: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 except for per share amounts)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9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Net loss</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(92,222)</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(46,677)</w:t>
            </w:r>
          </w:p>
        </w:tc>
        <w:tc>
          <w:tcPr>
            <w:tcW w:w="500" w:type="dxa"/>
            <w:vAlign w:val="bottom"/>
            <w:gridSpan w:val="2"/>
            <w:shd w:val="clear" w:color="auto" w:fill="D2EDF0"/>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(42,731)</w:t>
            </w:r>
          </w:p>
        </w:tc>
        <w:tc>
          <w:tcPr>
            <w:tcW w:w="0" w:type="dxa"/>
            <w:vAlign w:val="bottom"/>
          </w:tcPr>
          <w:p>
            <w:pPr>
              <w:spacing w:after="0"/>
              <w:rPr>
                <w:sz w:val="1"/>
                <w:szCs w:val="1"/>
                <w:color w:val="auto"/>
              </w:rPr>
            </w:pPr>
          </w:p>
        </w:tc>
      </w:tr>
      <w:tr>
        <w:trPr>
          <w:trHeight w:val="296"/>
        </w:trPr>
        <w:tc>
          <w:tcPr>
            <w:tcW w:w="4940" w:type="dxa"/>
            <w:vAlign w:val="bottom"/>
          </w:tcPr>
          <w:p>
            <w:pPr>
              <w:ind w:left="60"/>
              <w:spacing w:after="0"/>
              <w:rPr>
                <w:sz w:val="20"/>
                <w:szCs w:val="20"/>
                <w:color w:val="auto"/>
              </w:rPr>
            </w:pPr>
            <w:r>
              <w:rPr>
                <w:rFonts w:ascii="Arial" w:cs="Arial" w:eastAsia="Arial" w:hAnsi="Arial"/>
                <w:sz w:val="20"/>
                <w:szCs w:val="20"/>
                <w:color w:val="auto"/>
              </w:rPr>
              <w:t>Stock-based compensation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120,633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79,405</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59,573</w:t>
            </w:r>
          </w:p>
        </w:tc>
        <w:tc>
          <w:tcPr>
            <w:tcW w:w="0" w:type="dxa"/>
            <w:vAlign w:val="bottom"/>
          </w:tcPr>
          <w:p>
            <w:pPr>
              <w:spacing w:after="0"/>
              <w:rPr>
                <w:sz w:val="1"/>
                <w:szCs w:val="1"/>
                <w:color w:val="auto"/>
              </w:rPr>
            </w:pPr>
          </w:p>
        </w:tc>
      </w:tr>
      <w:tr>
        <w:trPr>
          <w:trHeight w:val="304"/>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Tax impact of stock-based compensation</w:t>
            </w:r>
            <w:r>
              <w:rPr>
                <w:rFonts w:ascii="Arial" w:cs="Arial" w:eastAsia="Arial" w:hAnsi="Arial"/>
                <w:sz w:val="26"/>
                <w:szCs w:val="26"/>
                <w:color w:val="auto"/>
                <w:vertAlign w:val="superscript"/>
              </w:rPr>
              <w:t>(1)</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2,103</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617</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1,299</w:t>
            </w:r>
          </w:p>
        </w:tc>
        <w:tc>
          <w:tcPr>
            <w:tcW w:w="0" w:type="dxa"/>
            <w:vAlign w:val="bottom"/>
          </w:tcPr>
          <w:p>
            <w:pPr>
              <w:spacing w:after="0"/>
              <w:rPr>
                <w:sz w:val="1"/>
                <w:szCs w:val="1"/>
                <w:color w:val="auto"/>
              </w:rPr>
            </w:pPr>
          </w:p>
        </w:tc>
      </w:tr>
      <w:tr>
        <w:trPr>
          <w:trHeight w:val="300"/>
        </w:trPr>
        <w:tc>
          <w:tcPr>
            <w:tcW w:w="4940" w:type="dxa"/>
            <w:vAlign w:val="bottom"/>
          </w:tcPr>
          <w:p>
            <w:pPr>
              <w:ind w:left="60"/>
              <w:spacing w:after="0"/>
              <w:rPr>
                <w:sz w:val="20"/>
                <w:szCs w:val="20"/>
                <w:color w:val="auto"/>
              </w:rPr>
            </w:pPr>
            <w:r>
              <w:rPr>
                <w:rFonts w:ascii="Arial" w:cs="Arial" w:eastAsia="Arial" w:hAnsi="Arial"/>
                <w:sz w:val="20"/>
                <w:szCs w:val="20"/>
                <w:color w:val="auto"/>
              </w:rPr>
              <w:t>Acquisition-related expenses</w:t>
            </w:r>
            <w:r>
              <w:rPr>
                <w:rFonts w:ascii="Arial" w:cs="Arial" w:eastAsia="Arial" w:hAnsi="Arial"/>
                <w:sz w:val="26"/>
                <w:szCs w:val="26"/>
                <w:color w:val="auto"/>
                <w:vertAlign w:val="superscript"/>
              </w:rPr>
              <w:t>(2)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2,642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6,901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339</w:t>
            </w:r>
          </w:p>
        </w:tc>
        <w:tc>
          <w:tcPr>
            <w:tcW w:w="0" w:type="dxa"/>
            <w:vAlign w:val="bottom"/>
          </w:tcPr>
          <w:p>
            <w:pPr>
              <w:spacing w:after="0"/>
              <w:rPr>
                <w:sz w:val="1"/>
                <w:szCs w:val="1"/>
                <w:color w:val="auto"/>
              </w:rPr>
            </w:pPr>
          </w:p>
        </w:tc>
      </w:tr>
      <w:tr>
        <w:trPr>
          <w:trHeight w:val="30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Costs related to intra-entity asset transfers</w:t>
            </w:r>
            <w:r>
              <w:rPr>
                <w:rFonts w:ascii="Arial" w:cs="Arial" w:eastAsia="Arial" w:hAnsi="Arial"/>
                <w:sz w:val="26"/>
                <w:szCs w:val="26"/>
                <w:color w:val="auto"/>
                <w:vertAlign w:val="superscript"/>
              </w:rPr>
              <w:t>(3)</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838</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0"/>
        </w:trPr>
        <w:tc>
          <w:tcPr>
            <w:tcW w:w="4940" w:type="dxa"/>
            <w:vAlign w:val="bottom"/>
          </w:tcPr>
          <w:p>
            <w:pPr>
              <w:ind w:left="60"/>
              <w:spacing w:after="0"/>
              <w:rPr>
                <w:sz w:val="20"/>
                <w:szCs w:val="20"/>
                <w:color w:val="auto"/>
              </w:rPr>
            </w:pPr>
            <w:r>
              <w:rPr>
                <w:rFonts w:ascii="Arial" w:cs="Arial" w:eastAsia="Arial" w:hAnsi="Arial"/>
                <w:sz w:val="20"/>
                <w:szCs w:val="20"/>
                <w:color w:val="auto"/>
              </w:rPr>
              <w:t>Amortization of acquired intangible assets</w:t>
            </w:r>
            <w:r>
              <w:rPr>
                <w:rFonts w:ascii="Arial" w:cs="Arial" w:eastAsia="Arial" w:hAnsi="Arial"/>
                <w:sz w:val="26"/>
                <w:szCs w:val="26"/>
                <w:color w:val="auto"/>
                <w:vertAlign w:val="superscript"/>
              </w:rPr>
              <w:t>(4)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11,372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6,447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2,314</w:t>
            </w:r>
          </w:p>
        </w:tc>
        <w:tc>
          <w:tcPr>
            <w:tcW w:w="0" w:type="dxa"/>
            <w:vAlign w:val="bottom"/>
          </w:tcPr>
          <w:p>
            <w:pPr>
              <w:spacing w:after="0"/>
              <w:rPr>
                <w:sz w:val="1"/>
                <w:szCs w:val="1"/>
                <w:color w:val="auto"/>
              </w:rPr>
            </w:pPr>
          </w:p>
        </w:tc>
      </w:tr>
      <w:tr>
        <w:trPr>
          <w:trHeight w:val="30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Tax impact of acquisitions</w:t>
            </w:r>
            <w:r>
              <w:rPr>
                <w:rFonts w:ascii="Arial" w:cs="Arial" w:eastAsia="Arial" w:hAnsi="Arial"/>
                <w:sz w:val="26"/>
                <w:szCs w:val="26"/>
                <w:color w:val="auto"/>
                <w:vertAlign w:val="superscript"/>
              </w:rPr>
              <w:t>(5)</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(3,703)</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(10,560)</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0"/>
        </w:trPr>
        <w:tc>
          <w:tcPr>
            <w:tcW w:w="4940" w:type="dxa"/>
            <w:vAlign w:val="bottom"/>
            <w:tcBorders>
              <w:bottom w:val="single" w:sz="8" w:color="D2EDF0"/>
            </w:tcBorders>
          </w:tcPr>
          <w:p>
            <w:pPr>
              <w:ind w:left="60"/>
              <w:spacing w:after="0" w:line="290" w:lineRule="exact"/>
              <w:rPr>
                <w:sz w:val="20"/>
                <w:szCs w:val="20"/>
                <w:color w:val="auto"/>
              </w:rPr>
            </w:pPr>
            <w:r>
              <w:rPr>
                <w:rFonts w:ascii="Arial" w:cs="Arial" w:eastAsia="Arial" w:hAnsi="Arial"/>
                <w:sz w:val="20"/>
                <w:szCs w:val="20"/>
                <w:color w:val="auto"/>
              </w:rPr>
              <w:t>Tax impact of intra-entity asset transfers</w:t>
            </w:r>
            <w:r>
              <w:rPr>
                <w:rFonts w:ascii="Arial" w:cs="Arial" w:eastAsia="Arial" w:hAnsi="Arial"/>
                <w:sz w:val="26"/>
                <w:szCs w:val="26"/>
                <w:color w:val="auto"/>
                <w:vertAlign w:val="superscript"/>
              </w:rPr>
              <w:t>(6)</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2,652</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2,808</w:t>
            </w:r>
          </w:p>
        </w:tc>
        <w:tc>
          <w:tcPr>
            <w:tcW w:w="80" w:type="dxa"/>
            <w:vAlign w:val="bottom"/>
            <w:tcBorders>
              <w:bottom w:val="single" w:sz="8" w:color="D2EDF0"/>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0"/>
        </w:trPr>
        <w:tc>
          <w:tcPr>
            <w:tcW w:w="4940" w:type="dxa"/>
            <w:vAlign w:val="bottom"/>
            <w:shd w:val="clear" w:color="auto" w:fill="D2EDF0"/>
          </w:tcPr>
          <w:p>
            <w:pPr>
              <w:ind w:left="280"/>
              <w:spacing w:after="0"/>
              <w:rPr>
                <w:sz w:val="20"/>
                <w:szCs w:val="20"/>
                <w:color w:val="auto"/>
              </w:rPr>
            </w:pPr>
            <w:r>
              <w:rPr>
                <w:rFonts w:ascii="Arial" w:cs="Arial" w:eastAsia="Arial" w:hAnsi="Arial"/>
                <w:sz w:val="20"/>
                <w:szCs w:val="20"/>
                <w:color w:val="auto"/>
              </w:rPr>
              <w:t>Non-GAAP net income</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44,315</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38,941</w:t>
            </w:r>
          </w:p>
        </w:tc>
        <w:tc>
          <w:tcPr>
            <w:tcW w:w="500" w:type="dxa"/>
            <w:vAlign w:val="bottom"/>
            <w:gridSpan w:val="2"/>
            <w:shd w:val="clear" w:color="auto" w:fill="D2EDF0"/>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20,794</w:t>
            </w:r>
          </w:p>
        </w:tc>
        <w:tc>
          <w:tcPr>
            <w:tcW w:w="0" w:type="dxa"/>
            <w:vAlign w:val="bottom"/>
          </w:tcPr>
          <w:p>
            <w:pPr>
              <w:spacing w:after="0"/>
              <w:rPr>
                <w:sz w:val="1"/>
                <w:szCs w:val="1"/>
                <w:color w:val="auto"/>
              </w:rPr>
            </w:pPr>
          </w:p>
        </w:tc>
      </w:tr>
      <w:tr>
        <w:trPr>
          <w:trHeight w:val="20"/>
        </w:trPr>
        <w:tc>
          <w:tcPr>
            <w:tcW w:w="494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Net loss per share, diluted</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(0.83)</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(0.44)</w:t>
            </w:r>
          </w:p>
        </w:tc>
        <w:tc>
          <w:tcPr>
            <w:tcW w:w="500" w:type="dxa"/>
            <w:vAlign w:val="bottom"/>
            <w:gridSpan w:val="2"/>
            <w:shd w:val="clear" w:color="auto" w:fill="D2EDF0"/>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(0.42)</w:t>
            </w:r>
          </w:p>
        </w:tc>
        <w:tc>
          <w:tcPr>
            <w:tcW w:w="0" w:type="dxa"/>
            <w:vAlign w:val="bottom"/>
          </w:tcPr>
          <w:p>
            <w:pPr>
              <w:spacing w:after="0"/>
              <w:rPr>
                <w:sz w:val="1"/>
                <w:szCs w:val="1"/>
                <w:color w:val="auto"/>
              </w:rPr>
            </w:pPr>
          </w:p>
        </w:tc>
      </w:tr>
      <w:tr>
        <w:trPr>
          <w:trHeight w:val="296"/>
        </w:trPr>
        <w:tc>
          <w:tcPr>
            <w:tcW w:w="4940" w:type="dxa"/>
            <w:vAlign w:val="bottom"/>
          </w:tcPr>
          <w:p>
            <w:pPr>
              <w:ind w:left="60"/>
              <w:spacing w:after="0"/>
              <w:rPr>
                <w:sz w:val="20"/>
                <w:szCs w:val="20"/>
                <w:color w:val="auto"/>
              </w:rPr>
            </w:pPr>
            <w:r>
              <w:rPr>
                <w:rFonts w:ascii="Arial" w:cs="Arial" w:eastAsia="Arial" w:hAnsi="Arial"/>
                <w:sz w:val="20"/>
                <w:szCs w:val="20"/>
                <w:color w:val="auto"/>
              </w:rPr>
              <w:t>Stock-based compensation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0.75</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0.59</w:t>
            </w:r>
          </w:p>
        </w:tc>
        <w:tc>
          <w:tcPr>
            <w:tcW w:w="0" w:type="dxa"/>
            <w:vAlign w:val="bottom"/>
          </w:tcPr>
          <w:p>
            <w:pPr>
              <w:spacing w:after="0"/>
              <w:rPr>
                <w:sz w:val="1"/>
                <w:szCs w:val="1"/>
                <w:color w:val="auto"/>
              </w:rPr>
            </w:pPr>
          </w:p>
        </w:tc>
      </w:tr>
      <w:tr>
        <w:trPr>
          <w:trHeight w:val="304"/>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Tax impact of stock-based compensation</w:t>
            </w:r>
            <w:r>
              <w:rPr>
                <w:rFonts w:ascii="Arial" w:cs="Arial" w:eastAsia="Arial" w:hAnsi="Arial"/>
                <w:sz w:val="26"/>
                <w:szCs w:val="26"/>
                <w:color w:val="auto"/>
                <w:vertAlign w:val="superscript"/>
              </w:rPr>
              <w:t>(1)</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0.02</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0.01</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0.01</w:t>
            </w:r>
          </w:p>
        </w:tc>
        <w:tc>
          <w:tcPr>
            <w:tcW w:w="0" w:type="dxa"/>
            <w:vAlign w:val="bottom"/>
          </w:tcPr>
          <w:p>
            <w:pPr>
              <w:spacing w:after="0"/>
              <w:rPr>
                <w:sz w:val="1"/>
                <w:szCs w:val="1"/>
                <w:color w:val="auto"/>
              </w:rPr>
            </w:pPr>
          </w:p>
        </w:tc>
      </w:tr>
      <w:tr>
        <w:trPr>
          <w:trHeight w:val="300"/>
        </w:trPr>
        <w:tc>
          <w:tcPr>
            <w:tcW w:w="4940" w:type="dxa"/>
            <w:vAlign w:val="bottom"/>
          </w:tcPr>
          <w:p>
            <w:pPr>
              <w:ind w:left="60"/>
              <w:spacing w:after="0"/>
              <w:rPr>
                <w:sz w:val="20"/>
                <w:szCs w:val="20"/>
                <w:color w:val="auto"/>
              </w:rPr>
            </w:pPr>
            <w:r>
              <w:rPr>
                <w:rFonts w:ascii="Arial" w:cs="Arial" w:eastAsia="Arial" w:hAnsi="Arial"/>
                <w:sz w:val="20"/>
                <w:szCs w:val="20"/>
                <w:color w:val="auto"/>
              </w:rPr>
              <w:t>Acquisition-related expenses</w:t>
            </w:r>
            <w:r>
              <w:rPr>
                <w:rFonts w:ascii="Arial" w:cs="Arial" w:eastAsia="Arial" w:hAnsi="Arial"/>
                <w:sz w:val="26"/>
                <w:szCs w:val="26"/>
                <w:color w:val="auto"/>
                <w:vertAlign w:val="superscript"/>
              </w:rPr>
              <w:t>(2)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0.02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0.06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Costs related to intra-entity asset transfers</w:t>
            </w:r>
            <w:r>
              <w:rPr>
                <w:rFonts w:ascii="Arial" w:cs="Arial" w:eastAsia="Arial" w:hAnsi="Arial"/>
                <w:sz w:val="26"/>
                <w:szCs w:val="26"/>
                <w:color w:val="auto"/>
                <w:vertAlign w:val="superscript"/>
              </w:rPr>
              <w:t>(3)</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0.01</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0"/>
        </w:trPr>
        <w:tc>
          <w:tcPr>
            <w:tcW w:w="4940" w:type="dxa"/>
            <w:vAlign w:val="bottom"/>
          </w:tcPr>
          <w:p>
            <w:pPr>
              <w:ind w:left="60"/>
              <w:spacing w:after="0"/>
              <w:rPr>
                <w:sz w:val="20"/>
                <w:szCs w:val="20"/>
                <w:color w:val="auto"/>
              </w:rPr>
            </w:pPr>
            <w:r>
              <w:rPr>
                <w:rFonts w:ascii="Arial" w:cs="Arial" w:eastAsia="Arial" w:hAnsi="Arial"/>
                <w:sz w:val="20"/>
                <w:szCs w:val="20"/>
                <w:color w:val="auto"/>
              </w:rPr>
              <w:t>Amortization of acquired intangible assets</w:t>
            </w:r>
            <w:r>
              <w:rPr>
                <w:rFonts w:ascii="Arial" w:cs="Arial" w:eastAsia="Arial" w:hAnsi="Arial"/>
                <w:sz w:val="26"/>
                <w:szCs w:val="26"/>
                <w:color w:val="auto"/>
                <w:vertAlign w:val="superscript"/>
              </w:rPr>
              <w:t>(4)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0.10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0.06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0.02</w:t>
            </w:r>
          </w:p>
        </w:tc>
        <w:tc>
          <w:tcPr>
            <w:tcW w:w="0" w:type="dxa"/>
            <w:vAlign w:val="bottom"/>
          </w:tcPr>
          <w:p>
            <w:pPr>
              <w:spacing w:after="0"/>
              <w:rPr>
                <w:sz w:val="1"/>
                <w:szCs w:val="1"/>
                <w:color w:val="auto"/>
              </w:rPr>
            </w:pPr>
          </w:p>
        </w:tc>
      </w:tr>
      <w:tr>
        <w:trPr>
          <w:trHeight w:val="30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Tax impact of acquisitions</w:t>
            </w:r>
            <w:r>
              <w:rPr>
                <w:rFonts w:ascii="Arial" w:cs="Arial" w:eastAsia="Arial" w:hAnsi="Arial"/>
                <w:sz w:val="26"/>
                <w:szCs w:val="26"/>
                <w:color w:val="auto"/>
                <w:vertAlign w:val="superscript"/>
              </w:rPr>
              <w:t>(5)</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(0.03)</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(0.10)</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0"/>
        </w:trPr>
        <w:tc>
          <w:tcPr>
            <w:tcW w:w="4940" w:type="dxa"/>
            <w:vAlign w:val="bottom"/>
          </w:tcPr>
          <w:p>
            <w:pPr>
              <w:ind w:left="60"/>
              <w:spacing w:after="0"/>
              <w:rPr>
                <w:sz w:val="20"/>
                <w:szCs w:val="20"/>
                <w:color w:val="auto"/>
              </w:rPr>
            </w:pPr>
            <w:r>
              <w:rPr>
                <w:rFonts w:ascii="Arial" w:cs="Arial" w:eastAsia="Arial" w:hAnsi="Arial"/>
                <w:sz w:val="20"/>
                <w:szCs w:val="20"/>
                <w:color w:val="auto"/>
              </w:rPr>
              <w:t>Tax impact of intra-entity asset transfers</w:t>
            </w:r>
            <w:r>
              <w:rPr>
                <w:rFonts w:ascii="Arial" w:cs="Arial" w:eastAsia="Arial" w:hAnsi="Arial"/>
                <w:sz w:val="26"/>
                <w:szCs w:val="26"/>
                <w:color w:val="auto"/>
                <w:vertAlign w:val="superscript"/>
              </w:rPr>
              <w:t>(6)</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0.03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0.03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0"/>
        </w:trPr>
        <w:tc>
          <w:tcPr>
            <w:tcW w:w="4940" w:type="dxa"/>
            <w:vAlign w:val="bottom"/>
            <w:tcBorders>
              <w:bottom w:val="single" w:sz="8" w:color="D2EDF0"/>
            </w:tcBorders>
            <w:shd w:val="clear" w:color="auto" w:fill="D2EDF0"/>
          </w:tcPr>
          <w:p>
            <w:pPr>
              <w:ind w:left="60"/>
              <w:spacing w:after="0" w:line="290" w:lineRule="exact"/>
              <w:rPr>
                <w:sz w:val="20"/>
                <w:szCs w:val="20"/>
                <w:color w:val="auto"/>
              </w:rPr>
            </w:pPr>
            <w:r>
              <w:rPr>
                <w:rFonts w:ascii="Arial" w:cs="Arial" w:eastAsia="Arial" w:hAnsi="Arial"/>
                <w:sz w:val="20"/>
                <w:szCs w:val="20"/>
                <w:color w:val="auto"/>
              </w:rPr>
              <w:t>Adjustment to diluted earnings per share</w:t>
            </w:r>
            <w:r>
              <w:rPr>
                <w:rFonts w:ascii="Arial" w:cs="Arial" w:eastAsia="Arial" w:hAnsi="Arial"/>
                <w:sz w:val="26"/>
                <w:szCs w:val="26"/>
                <w:color w:val="auto"/>
                <w:vertAlign w:val="superscript"/>
              </w:rPr>
              <w:t>(7)</w:t>
            </w: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(0.02)</w:t>
            </w:r>
          </w:p>
        </w:tc>
        <w:tc>
          <w:tcPr>
            <w:tcW w:w="80" w:type="dxa"/>
            <w:vAlign w:val="bottom"/>
            <w:tcBorders>
              <w:bottom w:val="single" w:sz="8" w:color="D2EDF0"/>
            </w:tcBorders>
            <w:shd w:val="clear" w:color="auto" w:fill="D2EDF0"/>
          </w:tcPr>
          <w:p>
            <w:pPr>
              <w:spacing w:after="0"/>
              <w:rPr>
                <w:sz w:val="24"/>
                <w:szCs w:val="24"/>
                <w:color w:val="auto"/>
              </w:rPr>
            </w:pP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(0.03)</w:t>
            </w:r>
          </w:p>
        </w:tc>
        <w:tc>
          <w:tcPr>
            <w:tcW w:w="80" w:type="dxa"/>
            <w:vAlign w:val="bottom"/>
            <w:tcBorders>
              <w:bottom w:val="single" w:sz="8" w:color="D2EDF0"/>
            </w:tcBorders>
            <w:shd w:val="clear" w:color="auto" w:fill="D2EDF0"/>
          </w:tcPr>
          <w:p>
            <w:pPr>
              <w:spacing w:after="0"/>
              <w:rPr>
                <w:sz w:val="24"/>
                <w:szCs w:val="24"/>
                <w:color w:val="auto"/>
              </w:rPr>
            </w:pPr>
          </w:p>
        </w:tc>
        <w:tc>
          <w:tcPr>
            <w:tcW w:w="420" w:type="dxa"/>
            <w:vAlign w:val="bottom"/>
            <w:tcBorders>
              <w:bottom w:val="single" w:sz="8" w:color="auto"/>
            </w:tcBorders>
            <w:shd w:val="clear" w:color="auto" w:fill="D2EDF0"/>
          </w:tcPr>
          <w:p>
            <w:pPr>
              <w:spacing w:after="0"/>
              <w:rPr>
                <w:sz w:val="24"/>
                <w:szCs w:val="24"/>
                <w:color w:val="auto"/>
              </w:rPr>
            </w:pPr>
          </w:p>
        </w:tc>
        <w:tc>
          <w:tcPr>
            <w:tcW w:w="88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(0.01)</w:t>
            </w:r>
          </w:p>
        </w:tc>
        <w:tc>
          <w:tcPr>
            <w:tcW w:w="0" w:type="dxa"/>
            <w:vAlign w:val="bottom"/>
          </w:tcPr>
          <w:p>
            <w:pPr>
              <w:spacing w:after="0"/>
              <w:rPr>
                <w:sz w:val="1"/>
                <w:szCs w:val="1"/>
                <w:color w:val="auto"/>
              </w:rPr>
            </w:pPr>
          </w:p>
        </w:tc>
      </w:tr>
      <w:tr>
        <w:trPr>
          <w:trHeight w:val="260"/>
        </w:trPr>
        <w:tc>
          <w:tcPr>
            <w:tcW w:w="4940" w:type="dxa"/>
            <w:vAlign w:val="bottom"/>
          </w:tcPr>
          <w:p>
            <w:pPr>
              <w:ind w:left="280"/>
              <w:spacing w:after="0"/>
              <w:rPr>
                <w:sz w:val="20"/>
                <w:szCs w:val="20"/>
                <w:color w:val="auto"/>
              </w:rPr>
            </w:pPr>
            <w:r>
              <w:rPr>
                <w:rFonts w:ascii="Arial" w:cs="Arial" w:eastAsia="Arial" w:hAnsi="Arial"/>
                <w:sz w:val="20"/>
                <w:szCs w:val="20"/>
                <w:color w:val="auto"/>
              </w:rPr>
              <w:t>Non-GAAP earnings per share, diluted</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0.38</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0.34</w:t>
            </w:r>
          </w:p>
        </w:tc>
        <w:tc>
          <w:tcPr>
            <w:tcW w:w="5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0.19</w:t>
            </w:r>
          </w:p>
        </w:tc>
        <w:tc>
          <w:tcPr>
            <w:tcW w:w="0" w:type="dxa"/>
            <w:vAlign w:val="bottom"/>
          </w:tcPr>
          <w:p>
            <w:pPr>
              <w:spacing w:after="0"/>
              <w:rPr>
                <w:sz w:val="1"/>
                <w:szCs w:val="1"/>
                <w:color w:val="auto"/>
              </w:rPr>
            </w:pPr>
          </w:p>
        </w:tc>
      </w:tr>
      <w:tr>
        <w:trPr>
          <w:trHeight w:val="20"/>
        </w:trPr>
        <w:tc>
          <w:tcPr>
            <w:tcW w:w="4940" w:type="dxa"/>
            <w:vAlign w:val="bottom"/>
            <w:tcBorders>
              <w:bottom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2EDF0"/>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shd w:val="clear" w:color="auto" w:fill="D2EDF0"/>
          </w:tcPr>
          <w:p>
            <w:pPr>
              <w:spacing w:after="0"/>
              <w:rPr>
                <w:sz w:val="23"/>
                <w:szCs w:val="23"/>
                <w:color w:val="auto"/>
              </w:rPr>
            </w:pPr>
          </w:p>
        </w:tc>
        <w:tc>
          <w:tcPr>
            <w:tcW w:w="300" w:type="dxa"/>
            <w:vAlign w:val="bottom"/>
            <w:shd w:val="clear" w:color="auto" w:fill="D2EDF0"/>
          </w:tcPr>
          <w:p>
            <w:pPr>
              <w:spacing w:after="0"/>
              <w:rPr>
                <w:sz w:val="23"/>
                <w:szCs w:val="23"/>
                <w:color w:val="auto"/>
              </w:rPr>
            </w:pPr>
          </w:p>
        </w:tc>
        <w:tc>
          <w:tcPr>
            <w:tcW w:w="1000" w:type="dxa"/>
            <w:vAlign w:val="bottom"/>
            <w:shd w:val="clear" w:color="auto" w:fill="D2EDF0"/>
          </w:tcPr>
          <w:p>
            <w:pPr>
              <w:spacing w:after="0"/>
              <w:rPr>
                <w:sz w:val="23"/>
                <w:szCs w:val="23"/>
                <w:color w:val="auto"/>
              </w:rPr>
            </w:pPr>
          </w:p>
        </w:tc>
        <w:tc>
          <w:tcPr>
            <w:tcW w:w="80" w:type="dxa"/>
            <w:vAlign w:val="bottom"/>
            <w:shd w:val="clear" w:color="auto" w:fill="D2EDF0"/>
          </w:tcPr>
          <w:p>
            <w:pPr>
              <w:spacing w:after="0"/>
              <w:rPr>
                <w:sz w:val="23"/>
                <w:szCs w:val="23"/>
                <w:color w:val="auto"/>
              </w:rPr>
            </w:pPr>
          </w:p>
        </w:tc>
        <w:tc>
          <w:tcPr>
            <w:tcW w:w="300" w:type="dxa"/>
            <w:vAlign w:val="bottom"/>
            <w:shd w:val="clear" w:color="auto" w:fill="D2EDF0"/>
          </w:tcPr>
          <w:p>
            <w:pPr>
              <w:spacing w:after="0"/>
              <w:rPr>
                <w:sz w:val="23"/>
                <w:szCs w:val="23"/>
                <w:color w:val="auto"/>
              </w:rPr>
            </w:pPr>
          </w:p>
        </w:tc>
        <w:tc>
          <w:tcPr>
            <w:tcW w:w="1000" w:type="dxa"/>
            <w:vAlign w:val="bottom"/>
            <w:shd w:val="clear" w:color="auto" w:fill="D2EDF0"/>
          </w:tcPr>
          <w:p>
            <w:pPr>
              <w:spacing w:after="0"/>
              <w:rPr>
                <w:sz w:val="23"/>
                <w:szCs w:val="23"/>
                <w:color w:val="auto"/>
              </w:rPr>
            </w:pPr>
          </w:p>
        </w:tc>
        <w:tc>
          <w:tcPr>
            <w:tcW w:w="80" w:type="dxa"/>
            <w:vAlign w:val="bottom"/>
            <w:shd w:val="clear" w:color="auto" w:fill="D2EDF0"/>
          </w:tcPr>
          <w:p>
            <w:pPr>
              <w:spacing w:after="0"/>
              <w:rPr>
                <w:sz w:val="23"/>
                <w:szCs w:val="23"/>
                <w:color w:val="auto"/>
              </w:rPr>
            </w:pPr>
          </w:p>
        </w:tc>
        <w:tc>
          <w:tcPr>
            <w:tcW w:w="420" w:type="dxa"/>
            <w:vAlign w:val="bottom"/>
            <w:shd w:val="clear" w:color="auto" w:fill="D2EDF0"/>
          </w:tcPr>
          <w:p>
            <w:pPr>
              <w:spacing w:after="0"/>
              <w:rPr>
                <w:sz w:val="23"/>
                <w:szCs w:val="23"/>
                <w:color w:val="auto"/>
              </w:rPr>
            </w:pPr>
          </w:p>
        </w:tc>
        <w:tc>
          <w:tcPr>
            <w:tcW w:w="880" w:type="dxa"/>
            <w:vAlign w:val="bottom"/>
            <w:shd w:val="clear" w:color="auto" w:fill="D2EDF0"/>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4940" w:type="dxa"/>
            <w:vAlign w:val="bottom"/>
          </w:tcPr>
          <w:p>
            <w:pPr>
              <w:ind w:left="60"/>
              <w:spacing w:after="0" w:line="208" w:lineRule="exact"/>
              <w:rPr>
                <w:sz w:val="20"/>
                <w:szCs w:val="20"/>
                <w:color w:val="auto"/>
              </w:rPr>
            </w:pPr>
            <w:r>
              <w:rPr>
                <w:rFonts w:ascii="Arial" w:cs="Arial" w:eastAsia="Arial" w:hAnsi="Arial"/>
                <w:sz w:val="20"/>
                <w:szCs w:val="20"/>
                <w:color w:val="auto"/>
              </w:rPr>
              <w:t>Weighted-average shares used to compute GAAP net</w:t>
            </w: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111,321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106,387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101,009</w:t>
            </w:r>
          </w:p>
        </w:tc>
        <w:tc>
          <w:tcPr>
            <w:tcW w:w="0" w:type="dxa"/>
            <w:vAlign w:val="bottom"/>
          </w:tcPr>
          <w:p>
            <w:pPr>
              <w:spacing w:after="0"/>
              <w:rPr>
                <w:sz w:val="1"/>
                <w:szCs w:val="1"/>
                <w:color w:val="auto"/>
              </w:rPr>
            </w:pPr>
          </w:p>
        </w:tc>
      </w:tr>
      <w:tr>
        <w:trPr>
          <w:trHeight w:val="269"/>
        </w:trPr>
        <w:tc>
          <w:tcPr>
            <w:tcW w:w="4940" w:type="dxa"/>
            <w:vAlign w:val="bottom"/>
          </w:tcPr>
          <w:p>
            <w:pPr>
              <w:ind w:left="140"/>
              <w:spacing w:after="0"/>
              <w:rPr>
                <w:sz w:val="20"/>
                <w:szCs w:val="20"/>
                <w:color w:val="auto"/>
              </w:rPr>
            </w:pPr>
            <w:r>
              <w:rPr>
                <w:rFonts w:ascii="Arial" w:cs="Arial" w:eastAsia="Arial" w:hAnsi="Arial"/>
                <w:sz w:val="20"/>
                <w:szCs w:val="20"/>
                <w:color w:val="auto"/>
              </w:rPr>
              <w:t>loss per share, diluted</w:t>
            </w:r>
          </w:p>
        </w:tc>
        <w:tc>
          <w:tcPr>
            <w:tcW w:w="30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18"/>
        </w:trPr>
        <w:tc>
          <w:tcPr>
            <w:tcW w:w="494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940" w:type="dxa"/>
            <w:vAlign w:val="bottom"/>
          </w:tcPr>
          <w:p>
            <w:pPr>
              <w:ind w:left="60"/>
              <w:spacing w:after="0" w:line="208" w:lineRule="exact"/>
              <w:rPr>
                <w:sz w:val="20"/>
                <w:szCs w:val="20"/>
                <w:color w:val="auto"/>
              </w:rPr>
            </w:pPr>
            <w:r>
              <w:rPr>
                <w:rFonts w:ascii="Arial" w:cs="Arial" w:eastAsia="Arial" w:hAnsi="Arial"/>
                <w:sz w:val="20"/>
                <w:szCs w:val="20"/>
                <w:color w:val="auto"/>
              </w:rPr>
              <w:t>Weighted-average shares used to compute non-GAAP</w:t>
            </w: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117,534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114,825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109,962</w:t>
            </w:r>
          </w:p>
        </w:tc>
        <w:tc>
          <w:tcPr>
            <w:tcW w:w="0" w:type="dxa"/>
            <w:vAlign w:val="bottom"/>
          </w:tcPr>
          <w:p>
            <w:pPr>
              <w:spacing w:after="0"/>
              <w:rPr>
                <w:sz w:val="1"/>
                <w:szCs w:val="1"/>
                <w:color w:val="auto"/>
              </w:rPr>
            </w:pPr>
          </w:p>
        </w:tc>
      </w:tr>
      <w:tr>
        <w:trPr>
          <w:trHeight w:val="265"/>
        </w:trPr>
        <w:tc>
          <w:tcPr>
            <w:tcW w:w="4940" w:type="dxa"/>
            <w:vAlign w:val="bottom"/>
          </w:tcPr>
          <w:p>
            <w:pPr>
              <w:ind w:left="140"/>
              <w:spacing w:after="0"/>
              <w:rPr>
                <w:sz w:val="20"/>
                <w:szCs w:val="20"/>
                <w:color w:val="auto"/>
              </w:rPr>
            </w:pPr>
            <w:r>
              <w:rPr>
                <w:rFonts w:ascii="Arial" w:cs="Arial" w:eastAsia="Arial" w:hAnsi="Arial"/>
                <w:sz w:val="20"/>
                <w:szCs w:val="20"/>
                <w:color w:val="auto"/>
              </w:rPr>
              <w:t>earnings per share, diluted</w:t>
            </w:r>
          </w:p>
        </w:tc>
        <w:tc>
          <w:tcPr>
            <w:tcW w:w="30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-3100070</wp:posOffset>
            </wp:positionV>
            <wp:extent cx="258127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81275" cy="3810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-1014095</wp:posOffset>
            </wp:positionV>
            <wp:extent cx="258127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81275" cy="3810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w:t>
      </w:r>
    </w:p>
    <w:p>
      <w:pPr>
        <w:ind w:right="620"/>
        <w:spacing w:after="0" w:line="285" w:lineRule="auto"/>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tax impact of stock-based compensation is based on the tax treatment for the applicable tax jurisdictions.</w:t>
      </w:r>
    </w:p>
    <w:p>
      <w:pPr>
        <w:ind w:left="720" w:hanging="720"/>
        <w:spacing w:after="0"/>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tax impact of acquisition-related expenses is not material.</w:t>
      </w:r>
    </w:p>
    <w:p>
      <w:pPr>
        <w:spacing w:after="0" w:line="69" w:lineRule="exact"/>
        <w:rPr>
          <w:rFonts w:ascii="Arial" w:cs="Arial" w:eastAsia="Arial" w:hAnsi="Arial"/>
          <w:sz w:val="18"/>
          <w:szCs w:val="18"/>
          <w:color w:val="auto"/>
        </w:rPr>
      </w:pPr>
    </w:p>
    <w:p>
      <w:pPr>
        <w:ind w:left="720" w:hanging="720"/>
        <w:spacing w:after="0"/>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costs related to the intra-entity asset transfers resulted from our internal restructuring of Cymptom.</w:t>
      </w:r>
    </w:p>
    <w:p>
      <w:pPr>
        <w:spacing w:after="0" w:line="69" w:lineRule="exact"/>
        <w:rPr>
          <w:rFonts w:ascii="Arial" w:cs="Arial" w:eastAsia="Arial" w:hAnsi="Arial"/>
          <w:sz w:val="18"/>
          <w:szCs w:val="18"/>
          <w:color w:val="auto"/>
        </w:rPr>
      </w:pPr>
    </w:p>
    <w:p>
      <w:pPr>
        <w:ind w:right="780"/>
        <w:spacing w:after="0" w:line="285" w:lineRule="auto"/>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tax impact of the amortization of acquired intangible assets is included in the tax impact of acquisitions.</w:t>
      </w:r>
    </w:p>
    <w:p>
      <w:pPr>
        <w:ind w:right="120"/>
        <w:spacing w:after="0" w:line="259" w:lineRule="auto"/>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tax impact of acquisitions in 2022 includes a deferred tax benefit of $1.2 million related to the Alsid acquisition and a reversal of the $2.5 million income tax benefit recognized for GAAP purposes related to the partial release of our valuation allowance associated with the Bit Discovery acquisition. The tax impact of acquisitions in 2021 includes a reversal of the $7.9 million income tax benefit recognized for GAAP purposes related to the partial release of our valuation allowance and a $2.6 million benefit related to Alsid.</w:t>
      </w:r>
    </w:p>
    <w:p>
      <w:pPr>
        <w:spacing w:after="0" w:line="23" w:lineRule="exact"/>
        <w:rPr>
          <w:rFonts w:ascii="Arial" w:cs="Arial" w:eastAsia="Arial" w:hAnsi="Arial"/>
          <w:sz w:val="18"/>
          <w:szCs w:val="18"/>
          <w:color w:val="auto"/>
        </w:rPr>
      </w:pPr>
    </w:p>
    <w:p>
      <w:pPr>
        <w:ind w:right="260"/>
        <w:spacing w:after="0" w:line="287" w:lineRule="auto"/>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tax impact of the intra-entity transfers are related to current tax expense based on the applicable Israeli tax rates resulting from our internal restructuring of Cymptom in 2022 and Indegy in 2021.</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880" w:h="15480" w:orient="portrait"/>
          <w:cols w:equalWidth="0" w:num="1">
            <w:col w:w="9000"/>
          </w:cols>
          <w:pgMar w:left="1440" w:top="1204" w:right="1440" w:bottom="0" w:gutter="0" w:footer="0" w:header="0"/>
          <w:type w:val="continuous"/>
        </w:sectPr>
      </w:pPr>
    </w:p>
    <w:bookmarkStart w:id="151" w:name="page152"/>
    <w:bookmarkEnd w:id="151"/>
    <w:p>
      <w:pPr>
        <w:ind w:right="80"/>
        <w:spacing w:after="0" w:line="287" w:lineRule="auto"/>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adjustment to reconcile GAAP net loss per share, which excludes potentially dilutive shares, to non-GAAP earnings per share, which includes potentially dilutive shares.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Components of Our Results of Operations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Revenue</w:t>
      </w:r>
    </w:p>
    <w:p>
      <w:pPr>
        <w:spacing w:after="0" w:line="249" w:lineRule="exact"/>
        <w:rPr>
          <w:sz w:val="20"/>
          <w:szCs w:val="20"/>
          <w:color w:val="auto"/>
        </w:rPr>
      </w:pPr>
    </w:p>
    <w:p>
      <w:pPr>
        <w:ind w:right="620" w:firstLine="360"/>
        <w:spacing w:after="0" w:line="268" w:lineRule="auto"/>
        <w:rPr>
          <w:sz w:val="20"/>
          <w:szCs w:val="20"/>
          <w:color w:val="auto"/>
        </w:rPr>
      </w:pPr>
      <w:r>
        <w:rPr>
          <w:rFonts w:ascii="Arial" w:cs="Arial" w:eastAsia="Arial" w:hAnsi="Arial"/>
          <w:sz w:val="20"/>
          <w:szCs w:val="20"/>
          <w:color w:val="auto"/>
        </w:rPr>
        <w:t>We generate revenue from subscription arrangements for our software and cloud-based solutions, perpetual licenses, maintenance associated with perpetual licenses and professional services.</w:t>
      </w:r>
    </w:p>
    <w:p>
      <w:pPr>
        <w:spacing w:after="0" w:line="190" w:lineRule="exact"/>
        <w:rPr>
          <w:sz w:val="20"/>
          <w:szCs w:val="20"/>
          <w:color w:val="auto"/>
        </w:rPr>
      </w:pPr>
    </w:p>
    <w:p>
      <w:pPr>
        <w:ind w:firstLine="360"/>
        <w:spacing w:after="0" w:line="255" w:lineRule="auto"/>
        <w:rPr>
          <w:sz w:val="20"/>
          <w:szCs w:val="20"/>
          <w:color w:val="auto"/>
        </w:rPr>
      </w:pPr>
      <w:r>
        <w:rPr>
          <w:rFonts w:ascii="Arial" w:cs="Arial" w:eastAsia="Arial" w:hAnsi="Arial"/>
          <w:sz w:val="20"/>
          <w:szCs w:val="20"/>
          <w:color w:val="auto"/>
        </w:rPr>
        <w:t>Our subscription arrangements generally have annual or multi-year contractual terms to use our software or cloud-based solutions, including ongoing software updates during the contractual period. For software subscriptions that are dependent on ongoing software updates and the ability to identify the latest cybersecurity vulnerabilities, revenue is recognized ratably over the subscription term given the critical utility provided by the ongoing updates that are released through the contract period. When the critical utility of our software does not depend on ongoing updates, we recognize revenue attributable to the license at the time of delivery and the revenue attributable to the maintenance and support ratably over the contract period.</w:t>
      </w:r>
    </w:p>
    <w:p>
      <w:pPr>
        <w:spacing w:after="0" w:line="205" w:lineRule="exact"/>
        <w:rPr>
          <w:sz w:val="20"/>
          <w:szCs w:val="20"/>
          <w:color w:val="auto"/>
        </w:rPr>
      </w:pPr>
    </w:p>
    <w:p>
      <w:pPr>
        <w:ind w:firstLine="360"/>
        <w:spacing w:after="0" w:line="252" w:lineRule="auto"/>
        <w:rPr>
          <w:sz w:val="20"/>
          <w:szCs w:val="20"/>
          <w:color w:val="auto"/>
        </w:rPr>
      </w:pPr>
      <w:r>
        <w:rPr>
          <w:rFonts w:ascii="Arial" w:cs="Arial" w:eastAsia="Arial" w:hAnsi="Arial"/>
          <w:sz w:val="20"/>
          <w:szCs w:val="20"/>
          <w:color w:val="auto"/>
        </w:rPr>
        <w:t>Our perpetual licenses are generally sold with one or more years of maintenance, which includes ongoing software updates.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our technology and other factors. This estimate may change over time.</w:t>
      </w:r>
    </w:p>
    <w:p>
      <w:pPr>
        <w:spacing w:after="0" w:line="215" w:lineRule="exact"/>
        <w:rPr>
          <w:sz w:val="20"/>
          <w:szCs w:val="20"/>
          <w:color w:val="auto"/>
        </w:rPr>
      </w:pPr>
    </w:p>
    <w:p>
      <w:pPr>
        <w:jc w:val="both"/>
        <w:ind w:right="80" w:firstLine="360"/>
        <w:spacing w:after="0" w:line="262" w:lineRule="auto"/>
        <w:rPr>
          <w:sz w:val="20"/>
          <w:szCs w:val="20"/>
          <w:color w:val="auto"/>
        </w:rPr>
      </w:pPr>
      <w:r>
        <w:rPr>
          <w:rFonts w:ascii="Arial" w:cs="Arial" w:eastAsia="Arial" w:hAnsi="Arial"/>
          <w:sz w:val="20"/>
          <w:szCs w:val="20"/>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96" w:lineRule="exact"/>
        <w:rPr>
          <w:sz w:val="20"/>
          <w:szCs w:val="20"/>
          <w:color w:val="auto"/>
        </w:rPr>
      </w:pPr>
    </w:p>
    <w:p>
      <w:pPr>
        <w:ind w:right="120" w:firstLine="360"/>
        <w:spacing w:after="0" w:line="255" w:lineRule="auto"/>
        <w:rPr>
          <w:sz w:val="20"/>
          <w:szCs w:val="20"/>
          <w:color w:val="auto"/>
        </w:rPr>
      </w:pPr>
      <w:r>
        <w:rPr>
          <w:rFonts w:ascii="Arial" w:cs="Arial" w:eastAsia="Arial" w:hAnsi="Arial"/>
          <w:sz w:val="20"/>
          <w:szCs w:val="20"/>
          <w:color w:val="auto"/>
        </w:rPr>
        <w:t>We have historically experienced, and expect in the future to experience, seasonality in entering into agreements with customers. We typically enter into a significantly higher percentage of agreements with new customers, as well as renewal agreements with existing customers, in the third and fourth quarters of the year. The increase in customer agreements in the third quarter is primarily attributable to U.S. government and related agencies, and the increase in the fourth quarter is primarily attributable to large enterprise account buying patterns typical in the software industry. The ratable nature of our subscription revenue makes this seasonality less apparent in our overall financial results.</w:t>
      </w:r>
    </w:p>
    <w:p>
      <w:pPr>
        <w:sectPr>
          <w:pgSz w:w="11880" w:h="15480" w:orient="portrait"/>
          <w:cols w:equalWidth="0" w:num="1">
            <w:col w:w="9000"/>
          </w:cols>
          <w:pgMar w:left="1440" w:top="120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880" w:h="15480" w:orient="portrait"/>
          <w:cols w:equalWidth="0" w:num="1">
            <w:col w:w="9000"/>
          </w:cols>
          <w:pgMar w:left="1440" w:top="1209" w:right="1440" w:bottom="0" w:gutter="0" w:footer="0" w:header="0"/>
          <w:type w:val="continuous"/>
        </w:sectPr>
      </w:pPr>
    </w:p>
    <w:bookmarkStart w:id="152" w:name="page153"/>
    <w:bookmarkEnd w:id="152"/>
    <w:p>
      <w:pPr>
        <w:ind w:left="360"/>
        <w:spacing w:after="0"/>
        <w:rPr>
          <w:sz w:val="20"/>
          <w:szCs w:val="20"/>
          <w:color w:val="auto"/>
        </w:rPr>
      </w:pPr>
      <w:r>
        <w:rPr>
          <w:rFonts w:ascii="Arial" w:cs="Arial" w:eastAsia="Arial" w:hAnsi="Arial"/>
          <w:sz w:val="20"/>
          <w:szCs w:val="20"/>
          <w:b w:val="1"/>
          <w:bCs w:val="1"/>
          <w:i w:val="1"/>
          <w:iCs w:val="1"/>
          <w:color w:val="auto"/>
        </w:rPr>
        <w:t>Cost of Revenue, Gross Profit and Gross Margin</w:t>
      </w:r>
    </w:p>
    <w:p>
      <w:pPr>
        <w:spacing w:after="0" w:line="249" w:lineRule="exact"/>
        <w:rPr>
          <w:sz w:val="20"/>
          <w:szCs w:val="20"/>
          <w:color w:val="auto"/>
        </w:rPr>
      </w:pPr>
    </w:p>
    <w:p>
      <w:pPr>
        <w:ind w:right="80" w:firstLine="360"/>
        <w:spacing w:after="0" w:line="257" w:lineRule="auto"/>
        <w:rPr>
          <w:sz w:val="20"/>
          <w:szCs w:val="20"/>
          <w:color w:val="auto"/>
        </w:rPr>
      </w:pPr>
      <w:r>
        <w:rPr>
          <w:rFonts w:ascii="Arial" w:cs="Arial" w:eastAsia="Arial" w:hAnsi="Arial"/>
          <w:sz w:val="20"/>
          <w:szCs w:val="20"/>
          <w:color w:val="auto"/>
        </w:rPr>
        <w:t>Cost of revenue includes personnel costs related to our technical support group that provides assistance to customers, including salaries, benefits, bonuses, payroll taxes, stock-based compensation and any severance. Cost of revenue also includes cloud infrastructure costs, the costs related to professional services and training, depreciation, amortization of acquired and developed technology, hardware costs and allocated overhead costs, which consist of information technology and facilities.</w:t>
      </w:r>
    </w:p>
    <w:p>
      <w:pPr>
        <w:spacing w:after="0" w:line="202" w:lineRule="exact"/>
        <w:rPr>
          <w:sz w:val="20"/>
          <w:szCs w:val="20"/>
          <w:color w:val="auto"/>
        </w:rPr>
      </w:pPr>
    </w:p>
    <w:p>
      <w:pPr>
        <w:ind w:right="60" w:firstLine="360"/>
        <w:spacing w:after="0" w:line="268" w:lineRule="auto"/>
        <w:rPr>
          <w:sz w:val="20"/>
          <w:szCs w:val="20"/>
          <w:color w:val="auto"/>
        </w:rPr>
      </w:pPr>
      <w:r>
        <w:rPr>
          <w:rFonts w:ascii="Arial" w:cs="Arial" w:eastAsia="Arial" w:hAnsi="Arial"/>
          <w:sz w:val="20"/>
          <w:szCs w:val="20"/>
          <w:color w:val="auto"/>
        </w:rPr>
        <w:t>We intend to continue to invest additional resources in our cloud-based platform and customer support team as we grow our business. The level and timing of investment in these areas could affect our cost of revenue in the future.</w:t>
      </w:r>
    </w:p>
    <w:p>
      <w:pPr>
        <w:spacing w:after="0" w:line="190" w:lineRule="exact"/>
        <w:rPr>
          <w:sz w:val="20"/>
          <w:szCs w:val="20"/>
          <w:color w:val="auto"/>
        </w:rPr>
      </w:pPr>
    </w:p>
    <w:p>
      <w:pPr>
        <w:ind w:firstLine="360"/>
        <w:spacing w:after="0" w:line="257" w:lineRule="auto"/>
        <w:rPr>
          <w:sz w:val="20"/>
          <w:szCs w:val="20"/>
          <w:color w:val="auto"/>
        </w:rPr>
      </w:pPr>
      <w:r>
        <w:rPr>
          <w:rFonts w:ascii="Arial" w:cs="Arial" w:eastAsia="Arial" w:hAnsi="Arial"/>
          <w:sz w:val="20"/>
          <w:szCs w:val="20"/>
          <w:color w:val="auto"/>
        </w:rPr>
        <w:t>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costs associated with operating our cloud-based platform, the extent to which we expand our customer support team and the extent to which we can increase the efficiency of our technology and infrastructure through technological improvements.</w:t>
      </w:r>
    </w:p>
    <w:p>
      <w:pPr>
        <w:spacing w:after="0" w:line="202" w:lineRule="exact"/>
        <w:rPr>
          <w:sz w:val="20"/>
          <w:szCs w:val="20"/>
          <w:color w:val="auto"/>
        </w:rPr>
      </w:pPr>
    </w:p>
    <w:p>
      <w:pPr>
        <w:ind w:right="20" w:firstLine="360"/>
        <w:spacing w:after="0" w:line="262" w:lineRule="auto"/>
        <w:rPr>
          <w:sz w:val="20"/>
          <w:szCs w:val="20"/>
          <w:color w:val="auto"/>
        </w:rPr>
      </w:pPr>
      <w:r>
        <w:rPr>
          <w:rFonts w:ascii="Arial" w:cs="Arial" w:eastAsia="Arial" w:hAnsi="Arial"/>
          <w:sz w:val="20"/>
          <w:szCs w:val="20"/>
          <w:color w:val="auto"/>
        </w:rPr>
        <w:t>We expect our gross profit to increase in absolute dollars but our gross margin may fluctuate from period to period depending on the interplay of all of these factors, particularly as it relates to cloud infrastructure costs, as we expect revenue from our cloud-based subscriptions to increase as a percentage of revenue.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249" w:lineRule="exact"/>
        <w:rPr>
          <w:sz w:val="20"/>
          <w:szCs w:val="20"/>
          <w:color w:val="auto"/>
        </w:rPr>
      </w:pPr>
    </w:p>
    <w:p>
      <w:pPr>
        <w:ind w:right="180" w:firstLine="360"/>
        <w:spacing w:after="0" w:line="259" w:lineRule="auto"/>
        <w:rPr>
          <w:sz w:val="20"/>
          <w:szCs w:val="20"/>
          <w:color w:val="auto"/>
        </w:rPr>
      </w:pPr>
      <w:r>
        <w:rPr>
          <w:rFonts w:ascii="Arial" w:cs="Arial" w:eastAsia="Arial" w:hAnsi="Arial"/>
          <w:sz w:val="20"/>
          <w:szCs w:val="20"/>
          <w:color w:val="auto"/>
        </w:rPr>
        <w:t>Our operating expenses consist of sales and marketing, research and development and general and administrative expenses. Personnel costs are the most significant component of operating expenses and consist of salaries, benefits, bonuses, payroll taxes, stock-based compensation and any severance. Operating expenses also include depreciation and amortization as well as allocated overhead costs, including IT and facilities costs.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Sales and Marketing</w:t>
      </w:r>
    </w:p>
    <w:p>
      <w:pPr>
        <w:spacing w:after="0" w:line="248" w:lineRule="exact"/>
        <w:rPr>
          <w:sz w:val="20"/>
          <w:szCs w:val="20"/>
          <w:color w:val="auto"/>
        </w:rPr>
      </w:pPr>
    </w:p>
    <w:p>
      <w:pPr>
        <w:ind w:right="280" w:firstLine="360"/>
        <w:spacing w:after="0" w:line="250" w:lineRule="auto"/>
        <w:rPr>
          <w:sz w:val="20"/>
          <w:szCs w:val="20"/>
          <w:color w:val="auto"/>
        </w:rPr>
      </w:pPr>
      <w:r>
        <w:rPr>
          <w:rFonts w:ascii="Arial" w:cs="Arial" w:eastAsia="Arial" w:hAnsi="Arial"/>
          <w:sz w:val="20"/>
          <w:szCs w:val="20"/>
          <w:color w:val="auto"/>
        </w:rPr>
        <w:t>Sales and marketing expense consists of personnel costs, sales commissions, marketing programs, travel and entertainment, expenses for conferences, meetings and events and allocated overhead costs. We capitalize sales commissions, including related fringe benefit costs, and recognize the expense over an estimated period of benefit, which ranges</w:t>
      </w:r>
    </w:p>
    <w:p>
      <w:pPr>
        <w:spacing w:after="0" w:line="2"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between three and four years for subscription arrangements and five years for perpetual license arrangements. Sales commissions on contract renewals are capitalized and amortized ratably over the contract term, with the exception of contracts with renewal periods that are one year or less, in which case the incremental costs are expensed as incurred. Sales commissions on professional services arrangements are expensed as incurred as the contractual periods of these arrangements are generally less than one year.</w:t>
      </w:r>
    </w:p>
    <w:p>
      <w:pPr>
        <w:spacing w:after="0" w:line="202" w:lineRule="exact"/>
        <w:rPr>
          <w:sz w:val="20"/>
          <w:szCs w:val="20"/>
          <w:color w:val="auto"/>
        </w:rPr>
      </w:pPr>
    </w:p>
    <w:p>
      <w:pPr>
        <w:ind w:right="20" w:firstLine="360"/>
        <w:spacing w:after="0" w:line="273" w:lineRule="auto"/>
        <w:rPr>
          <w:sz w:val="20"/>
          <w:szCs w:val="20"/>
          <w:color w:val="auto"/>
        </w:rPr>
      </w:pPr>
      <w:r>
        <w:rPr>
          <w:rFonts w:ascii="Arial" w:cs="Arial" w:eastAsia="Arial" w:hAnsi="Arial"/>
          <w:sz w:val="19"/>
          <w:szCs w:val="19"/>
          <w:color w:val="auto"/>
        </w:rPr>
        <w:t>We intend to continue to make investments in our sales and marketing teams to increase revenue, further penetrate the market and expand our global customer base. We expect our sales and marketing expense to increase in absolute dollars annually and to be our largest operating expense category for the foreseeable future. However, as our revenue increases, we expect our sales and marketing expense to decrease as a percentage of our revenue over the long term. Our sales and marketing expense may fluctuate from period to period due to the timing and extent of these</w:t>
      </w:r>
    </w:p>
    <w:p>
      <w:pPr>
        <w:sectPr>
          <w:pgSz w:w="11880" w:h="15480" w:orient="portrait"/>
          <w:cols w:equalWidth="0" w:num="1">
            <w:col w:w="9000"/>
          </w:cols>
          <w:pgMar w:left="1440" w:top="12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880" w:h="15480" w:orient="portrait"/>
          <w:cols w:equalWidth="0" w:num="1">
            <w:col w:w="9000"/>
          </w:cols>
          <w:pgMar w:left="1440" w:top="1205" w:right="1440" w:bottom="0" w:gutter="0" w:footer="0" w:header="0"/>
          <w:type w:val="continuous"/>
        </w:sectPr>
      </w:pPr>
    </w:p>
    <w:bookmarkStart w:id="153" w:name="page154"/>
    <w:bookmarkEnd w:id="153"/>
    <w:p>
      <w:pPr>
        <w:ind w:right="540"/>
        <w:spacing w:after="0" w:line="287" w:lineRule="auto"/>
        <w:rPr>
          <w:sz w:val="20"/>
          <w:szCs w:val="20"/>
          <w:color w:val="auto"/>
        </w:rPr>
      </w:pPr>
      <w:r>
        <w:rPr>
          <w:rFonts w:ascii="Arial" w:cs="Arial" w:eastAsia="Arial" w:hAnsi="Arial"/>
          <w:sz w:val="20"/>
          <w:szCs w:val="20"/>
          <w:color w:val="auto"/>
        </w:rPr>
        <w:t>expenses, including sales commissions, which may fluctuate depending on the mix of sales and related expense recognition.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Research and Development</w:t>
      </w:r>
    </w:p>
    <w:p>
      <w:pPr>
        <w:spacing w:after="0" w:line="248" w:lineRule="exact"/>
        <w:rPr>
          <w:sz w:val="20"/>
          <w:szCs w:val="20"/>
          <w:color w:val="auto"/>
        </w:rPr>
      </w:pPr>
    </w:p>
    <w:p>
      <w:pPr>
        <w:ind w:right="240" w:firstLine="360"/>
        <w:spacing w:after="0" w:line="259" w:lineRule="auto"/>
        <w:rPr>
          <w:sz w:val="20"/>
          <w:szCs w:val="20"/>
          <w:color w:val="auto"/>
        </w:rPr>
      </w:pPr>
      <w:r>
        <w:rPr>
          <w:rFonts w:ascii="Arial" w:cs="Arial" w:eastAsia="Arial" w:hAnsi="Arial"/>
          <w:sz w:val="20"/>
          <w:szCs w:val="20"/>
          <w:color w:val="auto"/>
        </w:rPr>
        <w:t>Research and development expense consists of personnel costs, software used to develop our products, travel and entertainment, consulting and professional fees for third-party development resources as well as allocated overhead. Our research and development expense supports our efforts to continue to add capabilities to our existing products and enable the continued detection of new network vulnerabilities.</w:t>
      </w:r>
    </w:p>
    <w:p>
      <w:pPr>
        <w:spacing w:after="0" w:line="199" w:lineRule="exact"/>
        <w:rPr>
          <w:sz w:val="20"/>
          <w:szCs w:val="20"/>
          <w:color w:val="auto"/>
        </w:rPr>
      </w:pPr>
    </w:p>
    <w:p>
      <w:pPr>
        <w:ind w:right="160" w:firstLine="360"/>
        <w:spacing w:after="0" w:line="257" w:lineRule="auto"/>
        <w:rPr>
          <w:sz w:val="20"/>
          <w:szCs w:val="20"/>
          <w:color w:val="auto"/>
        </w:rPr>
      </w:pPr>
      <w:r>
        <w:rPr>
          <w:rFonts w:ascii="Arial" w:cs="Arial" w:eastAsia="Arial" w:hAnsi="Arial"/>
          <w:sz w:val="20"/>
          <w:szCs w:val="20"/>
          <w:color w:val="auto"/>
        </w:rPr>
        <w:t>We expect our research and development expense to continue to increase annually in absolute dollars for the foreseeable future as we continue to invest in research and development efforts to enhance the functionality of our cloud-based platform. However, we expect our research and development expense to decrease as a percentage of our revenue over the long term, although our research and development expense may fluctuate from period to period due to the timing and extent of these expenses.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General and Administrative</w:t>
      </w:r>
    </w:p>
    <w:p>
      <w:pPr>
        <w:spacing w:after="0" w:line="248" w:lineRule="exact"/>
        <w:rPr>
          <w:sz w:val="20"/>
          <w:szCs w:val="20"/>
          <w:color w:val="auto"/>
        </w:rPr>
      </w:pPr>
    </w:p>
    <w:p>
      <w:pPr>
        <w:ind w:right="100" w:firstLine="360"/>
        <w:spacing w:after="0" w:line="268" w:lineRule="auto"/>
        <w:rPr>
          <w:sz w:val="20"/>
          <w:szCs w:val="20"/>
          <w:color w:val="auto"/>
        </w:rPr>
      </w:pPr>
      <w:r>
        <w:rPr>
          <w:rFonts w:ascii="Arial" w:cs="Arial" w:eastAsia="Arial" w:hAnsi="Arial"/>
          <w:sz w:val="20"/>
          <w:szCs w:val="20"/>
          <w:color w:val="auto"/>
        </w:rPr>
        <w:t>General and administrative expense consists of personnel costs for our executive, finance, legal, human resources and administrative departments. Additional expenses include travel and entertainment, professional fees, insurance, allocated overhead, and acquisition-related costs.</w:t>
      </w:r>
    </w:p>
    <w:p>
      <w:pPr>
        <w:spacing w:after="0" w:line="190" w:lineRule="exact"/>
        <w:rPr>
          <w:sz w:val="20"/>
          <w:szCs w:val="20"/>
          <w:color w:val="auto"/>
        </w:rPr>
      </w:pPr>
    </w:p>
    <w:p>
      <w:pPr>
        <w:ind w:right="140" w:firstLine="360"/>
        <w:spacing w:after="0" w:line="257" w:lineRule="auto"/>
        <w:rPr>
          <w:sz w:val="20"/>
          <w:szCs w:val="20"/>
          <w:color w:val="auto"/>
        </w:rPr>
      </w:pPr>
      <w:r>
        <w:rPr>
          <w:rFonts w:ascii="Arial" w:cs="Arial" w:eastAsia="Arial" w:hAnsi="Arial"/>
          <w:sz w:val="20"/>
          <w:szCs w:val="20"/>
          <w:color w:val="auto"/>
        </w:rPr>
        <w:t>We expect our general and administrative expense to continue to increase annually in absolute dollars for the foreseeable future due to additional costs associated with accounting, compliance, insurance and investor relations as a public company. However, we expect our general and administrative expense to decrease as a percentage of our revenue over the long term, although our general and administrative expense may fluctuate from period to period due to the timing and extent of these expenses.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Interest Income, Interest Expense and Other Expense, Net</w:t>
      </w:r>
    </w:p>
    <w:p>
      <w:pPr>
        <w:spacing w:after="0" w:line="249" w:lineRule="exact"/>
        <w:rPr>
          <w:sz w:val="20"/>
          <w:szCs w:val="20"/>
          <w:color w:val="auto"/>
        </w:rPr>
      </w:pPr>
    </w:p>
    <w:p>
      <w:pPr>
        <w:ind w:right="340" w:firstLine="360"/>
        <w:spacing w:after="0" w:line="259" w:lineRule="auto"/>
        <w:rPr>
          <w:sz w:val="20"/>
          <w:szCs w:val="20"/>
          <w:color w:val="auto"/>
        </w:rPr>
      </w:pPr>
      <w:r>
        <w:rPr>
          <w:rFonts w:ascii="Arial" w:cs="Arial" w:eastAsia="Arial" w:hAnsi="Arial"/>
          <w:sz w:val="20"/>
          <w:szCs w:val="20"/>
          <w:color w:val="auto"/>
        </w:rPr>
        <w:t>Interest income consists of income earned on cash and cash equivalents and short-term investments. Interest expense consists primarily of interest expense in connection with our senior secured term loan facility, or Term Loan, unused commitment fees on our senior secured revolving credit facility, or Revolving Credit Facility, and letter of credit fees. Other expense, net consists primarily of foreign currency remeasurement and transaction gains and losses.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Provision (Benefit) for Income Taxes</w:t>
      </w:r>
    </w:p>
    <w:p>
      <w:pPr>
        <w:spacing w:after="0" w:line="249" w:lineRule="exact"/>
        <w:rPr>
          <w:sz w:val="20"/>
          <w:szCs w:val="20"/>
          <w:color w:val="auto"/>
        </w:rPr>
      </w:pPr>
    </w:p>
    <w:p>
      <w:pPr>
        <w:ind w:right="240" w:firstLine="360"/>
        <w:spacing w:after="0" w:line="257" w:lineRule="auto"/>
        <w:rPr>
          <w:sz w:val="20"/>
          <w:szCs w:val="20"/>
          <w:color w:val="auto"/>
        </w:rPr>
      </w:pPr>
      <w:r>
        <w:rPr>
          <w:rFonts w:ascii="Arial" w:cs="Arial" w:eastAsia="Arial" w:hAnsi="Arial"/>
          <w:sz w:val="20"/>
          <w:szCs w:val="20"/>
          <w:color w:val="auto"/>
        </w:rPr>
        <w:t>Provision (benefit) for income taxes consists of income taxes in all foreign jurisdictions in which we conduct business and the related withholding taxes on sales with customers. We have recorded deferred tax assets for which a full valuation allowance has been provided, including net operating loss carryforwards and tax credits. We expect to maintain this full valuation allowance for the foreseeable future as it is more likely than not that some or all of those deferred tax assets may not be realized based on our history of losses.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880" w:h="15480" w:orient="portrait"/>
          <w:cols w:equalWidth="0" w:num="1">
            <w:col w:w="9000"/>
          </w:cols>
          <w:pgMar w:left="1440" w:top="1204" w:right="1440" w:bottom="0" w:gutter="0" w:footer="0" w:header="0"/>
          <w:type w:val="continuous"/>
        </w:sectPr>
      </w:pPr>
    </w:p>
    <w:bookmarkStart w:id="154" w:name="page155"/>
    <w:bookmarkEnd w:id="154"/>
    <w:p>
      <w:pPr>
        <w:spacing w:after="0"/>
        <w:rPr>
          <w:sz w:val="20"/>
          <w:szCs w:val="20"/>
          <w:color w:val="auto"/>
        </w:rPr>
      </w:pPr>
      <w:r>
        <w:rPr>
          <w:rFonts w:ascii="Arial" w:cs="Arial" w:eastAsia="Arial" w:hAnsi="Arial"/>
          <w:sz w:val="20"/>
          <w:szCs w:val="20"/>
          <w:b w:val="1"/>
          <w:bCs w:val="1"/>
          <w:color w:val="auto"/>
        </w:rPr>
        <w:t>Results of Operations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tables set forth our consolidated results of operations for the periods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r>
      <w:tr>
        <w:trPr>
          <w:trHeight w:val="280"/>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1"/>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8"/>
                <w:szCs w:val="18"/>
                <w:b w:val="1"/>
                <w:bCs w:val="1"/>
                <w:color w:val="auto"/>
                <w:w w:val="99"/>
              </w:rPr>
              <w:t>2020</w:t>
            </w:r>
          </w:p>
        </w:tc>
      </w:tr>
      <w:tr>
        <w:trPr>
          <w:trHeight w:val="29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Revenue</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683,191</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541,130</w:t>
            </w:r>
          </w:p>
        </w:tc>
        <w:tc>
          <w:tcPr>
            <w:tcW w:w="500" w:type="dxa"/>
            <w:vAlign w:val="bottom"/>
            <w:gridSpan w:val="2"/>
            <w:shd w:val="clear" w:color="auto" w:fill="D2EDF0"/>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440,221</w:t>
            </w:r>
          </w:p>
        </w:tc>
      </w:tr>
      <w:tr>
        <w:trPr>
          <w:trHeight w:val="290"/>
        </w:trPr>
        <w:tc>
          <w:tcPr>
            <w:tcW w:w="4940" w:type="dxa"/>
            <w:vAlign w:val="bottom"/>
            <w:tcBorders>
              <w:bottom w:val="single" w:sz="8" w:color="D2EDF0"/>
            </w:tcBorders>
          </w:tcPr>
          <w:p>
            <w:pPr>
              <w:ind w:left="60"/>
              <w:spacing w:after="0" w:line="290" w:lineRule="exact"/>
              <w:rPr>
                <w:sz w:val="20"/>
                <w:szCs w:val="20"/>
                <w:color w:val="auto"/>
              </w:rPr>
            </w:pPr>
            <w:r>
              <w:rPr>
                <w:rFonts w:ascii="Arial" w:cs="Arial" w:eastAsia="Arial" w:hAnsi="Arial"/>
                <w:sz w:val="20"/>
                <w:szCs w:val="20"/>
                <w:color w:val="auto"/>
              </w:rPr>
              <w:t>Cost of revenue</w:t>
            </w:r>
            <w:r>
              <w:rPr>
                <w:rFonts w:ascii="Arial" w:cs="Arial" w:eastAsia="Arial" w:hAnsi="Arial"/>
                <w:sz w:val="26"/>
                <w:szCs w:val="26"/>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154,789</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106,396</w:t>
            </w:r>
          </w:p>
        </w:tc>
        <w:tc>
          <w:tcPr>
            <w:tcW w:w="80" w:type="dxa"/>
            <w:vAlign w:val="bottom"/>
            <w:tcBorders>
              <w:bottom w:val="single" w:sz="8" w:color="D2EDF0"/>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77,554</w:t>
            </w:r>
          </w:p>
        </w:tc>
      </w:tr>
      <w:tr>
        <w:trPr>
          <w:trHeight w:val="29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Gross profit</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528,402</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434,734</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362,667</w:t>
            </w:r>
          </w:p>
        </w:tc>
      </w:tr>
      <w:tr>
        <w:trPr>
          <w:trHeight w:val="296"/>
        </w:trPr>
        <w:tc>
          <w:tcPr>
            <w:tcW w:w="4940" w:type="dxa"/>
            <w:vAlign w:val="bottom"/>
          </w:tcPr>
          <w:p>
            <w:pPr>
              <w:ind w:left="60"/>
              <w:spacing w:after="0"/>
              <w:rPr>
                <w:sz w:val="20"/>
                <w:szCs w:val="20"/>
                <w:color w:val="auto"/>
              </w:rPr>
            </w:pPr>
            <w:r>
              <w:rPr>
                <w:rFonts w:ascii="Arial" w:cs="Arial" w:eastAsia="Arial" w:hAnsi="Arial"/>
                <w:sz w:val="20"/>
                <w:szCs w:val="20"/>
                <w:color w:val="auto"/>
              </w:rPr>
              <w:t>Operating expenses: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4"/>
        </w:trPr>
        <w:tc>
          <w:tcPr>
            <w:tcW w:w="4940" w:type="dxa"/>
            <w:vAlign w:val="bottom"/>
            <w:shd w:val="clear" w:color="auto" w:fill="D2EDF0"/>
          </w:tcPr>
          <w:p>
            <w:pPr>
              <w:ind w:left="280"/>
              <w:spacing w:after="0"/>
              <w:rPr>
                <w:sz w:val="20"/>
                <w:szCs w:val="20"/>
                <w:color w:val="auto"/>
              </w:rPr>
            </w:pPr>
            <w:r>
              <w:rPr>
                <w:rFonts w:ascii="Arial" w:cs="Arial" w:eastAsia="Arial" w:hAnsi="Arial"/>
                <w:sz w:val="20"/>
                <w:szCs w:val="20"/>
                <w:color w:val="auto"/>
              </w:rPr>
              <w:t>Sales and marketing</w:t>
            </w:r>
            <w:r>
              <w:rPr>
                <w:rFonts w:ascii="Arial" w:cs="Arial" w:eastAsia="Arial" w:hAnsi="Arial"/>
                <w:sz w:val="26"/>
                <w:szCs w:val="26"/>
                <w:color w:val="auto"/>
                <w:vertAlign w:val="superscript"/>
              </w:rPr>
              <w:t>(1)</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349,430</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270,158</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224,277</w:t>
            </w:r>
          </w:p>
        </w:tc>
      </w:tr>
      <w:tr>
        <w:trPr>
          <w:trHeight w:val="300"/>
        </w:trPr>
        <w:tc>
          <w:tcPr>
            <w:tcW w:w="4940" w:type="dxa"/>
            <w:vAlign w:val="bottom"/>
          </w:tcPr>
          <w:p>
            <w:pPr>
              <w:ind w:left="280"/>
              <w:spacing w:after="0"/>
              <w:rPr>
                <w:sz w:val="20"/>
                <w:szCs w:val="20"/>
                <w:color w:val="auto"/>
              </w:rPr>
            </w:pPr>
            <w:r>
              <w:rPr>
                <w:rFonts w:ascii="Arial" w:cs="Arial" w:eastAsia="Arial" w:hAnsi="Arial"/>
                <w:sz w:val="20"/>
                <w:szCs w:val="20"/>
                <w:color w:val="auto"/>
              </w:rPr>
              <w:t>Research and development</w:t>
            </w:r>
            <w:r>
              <w:rPr>
                <w:rFonts w:ascii="Arial" w:cs="Arial" w:eastAsia="Arial" w:hAnsi="Arial"/>
                <w:sz w:val="26"/>
                <w:szCs w:val="26"/>
                <w:color w:val="auto"/>
                <w:vertAlign w:val="superscript"/>
              </w:rPr>
              <w:t>(1)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143,560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116,432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101,687</w:t>
            </w:r>
          </w:p>
        </w:tc>
      </w:tr>
      <w:tr>
        <w:trPr>
          <w:trHeight w:val="290"/>
        </w:trPr>
        <w:tc>
          <w:tcPr>
            <w:tcW w:w="4940" w:type="dxa"/>
            <w:vAlign w:val="bottom"/>
            <w:tcBorders>
              <w:bottom w:val="single" w:sz="8" w:color="D2EDF0"/>
            </w:tcBorders>
            <w:shd w:val="clear" w:color="auto" w:fill="D2EDF0"/>
          </w:tcPr>
          <w:p>
            <w:pPr>
              <w:ind w:left="280"/>
              <w:spacing w:after="0" w:line="290" w:lineRule="exact"/>
              <w:rPr>
                <w:sz w:val="20"/>
                <w:szCs w:val="20"/>
                <w:color w:val="auto"/>
              </w:rPr>
            </w:pPr>
            <w:r>
              <w:rPr>
                <w:rFonts w:ascii="Arial" w:cs="Arial" w:eastAsia="Arial" w:hAnsi="Arial"/>
                <w:sz w:val="20"/>
                <w:szCs w:val="20"/>
                <w:color w:val="auto"/>
              </w:rPr>
              <w:t>General and administrative</w:t>
            </w:r>
            <w:r>
              <w:rPr>
                <w:rFonts w:ascii="Arial" w:cs="Arial" w:eastAsia="Arial" w:hAnsi="Arial"/>
                <w:sz w:val="26"/>
                <w:szCs w:val="26"/>
                <w:color w:val="auto"/>
                <w:vertAlign w:val="superscript"/>
              </w:rPr>
              <w:t>(1)</w:t>
            </w: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103,227</w:t>
            </w:r>
          </w:p>
        </w:tc>
        <w:tc>
          <w:tcPr>
            <w:tcW w:w="80" w:type="dxa"/>
            <w:vAlign w:val="bottom"/>
            <w:tcBorders>
              <w:bottom w:val="single" w:sz="8" w:color="D2EDF0"/>
            </w:tcBorders>
            <w:shd w:val="clear" w:color="auto" w:fill="D2EDF0"/>
          </w:tcPr>
          <w:p>
            <w:pPr>
              <w:spacing w:after="0"/>
              <w:rPr>
                <w:sz w:val="24"/>
                <w:szCs w:val="24"/>
                <w:color w:val="auto"/>
              </w:rPr>
            </w:pP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89,912</w:t>
            </w:r>
          </w:p>
        </w:tc>
        <w:tc>
          <w:tcPr>
            <w:tcW w:w="80" w:type="dxa"/>
            <w:vAlign w:val="bottom"/>
            <w:tcBorders>
              <w:bottom w:val="single" w:sz="8" w:color="D2EDF0"/>
            </w:tcBorders>
            <w:shd w:val="clear" w:color="auto" w:fill="D2EDF0"/>
          </w:tcPr>
          <w:p>
            <w:pPr>
              <w:spacing w:after="0"/>
              <w:rPr>
                <w:sz w:val="24"/>
                <w:szCs w:val="24"/>
                <w:color w:val="auto"/>
              </w:rPr>
            </w:pPr>
          </w:p>
        </w:tc>
        <w:tc>
          <w:tcPr>
            <w:tcW w:w="420" w:type="dxa"/>
            <w:vAlign w:val="bottom"/>
            <w:tcBorders>
              <w:bottom w:val="single" w:sz="8" w:color="auto"/>
            </w:tcBorders>
            <w:shd w:val="clear" w:color="auto" w:fill="D2EDF0"/>
          </w:tcPr>
          <w:p>
            <w:pPr>
              <w:spacing w:after="0"/>
              <w:rPr>
                <w:sz w:val="24"/>
                <w:szCs w:val="24"/>
                <w:color w:val="auto"/>
              </w:rPr>
            </w:pPr>
          </w:p>
        </w:tc>
        <w:tc>
          <w:tcPr>
            <w:tcW w:w="88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73,136</w:t>
            </w:r>
          </w:p>
        </w:tc>
      </w:tr>
      <w:tr>
        <w:trPr>
          <w:trHeight w:val="280"/>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20"/>
                <w:szCs w:val="20"/>
                <w:color w:val="auto"/>
              </w:rPr>
              <w:t>Total operating expenses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596,217</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476,502</w:t>
            </w:r>
          </w:p>
        </w:tc>
        <w:tc>
          <w:tcPr>
            <w:tcW w:w="80" w:type="dxa"/>
            <w:vAlign w:val="bottom"/>
            <w:tcBorders>
              <w:bottom w:val="single" w:sz="8" w:color="D2EDF0"/>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399,100</w:t>
            </w:r>
          </w:p>
        </w:tc>
      </w:tr>
      <w:tr>
        <w:trPr>
          <w:trHeight w:val="29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Loss from operations</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(67,815)</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(41,768)</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(36,433)</w:t>
            </w:r>
          </w:p>
        </w:tc>
      </w:tr>
      <w:tr>
        <w:trPr>
          <w:trHeight w:val="296"/>
        </w:trPr>
        <w:tc>
          <w:tcPr>
            <w:tcW w:w="4940" w:type="dxa"/>
            <w:vAlign w:val="bottom"/>
          </w:tcPr>
          <w:p>
            <w:pPr>
              <w:ind w:left="60"/>
              <w:spacing w:after="0"/>
              <w:rPr>
                <w:sz w:val="20"/>
                <w:szCs w:val="20"/>
                <w:color w:val="auto"/>
              </w:rPr>
            </w:pPr>
            <w:r>
              <w:rPr>
                <w:rFonts w:ascii="Arial" w:cs="Arial" w:eastAsia="Arial" w:hAnsi="Arial"/>
                <w:sz w:val="20"/>
                <w:szCs w:val="20"/>
                <w:color w:val="auto"/>
              </w:rPr>
              <w:t>Interest income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6,284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606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1,740</w:t>
            </w:r>
          </w:p>
        </w:tc>
      </w:tr>
      <w:tr>
        <w:trPr>
          <w:trHeight w:val="304"/>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Interest expense</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(19,001)</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(7,502)</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(496)</w:t>
            </w:r>
          </w:p>
        </w:tc>
      </w:tr>
      <w:tr>
        <w:trPr>
          <w:trHeight w:val="290"/>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20"/>
                <w:szCs w:val="20"/>
                <w:color w:val="auto"/>
              </w:rPr>
              <w:t>Other expense,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(4,757)</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(1,965)</w:t>
            </w:r>
          </w:p>
        </w:tc>
        <w:tc>
          <w:tcPr>
            <w:tcW w:w="80" w:type="dxa"/>
            <w:vAlign w:val="bottom"/>
            <w:tcBorders>
              <w:bottom w:val="single" w:sz="8" w:color="D2EDF0"/>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(1,885)</w:t>
            </w:r>
          </w:p>
        </w:tc>
      </w:tr>
      <w:tr>
        <w:trPr>
          <w:trHeight w:val="29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Loss before income taxes</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(85,289)</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(50,629)</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(37,074)</w:t>
            </w:r>
          </w:p>
        </w:tc>
      </w:tr>
      <w:tr>
        <w:trPr>
          <w:trHeight w:val="290"/>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20"/>
                <w:szCs w:val="20"/>
                <w:color w:val="auto"/>
              </w:rPr>
              <w:t>Provision (benefit) for income taxes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6,933</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(3,952)</w:t>
            </w:r>
          </w:p>
        </w:tc>
        <w:tc>
          <w:tcPr>
            <w:tcW w:w="80" w:type="dxa"/>
            <w:vAlign w:val="bottom"/>
            <w:tcBorders>
              <w:bottom w:val="single" w:sz="8" w:color="D2EDF0"/>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5,657</w:t>
            </w:r>
          </w:p>
        </w:tc>
      </w:tr>
      <w:tr>
        <w:trPr>
          <w:trHeight w:val="28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Net loss</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(92,222)</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(46,677)</w:t>
            </w:r>
          </w:p>
        </w:tc>
        <w:tc>
          <w:tcPr>
            <w:tcW w:w="500" w:type="dxa"/>
            <w:vAlign w:val="bottom"/>
            <w:gridSpan w:val="2"/>
            <w:shd w:val="clear" w:color="auto" w:fill="D2EDF0"/>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(42,731)</w:t>
            </w:r>
          </w:p>
        </w:tc>
      </w:tr>
      <w:tr>
        <w:trPr>
          <w:trHeight w:val="20"/>
        </w:trPr>
        <w:tc>
          <w:tcPr>
            <w:tcW w:w="494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-37465</wp:posOffset>
            </wp:positionV>
            <wp:extent cx="258127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81275" cy="3810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_______________</w:t>
      </w:r>
    </w:p>
    <w:p>
      <w:pPr>
        <w:ind w:left="720" w:hanging="720"/>
        <w:spacing w:after="0"/>
        <w:tabs>
          <w:tab w:leader="none" w:pos="72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Includes stock-based compensation expense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r>
      <w:tr>
        <w:trPr>
          <w:trHeight w:val="280"/>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3"/>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w w:val="99"/>
              </w:rPr>
              <w:t>2020</w:t>
            </w:r>
          </w:p>
        </w:tc>
      </w:tr>
      <w:tr>
        <w:trPr>
          <w:trHeight w:val="29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Cost of revenue</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8,369</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4,446</w:t>
            </w:r>
          </w:p>
        </w:tc>
        <w:tc>
          <w:tcPr>
            <w:tcW w:w="500" w:type="dxa"/>
            <w:vAlign w:val="bottom"/>
            <w:gridSpan w:val="2"/>
            <w:shd w:val="clear" w:color="auto" w:fill="D2EDF0"/>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3,158</w:t>
            </w:r>
          </w:p>
        </w:tc>
      </w:tr>
      <w:tr>
        <w:trPr>
          <w:trHeight w:val="296"/>
        </w:trPr>
        <w:tc>
          <w:tcPr>
            <w:tcW w:w="4940" w:type="dxa"/>
            <w:vAlign w:val="bottom"/>
          </w:tcPr>
          <w:p>
            <w:pPr>
              <w:ind w:left="60"/>
              <w:spacing w:after="0"/>
              <w:rPr>
                <w:sz w:val="20"/>
                <w:szCs w:val="20"/>
                <w:color w:val="auto"/>
              </w:rPr>
            </w:pPr>
            <w:r>
              <w:rPr>
                <w:rFonts w:ascii="Arial" w:cs="Arial" w:eastAsia="Arial" w:hAnsi="Arial"/>
                <w:sz w:val="20"/>
                <w:szCs w:val="20"/>
                <w:color w:val="auto"/>
              </w:rPr>
              <w:t>Sales and marketing</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49,383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29,410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19,842</w:t>
            </w:r>
          </w:p>
        </w:tc>
      </w:tr>
      <w:tr>
        <w:trPr>
          <w:trHeight w:val="304"/>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Research and development</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31,499</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20,593</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14,794</w:t>
            </w:r>
          </w:p>
        </w:tc>
      </w:tr>
      <w:tr>
        <w:trPr>
          <w:trHeight w:val="290"/>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20"/>
                <w:szCs w:val="20"/>
                <w:color w:val="auto"/>
              </w:rPr>
              <w:t>General and administrative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31,382</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24,956</w:t>
            </w:r>
          </w:p>
        </w:tc>
        <w:tc>
          <w:tcPr>
            <w:tcW w:w="80" w:type="dxa"/>
            <w:vAlign w:val="bottom"/>
            <w:tcBorders>
              <w:bottom w:val="single" w:sz="8" w:color="D2EDF0"/>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21,779</w:t>
            </w:r>
          </w:p>
        </w:tc>
      </w:tr>
      <w:tr>
        <w:trPr>
          <w:trHeight w:val="280"/>
        </w:trPr>
        <w:tc>
          <w:tcPr>
            <w:tcW w:w="4940" w:type="dxa"/>
            <w:vAlign w:val="bottom"/>
            <w:shd w:val="clear" w:color="auto" w:fill="D2EDF0"/>
          </w:tcPr>
          <w:p>
            <w:pPr>
              <w:ind w:left="280"/>
              <w:spacing w:after="0"/>
              <w:rPr>
                <w:sz w:val="20"/>
                <w:szCs w:val="20"/>
                <w:color w:val="auto"/>
              </w:rPr>
            </w:pPr>
            <w:r>
              <w:rPr>
                <w:rFonts w:ascii="Arial" w:cs="Arial" w:eastAsia="Arial" w:hAnsi="Arial"/>
                <w:sz w:val="20"/>
                <w:szCs w:val="20"/>
                <w:color w:val="auto"/>
              </w:rPr>
              <w:t>Total stock-based compensation expense</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120,633</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79,405</w:t>
            </w:r>
          </w:p>
        </w:tc>
        <w:tc>
          <w:tcPr>
            <w:tcW w:w="500" w:type="dxa"/>
            <w:vAlign w:val="bottom"/>
            <w:gridSpan w:val="2"/>
            <w:shd w:val="clear" w:color="auto" w:fill="D2EDF0"/>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59,573</w:t>
            </w:r>
          </w:p>
        </w:tc>
      </w:tr>
      <w:tr>
        <w:trPr>
          <w:trHeight w:val="20"/>
        </w:trPr>
        <w:tc>
          <w:tcPr>
            <w:tcW w:w="494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-37465</wp:posOffset>
            </wp:positionV>
            <wp:extent cx="258127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81275" cy="38100"/>
                    </a:xfrm>
                    <a:prstGeom prst="rect">
                      <a:avLst/>
                    </a:prstGeom>
                    <a:noFill/>
                  </pic:spPr>
                </pic:pic>
              </a:graphicData>
            </a:graphic>
          </wp:anchor>
        </w:drawing>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880" w:h="15480" w:orient="portrait"/>
          <w:cols w:equalWidth="0" w:num="1">
            <w:col w:w="9000"/>
          </w:cols>
          <w:pgMar w:left="1440" w:top="1203" w:right="1440" w:bottom="0" w:gutter="0" w:footer="0" w:header="0"/>
          <w:type w:val="continuous"/>
        </w:sectPr>
      </w:pPr>
    </w:p>
    <w:bookmarkStart w:id="155" w:name="page156"/>
    <w:bookmarkEnd w:id="155"/>
    <w:p>
      <w:pPr>
        <w:ind w:left="360"/>
        <w:spacing w:after="0"/>
        <w:rPr>
          <w:sz w:val="20"/>
          <w:szCs w:val="20"/>
          <w:color w:val="auto"/>
        </w:rPr>
      </w:pPr>
      <w:r>
        <w:rPr>
          <w:rFonts w:ascii="Arial" w:cs="Arial" w:eastAsia="Arial" w:hAnsi="Arial"/>
          <w:sz w:val="20"/>
          <w:szCs w:val="20"/>
          <w:b w:val="1"/>
          <w:bCs w:val="1"/>
          <w:color w:val="auto"/>
        </w:rPr>
        <w:t>Comparison of 2022 and 2021</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Revenue</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the increase in revenue: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356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63"/>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43"/>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D2EDF0"/>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0"/>
        </w:trPr>
        <w:tc>
          <w:tcPr>
            <w:tcW w:w="3560" w:type="dxa"/>
            <w:vAlign w:val="bottom"/>
            <w:shd w:val="clear" w:color="auto" w:fill="D2EDF0"/>
          </w:tcPr>
          <w:p>
            <w:pPr>
              <w:ind w:left="60"/>
              <w:spacing w:after="0"/>
              <w:rPr>
                <w:sz w:val="20"/>
                <w:szCs w:val="20"/>
                <w:color w:val="auto"/>
              </w:rPr>
            </w:pPr>
            <w:r>
              <w:rPr>
                <w:rFonts w:ascii="Arial" w:cs="Arial" w:eastAsia="Arial" w:hAnsi="Arial"/>
                <w:sz w:val="20"/>
                <w:szCs w:val="20"/>
                <w:color w:val="auto"/>
              </w:rPr>
              <w:t>Subscription revenue</w:t>
            </w: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612,510</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476,023</w:t>
            </w:r>
          </w:p>
        </w:tc>
        <w:tc>
          <w:tcPr>
            <w:tcW w:w="400" w:type="dxa"/>
            <w:vAlign w:val="bottom"/>
            <w:gridSpan w:val="2"/>
            <w:shd w:val="clear" w:color="auto" w:fill="D2EDF0"/>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136,487</w:t>
            </w:r>
          </w:p>
        </w:tc>
        <w:tc>
          <w:tcPr>
            <w:tcW w:w="80" w:type="dxa"/>
            <w:vAlign w:val="bottom"/>
            <w:shd w:val="clear" w:color="auto" w:fill="D2EDF0"/>
          </w:tcPr>
          <w:p>
            <w:pPr>
              <w:spacing w:after="0"/>
              <w:rPr>
                <w:sz w:val="24"/>
                <w:szCs w:val="24"/>
                <w:color w:val="auto"/>
              </w:rPr>
            </w:pPr>
          </w:p>
        </w:tc>
        <w:tc>
          <w:tcPr>
            <w:tcW w:w="400" w:type="dxa"/>
            <w:vAlign w:val="bottom"/>
            <w:shd w:val="clear" w:color="auto" w:fill="D2EDF0"/>
          </w:tcPr>
          <w:p>
            <w:pPr>
              <w:spacing w:after="0"/>
              <w:rPr>
                <w:sz w:val="24"/>
                <w:szCs w:val="24"/>
                <w:color w:val="auto"/>
              </w:rPr>
            </w:pP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29 %</w:t>
            </w:r>
          </w:p>
        </w:tc>
        <w:tc>
          <w:tcPr>
            <w:tcW w:w="0" w:type="dxa"/>
            <w:vAlign w:val="bottom"/>
          </w:tcPr>
          <w:p>
            <w:pPr>
              <w:spacing w:after="0"/>
              <w:rPr>
                <w:sz w:val="1"/>
                <w:szCs w:val="1"/>
                <w:color w:val="auto"/>
              </w:rPr>
            </w:pPr>
          </w:p>
        </w:tc>
      </w:tr>
      <w:tr>
        <w:trPr>
          <w:trHeight w:val="208"/>
        </w:trPr>
        <w:tc>
          <w:tcPr>
            <w:tcW w:w="3560" w:type="dxa"/>
            <w:vAlign w:val="bottom"/>
          </w:tcPr>
          <w:p>
            <w:pPr>
              <w:ind w:left="60"/>
              <w:spacing w:after="0" w:line="208" w:lineRule="exact"/>
              <w:rPr>
                <w:sz w:val="20"/>
                <w:szCs w:val="20"/>
                <w:color w:val="auto"/>
              </w:rPr>
            </w:pPr>
            <w:r>
              <w:rPr>
                <w:rFonts w:ascii="Arial" w:cs="Arial" w:eastAsia="Arial" w:hAnsi="Arial"/>
                <w:sz w:val="20"/>
                <w:szCs w:val="20"/>
                <w:color w:val="auto"/>
              </w:rPr>
              <w:t>Perpetual license and maintenance</w:t>
            </w:r>
          </w:p>
        </w:tc>
        <w:tc>
          <w:tcPr>
            <w:tcW w:w="20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50,699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50,333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366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1 %</w:t>
            </w:r>
          </w:p>
        </w:tc>
        <w:tc>
          <w:tcPr>
            <w:tcW w:w="0" w:type="dxa"/>
            <w:vAlign w:val="bottom"/>
          </w:tcPr>
          <w:p>
            <w:pPr>
              <w:spacing w:after="0"/>
              <w:rPr>
                <w:sz w:val="1"/>
                <w:szCs w:val="1"/>
                <w:color w:val="auto"/>
              </w:rPr>
            </w:pPr>
          </w:p>
        </w:tc>
      </w:tr>
      <w:tr>
        <w:trPr>
          <w:trHeight w:val="269"/>
        </w:trPr>
        <w:tc>
          <w:tcPr>
            <w:tcW w:w="3560" w:type="dxa"/>
            <w:vAlign w:val="bottom"/>
          </w:tcPr>
          <w:p>
            <w:pPr>
              <w:ind w:left="60"/>
              <w:spacing w:after="0"/>
              <w:rPr>
                <w:sz w:val="20"/>
                <w:szCs w:val="20"/>
                <w:color w:val="auto"/>
              </w:rPr>
            </w:pPr>
            <w:r>
              <w:rPr>
                <w:rFonts w:ascii="Arial" w:cs="Arial" w:eastAsia="Arial" w:hAnsi="Arial"/>
                <w:sz w:val="20"/>
                <w:szCs w:val="20"/>
                <w:color w:val="auto"/>
              </w:rPr>
              <w:t>revenue</w:t>
            </w:r>
          </w:p>
        </w:tc>
        <w:tc>
          <w:tcPr>
            <w:tcW w:w="200" w:type="dxa"/>
            <w:vAlign w:val="bottom"/>
          </w:tcPr>
          <w:p>
            <w:pPr>
              <w:spacing w:after="0"/>
              <w:rPr>
                <w:sz w:val="23"/>
                <w:szCs w:val="23"/>
                <w:color w:val="auto"/>
              </w:rPr>
            </w:pPr>
          </w:p>
        </w:tc>
        <w:tc>
          <w:tcPr>
            <w:tcW w:w="11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3560" w:type="dxa"/>
            <w:vAlign w:val="bottom"/>
            <w:shd w:val="clear" w:color="auto" w:fill="D2EDF0"/>
          </w:tcPr>
          <w:p>
            <w:pPr>
              <w:ind w:left="60"/>
              <w:spacing w:after="0" w:line="211" w:lineRule="exact"/>
              <w:rPr>
                <w:sz w:val="20"/>
                <w:szCs w:val="20"/>
                <w:color w:val="auto"/>
              </w:rPr>
            </w:pPr>
            <w:r>
              <w:rPr>
                <w:rFonts w:ascii="Arial" w:cs="Arial" w:eastAsia="Arial" w:hAnsi="Arial"/>
                <w:sz w:val="20"/>
                <w:szCs w:val="20"/>
                <w:color w:val="auto"/>
              </w:rPr>
              <w:t>Professional services and other</w:t>
            </w:r>
          </w:p>
        </w:tc>
        <w:tc>
          <w:tcPr>
            <w:tcW w:w="200" w:type="dxa"/>
            <w:vAlign w:val="bottom"/>
            <w:shd w:val="clear" w:color="auto" w:fill="D2EDF0"/>
          </w:tcPr>
          <w:p>
            <w:pPr>
              <w:spacing w:after="0"/>
              <w:rPr>
                <w:sz w:val="18"/>
                <w:szCs w:val="18"/>
                <w:color w:val="auto"/>
              </w:rPr>
            </w:pPr>
          </w:p>
        </w:tc>
        <w:tc>
          <w:tcPr>
            <w:tcW w:w="11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19,982</w:t>
            </w:r>
          </w:p>
        </w:tc>
        <w:tc>
          <w:tcPr>
            <w:tcW w:w="80" w:type="dxa"/>
            <w:vAlign w:val="bottom"/>
            <w:shd w:val="clear" w:color="auto" w:fill="D2EDF0"/>
          </w:tcPr>
          <w:p>
            <w:pPr>
              <w:spacing w:after="0"/>
              <w:rPr>
                <w:sz w:val="18"/>
                <w:szCs w:val="18"/>
                <w:color w:val="auto"/>
              </w:rPr>
            </w:pPr>
          </w:p>
        </w:tc>
        <w:tc>
          <w:tcPr>
            <w:tcW w:w="300" w:type="dxa"/>
            <w:vAlign w:val="bottom"/>
            <w:shd w:val="clear" w:color="auto" w:fill="D2EDF0"/>
          </w:tcPr>
          <w:p>
            <w:pPr>
              <w:spacing w:after="0"/>
              <w:rPr>
                <w:sz w:val="18"/>
                <w:szCs w:val="18"/>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14,774</w:t>
            </w:r>
          </w:p>
        </w:tc>
        <w:tc>
          <w:tcPr>
            <w:tcW w:w="80" w:type="dxa"/>
            <w:vAlign w:val="bottom"/>
            <w:shd w:val="clear" w:color="auto" w:fill="D2EDF0"/>
          </w:tcPr>
          <w:p>
            <w:pPr>
              <w:spacing w:after="0"/>
              <w:rPr>
                <w:sz w:val="18"/>
                <w:szCs w:val="18"/>
                <w:color w:val="auto"/>
              </w:rPr>
            </w:pPr>
          </w:p>
        </w:tc>
        <w:tc>
          <w:tcPr>
            <w:tcW w:w="320" w:type="dxa"/>
            <w:vAlign w:val="bottom"/>
            <w:shd w:val="clear" w:color="auto" w:fill="D2EDF0"/>
          </w:tcPr>
          <w:p>
            <w:pPr>
              <w:spacing w:after="0"/>
              <w:rPr>
                <w:sz w:val="18"/>
                <w:szCs w:val="18"/>
                <w:color w:val="auto"/>
              </w:rPr>
            </w:pPr>
          </w:p>
        </w:tc>
        <w:tc>
          <w:tcPr>
            <w:tcW w:w="98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5,208</w:t>
            </w:r>
          </w:p>
        </w:tc>
        <w:tc>
          <w:tcPr>
            <w:tcW w:w="80" w:type="dxa"/>
            <w:vAlign w:val="bottom"/>
            <w:shd w:val="clear" w:color="auto" w:fill="D2EDF0"/>
          </w:tcPr>
          <w:p>
            <w:pPr>
              <w:spacing w:after="0"/>
              <w:rPr>
                <w:sz w:val="18"/>
                <w:szCs w:val="18"/>
                <w:color w:val="auto"/>
              </w:rPr>
            </w:pPr>
          </w:p>
        </w:tc>
        <w:tc>
          <w:tcPr>
            <w:tcW w:w="400" w:type="dxa"/>
            <w:vAlign w:val="bottom"/>
            <w:shd w:val="clear" w:color="auto" w:fill="D2EDF0"/>
          </w:tcPr>
          <w:p>
            <w:pPr>
              <w:spacing w:after="0"/>
              <w:rPr>
                <w:sz w:val="18"/>
                <w:szCs w:val="18"/>
                <w:color w:val="auto"/>
              </w:rPr>
            </w:pPr>
          </w:p>
        </w:tc>
        <w:tc>
          <w:tcPr>
            <w:tcW w:w="9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35 %</w:t>
            </w:r>
          </w:p>
        </w:tc>
        <w:tc>
          <w:tcPr>
            <w:tcW w:w="0" w:type="dxa"/>
            <w:vAlign w:val="bottom"/>
          </w:tcPr>
          <w:p>
            <w:pPr>
              <w:spacing w:after="0"/>
              <w:rPr>
                <w:sz w:val="1"/>
                <w:szCs w:val="1"/>
                <w:color w:val="auto"/>
              </w:rPr>
            </w:pPr>
          </w:p>
        </w:tc>
      </w:tr>
      <w:tr>
        <w:trPr>
          <w:trHeight w:val="262"/>
        </w:trPr>
        <w:tc>
          <w:tcPr>
            <w:tcW w:w="356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20"/>
                <w:szCs w:val="20"/>
                <w:color w:val="auto"/>
              </w:rPr>
              <w:t>revenue</w:t>
            </w:r>
          </w:p>
        </w:tc>
        <w:tc>
          <w:tcPr>
            <w:tcW w:w="200" w:type="dxa"/>
            <w:vAlign w:val="bottom"/>
            <w:tcBorders>
              <w:bottom w:val="single" w:sz="8" w:color="auto"/>
            </w:tcBorders>
            <w:shd w:val="clear" w:color="auto" w:fill="D2EDF0"/>
          </w:tcPr>
          <w:p>
            <w:pPr>
              <w:spacing w:after="0"/>
              <w:rPr>
                <w:sz w:val="22"/>
                <w:szCs w:val="22"/>
                <w:color w:val="auto"/>
              </w:rPr>
            </w:pPr>
          </w:p>
        </w:tc>
        <w:tc>
          <w:tcPr>
            <w:tcW w:w="1100" w:type="dxa"/>
            <w:vAlign w:val="bottom"/>
            <w:tcBorders>
              <w:bottom w:val="single" w:sz="8" w:color="auto"/>
            </w:tcBorders>
            <w:vMerge w:val="continue"/>
            <w:shd w:val="clear" w:color="auto" w:fill="D2EDF0"/>
          </w:tcPr>
          <w:p>
            <w:pPr>
              <w:spacing w:after="0"/>
              <w:rPr>
                <w:sz w:val="22"/>
                <w:szCs w:val="22"/>
                <w:color w:val="auto"/>
              </w:rPr>
            </w:pPr>
          </w:p>
        </w:tc>
        <w:tc>
          <w:tcPr>
            <w:tcW w:w="80" w:type="dxa"/>
            <w:vAlign w:val="bottom"/>
            <w:tcBorders>
              <w:bottom w:val="single" w:sz="8" w:color="D2EDF0"/>
            </w:tcBorders>
            <w:shd w:val="clear" w:color="auto" w:fill="D2EDF0"/>
          </w:tcPr>
          <w:p>
            <w:pPr>
              <w:spacing w:after="0"/>
              <w:rPr>
                <w:sz w:val="22"/>
                <w:szCs w:val="22"/>
                <w:color w:val="auto"/>
              </w:rPr>
            </w:pPr>
          </w:p>
        </w:tc>
        <w:tc>
          <w:tcPr>
            <w:tcW w:w="300" w:type="dxa"/>
            <w:vAlign w:val="bottom"/>
            <w:tcBorders>
              <w:bottom w:val="single" w:sz="8" w:color="auto"/>
            </w:tcBorders>
            <w:shd w:val="clear" w:color="auto" w:fill="D2EDF0"/>
          </w:tcPr>
          <w:p>
            <w:pPr>
              <w:spacing w:after="0"/>
              <w:rPr>
                <w:sz w:val="22"/>
                <w:szCs w:val="22"/>
                <w:color w:val="auto"/>
              </w:rPr>
            </w:pPr>
          </w:p>
        </w:tc>
        <w:tc>
          <w:tcPr>
            <w:tcW w:w="1000" w:type="dxa"/>
            <w:vAlign w:val="bottom"/>
            <w:tcBorders>
              <w:bottom w:val="single" w:sz="8" w:color="auto"/>
            </w:tcBorders>
            <w:vMerge w:val="continue"/>
            <w:shd w:val="clear" w:color="auto" w:fill="D2EDF0"/>
          </w:tcPr>
          <w:p>
            <w:pPr>
              <w:spacing w:after="0"/>
              <w:rPr>
                <w:sz w:val="22"/>
                <w:szCs w:val="22"/>
                <w:color w:val="auto"/>
              </w:rPr>
            </w:pPr>
          </w:p>
        </w:tc>
        <w:tc>
          <w:tcPr>
            <w:tcW w:w="80" w:type="dxa"/>
            <w:vAlign w:val="bottom"/>
            <w:tcBorders>
              <w:bottom w:val="single" w:sz="8" w:color="D2EDF0"/>
            </w:tcBorders>
            <w:shd w:val="clear" w:color="auto" w:fill="D2EDF0"/>
          </w:tcPr>
          <w:p>
            <w:pPr>
              <w:spacing w:after="0"/>
              <w:rPr>
                <w:sz w:val="22"/>
                <w:szCs w:val="22"/>
                <w:color w:val="auto"/>
              </w:rPr>
            </w:pPr>
          </w:p>
        </w:tc>
        <w:tc>
          <w:tcPr>
            <w:tcW w:w="320" w:type="dxa"/>
            <w:vAlign w:val="bottom"/>
            <w:tcBorders>
              <w:bottom w:val="single" w:sz="8" w:color="auto"/>
            </w:tcBorders>
            <w:shd w:val="clear" w:color="auto" w:fill="D2EDF0"/>
          </w:tcPr>
          <w:p>
            <w:pPr>
              <w:spacing w:after="0"/>
              <w:rPr>
                <w:sz w:val="22"/>
                <w:szCs w:val="22"/>
                <w:color w:val="auto"/>
              </w:rPr>
            </w:pPr>
          </w:p>
        </w:tc>
        <w:tc>
          <w:tcPr>
            <w:tcW w:w="980" w:type="dxa"/>
            <w:vAlign w:val="bottom"/>
            <w:tcBorders>
              <w:bottom w:val="single" w:sz="8" w:color="auto"/>
            </w:tcBorders>
            <w:vMerge w:val="continue"/>
            <w:shd w:val="clear" w:color="auto" w:fill="D2EDF0"/>
          </w:tcPr>
          <w:p>
            <w:pPr>
              <w:spacing w:after="0"/>
              <w:rPr>
                <w:sz w:val="22"/>
                <w:szCs w:val="22"/>
                <w:color w:val="auto"/>
              </w:rPr>
            </w:pPr>
          </w:p>
        </w:tc>
        <w:tc>
          <w:tcPr>
            <w:tcW w:w="80" w:type="dxa"/>
            <w:vAlign w:val="bottom"/>
            <w:tcBorders>
              <w:bottom w:val="single" w:sz="8" w:color="D2EDF0"/>
            </w:tcBorders>
            <w:shd w:val="clear" w:color="auto" w:fill="D2EDF0"/>
          </w:tcPr>
          <w:p>
            <w:pPr>
              <w:spacing w:after="0"/>
              <w:rPr>
                <w:sz w:val="22"/>
                <w:szCs w:val="22"/>
                <w:color w:val="auto"/>
              </w:rPr>
            </w:pPr>
          </w:p>
        </w:tc>
        <w:tc>
          <w:tcPr>
            <w:tcW w:w="400" w:type="dxa"/>
            <w:vAlign w:val="bottom"/>
            <w:tcBorders>
              <w:bottom w:val="single" w:sz="8" w:color="D2EDF0"/>
            </w:tcBorders>
            <w:shd w:val="clear" w:color="auto" w:fill="D2EDF0"/>
          </w:tcPr>
          <w:p>
            <w:pPr>
              <w:spacing w:after="0"/>
              <w:rPr>
                <w:sz w:val="22"/>
                <w:szCs w:val="22"/>
                <w:color w:val="auto"/>
              </w:rPr>
            </w:pPr>
          </w:p>
        </w:tc>
        <w:tc>
          <w:tcPr>
            <w:tcW w:w="900" w:type="dxa"/>
            <w:vAlign w:val="bottom"/>
            <w:tcBorders>
              <w:bottom w:val="single" w:sz="8" w:color="D2EDF0"/>
            </w:tcBorders>
            <w:vMerge w:val="continue"/>
            <w:shd w:val="clear" w:color="auto" w:fill="D2EDF0"/>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560" w:type="dxa"/>
            <w:vAlign w:val="bottom"/>
          </w:tcPr>
          <w:p>
            <w:pPr>
              <w:ind w:left="300"/>
              <w:spacing w:after="0"/>
              <w:rPr>
                <w:sz w:val="20"/>
                <w:szCs w:val="20"/>
                <w:color w:val="auto"/>
              </w:rPr>
            </w:pPr>
            <w:r>
              <w:rPr>
                <w:rFonts w:ascii="Arial" w:cs="Arial" w:eastAsia="Arial" w:hAnsi="Arial"/>
                <w:sz w:val="20"/>
                <w:szCs w:val="20"/>
                <w:color w:val="auto"/>
              </w:rPr>
              <w:t>Revenue</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683,191</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541,130</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142,061</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26 %</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2257425</wp:posOffset>
            </wp:positionH>
            <wp:positionV relativeFrom="paragraph">
              <wp:posOffset>-37465</wp:posOffset>
            </wp:positionV>
            <wp:extent cx="258127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81275" cy="38100"/>
                    </a:xfrm>
                    <a:prstGeom prst="rect">
                      <a:avLst/>
                    </a:prstGeom>
                    <a:noFill/>
                  </pic:spPr>
                </pic:pic>
              </a:graphicData>
            </a:graphic>
          </wp:anchor>
        </w:drawing>
      </w:r>
    </w:p>
    <w:p>
      <w:pPr>
        <w:spacing w:after="0" w:line="54" w:lineRule="exact"/>
        <w:rPr>
          <w:sz w:val="20"/>
          <w:szCs w:val="20"/>
          <w:color w:val="auto"/>
        </w:rPr>
      </w:pPr>
    </w:p>
    <w:p>
      <w:pPr>
        <w:ind w:right="80" w:firstLine="360"/>
        <w:spacing w:after="0" w:line="268" w:lineRule="auto"/>
        <w:rPr>
          <w:sz w:val="20"/>
          <w:szCs w:val="20"/>
          <w:color w:val="auto"/>
        </w:rPr>
      </w:pPr>
      <w:r>
        <w:rPr>
          <w:rFonts w:ascii="Arial" w:cs="Arial" w:eastAsia="Arial" w:hAnsi="Arial"/>
          <w:sz w:val="20"/>
          <w:szCs w:val="20"/>
          <w:color w:val="auto"/>
        </w:rPr>
        <w:t>The increase in revenue of $142.1 million included $132.8 million from existing customers as of January 1, 2022 and $9.3 million from new customers. U.S. revenue increased $71.2 million, or 23%. International revenue increased $70.9 million, or 31%.</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Cost of Revenue, Gross Profit and Gross Margin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60" w:type="dxa"/>
            <w:vAlign w:val="bottom"/>
          </w:tcPr>
          <w:p>
            <w:pPr>
              <w:spacing w:after="0"/>
              <w:rPr>
                <w:sz w:val="20"/>
                <w:szCs w:val="20"/>
                <w:color w:val="auto"/>
              </w:rPr>
            </w:pPr>
          </w:p>
        </w:tc>
        <w:tc>
          <w:tcPr>
            <w:tcW w:w="26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80"/>
        </w:trPr>
        <w:tc>
          <w:tcPr>
            <w:tcW w:w="356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(dollars in thousands)</w:t>
            </w:r>
          </w:p>
        </w:tc>
        <w:tc>
          <w:tcPr>
            <w:tcW w:w="1300" w:type="dxa"/>
            <w:vAlign w:val="bottom"/>
            <w:tcBorders>
              <w:bottom w:val="single" w:sz="8" w:color="auto"/>
            </w:tcBorders>
          </w:tcPr>
          <w:p>
            <w:pPr>
              <w:jc w:val="right"/>
              <w:ind w:right="364"/>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5"/>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D2EDF0"/>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3"/>
              <w:spacing w:after="0"/>
              <w:rPr>
                <w:sz w:val="20"/>
                <w:szCs w:val="20"/>
                <w:color w:val="auto"/>
              </w:rPr>
            </w:pPr>
            <w:r>
              <w:rPr>
                <w:rFonts w:ascii="Arial" w:cs="Arial" w:eastAsia="Arial" w:hAnsi="Arial"/>
                <w:sz w:val="18"/>
                <w:szCs w:val="18"/>
                <w:b w:val="1"/>
                <w:bCs w:val="1"/>
                <w:color w:val="auto"/>
              </w:rPr>
              <w:t>(%)</w:t>
            </w:r>
          </w:p>
        </w:tc>
      </w:tr>
      <w:tr>
        <w:trPr>
          <w:trHeight w:val="290"/>
        </w:trPr>
        <w:tc>
          <w:tcPr>
            <w:tcW w:w="3560" w:type="dxa"/>
            <w:vAlign w:val="bottom"/>
            <w:shd w:val="clear" w:color="auto" w:fill="D2EDF0"/>
          </w:tcPr>
          <w:p>
            <w:pPr>
              <w:ind w:left="60"/>
              <w:spacing w:after="0"/>
              <w:rPr>
                <w:sz w:val="20"/>
                <w:szCs w:val="20"/>
                <w:color w:val="auto"/>
              </w:rPr>
            </w:pPr>
            <w:r>
              <w:rPr>
                <w:rFonts w:ascii="Arial" w:cs="Arial" w:eastAsia="Arial" w:hAnsi="Arial"/>
                <w:sz w:val="20"/>
                <w:szCs w:val="20"/>
                <w:color w:val="auto"/>
              </w:rPr>
              <w:t>Cost of revenue</w:t>
            </w:r>
          </w:p>
        </w:tc>
        <w:tc>
          <w:tcPr>
            <w:tcW w:w="1300" w:type="dxa"/>
            <w:vAlign w:val="bottom"/>
            <w:shd w:val="clear" w:color="auto" w:fill="D2EDF0"/>
          </w:tcPr>
          <w:p>
            <w:pPr>
              <w:jc w:val="right"/>
              <w:ind w:right="164"/>
              <w:spacing w:after="0"/>
              <w:rPr>
                <w:sz w:val="20"/>
                <w:szCs w:val="20"/>
                <w:color w:val="auto"/>
              </w:rPr>
            </w:pPr>
            <w:r>
              <w:rPr>
                <w:rFonts w:ascii="Arial" w:cs="Arial" w:eastAsia="Arial" w:hAnsi="Arial"/>
                <w:sz w:val="20"/>
                <w:szCs w:val="20"/>
                <w:color w:val="auto"/>
              </w:rPr>
              <w:t>$  154,789</w:t>
            </w:r>
          </w:p>
        </w:tc>
        <w:tc>
          <w:tcPr>
            <w:tcW w:w="1380" w:type="dxa"/>
            <w:vAlign w:val="bottom"/>
            <w:gridSpan w:val="2"/>
            <w:shd w:val="clear" w:color="auto" w:fill="D2EDF0"/>
          </w:tcPr>
          <w:p>
            <w:pPr>
              <w:jc w:val="right"/>
              <w:ind w:right="170"/>
              <w:spacing w:after="0"/>
              <w:rPr>
                <w:sz w:val="20"/>
                <w:szCs w:val="20"/>
                <w:color w:val="auto"/>
              </w:rPr>
            </w:pPr>
            <w:r>
              <w:rPr>
                <w:rFonts w:ascii="Arial" w:cs="Arial" w:eastAsia="Arial" w:hAnsi="Arial"/>
                <w:sz w:val="20"/>
                <w:szCs w:val="20"/>
                <w:color w:val="auto"/>
              </w:rPr>
              <w:t>$  106,396</w:t>
            </w:r>
          </w:p>
        </w:tc>
        <w:tc>
          <w:tcPr>
            <w:tcW w:w="420" w:type="dxa"/>
            <w:vAlign w:val="bottom"/>
            <w:gridSpan w:val="2"/>
            <w:shd w:val="clear" w:color="auto" w:fill="D2EDF0"/>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48,393</w:t>
            </w:r>
          </w:p>
        </w:tc>
        <w:tc>
          <w:tcPr>
            <w:tcW w:w="80" w:type="dxa"/>
            <w:vAlign w:val="bottom"/>
            <w:shd w:val="clear" w:color="auto" w:fill="D2EDF0"/>
          </w:tcPr>
          <w:p>
            <w:pPr>
              <w:spacing w:after="0"/>
              <w:rPr>
                <w:sz w:val="24"/>
                <w:szCs w:val="24"/>
                <w:color w:val="auto"/>
              </w:rPr>
            </w:pPr>
          </w:p>
        </w:tc>
        <w:tc>
          <w:tcPr>
            <w:tcW w:w="400" w:type="dxa"/>
            <w:vAlign w:val="bottom"/>
            <w:shd w:val="clear" w:color="auto" w:fill="D2EDF0"/>
          </w:tcPr>
          <w:p>
            <w:pPr>
              <w:spacing w:after="0"/>
              <w:rPr>
                <w:sz w:val="24"/>
                <w:szCs w:val="24"/>
                <w:color w:val="auto"/>
              </w:rPr>
            </w:pP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45 %</w:t>
            </w:r>
          </w:p>
        </w:tc>
      </w:tr>
      <w:tr>
        <w:trPr>
          <w:trHeight w:val="296"/>
        </w:trPr>
        <w:tc>
          <w:tcPr>
            <w:tcW w:w="3560" w:type="dxa"/>
            <w:vAlign w:val="bottom"/>
          </w:tcPr>
          <w:p>
            <w:pPr>
              <w:ind w:left="60"/>
              <w:spacing w:after="0"/>
              <w:rPr>
                <w:sz w:val="20"/>
                <w:szCs w:val="20"/>
                <w:color w:val="auto"/>
              </w:rPr>
            </w:pPr>
            <w:r>
              <w:rPr>
                <w:rFonts w:ascii="Arial" w:cs="Arial" w:eastAsia="Arial" w:hAnsi="Arial"/>
                <w:sz w:val="20"/>
                <w:szCs w:val="20"/>
                <w:color w:val="auto"/>
              </w:rPr>
              <w:t>Gross profit</w:t>
            </w:r>
          </w:p>
        </w:tc>
        <w:tc>
          <w:tcPr>
            <w:tcW w:w="1300" w:type="dxa"/>
            <w:vAlign w:val="bottom"/>
          </w:tcPr>
          <w:p>
            <w:pPr>
              <w:jc w:val="right"/>
              <w:ind w:right="164"/>
              <w:spacing w:after="0"/>
              <w:rPr>
                <w:sz w:val="20"/>
                <w:szCs w:val="20"/>
                <w:color w:val="auto"/>
              </w:rPr>
            </w:pPr>
            <w:r>
              <w:rPr>
                <w:rFonts w:ascii="Arial" w:cs="Arial" w:eastAsia="Arial" w:hAnsi="Arial"/>
                <w:sz w:val="20"/>
                <w:szCs w:val="20"/>
                <w:color w:val="auto"/>
              </w:rPr>
              <w:t>528,402</w:t>
            </w:r>
          </w:p>
        </w:tc>
        <w:tc>
          <w:tcPr>
            <w:tcW w:w="1380" w:type="dxa"/>
            <w:vAlign w:val="bottom"/>
            <w:gridSpan w:val="2"/>
          </w:tcPr>
          <w:p>
            <w:pPr>
              <w:jc w:val="right"/>
              <w:ind w:right="170"/>
              <w:spacing w:after="0"/>
              <w:rPr>
                <w:sz w:val="20"/>
                <w:szCs w:val="20"/>
                <w:color w:val="auto"/>
              </w:rPr>
            </w:pPr>
            <w:r>
              <w:rPr>
                <w:rFonts w:ascii="Arial" w:cs="Arial" w:eastAsia="Arial" w:hAnsi="Arial"/>
                <w:sz w:val="20"/>
                <w:szCs w:val="20"/>
                <w:color w:val="auto"/>
              </w:rPr>
              <w:t>434,734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93,668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22 %</w:t>
            </w:r>
          </w:p>
        </w:tc>
      </w:tr>
      <w:tr>
        <w:trPr>
          <w:trHeight w:val="304"/>
        </w:trPr>
        <w:tc>
          <w:tcPr>
            <w:tcW w:w="3560" w:type="dxa"/>
            <w:vAlign w:val="bottom"/>
            <w:shd w:val="clear" w:color="auto" w:fill="D2EDF0"/>
          </w:tcPr>
          <w:p>
            <w:pPr>
              <w:ind w:left="60"/>
              <w:spacing w:after="0"/>
              <w:rPr>
                <w:sz w:val="20"/>
                <w:szCs w:val="20"/>
                <w:color w:val="auto"/>
              </w:rPr>
            </w:pPr>
            <w:r>
              <w:rPr>
                <w:rFonts w:ascii="Arial" w:cs="Arial" w:eastAsia="Arial" w:hAnsi="Arial"/>
                <w:sz w:val="20"/>
                <w:szCs w:val="20"/>
                <w:color w:val="auto"/>
              </w:rPr>
              <w:t>Gross margin</w:t>
            </w:r>
          </w:p>
        </w:tc>
        <w:tc>
          <w:tcPr>
            <w:tcW w:w="13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77 %</w:t>
            </w:r>
          </w:p>
        </w:tc>
        <w:tc>
          <w:tcPr>
            <w:tcW w:w="13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80 %</w:t>
            </w:r>
          </w:p>
        </w:tc>
        <w:tc>
          <w:tcPr>
            <w:tcW w:w="80" w:type="dxa"/>
            <w:vAlign w:val="bottom"/>
            <w:shd w:val="clear" w:color="auto" w:fill="D2EDF0"/>
          </w:tcPr>
          <w:p>
            <w:pPr>
              <w:spacing w:after="0"/>
              <w:rPr>
                <w:sz w:val="24"/>
                <w:szCs w:val="24"/>
                <w:color w:val="auto"/>
              </w:rPr>
            </w:pPr>
          </w:p>
        </w:tc>
        <w:tc>
          <w:tcPr>
            <w:tcW w:w="340" w:type="dxa"/>
            <w:vAlign w:val="bottom"/>
            <w:shd w:val="clear" w:color="auto" w:fill="D2EDF0"/>
          </w:tcPr>
          <w:p>
            <w:pPr>
              <w:spacing w:after="0"/>
              <w:rPr>
                <w:sz w:val="24"/>
                <w:szCs w:val="24"/>
                <w:color w:val="auto"/>
              </w:rPr>
            </w:pPr>
          </w:p>
        </w:tc>
        <w:tc>
          <w:tcPr>
            <w:tcW w:w="96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400" w:type="dxa"/>
            <w:vAlign w:val="bottom"/>
            <w:shd w:val="clear" w:color="auto" w:fill="D2EDF0"/>
          </w:tcPr>
          <w:p>
            <w:pPr>
              <w:spacing w:after="0"/>
              <w:rPr>
                <w:sz w:val="24"/>
                <w:szCs w:val="24"/>
                <w:color w:val="auto"/>
              </w:rPr>
            </w:pPr>
          </w:p>
        </w:tc>
        <w:tc>
          <w:tcPr>
            <w:tcW w:w="900" w:type="dxa"/>
            <w:vAlign w:val="bottom"/>
            <w:shd w:val="clear" w:color="auto" w:fill="D2EDF0"/>
          </w:tcPr>
          <w:p>
            <w:pPr>
              <w:spacing w:after="0"/>
              <w:rPr>
                <w:sz w:val="24"/>
                <w:szCs w:val="24"/>
                <w:color w:val="auto"/>
              </w:rPr>
            </w:pPr>
          </w:p>
        </w:tc>
      </w:tr>
    </w:tbl>
    <w:p>
      <w:pPr>
        <w:spacing w:after="0" w:line="28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increase in cost of revenue of $48.4 million was primarily due to:</w:t>
      </w:r>
    </w:p>
    <w:p>
      <w:pPr>
        <w:spacing w:after="0" w:line="130" w:lineRule="exact"/>
        <w:rPr>
          <w:sz w:val="20"/>
          <w:szCs w:val="20"/>
          <w:color w:val="auto"/>
        </w:rPr>
      </w:pPr>
    </w:p>
    <w:p>
      <w:pPr>
        <w:ind w:left="720" w:hanging="360"/>
        <w:spacing w:after="0"/>
        <w:tabs>
          <w:tab w:leader="none" w:pos="72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 $24.1 million increase in third-party cloud infrastructure costs;</w:t>
      </w:r>
    </w:p>
    <w:p>
      <w:pPr>
        <w:spacing w:after="0" w:line="70" w:lineRule="exact"/>
        <w:rPr>
          <w:rFonts w:ascii="Arial" w:cs="Arial" w:eastAsia="Arial" w:hAnsi="Arial"/>
          <w:sz w:val="20"/>
          <w:szCs w:val="20"/>
          <w:color w:val="auto"/>
        </w:rPr>
      </w:pPr>
    </w:p>
    <w:p>
      <w:pPr>
        <w:jc w:val="both"/>
        <w:ind w:left="720" w:right="20" w:hanging="360"/>
        <w:spacing w:after="0" w:line="296" w:lineRule="auto"/>
        <w:tabs>
          <w:tab w:leader="none" w:pos="72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 $13.8 million increase in personnel costs, primarily due to support for cloud-based products and an increase in headcount, including a $3.9 million increase in stock-based compensation;</w:t>
      </w:r>
    </w:p>
    <w:p>
      <w:pPr>
        <w:spacing w:after="0" w:line="1" w:lineRule="exact"/>
        <w:rPr>
          <w:rFonts w:ascii="Arial" w:cs="Arial" w:eastAsia="Arial" w:hAnsi="Arial"/>
          <w:sz w:val="19"/>
          <w:szCs w:val="19"/>
          <w:color w:val="auto"/>
        </w:rPr>
      </w:pPr>
    </w:p>
    <w:p>
      <w:pPr>
        <w:ind w:left="720" w:hanging="360"/>
        <w:spacing w:after="0"/>
        <w:tabs>
          <w:tab w:leader="none" w:pos="72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 $4.9 million increase in the amortization of acquired intangible assets;</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 $2.8 million increase in professional fees;</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 $0.7 million increase in the cost of goods;</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 $0.7 million increase in depreciation and amortization;</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 $0.6 million increase in subscription costs; and</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 $0.6 million increase in allocated overhead expenses.</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amounts above are net of $0.7 million in savings due to the impact of foreign exchange rates.</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Sales and Marketing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80"/>
        </w:trPr>
        <w:tc>
          <w:tcPr>
            <w:tcW w:w="356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67"/>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5"/>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7"/>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D2EDF0"/>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5"/>
              <w:spacing w:after="0"/>
              <w:rPr>
                <w:sz w:val="20"/>
                <w:szCs w:val="20"/>
                <w:color w:val="auto"/>
              </w:rPr>
            </w:pPr>
            <w:r>
              <w:rPr>
                <w:rFonts w:ascii="Arial" w:cs="Arial" w:eastAsia="Arial" w:hAnsi="Arial"/>
                <w:sz w:val="18"/>
                <w:szCs w:val="18"/>
                <w:b w:val="1"/>
                <w:bCs w:val="1"/>
                <w:color w:val="auto"/>
              </w:rPr>
              <w:t>(%)</w:t>
            </w:r>
          </w:p>
        </w:tc>
      </w:tr>
      <w:tr>
        <w:trPr>
          <w:trHeight w:val="290"/>
        </w:trPr>
        <w:tc>
          <w:tcPr>
            <w:tcW w:w="3560" w:type="dxa"/>
            <w:vAlign w:val="bottom"/>
            <w:shd w:val="clear" w:color="auto" w:fill="D2EDF0"/>
          </w:tcPr>
          <w:p>
            <w:pPr>
              <w:ind w:left="60"/>
              <w:spacing w:after="0"/>
              <w:rPr>
                <w:sz w:val="20"/>
                <w:szCs w:val="20"/>
                <w:color w:val="auto"/>
              </w:rPr>
            </w:pPr>
            <w:r>
              <w:rPr>
                <w:rFonts w:ascii="Arial" w:cs="Arial" w:eastAsia="Arial" w:hAnsi="Arial"/>
                <w:sz w:val="20"/>
                <w:szCs w:val="20"/>
                <w:color w:val="auto"/>
              </w:rPr>
              <w:t>Sales and marketing</w:t>
            </w: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349,430</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270,158</w:t>
            </w:r>
          </w:p>
        </w:tc>
        <w:tc>
          <w:tcPr>
            <w:tcW w:w="420" w:type="dxa"/>
            <w:vAlign w:val="bottom"/>
            <w:gridSpan w:val="2"/>
            <w:shd w:val="clear" w:color="auto" w:fill="D2EDF0"/>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79,272</w:t>
            </w:r>
          </w:p>
        </w:tc>
        <w:tc>
          <w:tcPr>
            <w:tcW w:w="80" w:type="dxa"/>
            <w:vAlign w:val="bottom"/>
            <w:shd w:val="clear" w:color="auto" w:fill="D2EDF0"/>
          </w:tcPr>
          <w:p>
            <w:pPr>
              <w:spacing w:after="0"/>
              <w:rPr>
                <w:sz w:val="24"/>
                <w:szCs w:val="24"/>
                <w:color w:val="auto"/>
              </w:rPr>
            </w:pPr>
          </w:p>
        </w:tc>
        <w:tc>
          <w:tcPr>
            <w:tcW w:w="400" w:type="dxa"/>
            <w:vAlign w:val="bottom"/>
            <w:shd w:val="clear" w:color="auto" w:fill="D2EDF0"/>
          </w:tcPr>
          <w:p>
            <w:pPr>
              <w:spacing w:after="0"/>
              <w:rPr>
                <w:sz w:val="24"/>
                <w:szCs w:val="24"/>
                <w:color w:val="auto"/>
              </w:rPr>
            </w:pP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29 %</w:t>
            </w:r>
          </w:p>
        </w:tc>
      </w:tr>
    </w:tbl>
    <w:p>
      <w:pPr>
        <w:spacing w:after="0" w:line="200" w:lineRule="exact"/>
        <w:rPr>
          <w:sz w:val="20"/>
          <w:szCs w:val="20"/>
          <w:color w:val="auto"/>
        </w:rPr>
      </w:pP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880" w:h="15480" w:orient="portrait"/>
          <w:cols w:equalWidth="0" w:num="1">
            <w:col w:w="9000"/>
          </w:cols>
          <w:pgMar w:left="1440" w:top="1203" w:right="1440" w:bottom="0" w:gutter="0" w:footer="0" w:header="0"/>
          <w:type w:val="continuous"/>
        </w:sectPr>
      </w:pPr>
    </w:p>
    <w:bookmarkStart w:id="156" w:name="page157"/>
    <w:bookmarkEnd w:id="156"/>
    <w:p>
      <w:pPr>
        <w:ind w:left="360"/>
        <w:spacing w:after="0"/>
        <w:rPr>
          <w:sz w:val="20"/>
          <w:szCs w:val="20"/>
          <w:color w:val="auto"/>
        </w:rPr>
      </w:pPr>
      <w:r>
        <w:rPr>
          <w:rFonts w:ascii="Arial" w:cs="Arial" w:eastAsia="Arial" w:hAnsi="Arial"/>
          <w:sz w:val="20"/>
          <w:szCs w:val="20"/>
          <w:color w:val="auto"/>
        </w:rPr>
        <w:t>The increase in sales and marketing expense of $79.3 million was primarily due to:</w:t>
      </w:r>
    </w:p>
    <w:p>
      <w:pPr>
        <w:spacing w:after="0" w:line="130" w:lineRule="exact"/>
        <w:rPr>
          <w:sz w:val="20"/>
          <w:szCs w:val="20"/>
          <w:color w:val="auto"/>
        </w:rPr>
      </w:pPr>
    </w:p>
    <w:p>
      <w:pPr>
        <w:ind w:left="720" w:right="220" w:hanging="360"/>
        <w:spacing w:after="0" w:line="281" w:lineRule="auto"/>
        <w:tabs>
          <w:tab w:leader="none" w:pos="72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 $52.5 million increase in personnel costs, related to an increase in headcount, including a $20.0 million increase in stock-based compensation;</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 $14.2 million increase in sales commissions;</w:t>
      </w:r>
    </w:p>
    <w:p>
      <w:pPr>
        <w:spacing w:after="0" w:line="70" w:lineRule="exact"/>
        <w:rPr>
          <w:rFonts w:ascii="Arial" w:cs="Arial" w:eastAsia="Arial" w:hAnsi="Arial"/>
          <w:sz w:val="20"/>
          <w:szCs w:val="20"/>
          <w:color w:val="auto"/>
        </w:rPr>
      </w:pPr>
    </w:p>
    <w:p>
      <w:pPr>
        <w:ind w:left="720" w:right="220" w:hanging="360"/>
        <w:spacing w:after="0" w:line="281" w:lineRule="auto"/>
        <w:tabs>
          <w:tab w:leader="none" w:pos="72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 $5.8 million increase in expenses for demand generation programs, including advertising, sponsorships, and brand awareness efforts;</w:t>
      </w:r>
    </w:p>
    <w:p>
      <w:pPr>
        <w:spacing w:after="0" w:line="1" w:lineRule="exact"/>
        <w:rPr>
          <w:rFonts w:ascii="Arial" w:cs="Arial" w:eastAsia="Arial" w:hAnsi="Arial"/>
          <w:sz w:val="20"/>
          <w:szCs w:val="20"/>
          <w:color w:val="auto"/>
        </w:rPr>
      </w:pPr>
    </w:p>
    <w:p>
      <w:pPr>
        <w:ind w:left="720" w:right="220" w:hanging="360"/>
        <w:spacing w:after="0" w:line="281" w:lineRule="auto"/>
        <w:tabs>
          <w:tab w:leader="none" w:pos="72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 $5.4 million increase in selling expenses, including travel and meeting costs and software subscription costs; and</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 $1.5 million increase in allocated overhead expenses.</w:t>
      </w:r>
    </w:p>
    <w:p>
      <w:pPr>
        <w:spacing w:after="0" w:line="250" w:lineRule="exact"/>
        <w:rPr>
          <w:sz w:val="20"/>
          <w:szCs w:val="20"/>
          <w:color w:val="auto"/>
        </w:rPr>
      </w:pPr>
    </w:p>
    <w:p>
      <w:pPr>
        <w:ind w:left="360"/>
        <w:spacing w:after="0" w:line="483" w:lineRule="auto"/>
        <w:rPr>
          <w:sz w:val="20"/>
          <w:szCs w:val="20"/>
          <w:color w:val="auto"/>
        </w:rPr>
      </w:pPr>
      <w:r>
        <w:rPr>
          <w:rFonts w:ascii="Arial" w:cs="Arial" w:eastAsia="Arial" w:hAnsi="Arial"/>
          <w:sz w:val="20"/>
          <w:szCs w:val="20"/>
          <w:color w:val="auto"/>
        </w:rPr>
        <w:t xml:space="preserve">The amounts above are net of $3.9 million in savings due to the impact of foreign exchange rates. </w:t>
      </w:r>
      <w:r>
        <w:rPr>
          <w:rFonts w:ascii="Arial" w:cs="Arial" w:eastAsia="Arial" w:hAnsi="Arial"/>
          <w:sz w:val="20"/>
          <w:szCs w:val="20"/>
          <w:i w:val="1"/>
          <w:iCs w:val="1"/>
          <w:color w:val="auto"/>
        </w:rPr>
        <w:t>Research and Development</w:t>
      </w:r>
    </w:p>
    <w:tbl>
      <w:tblPr>
        <w:tblLayout w:type="fixed"/>
        <w:tblInd w:w="0" w:type="dxa"/>
        <w:tblCellMar>
          <w:top w:w="0" w:type="dxa"/>
          <w:left w:w="0" w:type="dxa"/>
          <w:bottom w:w="0" w:type="dxa"/>
          <w:right w:w="0" w:type="dxa"/>
        </w:tblCellMar>
      </w:tblPr>
      <w:tr>
        <w:trPr>
          <w:trHeight w:val="240"/>
        </w:trPr>
        <w:tc>
          <w:tcPr>
            <w:tcW w:w="3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80"/>
        </w:trPr>
        <w:tc>
          <w:tcPr>
            <w:tcW w:w="356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67"/>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5"/>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7"/>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D2EDF0"/>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5"/>
              <w:spacing w:after="0"/>
              <w:rPr>
                <w:sz w:val="20"/>
                <w:szCs w:val="20"/>
                <w:color w:val="auto"/>
              </w:rPr>
            </w:pPr>
            <w:r>
              <w:rPr>
                <w:rFonts w:ascii="Arial" w:cs="Arial" w:eastAsia="Arial" w:hAnsi="Arial"/>
                <w:sz w:val="18"/>
                <w:szCs w:val="18"/>
                <w:b w:val="1"/>
                <w:bCs w:val="1"/>
                <w:color w:val="auto"/>
              </w:rPr>
              <w:t>(%)</w:t>
            </w:r>
          </w:p>
        </w:tc>
      </w:tr>
      <w:tr>
        <w:trPr>
          <w:trHeight w:val="290"/>
        </w:trPr>
        <w:tc>
          <w:tcPr>
            <w:tcW w:w="3560" w:type="dxa"/>
            <w:vAlign w:val="bottom"/>
            <w:shd w:val="clear" w:color="auto" w:fill="D2EDF0"/>
          </w:tcPr>
          <w:p>
            <w:pPr>
              <w:ind w:left="60"/>
              <w:spacing w:after="0"/>
              <w:rPr>
                <w:sz w:val="20"/>
                <w:szCs w:val="20"/>
                <w:color w:val="auto"/>
              </w:rPr>
            </w:pPr>
            <w:r>
              <w:rPr>
                <w:rFonts w:ascii="Arial" w:cs="Arial" w:eastAsia="Arial" w:hAnsi="Arial"/>
                <w:sz w:val="20"/>
                <w:szCs w:val="20"/>
                <w:color w:val="auto"/>
              </w:rPr>
              <w:t>Research and development</w:t>
            </w: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143,560</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116,432</w:t>
            </w:r>
          </w:p>
        </w:tc>
        <w:tc>
          <w:tcPr>
            <w:tcW w:w="420" w:type="dxa"/>
            <w:vAlign w:val="bottom"/>
            <w:gridSpan w:val="2"/>
            <w:shd w:val="clear" w:color="auto" w:fill="D2EDF0"/>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27,128</w:t>
            </w:r>
          </w:p>
        </w:tc>
        <w:tc>
          <w:tcPr>
            <w:tcW w:w="80" w:type="dxa"/>
            <w:vAlign w:val="bottom"/>
            <w:shd w:val="clear" w:color="auto" w:fill="D2EDF0"/>
          </w:tcPr>
          <w:p>
            <w:pPr>
              <w:spacing w:after="0"/>
              <w:rPr>
                <w:sz w:val="24"/>
                <w:szCs w:val="24"/>
                <w:color w:val="auto"/>
              </w:rPr>
            </w:pPr>
          </w:p>
        </w:tc>
        <w:tc>
          <w:tcPr>
            <w:tcW w:w="400" w:type="dxa"/>
            <w:vAlign w:val="bottom"/>
            <w:shd w:val="clear" w:color="auto" w:fill="D2EDF0"/>
          </w:tcPr>
          <w:p>
            <w:pPr>
              <w:spacing w:after="0"/>
              <w:rPr>
                <w:sz w:val="24"/>
                <w:szCs w:val="24"/>
                <w:color w:val="auto"/>
              </w:rPr>
            </w:pP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23 %</w:t>
            </w:r>
          </w:p>
        </w:tc>
      </w:tr>
    </w:tbl>
    <w:p>
      <w:pPr>
        <w:spacing w:after="0" w:line="28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increase in research and development expense of $27.1 million was primarily due to:</w:t>
      </w:r>
    </w:p>
    <w:p>
      <w:pPr>
        <w:spacing w:after="0" w:line="130" w:lineRule="exact"/>
        <w:rPr>
          <w:sz w:val="20"/>
          <w:szCs w:val="20"/>
          <w:color w:val="auto"/>
        </w:rPr>
      </w:pPr>
    </w:p>
    <w:p>
      <w:pPr>
        <w:ind w:left="720" w:right="40" w:hanging="360"/>
        <w:spacing w:after="0" w:line="268" w:lineRule="auto"/>
        <w:tabs>
          <w:tab w:leader="none" w:pos="72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 $19.8 million increase in personnel costs, largely associated with an increase in headcount, including a $10.9 million increase in stock-based compensation and is net of a $7.7 million increase in capitalized software development costs;</w:t>
      </w:r>
    </w:p>
    <w:p>
      <w:pPr>
        <w:spacing w:after="0" w:line="9" w:lineRule="exact"/>
        <w:rPr>
          <w:rFonts w:ascii="Arial" w:cs="Arial" w:eastAsia="Arial" w:hAnsi="Arial"/>
          <w:sz w:val="20"/>
          <w:szCs w:val="20"/>
          <w:color w:val="auto"/>
        </w:rPr>
      </w:pPr>
    </w:p>
    <w:p>
      <w:pPr>
        <w:ind w:left="720" w:hanging="360"/>
        <w:spacing w:after="0"/>
        <w:tabs>
          <w:tab w:leader="none" w:pos="72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 $3.1 million increase in third-party cloud infrastructure costs;</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 $2.0 million increase in software subscriptions;</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 $1.1 million increase in allocated overhead expenses; and</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 $0.5 million increase in travel and meeting costs.</w:t>
      </w:r>
    </w:p>
    <w:p>
      <w:pPr>
        <w:spacing w:after="0" w:line="250" w:lineRule="exact"/>
        <w:rPr>
          <w:sz w:val="20"/>
          <w:szCs w:val="20"/>
          <w:color w:val="auto"/>
        </w:rPr>
      </w:pPr>
    </w:p>
    <w:p>
      <w:pPr>
        <w:ind w:firstLine="360"/>
        <w:spacing w:after="0" w:line="483" w:lineRule="auto"/>
        <w:rPr>
          <w:sz w:val="20"/>
          <w:szCs w:val="20"/>
          <w:color w:val="auto"/>
        </w:rPr>
      </w:pPr>
      <w:r>
        <w:rPr>
          <w:rFonts w:ascii="Arial" w:cs="Arial" w:eastAsia="Arial" w:hAnsi="Arial"/>
          <w:sz w:val="20"/>
          <w:szCs w:val="20"/>
          <w:color w:val="auto"/>
        </w:rPr>
        <w:t xml:space="preserve">The amounts above are net of $2.4 million in savings due to the impact of foreign exchange rates. </w:t>
      </w:r>
      <w:r>
        <w:rPr>
          <w:rFonts w:ascii="Arial" w:cs="Arial" w:eastAsia="Arial" w:hAnsi="Arial"/>
          <w:sz w:val="20"/>
          <w:szCs w:val="20"/>
          <w:i w:val="1"/>
          <w:iCs w:val="1"/>
          <w:color w:val="auto"/>
        </w:rPr>
        <w:t>General and Administrative</w:t>
      </w:r>
    </w:p>
    <w:tbl>
      <w:tblPr>
        <w:tblLayout w:type="fixed"/>
        <w:tblInd w:w="0" w:type="dxa"/>
        <w:tblCellMar>
          <w:top w:w="0" w:type="dxa"/>
          <w:left w:w="0" w:type="dxa"/>
          <w:bottom w:w="0" w:type="dxa"/>
          <w:right w:w="0" w:type="dxa"/>
        </w:tblCellMar>
      </w:tblPr>
      <w:tr>
        <w:trPr>
          <w:trHeight w:val="240"/>
        </w:trPr>
        <w:tc>
          <w:tcPr>
            <w:tcW w:w="3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80"/>
        </w:trPr>
        <w:tc>
          <w:tcPr>
            <w:tcW w:w="356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67"/>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5"/>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7"/>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D2EDF0"/>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5"/>
              <w:spacing w:after="0"/>
              <w:rPr>
                <w:sz w:val="20"/>
                <w:szCs w:val="20"/>
                <w:color w:val="auto"/>
              </w:rPr>
            </w:pPr>
            <w:r>
              <w:rPr>
                <w:rFonts w:ascii="Arial" w:cs="Arial" w:eastAsia="Arial" w:hAnsi="Arial"/>
                <w:sz w:val="18"/>
                <w:szCs w:val="18"/>
                <w:b w:val="1"/>
                <w:bCs w:val="1"/>
                <w:color w:val="auto"/>
              </w:rPr>
              <w:t>(%)</w:t>
            </w:r>
          </w:p>
        </w:tc>
      </w:tr>
      <w:tr>
        <w:trPr>
          <w:trHeight w:val="290"/>
        </w:trPr>
        <w:tc>
          <w:tcPr>
            <w:tcW w:w="3560" w:type="dxa"/>
            <w:vAlign w:val="bottom"/>
            <w:shd w:val="clear" w:color="auto" w:fill="D2EDF0"/>
          </w:tcPr>
          <w:p>
            <w:pPr>
              <w:ind w:left="60"/>
              <w:spacing w:after="0"/>
              <w:rPr>
                <w:sz w:val="20"/>
                <w:szCs w:val="20"/>
                <w:color w:val="auto"/>
              </w:rPr>
            </w:pPr>
            <w:r>
              <w:rPr>
                <w:rFonts w:ascii="Arial" w:cs="Arial" w:eastAsia="Arial" w:hAnsi="Arial"/>
                <w:sz w:val="20"/>
                <w:szCs w:val="20"/>
                <w:color w:val="auto"/>
              </w:rPr>
              <w:t>General and administrative</w:t>
            </w: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103,227</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89,912</w:t>
            </w:r>
          </w:p>
        </w:tc>
        <w:tc>
          <w:tcPr>
            <w:tcW w:w="420" w:type="dxa"/>
            <w:vAlign w:val="bottom"/>
            <w:gridSpan w:val="2"/>
            <w:shd w:val="clear" w:color="auto" w:fill="D2EDF0"/>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13,315</w:t>
            </w:r>
          </w:p>
        </w:tc>
        <w:tc>
          <w:tcPr>
            <w:tcW w:w="80" w:type="dxa"/>
            <w:vAlign w:val="bottom"/>
            <w:shd w:val="clear" w:color="auto" w:fill="D2EDF0"/>
          </w:tcPr>
          <w:p>
            <w:pPr>
              <w:spacing w:after="0"/>
              <w:rPr>
                <w:sz w:val="24"/>
                <w:szCs w:val="24"/>
                <w:color w:val="auto"/>
              </w:rPr>
            </w:pPr>
          </w:p>
        </w:tc>
        <w:tc>
          <w:tcPr>
            <w:tcW w:w="400" w:type="dxa"/>
            <w:vAlign w:val="bottom"/>
            <w:shd w:val="clear" w:color="auto" w:fill="D2EDF0"/>
          </w:tcPr>
          <w:p>
            <w:pPr>
              <w:spacing w:after="0"/>
              <w:rPr>
                <w:sz w:val="24"/>
                <w:szCs w:val="24"/>
                <w:color w:val="auto"/>
              </w:rPr>
            </w:pP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15 %</w:t>
            </w:r>
          </w:p>
        </w:tc>
      </w:tr>
    </w:tbl>
    <w:p>
      <w:pPr>
        <w:spacing w:after="0" w:line="28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increase in general and administrative expense of $13.3 million was primarily due to:</w:t>
      </w:r>
    </w:p>
    <w:p>
      <w:pPr>
        <w:spacing w:after="0" w:line="130" w:lineRule="exact"/>
        <w:rPr>
          <w:sz w:val="20"/>
          <w:szCs w:val="20"/>
          <w:color w:val="auto"/>
        </w:rPr>
      </w:pPr>
    </w:p>
    <w:p>
      <w:pPr>
        <w:ind w:left="720" w:right="1000" w:hanging="360"/>
        <w:spacing w:after="0" w:line="281" w:lineRule="auto"/>
        <w:tabs>
          <w:tab w:leader="none" w:pos="7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an $11.5 million increase in personnel costs, largely associated with an increase in headcount, including a $6.4 million increase in stock-based compensation;</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 $1.9 million increase in professional fees;</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 $0.9 million increase in software subscription costs;</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 $0.9 million increase in indirect taxes such as VAT or GST;</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 $0.8 million increase in costs related to intra-entity asset transfers; and</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 $0.3 million increase in travel and meeting costs; partially offset by</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 $4.1 million decrease in acquisition-related expenses; and</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 $0.7 million decrease in allocated overhead expenses.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880" w:h="15480" w:orient="portrait"/>
          <w:cols w:equalWidth="0" w:num="1">
            <w:col w:w="9000"/>
          </w:cols>
          <w:pgMar w:left="1440" w:top="1204" w:right="1440" w:bottom="0" w:gutter="0" w:footer="0" w:header="0"/>
          <w:type w:val="continuous"/>
        </w:sectPr>
      </w:pPr>
    </w:p>
    <w:bookmarkStart w:id="157" w:name="page158"/>
    <w:bookmarkEnd w:id="157"/>
    <w:p>
      <w:pPr>
        <w:ind w:left="360"/>
        <w:spacing w:after="0" w:line="548" w:lineRule="auto"/>
        <w:rPr>
          <w:sz w:val="20"/>
          <w:szCs w:val="20"/>
          <w:color w:val="auto"/>
        </w:rPr>
      </w:pPr>
      <w:r>
        <w:rPr>
          <w:rFonts w:ascii="Arial" w:cs="Arial" w:eastAsia="Arial" w:hAnsi="Arial"/>
          <w:sz w:val="20"/>
          <w:szCs w:val="20"/>
          <w:color w:val="auto"/>
        </w:rPr>
        <w:t xml:space="preserve">The amounts above are net of $0.7 million in savings due to the impact of foreign exchange rates. </w:t>
      </w:r>
      <w:r>
        <w:rPr>
          <w:rFonts w:ascii="Arial" w:cs="Arial" w:eastAsia="Arial" w:hAnsi="Arial"/>
          <w:sz w:val="20"/>
          <w:szCs w:val="20"/>
          <w:b w:val="1"/>
          <w:bCs w:val="1"/>
          <w:i w:val="1"/>
          <w:iCs w:val="1"/>
          <w:color w:val="auto"/>
        </w:rPr>
        <w:t>Interest Income, Interest Expense and Other Expense, Net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80"/>
        </w:trPr>
        <w:tc>
          <w:tcPr>
            <w:tcW w:w="356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64"/>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3"/>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4"/>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D2EDF0"/>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3"/>
              <w:spacing w:after="0"/>
              <w:rPr>
                <w:sz w:val="20"/>
                <w:szCs w:val="20"/>
                <w:color w:val="auto"/>
              </w:rPr>
            </w:pPr>
            <w:r>
              <w:rPr>
                <w:rFonts w:ascii="Arial" w:cs="Arial" w:eastAsia="Arial" w:hAnsi="Arial"/>
                <w:sz w:val="18"/>
                <w:szCs w:val="18"/>
                <w:b w:val="1"/>
                <w:bCs w:val="1"/>
                <w:color w:val="auto"/>
              </w:rPr>
              <w:t>(%)</w:t>
            </w:r>
          </w:p>
        </w:tc>
      </w:tr>
      <w:tr>
        <w:trPr>
          <w:trHeight w:val="290"/>
        </w:trPr>
        <w:tc>
          <w:tcPr>
            <w:tcW w:w="3560" w:type="dxa"/>
            <w:vAlign w:val="bottom"/>
            <w:shd w:val="clear" w:color="auto" w:fill="D2EDF0"/>
          </w:tcPr>
          <w:p>
            <w:pPr>
              <w:ind w:left="60"/>
              <w:spacing w:after="0"/>
              <w:rPr>
                <w:sz w:val="20"/>
                <w:szCs w:val="20"/>
                <w:color w:val="auto"/>
              </w:rPr>
            </w:pPr>
            <w:r>
              <w:rPr>
                <w:rFonts w:ascii="Arial" w:cs="Arial" w:eastAsia="Arial" w:hAnsi="Arial"/>
                <w:sz w:val="20"/>
                <w:szCs w:val="20"/>
                <w:color w:val="auto"/>
              </w:rPr>
              <w:t>Interest income</w:t>
            </w: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6,284</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606</w:t>
            </w:r>
          </w:p>
        </w:tc>
        <w:tc>
          <w:tcPr>
            <w:tcW w:w="420" w:type="dxa"/>
            <w:vAlign w:val="bottom"/>
            <w:gridSpan w:val="2"/>
            <w:shd w:val="clear" w:color="auto" w:fill="D2EDF0"/>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5,678</w:t>
            </w:r>
          </w:p>
        </w:tc>
        <w:tc>
          <w:tcPr>
            <w:tcW w:w="80" w:type="dxa"/>
            <w:vAlign w:val="bottom"/>
            <w:shd w:val="clear" w:color="auto" w:fill="D2EDF0"/>
          </w:tcPr>
          <w:p>
            <w:pPr>
              <w:spacing w:after="0"/>
              <w:rPr>
                <w:sz w:val="24"/>
                <w:szCs w:val="24"/>
                <w:color w:val="auto"/>
              </w:rPr>
            </w:pPr>
          </w:p>
        </w:tc>
        <w:tc>
          <w:tcPr>
            <w:tcW w:w="400" w:type="dxa"/>
            <w:vAlign w:val="bottom"/>
            <w:shd w:val="clear" w:color="auto" w:fill="D2EDF0"/>
          </w:tcPr>
          <w:p>
            <w:pPr>
              <w:spacing w:after="0"/>
              <w:rPr>
                <w:sz w:val="24"/>
                <w:szCs w:val="24"/>
                <w:color w:val="auto"/>
              </w:rPr>
            </w:pP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937 %</w:t>
            </w:r>
          </w:p>
        </w:tc>
      </w:tr>
      <w:tr>
        <w:trPr>
          <w:trHeight w:val="296"/>
        </w:trPr>
        <w:tc>
          <w:tcPr>
            <w:tcW w:w="3560" w:type="dxa"/>
            <w:vAlign w:val="bottom"/>
          </w:tcPr>
          <w:p>
            <w:pPr>
              <w:ind w:left="60"/>
              <w:spacing w:after="0"/>
              <w:rPr>
                <w:sz w:val="20"/>
                <w:szCs w:val="20"/>
                <w:color w:val="auto"/>
              </w:rPr>
            </w:pPr>
            <w:r>
              <w:rPr>
                <w:rFonts w:ascii="Arial" w:cs="Arial" w:eastAsia="Arial" w:hAnsi="Arial"/>
                <w:sz w:val="20"/>
                <w:szCs w:val="20"/>
                <w:color w:val="auto"/>
              </w:rPr>
              <w:t>Interest expense</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(19,001)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(7,502)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(11,499)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153 %</w:t>
            </w:r>
          </w:p>
        </w:tc>
      </w:tr>
      <w:tr>
        <w:trPr>
          <w:trHeight w:val="304"/>
        </w:trPr>
        <w:tc>
          <w:tcPr>
            <w:tcW w:w="3560" w:type="dxa"/>
            <w:vAlign w:val="bottom"/>
            <w:shd w:val="clear" w:color="auto" w:fill="D2EDF0"/>
          </w:tcPr>
          <w:p>
            <w:pPr>
              <w:ind w:left="60"/>
              <w:spacing w:after="0"/>
              <w:rPr>
                <w:sz w:val="20"/>
                <w:szCs w:val="20"/>
                <w:color w:val="auto"/>
              </w:rPr>
            </w:pPr>
            <w:r>
              <w:rPr>
                <w:rFonts w:ascii="Arial" w:cs="Arial" w:eastAsia="Arial" w:hAnsi="Arial"/>
                <w:sz w:val="20"/>
                <w:szCs w:val="20"/>
                <w:color w:val="auto"/>
              </w:rPr>
              <w:t>Other expense, net</w:t>
            </w:r>
          </w:p>
        </w:tc>
        <w:tc>
          <w:tcPr>
            <w:tcW w:w="200" w:type="dxa"/>
            <w:vAlign w:val="bottom"/>
            <w:shd w:val="clear" w:color="auto" w:fill="D2EDF0"/>
          </w:tcPr>
          <w:p>
            <w:pPr>
              <w:spacing w:after="0"/>
              <w:rPr>
                <w:sz w:val="24"/>
                <w:szCs w:val="24"/>
                <w:color w:val="auto"/>
              </w:rPr>
            </w:pP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(4,757)</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(1,965)</w:t>
            </w:r>
          </w:p>
        </w:tc>
        <w:tc>
          <w:tcPr>
            <w:tcW w:w="80" w:type="dxa"/>
            <w:vAlign w:val="bottom"/>
            <w:shd w:val="clear" w:color="auto" w:fill="D2EDF0"/>
          </w:tcPr>
          <w:p>
            <w:pPr>
              <w:spacing w:after="0"/>
              <w:rPr>
                <w:sz w:val="24"/>
                <w:szCs w:val="24"/>
                <w:color w:val="auto"/>
              </w:rPr>
            </w:pPr>
          </w:p>
        </w:tc>
        <w:tc>
          <w:tcPr>
            <w:tcW w:w="340" w:type="dxa"/>
            <w:vAlign w:val="bottom"/>
            <w:shd w:val="clear" w:color="auto" w:fill="D2EDF0"/>
          </w:tcPr>
          <w:p>
            <w:pPr>
              <w:spacing w:after="0"/>
              <w:rPr>
                <w:sz w:val="24"/>
                <w:szCs w:val="24"/>
                <w:color w:val="auto"/>
              </w:rPr>
            </w:pPr>
          </w:p>
        </w:tc>
        <w:tc>
          <w:tcPr>
            <w:tcW w:w="9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(2,792)</w:t>
            </w:r>
          </w:p>
        </w:tc>
        <w:tc>
          <w:tcPr>
            <w:tcW w:w="80" w:type="dxa"/>
            <w:vAlign w:val="bottom"/>
            <w:shd w:val="clear" w:color="auto" w:fill="D2EDF0"/>
          </w:tcPr>
          <w:p>
            <w:pPr>
              <w:spacing w:after="0"/>
              <w:rPr>
                <w:sz w:val="24"/>
                <w:szCs w:val="24"/>
                <w:color w:val="auto"/>
              </w:rPr>
            </w:pPr>
          </w:p>
        </w:tc>
        <w:tc>
          <w:tcPr>
            <w:tcW w:w="400" w:type="dxa"/>
            <w:vAlign w:val="bottom"/>
            <w:shd w:val="clear" w:color="auto" w:fill="D2EDF0"/>
          </w:tcPr>
          <w:p>
            <w:pPr>
              <w:spacing w:after="0"/>
              <w:rPr>
                <w:sz w:val="24"/>
                <w:szCs w:val="24"/>
                <w:color w:val="auto"/>
              </w:rPr>
            </w:pP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142 %</w:t>
            </w:r>
          </w:p>
        </w:tc>
      </w:tr>
    </w:tbl>
    <w:p>
      <w:pPr>
        <w:spacing w:after="0" w:line="284" w:lineRule="exact"/>
        <w:rPr>
          <w:sz w:val="20"/>
          <w:szCs w:val="20"/>
          <w:color w:val="auto"/>
        </w:rPr>
      </w:pPr>
    </w:p>
    <w:p>
      <w:pPr>
        <w:ind w:right="180" w:firstLine="360"/>
        <w:spacing w:after="0" w:line="259" w:lineRule="auto"/>
        <w:rPr>
          <w:sz w:val="20"/>
          <w:szCs w:val="20"/>
          <w:color w:val="auto"/>
        </w:rPr>
      </w:pPr>
      <w:r>
        <w:rPr>
          <w:rFonts w:ascii="Arial" w:cs="Arial" w:eastAsia="Arial" w:hAnsi="Arial"/>
          <w:sz w:val="20"/>
          <w:szCs w:val="20"/>
          <w:color w:val="auto"/>
        </w:rPr>
        <w:t>The $5.7 million increase in interest income was due to a higher interest rate on an increased amount of cash and cash equivalents and short-term investments. The $11.5 million increase in interest expense was primarily related to an increase in the variable rate of our Term Loan entered into in July 2021. The $2.8 million increase in other expense, net was primarily due to an increase in foreign exchange losses.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Provision (Benefit) for Income Taxes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80"/>
        </w:trPr>
        <w:tc>
          <w:tcPr>
            <w:tcW w:w="356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67"/>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5"/>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7"/>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D2EDF0"/>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5"/>
              <w:spacing w:after="0"/>
              <w:rPr>
                <w:sz w:val="20"/>
                <w:szCs w:val="20"/>
                <w:color w:val="auto"/>
              </w:rPr>
            </w:pPr>
            <w:r>
              <w:rPr>
                <w:rFonts w:ascii="Arial" w:cs="Arial" w:eastAsia="Arial" w:hAnsi="Arial"/>
                <w:sz w:val="18"/>
                <w:szCs w:val="18"/>
                <w:b w:val="1"/>
                <w:bCs w:val="1"/>
                <w:color w:val="auto"/>
              </w:rPr>
              <w:t>(%)</w:t>
            </w:r>
          </w:p>
        </w:tc>
      </w:tr>
      <w:tr>
        <w:trPr>
          <w:trHeight w:val="290"/>
        </w:trPr>
        <w:tc>
          <w:tcPr>
            <w:tcW w:w="3560" w:type="dxa"/>
            <w:vAlign w:val="bottom"/>
            <w:shd w:val="clear" w:color="auto" w:fill="D2EDF0"/>
          </w:tcPr>
          <w:p>
            <w:pPr>
              <w:ind w:left="60"/>
              <w:spacing w:after="0"/>
              <w:rPr>
                <w:sz w:val="20"/>
                <w:szCs w:val="20"/>
                <w:color w:val="auto"/>
              </w:rPr>
            </w:pPr>
            <w:r>
              <w:rPr>
                <w:rFonts w:ascii="Arial" w:cs="Arial" w:eastAsia="Arial" w:hAnsi="Arial"/>
                <w:sz w:val="20"/>
                <w:szCs w:val="20"/>
                <w:color w:val="auto"/>
              </w:rPr>
              <w:t>Provision (benefit) for income taxes</w:t>
            </w: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6,933</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(3,952)</w:t>
            </w:r>
          </w:p>
        </w:tc>
        <w:tc>
          <w:tcPr>
            <w:tcW w:w="420" w:type="dxa"/>
            <w:vAlign w:val="bottom"/>
            <w:gridSpan w:val="2"/>
            <w:shd w:val="clear" w:color="auto" w:fill="D2EDF0"/>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10,885</w:t>
            </w:r>
          </w:p>
        </w:tc>
        <w:tc>
          <w:tcPr>
            <w:tcW w:w="80" w:type="dxa"/>
            <w:vAlign w:val="bottom"/>
            <w:shd w:val="clear" w:color="auto" w:fill="D2EDF0"/>
          </w:tcPr>
          <w:p>
            <w:pPr>
              <w:spacing w:after="0"/>
              <w:rPr>
                <w:sz w:val="24"/>
                <w:szCs w:val="24"/>
                <w:color w:val="auto"/>
              </w:rPr>
            </w:pPr>
          </w:p>
        </w:tc>
        <w:tc>
          <w:tcPr>
            <w:tcW w:w="400" w:type="dxa"/>
            <w:vAlign w:val="bottom"/>
            <w:shd w:val="clear" w:color="auto" w:fill="D2EDF0"/>
          </w:tcPr>
          <w:p>
            <w:pPr>
              <w:spacing w:after="0"/>
              <w:rPr>
                <w:sz w:val="24"/>
                <w:szCs w:val="24"/>
                <w:color w:val="auto"/>
              </w:rPr>
            </w:pP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275 %</w:t>
            </w:r>
          </w:p>
        </w:tc>
      </w:tr>
    </w:tbl>
    <w:p>
      <w:pPr>
        <w:spacing w:after="0" w:line="28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 2022, the provision for income taxes included:</w:t>
      </w:r>
    </w:p>
    <w:p>
      <w:pPr>
        <w:spacing w:after="0" w:line="70" w:lineRule="exact"/>
        <w:rPr>
          <w:sz w:val="20"/>
          <w:szCs w:val="20"/>
          <w:color w:val="auto"/>
        </w:rPr>
      </w:pPr>
    </w:p>
    <w:p>
      <w:pPr>
        <w:ind w:left="720" w:hanging="360"/>
        <w:spacing w:after="0"/>
        <w:tabs>
          <w:tab w:leader="none" w:pos="72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$4.8 million of income taxes in foreign jurisdictions in which we conduct business;</w:t>
      </w:r>
    </w:p>
    <w:p>
      <w:pPr>
        <w:spacing w:after="0" w:line="70" w:lineRule="exact"/>
        <w:rPr>
          <w:rFonts w:ascii="Arial" w:cs="Arial" w:eastAsia="Arial" w:hAnsi="Arial"/>
          <w:sz w:val="20"/>
          <w:szCs w:val="20"/>
          <w:color w:val="auto"/>
        </w:rPr>
      </w:pPr>
    </w:p>
    <w:p>
      <w:pPr>
        <w:ind w:left="720" w:right="40" w:hanging="360"/>
        <w:spacing w:after="0" w:line="281" w:lineRule="auto"/>
        <w:tabs>
          <w:tab w:leader="none" w:pos="72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$3.9 million of discrete expenses primarily related to withholding taxes on sales to customers; and</w:t>
      </w:r>
    </w:p>
    <w:p>
      <w:pPr>
        <w:spacing w:after="0" w:line="1" w:lineRule="exact"/>
        <w:rPr>
          <w:rFonts w:ascii="Arial" w:cs="Arial" w:eastAsia="Arial" w:hAnsi="Arial"/>
          <w:sz w:val="20"/>
          <w:szCs w:val="20"/>
          <w:color w:val="auto"/>
        </w:rPr>
      </w:pPr>
    </w:p>
    <w:p>
      <w:pPr>
        <w:ind w:left="720" w:right="620" w:hanging="360"/>
        <w:spacing w:after="0" w:line="281" w:lineRule="auto"/>
        <w:tabs>
          <w:tab w:leader="none" w:pos="72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$2.7 million of current expense from the restructuring of our research and development operations in Israel; partially offset by</w:t>
      </w:r>
    </w:p>
    <w:p>
      <w:pPr>
        <w:spacing w:after="0" w:line="1" w:lineRule="exact"/>
        <w:rPr>
          <w:rFonts w:ascii="Arial" w:cs="Arial" w:eastAsia="Arial" w:hAnsi="Arial"/>
          <w:sz w:val="20"/>
          <w:szCs w:val="20"/>
          <w:color w:val="auto"/>
        </w:rPr>
      </w:pPr>
    </w:p>
    <w:p>
      <w:pPr>
        <w:ind w:left="720" w:right="720" w:hanging="360"/>
        <w:spacing w:after="0" w:line="281" w:lineRule="auto"/>
        <w:tabs>
          <w:tab w:leader="none" w:pos="72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a $2.5 million benefit from releasing a valuation allowance related to the Bit Discovery acquisition;</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$1.2 million of deferred tax benefits related to the Alsid acquisition; and</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$0.8 million of discrete benefits.</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 2021, the benefit for income taxes included:</w:t>
      </w:r>
    </w:p>
    <w:p>
      <w:pPr>
        <w:spacing w:after="0" w:line="70" w:lineRule="exact"/>
        <w:rPr>
          <w:sz w:val="20"/>
          <w:szCs w:val="20"/>
          <w:color w:val="auto"/>
        </w:rPr>
      </w:pPr>
    </w:p>
    <w:p>
      <w:pPr>
        <w:ind w:left="720" w:right="380" w:hanging="360"/>
        <w:spacing w:after="0" w:line="281" w:lineRule="auto"/>
        <w:tabs>
          <w:tab w:leader="none" w:pos="72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$7.9 million of income tax benefits related to the partial release of our valuation allowance associated with the Accurics acquisition;</w:t>
      </w:r>
    </w:p>
    <w:p>
      <w:pPr>
        <w:spacing w:after="0" w:line="1" w:lineRule="exact"/>
        <w:rPr>
          <w:rFonts w:ascii="Arial" w:cs="Arial" w:eastAsia="Arial" w:hAnsi="Arial"/>
          <w:sz w:val="20"/>
          <w:szCs w:val="20"/>
          <w:color w:val="auto"/>
        </w:rPr>
      </w:pPr>
    </w:p>
    <w:p>
      <w:pPr>
        <w:ind w:left="720" w:right="60" w:hanging="360"/>
        <w:spacing w:after="0" w:line="268" w:lineRule="auto"/>
        <w:tabs>
          <w:tab w:leader="none" w:pos="72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$2.9 million of discrete benefits primarily related to a Supreme Court decision in India on the taxability of software license payments to nonresidents and the associated withholding taxes; and</w:t>
      </w:r>
    </w:p>
    <w:p>
      <w:pPr>
        <w:spacing w:after="0" w:line="9" w:lineRule="exact"/>
        <w:rPr>
          <w:rFonts w:ascii="Arial" w:cs="Arial" w:eastAsia="Arial" w:hAnsi="Arial"/>
          <w:sz w:val="20"/>
          <w:szCs w:val="20"/>
          <w:color w:val="auto"/>
        </w:rPr>
      </w:pPr>
    </w:p>
    <w:p>
      <w:pPr>
        <w:ind w:left="720" w:hanging="360"/>
        <w:spacing w:after="0"/>
        <w:tabs>
          <w:tab w:leader="none" w:pos="72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 $2.6 million deferred tax benefit related to the Alsid acquisition; partially offset by</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$3.8 million of income taxes in foreign jurisdictions in which we conduct business;</w:t>
      </w:r>
    </w:p>
    <w:p>
      <w:pPr>
        <w:spacing w:after="0" w:line="70" w:lineRule="exact"/>
        <w:rPr>
          <w:rFonts w:ascii="Arial" w:cs="Arial" w:eastAsia="Arial" w:hAnsi="Arial"/>
          <w:sz w:val="20"/>
          <w:szCs w:val="20"/>
          <w:color w:val="auto"/>
        </w:rPr>
      </w:pPr>
    </w:p>
    <w:p>
      <w:pPr>
        <w:ind w:left="720" w:right="40" w:hanging="360"/>
        <w:spacing w:after="0" w:line="281" w:lineRule="auto"/>
        <w:tabs>
          <w:tab w:leader="none" w:pos="72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$2.8 million of discrete expenses primarily related to withholding taxes on sales to customers; and</w:t>
      </w:r>
    </w:p>
    <w:p>
      <w:pPr>
        <w:spacing w:after="0" w:line="1" w:lineRule="exact"/>
        <w:rPr>
          <w:rFonts w:ascii="Arial" w:cs="Arial" w:eastAsia="Arial" w:hAnsi="Arial"/>
          <w:sz w:val="20"/>
          <w:szCs w:val="20"/>
          <w:color w:val="auto"/>
        </w:rPr>
      </w:pPr>
    </w:p>
    <w:p>
      <w:pPr>
        <w:ind w:left="720" w:right="620" w:hanging="360"/>
        <w:spacing w:after="0" w:line="287" w:lineRule="auto"/>
        <w:tabs>
          <w:tab w:leader="none" w:pos="72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$2.8 million of current expense from the restructuring of our research and development operations in Israel.</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880" w:h="15480" w:orient="portrait"/>
          <w:cols w:equalWidth="0" w:num="1">
            <w:col w:w="9000"/>
          </w:cols>
          <w:pgMar w:left="1440" w:top="1204" w:right="1440" w:bottom="0" w:gutter="0" w:footer="0" w:header="0"/>
          <w:type w:val="continuous"/>
        </w:sectPr>
      </w:pPr>
    </w:p>
    <w:bookmarkStart w:id="158" w:name="page159"/>
    <w:bookmarkEnd w:id="158"/>
    <w:p>
      <w:pPr>
        <w:spacing w:after="0"/>
        <w:rPr>
          <w:sz w:val="20"/>
          <w:szCs w:val="20"/>
          <w:color w:val="auto"/>
        </w:rPr>
      </w:pPr>
      <w:r>
        <w:rPr>
          <w:rFonts w:ascii="Arial" w:cs="Arial" w:eastAsia="Arial" w:hAnsi="Arial"/>
          <w:sz w:val="20"/>
          <w:szCs w:val="20"/>
          <w:b w:val="1"/>
          <w:bCs w:val="1"/>
          <w:color w:val="auto"/>
        </w:rPr>
        <w:t>Comparison of 2021 and 2020</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Revenue</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the increase in revenue: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356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63"/>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2EDF0"/>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43"/>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D2EDF0"/>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0"/>
        </w:trPr>
        <w:tc>
          <w:tcPr>
            <w:tcW w:w="3560" w:type="dxa"/>
            <w:vAlign w:val="bottom"/>
            <w:shd w:val="clear" w:color="auto" w:fill="D2EDF0"/>
          </w:tcPr>
          <w:p>
            <w:pPr>
              <w:ind w:left="60"/>
              <w:spacing w:after="0"/>
              <w:rPr>
                <w:sz w:val="20"/>
                <w:szCs w:val="20"/>
                <w:color w:val="auto"/>
              </w:rPr>
            </w:pPr>
            <w:r>
              <w:rPr>
                <w:rFonts w:ascii="Arial" w:cs="Arial" w:eastAsia="Arial" w:hAnsi="Arial"/>
                <w:sz w:val="20"/>
                <w:szCs w:val="20"/>
                <w:color w:val="auto"/>
              </w:rPr>
              <w:t>Subscription revenue</w:t>
            </w: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476,023</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377,354</w:t>
            </w:r>
          </w:p>
        </w:tc>
        <w:tc>
          <w:tcPr>
            <w:tcW w:w="400" w:type="dxa"/>
            <w:vAlign w:val="bottom"/>
            <w:gridSpan w:val="2"/>
            <w:shd w:val="clear" w:color="auto" w:fill="D2EDF0"/>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98,669</w:t>
            </w:r>
          </w:p>
        </w:tc>
        <w:tc>
          <w:tcPr>
            <w:tcW w:w="80" w:type="dxa"/>
            <w:vAlign w:val="bottom"/>
            <w:shd w:val="clear" w:color="auto" w:fill="D2EDF0"/>
          </w:tcPr>
          <w:p>
            <w:pPr>
              <w:spacing w:after="0"/>
              <w:rPr>
                <w:sz w:val="24"/>
                <w:szCs w:val="24"/>
                <w:color w:val="auto"/>
              </w:rPr>
            </w:pPr>
          </w:p>
        </w:tc>
        <w:tc>
          <w:tcPr>
            <w:tcW w:w="400" w:type="dxa"/>
            <w:vAlign w:val="bottom"/>
            <w:shd w:val="clear" w:color="auto" w:fill="D2EDF0"/>
          </w:tcPr>
          <w:p>
            <w:pPr>
              <w:spacing w:after="0"/>
              <w:rPr>
                <w:sz w:val="24"/>
                <w:szCs w:val="24"/>
                <w:color w:val="auto"/>
              </w:rPr>
            </w:pP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26 %</w:t>
            </w:r>
          </w:p>
        </w:tc>
        <w:tc>
          <w:tcPr>
            <w:tcW w:w="0" w:type="dxa"/>
            <w:vAlign w:val="bottom"/>
          </w:tcPr>
          <w:p>
            <w:pPr>
              <w:spacing w:after="0"/>
              <w:rPr>
                <w:sz w:val="1"/>
                <w:szCs w:val="1"/>
                <w:color w:val="auto"/>
              </w:rPr>
            </w:pPr>
          </w:p>
        </w:tc>
      </w:tr>
      <w:tr>
        <w:trPr>
          <w:trHeight w:val="208"/>
        </w:trPr>
        <w:tc>
          <w:tcPr>
            <w:tcW w:w="3560" w:type="dxa"/>
            <w:vAlign w:val="bottom"/>
          </w:tcPr>
          <w:p>
            <w:pPr>
              <w:ind w:left="60"/>
              <w:spacing w:after="0" w:line="208" w:lineRule="exact"/>
              <w:rPr>
                <w:sz w:val="20"/>
                <w:szCs w:val="20"/>
                <w:color w:val="auto"/>
              </w:rPr>
            </w:pPr>
            <w:r>
              <w:rPr>
                <w:rFonts w:ascii="Arial" w:cs="Arial" w:eastAsia="Arial" w:hAnsi="Arial"/>
                <w:sz w:val="20"/>
                <w:szCs w:val="20"/>
                <w:color w:val="auto"/>
              </w:rPr>
              <w:t>Perpetual license and maintenance</w:t>
            </w:r>
          </w:p>
        </w:tc>
        <w:tc>
          <w:tcPr>
            <w:tcW w:w="20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50,333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50,594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(261)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69"/>
        </w:trPr>
        <w:tc>
          <w:tcPr>
            <w:tcW w:w="3560" w:type="dxa"/>
            <w:vAlign w:val="bottom"/>
          </w:tcPr>
          <w:p>
            <w:pPr>
              <w:ind w:left="60"/>
              <w:spacing w:after="0"/>
              <w:rPr>
                <w:sz w:val="20"/>
                <w:szCs w:val="20"/>
                <w:color w:val="auto"/>
              </w:rPr>
            </w:pPr>
            <w:r>
              <w:rPr>
                <w:rFonts w:ascii="Arial" w:cs="Arial" w:eastAsia="Arial" w:hAnsi="Arial"/>
                <w:sz w:val="20"/>
                <w:szCs w:val="20"/>
                <w:color w:val="auto"/>
              </w:rPr>
              <w:t>revenue</w:t>
            </w:r>
          </w:p>
        </w:tc>
        <w:tc>
          <w:tcPr>
            <w:tcW w:w="200" w:type="dxa"/>
            <w:vAlign w:val="bottom"/>
          </w:tcPr>
          <w:p>
            <w:pPr>
              <w:spacing w:after="0"/>
              <w:rPr>
                <w:sz w:val="23"/>
                <w:szCs w:val="23"/>
                <w:color w:val="auto"/>
              </w:rPr>
            </w:pPr>
          </w:p>
        </w:tc>
        <w:tc>
          <w:tcPr>
            <w:tcW w:w="11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3560" w:type="dxa"/>
            <w:vAlign w:val="bottom"/>
            <w:shd w:val="clear" w:color="auto" w:fill="D2EDF0"/>
          </w:tcPr>
          <w:p>
            <w:pPr>
              <w:ind w:left="60"/>
              <w:spacing w:after="0" w:line="211" w:lineRule="exact"/>
              <w:rPr>
                <w:sz w:val="20"/>
                <w:szCs w:val="20"/>
                <w:color w:val="auto"/>
              </w:rPr>
            </w:pPr>
            <w:r>
              <w:rPr>
                <w:rFonts w:ascii="Arial" w:cs="Arial" w:eastAsia="Arial" w:hAnsi="Arial"/>
                <w:sz w:val="20"/>
                <w:szCs w:val="20"/>
                <w:color w:val="auto"/>
              </w:rPr>
              <w:t>Professional services and other</w:t>
            </w:r>
          </w:p>
        </w:tc>
        <w:tc>
          <w:tcPr>
            <w:tcW w:w="200" w:type="dxa"/>
            <w:vAlign w:val="bottom"/>
            <w:shd w:val="clear" w:color="auto" w:fill="D2EDF0"/>
          </w:tcPr>
          <w:p>
            <w:pPr>
              <w:spacing w:after="0"/>
              <w:rPr>
                <w:sz w:val="18"/>
                <w:szCs w:val="18"/>
                <w:color w:val="auto"/>
              </w:rPr>
            </w:pPr>
          </w:p>
        </w:tc>
        <w:tc>
          <w:tcPr>
            <w:tcW w:w="11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14,774</w:t>
            </w:r>
          </w:p>
        </w:tc>
        <w:tc>
          <w:tcPr>
            <w:tcW w:w="80" w:type="dxa"/>
            <w:vAlign w:val="bottom"/>
            <w:shd w:val="clear" w:color="auto" w:fill="D2EDF0"/>
          </w:tcPr>
          <w:p>
            <w:pPr>
              <w:spacing w:after="0"/>
              <w:rPr>
                <w:sz w:val="18"/>
                <w:szCs w:val="18"/>
                <w:color w:val="auto"/>
              </w:rPr>
            </w:pPr>
          </w:p>
        </w:tc>
        <w:tc>
          <w:tcPr>
            <w:tcW w:w="300" w:type="dxa"/>
            <w:vAlign w:val="bottom"/>
            <w:shd w:val="clear" w:color="auto" w:fill="D2EDF0"/>
          </w:tcPr>
          <w:p>
            <w:pPr>
              <w:spacing w:after="0"/>
              <w:rPr>
                <w:sz w:val="18"/>
                <w:szCs w:val="18"/>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12,273</w:t>
            </w:r>
          </w:p>
        </w:tc>
        <w:tc>
          <w:tcPr>
            <w:tcW w:w="80" w:type="dxa"/>
            <w:vAlign w:val="bottom"/>
            <w:shd w:val="clear" w:color="auto" w:fill="D2EDF0"/>
          </w:tcPr>
          <w:p>
            <w:pPr>
              <w:spacing w:after="0"/>
              <w:rPr>
                <w:sz w:val="18"/>
                <w:szCs w:val="18"/>
                <w:color w:val="auto"/>
              </w:rPr>
            </w:pPr>
          </w:p>
        </w:tc>
        <w:tc>
          <w:tcPr>
            <w:tcW w:w="320" w:type="dxa"/>
            <w:vAlign w:val="bottom"/>
            <w:shd w:val="clear" w:color="auto" w:fill="D2EDF0"/>
          </w:tcPr>
          <w:p>
            <w:pPr>
              <w:spacing w:after="0"/>
              <w:rPr>
                <w:sz w:val="18"/>
                <w:szCs w:val="18"/>
                <w:color w:val="auto"/>
              </w:rPr>
            </w:pPr>
          </w:p>
        </w:tc>
        <w:tc>
          <w:tcPr>
            <w:tcW w:w="98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2,501</w:t>
            </w:r>
          </w:p>
        </w:tc>
        <w:tc>
          <w:tcPr>
            <w:tcW w:w="80" w:type="dxa"/>
            <w:vAlign w:val="bottom"/>
            <w:shd w:val="clear" w:color="auto" w:fill="D2EDF0"/>
          </w:tcPr>
          <w:p>
            <w:pPr>
              <w:spacing w:after="0"/>
              <w:rPr>
                <w:sz w:val="18"/>
                <w:szCs w:val="18"/>
                <w:color w:val="auto"/>
              </w:rPr>
            </w:pPr>
          </w:p>
        </w:tc>
        <w:tc>
          <w:tcPr>
            <w:tcW w:w="400" w:type="dxa"/>
            <w:vAlign w:val="bottom"/>
            <w:shd w:val="clear" w:color="auto" w:fill="D2EDF0"/>
          </w:tcPr>
          <w:p>
            <w:pPr>
              <w:spacing w:after="0"/>
              <w:rPr>
                <w:sz w:val="18"/>
                <w:szCs w:val="18"/>
                <w:color w:val="auto"/>
              </w:rPr>
            </w:pPr>
          </w:p>
        </w:tc>
        <w:tc>
          <w:tcPr>
            <w:tcW w:w="9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20 %</w:t>
            </w:r>
          </w:p>
        </w:tc>
        <w:tc>
          <w:tcPr>
            <w:tcW w:w="0" w:type="dxa"/>
            <w:vAlign w:val="bottom"/>
          </w:tcPr>
          <w:p>
            <w:pPr>
              <w:spacing w:after="0"/>
              <w:rPr>
                <w:sz w:val="1"/>
                <w:szCs w:val="1"/>
                <w:color w:val="auto"/>
              </w:rPr>
            </w:pPr>
          </w:p>
        </w:tc>
      </w:tr>
      <w:tr>
        <w:trPr>
          <w:trHeight w:val="262"/>
        </w:trPr>
        <w:tc>
          <w:tcPr>
            <w:tcW w:w="356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20"/>
                <w:szCs w:val="20"/>
                <w:color w:val="auto"/>
              </w:rPr>
              <w:t>revenue</w:t>
            </w:r>
          </w:p>
        </w:tc>
        <w:tc>
          <w:tcPr>
            <w:tcW w:w="200" w:type="dxa"/>
            <w:vAlign w:val="bottom"/>
            <w:tcBorders>
              <w:bottom w:val="single" w:sz="8" w:color="auto"/>
            </w:tcBorders>
            <w:shd w:val="clear" w:color="auto" w:fill="D2EDF0"/>
          </w:tcPr>
          <w:p>
            <w:pPr>
              <w:spacing w:after="0"/>
              <w:rPr>
                <w:sz w:val="22"/>
                <w:szCs w:val="22"/>
                <w:color w:val="auto"/>
              </w:rPr>
            </w:pPr>
          </w:p>
        </w:tc>
        <w:tc>
          <w:tcPr>
            <w:tcW w:w="1100" w:type="dxa"/>
            <w:vAlign w:val="bottom"/>
            <w:tcBorders>
              <w:bottom w:val="single" w:sz="8" w:color="auto"/>
            </w:tcBorders>
            <w:vMerge w:val="continue"/>
            <w:shd w:val="clear" w:color="auto" w:fill="D2EDF0"/>
          </w:tcPr>
          <w:p>
            <w:pPr>
              <w:spacing w:after="0"/>
              <w:rPr>
                <w:sz w:val="22"/>
                <w:szCs w:val="22"/>
                <w:color w:val="auto"/>
              </w:rPr>
            </w:pPr>
          </w:p>
        </w:tc>
        <w:tc>
          <w:tcPr>
            <w:tcW w:w="80" w:type="dxa"/>
            <w:vAlign w:val="bottom"/>
            <w:tcBorders>
              <w:bottom w:val="single" w:sz="8" w:color="D2EDF0"/>
            </w:tcBorders>
            <w:shd w:val="clear" w:color="auto" w:fill="D2EDF0"/>
          </w:tcPr>
          <w:p>
            <w:pPr>
              <w:spacing w:after="0"/>
              <w:rPr>
                <w:sz w:val="22"/>
                <w:szCs w:val="22"/>
                <w:color w:val="auto"/>
              </w:rPr>
            </w:pPr>
          </w:p>
        </w:tc>
        <w:tc>
          <w:tcPr>
            <w:tcW w:w="300" w:type="dxa"/>
            <w:vAlign w:val="bottom"/>
            <w:tcBorders>
              <w:bottom w:val="single" w:sz="8" w:color="auto"/>
            </w:tcBorders>
            <w:shd w:val="clear" w:color="auto" w:fill="D2EDF0"/>
          </w:tcPr>
          <w:p>
            <w:pPr>
              <w:spacing w:after="0"/>
              <w:rPr>
                <w:sz w:val="22"/>
                <w:szCs w:val="22"/>
                <w:color w:val="auto"/>
              </w:rPr>
            </w:pPr>
          </w:p>
        </w:tc>
        <w:tc>
          <w:tcPr>
            <w:tcW w:w="1000" w:type="dxa"/>
            <w:vAlign w:val="bottom"/>
            <w:tcBorders>
              <w:bottom w:val="single" w:sz="8" w:color="auto"/>
            </w:tcBorders>
            <w:vMerge w:val="continue"/>
            <w:shd w:val="clear" w:color="auto" w:fill="D2EDF0"/>
          </w:tcPr>
          <w:p>
            <w:pPr>
              <w:spacing w:after="0"/>
              <w:rPr>
                <w:sz w:val="22"/>
                <w:szCs w:val="22"/>
                <w:color w:val="auto"/>
              </w:rPr>
            </w:pPr>
          </w:p>
        </w:tc>
        <w:tc>
          <w:tcPr>
            <w:tcW w:w="80" w:type="dxa"/>
            <w:vAlign w:val="bottom"/>
            <w:tcBorders>
              <w:bottom w:val="single" w:sz="8" w:color="D2EDF0"/>
            </w:tcBorders>
            <w:shd w:val="clear" w:color="auto" w:fill="D2EDF0"/>
          </w:tcPr>
          <w:p>
            <w:pPr>
              <w:spacing w:after="0"/>
              <w:rPr>
                <w:sz w:val="22"/>
                <w:szCs w:val="22"/>
                <w:color w:val="auto"/>
              </w:rPr>
            </w:pPr>
          </w:p>
        </w:tc>
        <w:tc>
          <w:tcPr>
            <w:tcW w:w="320" w:type="dxa"/>
            <w:vAlign w:val="bottom"/>
            <w:tcBorders>
              <w:bottom w:val="single" w:sz="8" w:color="auto"/>
            </w:tcBorders>
            <w:shd w:val="clear" w:color="auto" w:fill="D2EDF0"/>
          </w:tcPr>
          <w:p>
            <w:pPr>
              <w:spacing w:after="0"/>
              <w:rPr>
                <w:sz w:val="22"/>
                <w:szCs w:val="22"/>
                <w:color w:val="auto"/>
              </w:rPr>
            </w:pPr>
          </w:p>
        </w:tc>
        <w:tc>
          <w:tcPr>
            <w:tcW w:w="980" w:type="dxa"/>
            <w:vAlign w:val="bottom"/>
            <w:tcBorders>
              <w:bottom w:val="single" w:sz="8" w:color="auto"/>
            </w:tcBorders>
            <w:vMerge w:val="continue"/>
            <w:shd w:val="clear" w:color="auto" w:fill="D2EDF0"/>
          </w:tcPr>
          <w:p>
            <w:pPr>
              <w:spacing w:after="0"/>
              <w:rPr>
                <w:sz w:val="22"/>
                <w:szCs w:val="22"/>
                <w:color w:val="auto"/>
              </w:rPr>
            </w:pPr>
          </w:p>
        </w:tc>
        <w:tc>
          <w:tcPr>
            <w:tcW w:w="80" w:type="dxa"/>
            <w:vAlign w:val="bottom"/>
            <w:tcBorders>
              <w:bottom w:val="single" w:sz="8" w:color="D2EDF0"/>
            </w:tcBorders>
            <w:shd w:val="clear" w:color="auto" w:fill="D2EDF0"/>
          </w:tcPr>
          <w:p>
            <w:pPr>
              <w:spacing w:after="0"/>
              <w:rPr>
                <w:sz w:val="22"/>
                <w:szCs w:val="22"/>
                <w:color w:val="auto"/>
              </w:rPr>
            </w:pPr>
          </w:p>
        </w:tc>
        <w:tc>
          <w:tcPr>
            <w:tcW w:w="400" w:type="dxa"/>
            <w:vAlign w:val="bottom"/>
            <w:tcBorders>
              <w:bottom w:val="single" w:sz="8" w:color="D2EDF0"/>
            </w:tcBorders>
            <w:shd w:val="clear" w:color="auto" w:fill="D2EDF0"/>
          </w:tcPr>
          <w:p>
            <w:pPr>
              <w:spacing w:after="0"/>
              <w:rPr>
                <w:sz w:val="22"/>
                <w:szCs w:val="22"/>
                <w:color w:val="auto"/>
              </w:rPr>
            </w:pPr>
          </w:p>
        </w:tc>
        <w:tc>
          <w:tcPr>
            <w:tcW w:w="900" w:type="dxa"/>
            <w:vAlign w:val="bottom"/>
            <w:tcBorders>
              <w:bottom w:val="single" w:sz="8" w:color="D2EDF0"/>
            </w:tcBorders>
            <w:vMerge w:val="continue"/>
            <w:shd w:val="clear" w:color="auto" w:fill="D2EDF0"/>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560" w:type="dxa"/>
            <w:vAlign w:val="bottom"/>
          </w:tcPr>
          <w:p>
            <w:pPr>
              <w:ind w:left="300"/>
              <w:spacing w:after="0"/>
              <w:rPr>
                <w:sz w:val="20"/>
                <w:szCs w:val="20"/>
                <w:color w:val="auto"/>
              </w:rPr>
            </w:pPr>
            <w:r>
              <w:rPr>
                <w:rFonts w:ascii="Arial" w:cs="Arial" w:eastAsia="Arial" w:hAnsi="Arial"/>
                <w:sz w:val="20"/>
                <w:szCs w:val="20"/>
                <w:color w:val="auto"/>
              </w:rPr>
              <w:t>Revenue</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541,130</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440,221</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100,909</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23 %</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2257425</wp:posOffset>
            </wp:positionH>
            <wp:positionV relativeFrom="paragraph">
              <wp:posOffset>-37465</wp:posOffset>
            </wp:positionV>
            <wp:extent cx="258127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81275" cy="38100"/>
                    </a:xfrm>
                    <a:prstGeom prst="rect">
                      <a:avLst/>
                    </a:prstGeom>
                    <a:noFill/>
                  </pic:spPr>
                </pic:pic>
              </a:graphicData>
            </a:graphic>
          </wp:anchor>
        </w:drawing>
      </w:r>
    </w:p>
    <w:p>
      <w:pPr>
        <w:spacing w:after="0" w:line="234" w:lineRule="exact"/>
        <w:rPr>
          <w:sz w:val="20"/>
          <w:szCs w:val="20"/>
          <w:color w:val="auto"/>
        </w:rPr>
      </w:pPr>
    </w:p>
    <w:p>
      <w:pPr>
        <w:ind w:right="80" w:firstLine="360"/>
        <w:spacing w:after="0" w:line="268" w:lineRule="auto"/>
        <w:rPr>
          <w:sz w:val="20"/>
          <w:szCs w:val="20"/>
          <w:color w:val="auto"/>
        </w:rPr>
      </w:pPr>
      <w:r>
        <w:rPr>
          <w:rFonts w:ascii="Arial" w:cs="Arial" w:eastAsia="Arial" w:hAnsi="Arial"/>
          <w:sz w:val="20"/>
          <w:szCs w:val="20"/>
          <w:color w:val="auto"/>
        </w:rPr>
        <w:t>The increase in revenue of $100.9 million included $93.6 million from existing customers as of January 1, 2021 and $7.3 million from new customers. U.S. revenue increased $46.3 million, or 17%. International revenue increased $54.6 million, or 32%.</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Cost of Revenue, Gross Profit and Gross Margin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60" w:type="dxa"/>
            <w:vAlign w:val="bottom"/>
          </w:tcPr>
          <w:p>
            <w:pPr>
              <w:spacing w:after="0"/>
              <w:rPr>
                <w:sz w:val="20"/>
                <w:szCs w:val="20"/>
                <w:color w:val="auto"/>
              </w:rPr>
            </w:pPr>
          </w:p>
        </w:tc>
        <w:tc>
          <w:tcPr>
            <w:tcW w:w="26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80"/>
        </w:trPr>
        <w:tc>
          <w:tcPr>
            <w:tcW w:w="356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(dollars in thousands)</w:t>
            </w:r>
          </w:p>
        </w:tc>
        <w:tc>
          <w:tcPr>
            <w:tcW w:w="1300" w:type="dxa"/>
            <w:vAlign w:val="bottom"/>
            <w:tcBorders>
              <w:bottom w:val="single" w:sz="8" w:color="auto"/>
            </w:tcBorders>
          </w:tcPr>
          <w:p>
            <w:pPr>
              <w:jc w:val="right"/>
              <w:ind w:right="364"/>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2EDF0"/>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5"/>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D2EDF0"/>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3"/>
              <w:spacing w:after="0"/>
              <w:rPr>
                <w:sz w:val="20"/>
                <w:szCs w:val="20"/>
                <w:color w:val="auto"/>
              </w:rPr>
            </w:pPr>
            <w:r>
              <w:rPr>
                <w:rFonts w:ascii="Arial" w:cs="Arial" w:eastAsia="Arial" w:hAnsi="Arial"/>
                <w:sz w:val="18"/>
                <w:szCs w:val="18"/>
                <w:b w:val="1"/>
                <w:bCs w:val="1"/>
                <w:color w:val="auto"/>
              </w:rPr>
              <w:t>(%)</w:t>
            </w:r>
          </w:p>
        </w:tc>
      </w:tr>
      <w:tr>
        <w:trPr>
          <w:trHeight w:val="290"/>
        </w:trPr>
        <w:tc>
          <w:tcPr>
            <w:tcW w:w="3560" w:type="dxa"/>
            <w:vAlign w:val="bottom"/>
            <w:shd w:val="clear" w:color="auto" w:fill="D2EDF0"/>
          </w:tcPr>
          <w:p>
            <w:pPr>
              <w:ind w:left="60"/>
              <w:spacing w:after="0"/>
              <w:rPr>
                <w:sz w:val="20"/>
                <w:szCs w:val="20"/>
                <w:color w:val="auto"/>
              </w:rPr>
            </w:pPr>
            <w:r>
              <w:rPr>
                <w:rFonts w:ascii="Arial" w:cs="Arial" w:eastAsia="Arial" w:hAnsi="Arial"/>
                <w:sz w:val="20"/>
                <w:szCs w:val="20"/>
                <w:color w:val="auto"/>
              </w:rPr>
              <w:t>Cost of revenue</w:t>
            </w:r>
          </w:p>
        </w:tc>
        <w:tc>
          <w:tcPr>
            <w:tcW w:w="1300" w:type="dxa"/>
            <w:vAlign w:val="bottom"/>
            <w:shd w:val="clear" w:color="auto" w:fill="D2EDF0"/>
          </w:tcPr>
          <w:p>
            <w:pPr>
              <w:jc w:val="right"/>
              <w:ind w:right="164"/>
              <w:spacing w:after="0"/>
              <w:rPr>
                <w:sz w:val="20"/>
                <w:szCs w:val="20"/>
                <w:color w:val="auto"/>
              </w:rPr>
            </w:pPr>
            <w:r>
              <w:rPr>
                <w:rFonts w:ascii="Arial" w:cs="Arial" w:eastAsia="Arial" w:hAnsi="Arial"/>
                <w:sz w:val="20"/>
                <w:szCs w:val="20"/>
                <w:color w:val="auto"/>
              </w:rPr>
              <w:t>$  106,396</w:t>
            </w:r>
          </w:p>
        </w:tc>
        <w:tc>
          <w:tcPr>
            <w:tcW w:w="1380" w:type="dxa"/>
            <w:vAlign w:val="bottom"/>
            <w:gridSpan w:val="2"/>
            <w:shd w:val="clear" w:color="auto" w:fill="D2EDF0"/>
          </w:tcPr>
          <w:p>
            <w:pPr>
              <w:jc w:val="right"/>
              <w:ind w:right="170"/>
              <w:spacing w:after="0"/>
              <w:rPr>
                <w:sz w:val="20"/>
                <w:szCs w:val="20"/>
                <w:color w:val="auto"/>
              </w:rPr>
            </w:pPr>
            <w:r>
              <w:rPr>
                <w:rFonts w:ascii="Arial" w:cs="Arial" w:eastAsia="Arial" w:hAnsi="Arial"/>
                <w:sz w:val="20"/>
                <w:szCs w:val="20"/>
                <w:color w:val="auto"/>
              </w:rPr>
              <w:t>$   77,554</w:t>
            </w:r>
          </w:p>
        </w:tc>
        <w:tc>
          <w:tcPr>
            <w:tcW w:w="420" w:type="dxa"/>
            <w:vAlign w:val="bottom"/>
            <w:gridSpan w:val="2"/>
            <w:shd w:val="clear" w:color="auto" w:fill="D2EDF0"/>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28,842</w:t>
            </w:r>
          </w:p>
        </w:tc>
        <w:tc>
          <w:tcPr>
            <w:tcW w:w="80" w:type="dxa"/>
            <w:vAlign w:val="bottom"/>
            <w:shd w:val="clear" w:color="auto" w:fill="D2EDF0"/>
          </w:tcPr>
          <w:p>
            <w:pPr>
              <w:spacing w:after="0"/>
              <w:rPr>
                <w:sz w:val="24"/>
                <w:szCs w:val="24"/>
                <w:color w:val="auto"/>
              </w:rPr>
            </w:pPr>
          </w:p>
        </w:tc>
        <w:tc>
          <w:tcPr>
            <w:tcW w:w="400" w:type="dxa"/>
            <w:vAlign w:val="bottom"/>
            <w:shd w:val="clear" w:color="auto" w:fill="D2EDF0"/>
          </w:tcPr>
          <w:p>
            <w:pPr>
              <w:spacing w:after="0"/>
              <w:rPr>
                <w:sz w:val="24"/>
                <w:szCs w:val="24"/>
                <w:color w:val="auto"/>
              </w:rPr>
            </w:pP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37 %</w:t>
            </w:r>
          </w:p>
        </w:tc>
      </w:tr>
      <w:tr>
        <w:trPr>
          <w:trHeight w:val="296"/>
        </w:trPr>
        <w:tc>
          <w:tcPr>
            <w:tcW w:w="3560" w:type="dxa"/>
            <w:vAlign w:val="bottom"/>
          </w:tcPr>
          <w:p>
            <w:pPr>
              <w:ind w:left="60"/>
              <w:spacing w:after="0"/>
              <w:rPr>
                <w:sz w:val="20"/>
                <w:szCs w:val="20"/>
                <w:color w:val="auto"/>
              </w:rPr>
            </w:pPr>
            <w:r>
              <w:rPr>
                <w:rFonts w:ascii="Arial" w:cs="Arial" w:eastAsia="Arial" w:hAnsi="Arial"/>
                <w:sz w:val="20"/>
                <w:szCs w:val="20"/>
                <w:color w:val="auto"/>
              </w:rPr>
              <w:t>Gross profit</w:t>
            </w:r>
          </w:p>
        </w:tc>
        <w:tc>
          <w:tcPr>
            <w:tcW w:w="1300" w:type="dxa"/>
            <w:vAlign w:val="bottom"/>
          </w:tcPr>
          <w:p>
            <w:pPr>
              <w:jc w:val="right"/>
              <w:ind w:right="164"/>
              <w:spacing w:after="0"/>
              <w:rPr>
                <w:sz w:val="20"/>
                <w:szCs w:val="20"/>
                <w:color w:val="auto"/>
              </w:rPr>
            </w:pPr>
            <w:r>
              <w:rPr>
                <w:rFonts w:ascii="Arial" w:cs="Arial" w:eastAsia="Arial" w:hAnsi="Arial"/>
                <w:sz w:val="20"/>
                <w:szCs w:val="20"/>
                <w:color w:val="auto"/>
              </w:rPr>
              <w:t>434,734</w:t>
            </w:r>
          </w:p>
        </w:tc>
        <w:tc>
          <w:tcPr>
            <w:tcW w:w="1380" w:type="dxa"/>
            <w:vAlign w:val="bottom"/>
            <w:gridSpan w:val="2"/>
          </w:tcPr>
          <w:p>
            <w:pPr>
              <w:jc w:val="right"/>
              <w:ind w:right="170"/>
              <w:spacing w:after="0"/>
              <w:rPr>
                <w:sz w:val="20"/>
                <w:szCs w:val="20"/>
                <w:color w:val="auto"/>
              </w:rPr>
            </w:pPr>
            <w:r>
              <w:rPr>
                <w:rFonts w:ascii="Arial" w:cs="Arial" w:eastAsia="Arial" w:hAnsi="Arial"/>
                <w:sz w:val="20"/>
                <w:szCs w:val="20"/>
                <w:color w:val="auto"/>
              </w:rPr>
              <w:t>362,667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72,067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20 %</w:t>
            </w:r>
          </w:p>
        </w:tc>
      </w:tr>
      <w:tr>
        <w:trPr>
          <w:trHeight w:val="304"/>
        </w:trPr>
        <w:tc>
          <w:tcPr>
            <w:tcW w:w="3560" w:type="dxa"/>
            <w:vAlign w:val="bottom"/>
            <w:shd w:val="clear" w:color="auto" w:fill="D2EDF0"/>
          </w:tcPr>
          <w:p>
            <w:pPr>
              <w:ind w:left="60"/>
              <w:spacing w:after="0"/>
              <w:rPr>
                <w:sz w:val="20"/>
                <w:szCs w:val="20"/>
                <w:color w:val="auto"/>
              </w:rPr>
            </w:pPr>
            <w:r>
              <w:rPr>
                <w:rFonts w:ascii="Arial" w:cs="Arial" w:eastAsia="Arial" w:hAnsi="Arial"/>
                <w:sz w:val="20"/>
                <w:szCs w:val="20"/>
                <w:color w:val="auto"/>
              </w:rPr>
              <w:t>Gross margin</w:t>
            </w:r>
          </w:p>
        </w:tc>
        <w:tc>
          <w:tcPr>
            <w:tcW w:w="13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80 %</w:t>
            </w:r>
          </w:p>
        </w:tc>
        <w:tc>
          <w:tcPr>
            <w:tcW w:w="13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82 %</w:t>
            </w:r>
          </w:p>
        </w:tc>
        <w:tc>
          <w:tcPr>
            <w:tcW w:w="80" w:type="dxa"/>
            <w:vAlign w:val="bottom"/>
            <w:shd w:val="clear" w:color="auto" w:fill="D2EDF0"/>
          </w:tcPr>
          <w:p>
            <w:pPr>
              <w:spacing w:after="0"/>
              <w:rPr>
                <w:sz w:val="24"/>
                <w:szCs w:val="24"/>
                <w:color w:val="auto"/>
              </w:rPr>
            </w:pPr>
          </w:p>
        </w:tc>
        <w:tc>
          <w:tcPr>
            <w:tcW w:w="340" w:type="dxa"/>
            <w:vAlign w:val="bottom"/>
            <w:shd w:val="clear" w:color="auto" w:fill="D2EDF0"/>
          </w:tcPr>
          <w:p>
            <w:pPr>
              <w:spacing w:after="0"/>
              <w:rPr>
                <w:sz w:val="24"/>
                <w:szCs w:val="24"/>
                <w:color w:val="auto"/>
              </w:rPr>
            </w:pPr>
          </w:p>
        </w:tc>
        <w:tc>
          <w:tcPr>
            <w:tcW w:w="96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400" w:type="dxa"/>
            <w:vAlign w:val="bottom"/>
            <w:shd w:val="clear" w:color="auto" w:fill="D2EDF0"/>
          </w:tcPr>
          <w:p>
            <w:pPr>
              <w:spacing w:after="0"/>
              <w:rPr>
                <w:sz w:val="24"/>
                <w:szCs w:val="24"/>
                <w:color w:val="auto"/>
              </w:rPr>
            </w:pPr>
          </w:p>
        </w:tc>
        <w:tc>
          <w:tcPr>
            <w:tcW w:w="900" w:type="dxa"/>
            <w:vAlign w:val="bottom"/>
            <w:shd w:val="clear" w:color="auto" w:fill="D2EDF0"/>
          </w:tcPr>
          <w:p>
            <w:pPr>
              <w:spacing w:after="0"/>
              <w:rPr>
                <w:sz w:val="24"/>
                <w:szCs w:val="24"/>
                <w:color w:val="auto"/>
              </w:rPr>
            </w:pPr>
          </w:p>
        </w:tc>
      </w:tr>
    </w:tbl>
    <w:p>
      <w:pPr>
        <w:spacing w:after="0" w:line="28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increase in cost of revenue of $28.8 million was primarily due to:</w:t>
      </w:r>
    </w:p>
    <w:p>
      <w:pPr>
        <w:spacing w:after="0" w:line="130" w:lineRule="exact"/>
        <w:rPr>
          <w:sz w:val="20"/>
          <w:szCs w:val="20"/>
          <w:color w:val="auto"/>
        </w:rPr>
      </w:pPr>
    </w:p>
    <w:p>
      <w:pPr>
        <w:ind w:left="720" w:hanging="360"/>
        <w:spacing w:after="0"/>
        <w:tabs>
          <w:tab w:leader="none" w:pos="72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 $17.8 million increase in third-party cloud infrastructure costs;</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 $4.1 million increase in the amortization of acquired intangible assets;</w:t>
      </w:r>
    </w:p>
    <w:p>
      <w:pPr>
        <w:spacing w:after="0" w:line="70" w:lineRule="exact"/>
        <w:rPr>
          <w:rFonts w:ascii="Arial" w:cs="Arial" w:eastAsia="Arial" w:hAnsi="Arial"/>
          <w:sz w:val="20"/>
          <w:szCs w:val="20"/>
          <w:color w:val="auto"/>
        </w:rPr>
      </w:pPr>
    </w:p>
    <w:p>
      <w:pPr>
        <w:ind w:left="720" w:right="20" w:hanging="360"/>
        <w:spacing w:after="0" w:line="296" w:lineRule="auto"/>
        <w:tabs>
          <w:tab w:leader="none" w:pos="72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 $4.0 million increase in personnel costs, primarily due to support for cloud-based products and an increase in headcount, including a $1.3 million increase in stock-based compensation;</w:t>
      </w:r>
    </w:p>
    <w:p>
      <w:pPr>
        <w:spacing w:after="0" w:line="1" w:lineRule="exact"/>
        <w:rPr>
          <w:rFonts w:ascii="Arial" w:cs="Arial" w:eastAsia="Arial" w:hAnsi="Arial"/>
          <w:sz w:val="19"/>
          <w:szCs w:val="19"/>
          <w:color w:val="auto"/>
        </w:rPr>
      </w:pPr>
    </w:p>
    <w:p>
      <w:pPr>
        <w:ind w:left="720" w:hanging="360"/>
        <w:spacing w:after="0"/>
        <w:tabs>
          <w:tab w:leader="none" w:pos="72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 $1.2 million increase in professional fees; and</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 $1.1 million increase in hardware costs; partially offset by</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 $0.6 million decrease in allocated overhead expenses.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Sales and Marketing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80"/>
        </w:trPr>
        <w:tc>
          <w:tcPr>
            <w:tcW w:w="356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67"/>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5"/>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2EDF0"/>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7"/>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D2EDF0"/>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5"/>
              <w:spacing w:after="0"/>
              <w:rPr>
                <w:sz w:val="20"/>
                <w:szCs w:val="20"/>
                <w:color w:val="auto"/>
              </w:rPr>
            </w:pPr>
            <w:r>
              <w:rPr>
                <w:rFonts w:ascii="Arial" w:cs="Arial" w:eastAsia="Arial" w:hAnsi="Arial"/>
                <w:sz w:val="18"/>
                <w:szCs w:val="18"/>
                <w:b w:val="1"/>
                <w:bCs w:val="1"/>
                <w:color w:val="auto"/>
              </w:rPr>
              <w:t>(%)</w:t>
            </w:r>
          </w:p>
        </w:tc>
      </w:tr>
      <w:tr>
        <w:trPr>
          <w:trHeight w:val="290"/>
        </w:trPr>
        <w:tc>
          <w:tcPr>
            <w:tcW w:w="3560" w:type="dxa"/>
            <w:vAlign w:val="bottom"/>
            <w:shd w:val="clear" w:color="auto" w:fill="D2EDF0"/>
          </w:tcPr>
          <w:p>
            <w:pPr>
              <w:ind w:left="60"/>
              <w:spacing w:after="0"/>
              <w:rPr>
                <w:sz w:val="20"/>
                <w:szCs w:val="20"/>
                <w:color w:val="auto"/>
              </w:rPr>
            </w:pPr>
            <w:r>
              <w:rPr>
                <w:rFonts w:ascii="Arial" w:cs="Arial" w:eastAsia="Arial" w:hAnsi="Arial"/>
                <w:sz w:val="20"/>
                <w:szCs w:val="20"/>
                <w:color w:val="auto"/>
              </w:rPr>
              <w:t>Sales and marketing</w:t>
            </w: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270,158</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224,277</w:t>
            </w:r>
          </w:p>
        </w:tc>
        <w:tc>
          <w:tcPr>
            <w:tcW w:w="420" w:type="dxa"/>
            <w:vAlign w:val="bottom"/>
            <w:gridSpan w:val="2"/>
            <w:shd w:val="clear" w:color="auto" w:fill="D2EDF0"/>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45,881</w:t>
            </w:r>
          </w:p>
        </w:tc>
        <w:tc>
          <w:tcPr>
            <w:tcW w:w="80" w:type="dxa"/>
            <w:vAlign w:val="bottom"/>
            <w:shd w:val="clear" w:color="auto" w:fill="D2EDF0"/>
          </w:tcPr>
          <w:p>
            <w:pPr>
              <w:spacing w:after="0"/>
              <w:rPr>
                <w:sz w:val="24"/>
                <w:szCs w:val="24"/>
                <w:color w:val="auto"/>
              </w:rPr>
            </w:pPr>
          </w:p>
        </w:tc>
        <w:tc>
          <w:tcPr>
            <w:tcW w:w="400" w:type="dxa"/>
            <w:vAlign w:val="bottom"/>
            <w:shd w:val="clear" w:color="auto" w:fill="D2EDF0"/>
          </w:tcPr>
          <w:p>
            <w:pPr>
              <w:spacing w:after="0"/>
              <w:rPr>
                <w:sz w:val="24"/>
                <w:szCs w:val="24"/>
                <w:color w:val="auto"/>
              </w:rPr>
            </w:pP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20 %</w:t>
            </w:r>
          </w:p>
        </w:tc>
      </w:tr>
    </w:tbl>
    <w:p>
      <w:pPr>
        <w:spacing w:after="0" w:line="28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increase in sales and marketing expense of $45.9 million was primarily due to:</w:t>
      </w:r>
    </w:p>
    <w:p>
      <w:pPr>
        <w:spacing w:after="0" w:line="130" w:lineRule="exact"/>
        <w:rPr>
          <w:sz w:val="20"/>
          <w:szCs w:val="20"/>
          <w:color w:val="auto"/>
        </w:rPr>
      </w:pPr>
    </w:p>
    <w:p>
      <w:pPr>
        <w:ind w:left="720" w:right="220" w:hanging="360"/>
        <w:spacing w:after="0" w:line="287" w:lineRule="auto"/>
        <w:tabs>
          <w:tab w:leader="none" w:pos="72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a $23.3 million increase in personnel costs, related to an increase in headcount, including a $9.6 million increase in stock-based compensation;</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880" w:h="15480" w:orient="portrait"/>
          <w:cols w:equalWidth="0" w:num="1">
            <w:col w:w="9000"/>
          </w:cols>
          <w:pgMar w:left="1440" w:top="1203" w:right="1440" w:bottom="0" w:gutter="0" w:footer="0" w:header="0"/>
          <w:type w:val="continuous"/>
        </w:sectPr>
      </w:pPr>
    </w:p>
    <w:bookmarkStart w:id="159" w:name="page160"/>
    <w:bookmarkEnd w:id="159"/>
    <w:p>
      <w:pPr>
        <w:ind w:left="720" w:right="120" w:hanging="360"/>
        <w:spacing w:after="0" w:line="281" w:lineRule="auto"/>
        <w:tabs>
          <w:tab w:leader="none" w:pos="72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a $10.5 million increase in expenses for demand generation programs, including advertising, sponsorships, and brand awareness efforts;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a $10.0 million increase in sales commissions; and</w:t>
      </w:r>
    </w:p>
    <w:p>
      <w:pPr>
        <w:spacing w:after="0" w:line="70" w:lineRule="exact"/>
        <w:rPr>
          <w:rFonts w:ascii="Arial" w:cs="Arial" w:eastAsia="Arial" w:hAnsi="Arial"/>
          <w:sz w:val="20"/>
          <w:szCs w:val="20"/>
          <w:color w:val="auto"/>
        </w:rPr>
      </w:pPr>
    </w:p>
    <w:p>
      <w:pPr>
        <w:ind w:left="720" w:right="520" w:hanging="360"/>
        <w:spacing w:after="0" w:line="281" w:lineRule="auto"/>
        <w:tabs>
          <w:tab w:leader="none" w:pos="72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a $3.8 million increase in selling expenses, including software subscriptions and training programs; partially offset by</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a $1.9 million decrease in travel and meeting costs.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Research and Development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80"/>
        </w:trPr>
        <w:tc>
          <w:tcPr>
            <w:tcW w:w="356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67"/>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5"/>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2EDF0"/>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7"/>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D2EDF0"/>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5"/>
              <w:spacing w:after="0"/>
              <w:rPr>
                <w:sz w:val="20"/>
                <w:szCs w:val="20"/>
                <w:color w:val="auto"/>
              </w:rPr>
            </w:pPr>
            <w:r>
              <w:rPr>
                <w:rFonts w:ascii="Arial" w:cs="Arial" w:eastAsia="Arial" w:hAnsi="Arial"/>
                <w:sz w:val="18"/>
                <w:szCs w:val="18"/>
                <w:b w:val="1"/>
                <w:bCs w:val="1"/>
                <w:color w:val="auto"/>
              </w:rPr>
              <w:t>(%)</w:t>
            </w:r>
          </w:p>
        </w:tc>
      </w:tr>
      <w:tr>
        <w:trPr>
          <w:trHeight w:val="290"/>
        </w:trPr>
        <w:tc>
          <w:tcPr>
            <w:tcW w:w="3560" w:type="dxa"/>
            <w:vAlign w:val="bottom"/>
            <w:shd w:val="clear" w:color="auto" w:fill="D2EDF0"/>
          </w:tcPr>
          <w:p>
            <w:pPr>
              <w:ind w:left="60"/>
              <w:spacing w:after="0"/>
              <w:rPr>
                <w:sz w:val="20"/>
                <w:szCs w:val="20"/>
                <w:color w:val="auto"/>
              </w:rPr>
            </w:pPr>
            <w:r>
              <w:rPr>
                <w:rFonts w:ascii="Arial" w:cs="Arial" w:eastAsia="Arial" w:hAnsi="Arial"/>
                <w:sz w:val="20"/>
                <w:szCs w:val="20"/>
                <w:color w:val="auto"/>
              </w:rPr>
              <w:t>Research and development</w:t>
            </w: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116,432</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101,687</w:t>
            </w:r>
          </w:p>
        </w:tc>
        <w:tc>
          <w:tcPr>
            <w:tcW w:w="420" w:type="dxa"/>
            <w:vAlign w:val="bottom"/>
            <w:gridSpan w:val="2"/>
            <w:shd w:val="clear" w:color="auto" w:fill="D2EDF0"/>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14,745</w:t>
            </w:r>
          </w:p>
        </w:tc>
        <w:tc>
          <w:tcPr>
            <w:tcW w:w="80" w:type="dxa"/>
            <w:vAlign w:val="bottom"/>
            <w:shd w:val="clear" w:color="auto" w:fill="D2EDF0"/>
          </w:tcPr>
          <w:p>
            <w:pPr>
              <w:spacing w:after="0"/>
              <w:rPr>
                <w:sz w:val="24"/>
                <w:szCs w:val="24"/>
                <w:color w:val="auto"/>
              </w:rPr>
            </w:pPr>
          </w:p>
        </w:tc>
        <w:tc>
          <w:tcPr>
            <w:tcW w:w="400" w:type="dxa"/>
            <w:vAlign w:val="bottom"/>
            <w:shd w:val="clear" w:color="auto" w:fill="D2EDF0"/>
          </w:tcPr>
          <w:p>
            <w:pPr>
              <w:spacing w:after="0"/>
              <w:rPr>
                <w:sz w:val="24"/>
                <w:szCs w:val="24"/>
                <w:color w:val="auto"/>
              </w:rPr>
            </w:pP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15 %</w:t>
            </w:r>
          </w:p>
        </w:tc>
      </w:tr>
    </w:tbl>
    <w:p>
      <w:pPr>
        <w:spacing w:after="0" w:line="28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increase in research and development expense of $14.7 million was primarily due to:</w:t>
      </w:r>
    </w:p>
    <w:p>
      <w:pPr>
        <w:spacing w:after="0" w:line="130" w:lineRule="exact"/>
        <w:rPr>
          <w:sz w:val="20"/>
          <w:szCs w:val="20"/>
          <w:color w:val="auto"/>
        </w:rPr>
      </w:pPr>
    </w:p>
    <w:p>
      <w:pPr>
        <w:ind w:left="720" w:right="40" w:hanging="360"/>
        <w:spacing w:after="0" w:line="281" w:lineRule="auto"/>
        <w:tabs>
          <w:tab w:leader="none" w:pos="72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a $13.5 million increase in personnel costs, largely associated with an increase in headcount, including a $5.8 million increase in stock-based compensation;</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a $2.1 million increase in third-party cloud infrastructure costs; and</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a $0.6 million increase in software subscriptions; partially offset by</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a $1.0 million decrease in travel and meeting costs;</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a $0.5 million decrease in allocated overhead; and</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a $0.5 million decrease in depreciation.</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General and Administrative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80"/>
        </w:trPr>
        <w:tc>
          <w:tcPr>
            <w:tcW w:w="356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67"/>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5"/>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2EDF0"/>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7"/>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D2EDF0"/>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5"/>
              <w:spacing w:after="0"/>
              <w:rPr>
                <w:sz w:val="20"/>
                <w:szCs w:val="20"/>
                <w:color w:val="auto"/>
              </w:rPr>
            </w:pPr>
            <w:r>
              <w:rPr>
                <w:rFonts w:ascii="Arial" w:cs="Arial" w:eastAsia="Arial" w:hAnsi="Arial"/>
                <w:sz w:val="18"/>
                <w:szCs w:val="18"/>
                <w:b w:val="1"/>
                <w:bCs w:val="1"/>
                <w:color w:val="auto"/>
              </w:rPr>
              <w:t>(%)</w:t>
            </w:r>
          </w:p>
        </w:tc>
      </w:tr>
      <w:tr>
        <w:trPr>
          <w:trHeight w:val="290"/>
        </w:trPr>
        <w:tc>
          <w:tcPr>
            <w:tcW w:w="3560" w:type="dxa"/>
            <w:vAlign w:val="bottom"/>
            <w:shd w:val="clear" w:color="auto" w:fill="D2EDF0"/>
          </w:tcPr>
          <w:p>
            <w:pPr>
              <w:ind w:left="60"/>
              <w:spacing w:after="0"/>
              <w:rPr>
                <w:sz w:val="20"/>
                <w:szCs w:val="20"/>
                <w:color w:val="auto"/>
              </w:rPr>
            </w:pPr>
            <w:r>
              <w:rPr>
                <w:rFonts w:ascii="Arial" w:cs="Arial" w:eastAsia="Arial" w:hAnsi="Arial"/>
                <w:sz w:val="20"/>
                <w:szCs w:val="20"/>
                <w:color w:val="auto"/>
              </w:rPr>
              <w:t>General and administrative</w:t>
            </w: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89,912</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73,136</w:t>
            </w:r>
          </w:p>
        </w:tc>
        <w:tc>
          <w:tcPr>
            <w:tcW w:w="420" w:type="dxa"/>
            <w:vAlign w:val="bottom"/>
            <w:gridSpan w:val="2"/>
            <w:shd w:val="clear" w:color="auto" w:fill="D2EDF0"/>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16,776</w:t>
            </w:r>
          </w:p>
        </w:tc>
        <w:tc>
          <w:tcPr>
            <w:tcW w:w="80" w:type="dxa"/>
            <w:vAlign w:val="bottom"/>
            <w:shd w:val="clear" w:color="auto" w:fill="D2EDF0"/>
          </w:tcPr>
          <w:p>
            <w:pPr>
              <w:spacing w:after="0"/>
              <w:rPr>
                <w:sz w:val="24"/>
                <w:szCs w:val="24"/>
                <w:color w:val="auto"/>
              </w:rPr>
            </w:pPr>
          </w:p>
        </w:tc>
        <w:tc>
          <w:tcPr>
            <w:tcW w:w="400" w:type="dxa"/>
            <w:vAlign w:val="bottom"/>
            <w:shd w:val="clear" w:color="auto" w:fill="D2EDF0"/>
          </w:tcPr>
          <w:p>
            <w:pPr>
              <w:spacing w:after="0"/>
              <w:rPr>
                <w:sz w:val="24"/>
                <w:szCs w:val="24"/>
                <w:color w:val="auto"/>
              </w:rPr>
            </w:pP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23 %</w:t>
            </w:r>
          </w:p>
        </w:tc>
      </w:tr>
    </w:tbl>
    <w:p>
      <w:pPr>
        <w:spacing w:after="0" w:line="28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increase in general and administrative expense of $16.8 million was primarily due to:</w:t>
      </w:r>
    </w:p>
    <w:p>
      <w:pPr>
        <w:spacing w:after="0" w:line="130" w:lineRule="exact"/>
        <w:rPr>
          <w:sz w:val="20"/>
          <w:szCs w:val="20"/>
          <w:color w:val="auto"/>
        </w:rPr>
      </w:pPr>
    </w:p>
    <w:p>
      <w:pPr>
        <w:ind w:left="720" w:right="160" w:hanging="360"/>
        <w:spacing w:after="0" w:line="281" w:lineRule="auto"/>
        <w:tabs>
          <w:tab w:leader="none" w:pos="72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 $7.5 million increase in personnel costs, largely associated with an increase in headcount, including a $3.2 million increase in stock-based compensation;</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 $6.3 million increase in acquisition-related expenses;</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 $2.0 million increase in professional fees; and</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a $1.0 million increase in depreciation and amortization.</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Interest Income, Interest Expense and Other Expense, Net</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80"/>
        </w:trPr>
        <w:tc>
          <w:tcPr>
            <w:tcW w:w="356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64"/>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3"/>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2EDF0"/>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4"/>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D2EDF0"/>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3"/>
              <w:spacing w:after="0"/>
              <w:rPr>
                <w:sz w:val="20"/>
                <w:szCs w:val="20"/>
                <w:color w:val="auto"/>
              </w:rPr>
            </w:pPr>
            <w:r>
              <w:rPr>
                <w:rFonts w:ascii="Arial" w:cs="Arial" w:eastAsia="Arial" w:hAnsi="Arial"/>
                <w:sz w:val="18"/>
                <w:szCs w:val="18"/>
                <w:b w:val="1"/>
                <w:bCs w:val="1"/>
                <w:color w:val="auto"/>
              </w:rPr>
              <w:t>(%)</w:t>
            </w:r>
          </w:p>
        </w:tc>
      </w:tr>
      <w:tr>
        <w:trPr>
          <w:trHeight w:val="290"/>
        </w:trPr>
        <w:tc>
          <w:tcPr>
            <w:tcW w:w="3560" w:type="dxa"/>
            <w:vAlign w:val="bottom"/>
            <w:shd w:val="clear" w:color="auto" w:fill="D2EDF0"/>
          </w:tcPr>
          <w:p>
            <w:pPr>
              <w:ind w:left="60"/>
              <w:spacing w:after="0"/>
              <w:rPr>
                <w:sz w:val="20"/>
                <w:szCs w:val="20"/>
                <w:color w:val="auto"/>
              </w:rPr>
            </w:pPr>
            <w:r>
              <w:rPr>
                <w:rFonts w:ascii="Arial" w:cs="Arial" w:eastAsia="Arial" w:hAnsi="Arial"/>
                <w:sz w:val="20"/>
                <w:szCs w:val="20"/>
                <w:color w:val="auto"/>
              </w:rPr>
              <w:t>Interest income</w:t>
            </w: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606</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1,740</w:t>
            </w:r>
          </w:p>
        </w:tc>
        <w:tc>
          <w:tcPr>
            <w:tcW w:w="420" w:type="dxa"/>
            <w:vAlign w:val="bottom"/>
            <w:gridSpan w:val="2"/>
            <w:shd w:val="clear" w:color="auto" w:fill="D2EDF0"/>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(1,134)</w:t>
            </w:r>
          </w:p>
        </w:tc>
        <w:tc>
          <w:tcPr>
            <w:tcW w:w="80" w:type="dxa"/>
            <w:vAlign w:val="bottom"/>
            <w:shd w:val="clear" w:color="auto" w:fill="D2EDF0"/>
          </w:tcPr>
          <w:p>
            <w:pPr>
              <w:spacing w:after="0"/>
              <w:rPr>
                <w:sz w:val="24"/>
                <w:szCs w:val="24"/>
                <w:color w:val="auto"/>
              </w:rPr>
            </w:pPr>
          </w:p>
        </w:tc>
        <w:tc>
          <w:tcPr>
            <w:tcW w:w="400" w:type="dxa"/>
            <w:vAlign w:val="bottom"/>
            <w:shd w:val="clear" w:color="auto" w:fill="D2EDF0"/>
          </w:tcPr>
          <w:p>
            <w:pPr>
              <w:spacing w:after="0"/>
              <w:rPr>
                <w:sz w:val="24"/>
                <w:szCs w:val="24"/>
                <w:color w:val="auto"/>
              </w:rPr>
            </w:pP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(65)%</w:t>
            </w:r>
          </w:p>
        </w:tc>
      </w:tr>
      <w:tr>
        <w:trPr>
          <w:trHeight w:val="296"/>
        </w:trPr>
        <w:tc>
          <w:tcPr>
            <w:tcW w:w="3560" w:type="dxa"/>
            <w:vAlign w:val="bottom"/>
          </w:tcPr>
          <w:p>
            <w:pPr>
              <w:ind w:left="60"/>
              <w:spacing w:after="0"/>
              <w:rPr>
                <w:sz w:val="20"/>
                <w:szCs w:val="20"/>
                <w:color w:val="auto"/>
              </w:rPr>
            </w:pPr>
            <w:r>
              <w:rPr>
                <w:rFonts w:ascii="Arial" w:cs="Arial" w:eastAsia="Arial" w:hAnsi="Arial"/>
                <w:sz w:val="20"/>
                <w:szCs w:val="20"/>
                <w:color w:val="auto"/>
              </w:rPr>
              <w:t>Interest expense</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(7,502)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(496)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(7,006)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1,413 %</w:t>
            </w:r>
          </w:p>
        </w:tc>
      </w:tr>
      <w:tr>
        <w:trPr>
          <w:trHeight w:val="304"/>
        </w:trPr>
        <w:tc>
          <w:tcPr>
            <w:tcW w:w="3560" w:type="dxa"/>
            <w:vAlign w:val="bottom"/>
            <w:shd w:val="clear" w:color="auto" w:fill="D2EDF0"/>
          </w:tcPr>
          <w:p>
            <w:pPr>
              <w:ind w:left="60"/>
              <w:spacing w:after="0"/>
              <w:rPr>
                <w:sz w:val="20"/>
                <w:szCs w:val="20"/>
                <w:color w:val="auto"/>
              </w:rPr>
            </w:pPr>
            <w:r>
              <w:rPr>
                <w:rFonts w:ascii="Arial" w:cs="Arial" w:eastAsia="Arial" w:hAnsi="Arial"/>
                <w:sz w:val="20"/>
                <w:szCs w:val="20"/>
                <w:color w:val="auto"/>
              </w:rPr>
              <w:t>Other expense, net</w:t>
            </w:r>
          </w:p>
        </w:tc>
        <w:tc>
          <w:tcPr>
            <w:tcW w:w="200" w:type="dxa"/>
            <w:vAlign w:val="bottom"/>
            <w:shd w:val="clear" w:color="auto" w:fill="D2EDF0"/>
          </w:tcPr>
          <w:p>
            <w:pPr>
              <w:spacing w:after="0"/>
              <w:rPr>
                <w:sz w:val="24"/>
                <w:szCs w:val="24"/>
                <w:color w:val="auto"/>
              </w:rPr>
            </w:pP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(1,965)</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(1,885)</w:t>
            </w:r>
          </w:p>
        </w:tc>
        <w:tc>
          <w:tcPr>
            <w:tcW w:w="80" w:type="dxa"/>
            <w:vAlign w:val="bottom"/>
            <w:shd w:val="clear" w:color="auto" w:fill="D2EDF0"/>
          </w:tcPr>
          <w:p>
            <w:pPr>
              <w:spacing w:after="0"/>
              <w:rPr>
                <w:sz w:val="24"/>
                <w:szCs w:val="24"/>
                <w:color w:val="auto"/>
              </w:rPr>
            </w:pPr>
          </w:p>
        </w:tc>
        <w:tc>
          <w:tcPr>
            <w:tcW w:w="340" w:type="dxa"/>
            <w:vAlign w:val="bottom"/>
            <w:shd w:val="clear" w:color="auto" w:fill="D2EDF0"/>
          </w:tcPr>
          <w:p>
            <w:pPr>
              <w:spacing w:after="0"/>
              <w:rPr>
                <w:sz w:val="24"/>
                <w:szCs w:val="24"/>
                <w:color w:val="auto"/>
              </w:rPr>
            </w:pPr>
          </w:p>
        </w:tc>
        <w:tc>
          <w:tcPr>
            <w:tcW w:w="9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(80)</w:t>
            </w:r>
          </w:p>
        </w:tc>
        <w:tc>
          <w:tcPr>
            <w:tcW w:w="80" w:type="dxa"/>
            <w:vAlign w:val="bottom"/>
            <w:shd w:val="clear" w:color="auto" w:fill="D2EDF0"/>
          </w:tcPr>
          <w:p>
            <w:pPr>
              <w:spacing w:after="0"/>
              <w:rPr>
                <w:sz w:val="24"/>
                <w:szCs w:val="24"/>
                <w:color w:val="auto"/>
              </w:rPr>
            </w:pPr>
          </w:p>
        </w:tc>
        <w:tc>
          <w:tcPr>
            <w:tcW w:w="400" w:type="dxa"/>
            <w:vAlign w:val="bottom"/>
            <w:shd w:val="clear" w:color="auto" w:fill="D2EDF0"/>
          </w:tcPr>
          <w:p>
            <w:pPr>
              <w:spacing w:after="0"/>
              <w:rPr>
                <w:sz w:val="24"/>
                <w:szCs w:val="24"/>
                <w:color w:val="auto"/>
              </w:rPr>
            </w:pP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4 %</w:t>
            </w:r>
          </w:p>
        </w:tc>
      </w:tr>
    </w:tbl>
    <w:p>
      <w:pPr>
        <w:spacing w:after="0" w:line="284" w:lineRule="exact"/>
        <w:rPr>
          <w:sz w:val="20"/>
          <w:szCs w:val="20"/>
          <w:color w:val="auto"/>
        </w:rPr>
      </w:pPr>
    </w:p>
    <w:p>
      <w:pPr>
        <w:ind w:right="340" w:firstLine="360"/>
        <w:spacing w:after="0" w:line="314" w:lineRule="auto"/>
        <w:rPr>
          <w:sz w:val="20"/>
          <w:szCs w:val="20"/>
          <w:color w:val="auto"/>
        </w:rPr>
      </w:pPr>
      <w:r>
        <w:rPr>
          <w:rFonts w:ascii="Arial" w:cs="Arial" w:eastAsia="Arial" w:hAnsi="Arial"/>
          <w:sz w:val="19"/>
          <w:szCs w:val="19"/>
          <w:color w:val="auto"/>
        </w:rPr>
        <w:t>The $1.1 million decrease in interest income was due to lower returns on our short-term investments in 2021. The $7.0 million increase in interest expense was primarily related to interest</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880" w:h="15480" w:orient="portrait"/>
          <w:cols w:equalWidth="0" w:num="1">
            <w:col w:w="9000"/>
          </w:cols>
          <w:pgMar w:left="1440" w:top="1204" w:right="1440" w:bottom="0" w:gutter="0" w:footer="0" w:header="0"/>
          <w:type w:val="continuous"/>
        </w:sectPr>
      </w:pPr>
    </w:p>
    <w:bookmarkStart w:id="160" w:name="page161"/>
    <w:bookmarkEnd w:id="160"/>
    <w:p>
      <w:pPr>
        <w:ind w:right="120"/>
        <w:spacing w:after="0" w:line="287" w:lineRule="auto"/>
        <w:rPr>
          <w:sz w:val="20"/>
          <w:szCs w:val="20"/>
          <w:color w:val="auto"/>
        </w:rPr>
      </w:pPr>
      <w:r>
        <w:rPr>
          <w:rFonts w:ascii="Arial" w:cs="Arial" w:eastAsia="Arial" w:hAnsi="Arial"/>
          <w:sz w:val="20"/>
          <w:szCs w:val="20"/>
          <w:color w:val="auto"/>
        </w:rPr>
        <w:t>expense for our Term Loan entered into in July 2021. The $0.1 million increase in other expense, net was primarily due to an increase in foreign exchange losses.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(Benefit) Provision for Income Taxes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spacing w:after="0"/>
              <w:rPr>
                <w:sz w:val="20"/>
                <w:szCs w:val="20"/>
                <w:color w:val="auto"/>
              </w:rPr>
            </w:pPr>
          </w:p>
        </w:tc>
      </w:tr>
      <w:tr>
        <w:trPr>
          <w:trHeight w:val="280"/>
        </w:trPr>
        <w:tc>
          <w:tcPr>
            <w:tcW w:w="356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67"/>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5"/>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2EDF0"/>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7"/>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D2EDF0"/>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5"/>
              <w:spacing w:after="0"/>
              <w:rPr>
                <w:sz w:val="20"/>
                <w:szCs w:val="20"/>
                <w:color w:val="auto"/>
              </w:rPr>
            </w:pPr>
            <w:r>
              <w:rPr>
                <w:rFonts w:ascii="Arial" w:cs="Arial" w:eastAsia="Arial" w:hAnsi="Arial"/>
                <w:sz w:val="18"/>
                <w:szCs w:val="18"/>
                <w:b w:val="1"/>
                <w:bCs w:val="1"/>
                <w:color w:val="auto"/>
              </w:rPr>
              <w:t>(%)</w:t>
            </w:r>
          </w:p>
        </w:tc>
      </w:tr>
      <w:tr>
        <w:trPr>
          <w:trHeight w:val="290"/>
        </w:trPr>
        <w:tc>
          <w:tcPr>
            <w:tcW w:w="3560" w:type="dxa"/>
            <w:vAlign w:val="bottom"/>
            <w:shd w:val="clear" w:color="auto" w:fill="D2EDF0"/>
          </w:tcPr>
          <w:p>
            <w:pPr>
              <w:ind w:left="60"/>
              <w:spacing w:after="0"/>
              <w:rPr>
                <w:sz w:val="20"/>
                <w:szCs w:val="20"/>
                <w:color w:val="auto"/>
              </w:rPr>
            </w:pPr>
            <w:r>
              <w:rPr>
                <w:rFonts w:ascii="Arial" w:cs="Arial" w:eastAsia="Arial" w:hAnsi="Arial"/>
                <w:sz w:val="20"/>
                <w:szCs w:val="20"/>
                <w:color w:val="auto"/>
              </w:rPr>
              <w:t>(Benefit) provision for income taxes</w:t>
            </w: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(3,952)</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5,657</w:t>
            </w:r>
          </w:p>
        </w:tc>
        <w:tc>
          <w:tcPr>
            <w:tcW w:w="420" w:type="dxa"/>
            <w:vAlign w:val="bottom"/>
            <w:gridSpan w:val="2"/>
            <w:shd w:val="clear" w:color="auto" w:fill="D2EDF0"/>
          </w:tcPr>
          <w:p>
            <w:pPr>
              <w:jc w:val="right"/>
              <w:ind w:right="180"/>
              <w:spacing w:after="0"/>
              <w:rPr>
                <w:sz w:val="20"/>
                <w:szCs w:val="20"/>
                <w:color w:val="auto"/>
              </w:rPr>
            </w:pPr>
            <w:r>
              <w:rPr>
                <w:rFonts w:ascii="Arial" w:cs="Arial" w:eastAsia="Arial" w:hAnsi="Arial"/>
                <w:sz w:val="20"/>
                <w:szCs w:val="20"/>
                <w:color w:val="auto"/>
              </w:rPr>
              <w:t>$</w:t>
            </w:r>
          </w:p>
        </w:tc>
        <w:tc>
          <w:tcPr>
            <w:tcW w:w="9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(9,609)</w:t>
            </w:r>
          </w:p>
        </w:tc>
        <w:tc>
          <w:tcPr>
            <w:tcW w:w="80" w:type="dxa"/>
            <w:vAlign w:val="bottom"/>
            <w:shd w:val="clear" w:color="auto" w:fill="D2EDF0"/>
          </w:tcPr>
          <w:p>
            <w:pPr>
              <w:spacing w:after="0"/>
              <w:rPr>
                <w:sz w:val="24"/>
                <w:szCs w:val="24"/>
                <w:color w:val="auto"/>
              </w:rPr>
            </w:pPr>
          </w:p>
        </w:tc>
        <w:tc>
          <w:tcPr>
            <w:tcW w:w="400" w:type="dxa"/>
            <w:vAlign w:val="bottom"/>
            <w:shd w:val="clear" w:color="auto" w:fill="D2EDF0"/>
          </w:tcPr>
          <w:p>
            <w:pPr>
              <w:spacing w:after="0"/>
              <w:rPr>
                <w:sz w:val="24"/>
                <w:szCs w:val="24"/>
                <w:color w:val="auto"/>
              </w:rPr>
            </w:pP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(170)%</w:t>
            </w:r>
          </w:p>
        </w:tc>
      </w:tr>
    </w:tbl>
    <w:p>
      <w:pPr>
        <w:spacing w:after="0" w:line="28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 2021, the benefit for income taxes included:</w:t>
      </w:r>
    </w:p>
    <w:p>
      <w:pPr>
        <w:spacing w:after="0" w:line="70" w:lineRule="exact"/>
        <w:rPr>
          <w:sz w:val="20"/>
          <w:szCs w:val="20"/>
          <w:color w:val="auto"/>
        </w:rPr>
      </w:pPr>
    </w:p>
    <w:p>
      <w:pPr>
        <w:ind w:left="720" w:right="380" w:hanging="360"/>
        <w:spacing w:after="0" w:line="281" w:lineRule="auto"/>
        <w:tabs>
          <w:tab w:leader="none" w:pos="72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$7.9 million of income tax benefits related to the partial release of our valuation allowance associated with the Accurics acquisition;</w:t>
      </w:r>
    </w:p>
    <w:p>
      <w:pPr>
        <w:spacing w:after="0" w:line="1" w:lineRule="exact"/>
        <w:rPr>
          <w:rFonts w:ascii="Arial" w:cs="Arial" w:eastAsia="Arial" w:hAnsi="Arial"/>
          <w:sz w:val="20"/>
          <w:szCs w:val="20"/>
          <w:color w:val="auto"/>
        </w:rPr>
      </w:pPr>
    </w:p>
    <w:p>
      <w:pPr>
        <w:ind w:left="720" w:right="60" w:hanging="360"/>
        <w:spacing w:after="0" w:line="268" w:lineRule="auto"/>
        <w:tabs>
          <w:tab w:leader="none" w:pos="72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$2.9 million of discrete benefits primarily related to a Supreme Court decision in India on the taxability of software license payments to nonresidents and the associated withholding taxes; and</w:t>
      </w:r>
    </w:p>
    <w:p>
      <w:pPr>
        <w:spacing w:after="0" w:line="9" w:lineRule="exact"/>
        <w:rPr>
          <w:rFonts w:ascii="Arial" w:cs="Arial" w:eastAsia="Arial" w:hAnsi="Arial"/>
          <w:sz w:val="20"/>
          <w:szCs w:val="20"/>
          <w:color w:val="auto"/>
        </w:rPr>
      </w:pPr>
    </w:p>
    <w:p>
      <w:pPr>
        <w:ind w:left="720" w:hanging="360"/>
        <w:spacing w:after="0"/>
        <w:tabs>
          <w:tab w:leader="none" w:pos="72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 $2.6 million deferred tax benefit related to the Alsid acquisition; partially offset by</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$3.8 million of income taxes in foreign jurisdictions in which we conduct business;</w:t>
      </w:r>
    </w:p>
    <w:p>
      <w:pPr>
        <w:spacing w:after="0" w:line="70" w:lineRule="exact"/>
        <w:rPr>
          <w:rFonts w:ascii="Arial" w:cs="Arial" w:eastAsia="Arial" w:hAnsi="Arial"/>
          <w:sz w:val="20"/>
          <w:szCs w:val="20"/>
          <w:color w:val="auto"/>
        </w:rPr>
      </w:pPr>
    </w:p>
    <w:p>
      <w:pPr>
        <w:ind w:left="720" w:right="40" w:hanging="360"/>
        <w:spacing w:after="0" w:line="281" w:lineRule="auto"/>
        <w:tabs>
          <w:tab w:leader="none" w:pos="72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$2.8 million of discrete expenses primarily related to withholding taxes on sales to customers; and</w:t>
      </w:r>
    </w:p>
    <w:p>
      <w:pPr>
        <w:spacing w:after="0" w:line="1" w:lineRule="exact"/>
        <w:rPr>
          <w:rFonts w:ascii="Arial" w:cs="Arial" w:eastAsia="Arial" w:hAnsi="Arial"/>
          <w:sz w:val="20"/>
          <w:szCs w:val="20"/>
          <w:color w:val="auto"/>
        </w:rPr>
      </w:pPr>
    </w:p>
    <w:p>
      <w:pPr>
        <w:ind w:left="720" w:right="620" w:hanging="360"/>
        <w:spacing w:after="0" w:line="287" w:lineRule="auto"/>
        <w:tabs>
          <w:tab w:leader="none" w:pos="72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$2.8 million of current expense from the restructuring of our research and development operations in Israel.</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 2020, the provision for income taxes included:</w:t>
      </w:r>
    </w:p>
    <w:p>
      <w:pPr>
        <w:spacing w:after="0" w:line="70" w:lineRule="exact"/>
        <w:rPr>
          <w:sz w:val="20"/>
          <w:szCs w:val="20"/>
          <w:color w:val="auto"/>
        </w:rPr>
      </w:pPr>
    </w:p>
    <w:p>
      <w:pPr>
        <w:ind w:left="720" w:hanging="360"/>
        <w:spacing w:after="0"/>
        <w:tabs>
          <w:tab w:leader="none" w:pos="72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$4.0 million of income taxes in foreign jurisdictions in which we conduct business; and</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$1.7 million of discrete expenses primarily related to withholding taxes on sales to customers.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Liquidity and Capital Resources</w:t>
      </w:r>
    </w:p>
    <w:p>
      <w:pPr>
        <w:spacing w:after="0" w:line="251" w:lineRule="exact"/>
        <w:rPr>
          <w:sz w:val="20"/>
          <w:szCs w:val="20"/>
          <w:color w:val="auto"/>
        </w:rPr>
      </w:pPr>
    </w:p>
    <w:p>
      <w:pPr>
        <w:ind w:right="220" w:firstLine="360"/>
        <w:spacing w:after="0" w:line="262" w:lineRule="auto"/>
        <w:rPr>
          <w:sz w:val="20"/>
          <w:szCs w:val="20"/>
          <w:color w:val="auto"/>
        </w:rPr>
      </w:pPr>
      <w:r>
        <w:rPr>
          <w:rFonts w:ascii="Arial" w:cs="Arial" w:eastAsia="Arial" w:hAnsi="Arial"/>
          <w:sz w:val="20"/>
          <w:szCs w:val="20"/>
          <w:color w:val="auto"/>
        </w:rPr>
        <w:t>At December 31, 2022, we had $300.9 million of cash and cash equivalents, which consisted of bank deposits and money market funds, and $266.6 million of short-term investments, which consisted of commercial paper, asset backed securities, certificates of deposit, U.S. Treasury and agency obligations, and corporate and supranational bonds.</w:t>
      </w:r>
    </w:p>
    <w:p>
      <w:pPr>
        <w:spacing w:after="0" w:line="196" w:lineRule="exact"/>
        <w:rPr>
          <w:sz w:val="20"/>
          <w:szCs w:val="20"/>
          <w:color w:val="auto"/>
        </w:rPr>
      </w:pPr>
    </w:p>
    <w:p>
      <w:pPr>
        <w:ind w:right="180" w:firstLine="360"/>
        <w:spacing w:after="0" w:line="257" w:lineRule="auto"/>
        <w:rPr>
          <w:sz w:val="20"/>
          <w:szCs w:val="20"/>
          <w:color w:val="auto"/>
        </w:rPr>
      </w:pPr>
      <w:r>
        <w:rPr>
          <w:rFonts w:ascii="Arial" w:cs="Arial" w:eastAsia="Arial" w:hAnsi="Arial"/>
          <w:sz w:val="20"/>
          <w:szCs w:val="20"/>
          <w:color w:val="auto"/>
        </w:rPr>
        <w:t>Since our inception, we have primarily financed our operations through cash provided by operations, including payments received from customers using our software products and services. Prior to our IPO, we did not raise any primary institutional capital, and the proceeds of our Series A and Series B redeemable convertible preferred stock financings were used to repurchase shares of capital stock from former stockholders. We have generated significant operating losses, as reflected by our accumulated deficit of $746.8 million at December 31, 2022.</w:t>
      </w:r>
    </w:p>
    <w:p>
      <w:pPr>
        <w:spacing w:after="0" w:line="202" w:lineRule="exact"/>
        <w:rPr>
          <w:sz w:val="20"/>
          <w:szCs w:val="20"/>
          <w:color w:val="auto"/>
        </w:rPr>
      </w:pPr>
    </w:p>
    <w:p>
      <w:pPr>
        <w:ind w:right="20" w:firstLine="360"/>
        <w:spacing w:after="0" w:line="255" w:lineRule="auto"/>
        <w:rPr>
          <w:sz w:val="20"/>
          <w:szCs w:val="20"/>
          <w:color w:val="auto"/>
        </w:rPr>
      </w:pPr>
      <w:r>
        <w:rPr>
          <w:rFonts w:ascii="Arial" w:cs="Arial" w:eastAsia="Arial" w:hAnsi="Arial"/>
          <w:sz w:val="20"/>
          <w:szCs w:val="20"/>
          <w:color w:val="auto"/>
        </w:rPr>
        <w:t>We typically invoice our customers annually in advance and, to a lesser extent, multi-years in advance. Therefore, a substantial source of our cash is from such prepayments, which are included in deferred revenue on our consolidated balance sheets. Deferred revenue consists primarily of the unearned portion of billed fees for our subscriptions and perpetual licenses, which is subsequently recognized as revenue in accordance with our revenue recognition policy. At December 31, 2022, we had deferred revenue of $664.6 million, of which $502.1 million was recorded as a current liability and is expected to be recognized as revenue in the next 12 months, provided all other revenue recognition criteria are met.</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880" w:h="15480" w:orient="portrait"/>
          <w:cols w:equalWidth="0" w:num="1">
            <w:col w:w="9000"/>
          </w:cols>
          <w:pgMar w:left="1440" w:top="1204" w:right="1440" w:bottom="0" w:gutter="0" w:footer="0" w:header="0"/>
          <w:type w:val="continuous"/>
        </w:sectPr>
      </w:pPr>
    </w:p>
    <w:bookmarkStart w:id="161" w:name="page162"/>
    <w:bookmarkEnd w:id="161"/>
    <w:p>
      <w:pPr>
        <w:ind w:right="60" w:firstLine="360"/>
        <w:spacing w:after="0" w:line="257" w:lineRule="auto"/>
        <w:rPr>
          <w:sz w:val="20"/>
          <w:szCs w:val="20"/>
          <w:color w:val="auto"/>
        </w:rPr>
      </w:pPr>
      <w:r>
        <w:rPr>
          <w:rFonts w:ascii="Arial" w:cs="Arial" w:eastAsia="Arial" w:hAnsi="Arial"/>
          <w:sz w:val="20"/>
          <w:szCs w:val="20"/>
          <w:color w:val="auto"/>
        </w:rPr>
        <w:t>Our principal uses of cash in recent periods have been funding our operations, expansion of our sales and marketing and research and development activities, investments in infrastructure, including the build-out of our new headquarters, and acquiring complementary businesses and technology. We paid $66.8 million and $258.5 million to acquire businesses in 2022 and 2021, respectively. We may in the future enter into arrangements to acquire or invest in other complementary businesses, services and technologies, including intellectual property rights.</w:t>
      </w:r>
    </w:p>
    <w:p>
      <w:pPr>
        <w:spacing w:after="0" w:line="202" w:lineRule="exact"/>
        <w:rPr>
          <w:sz w:val="20"/>
          <w:szCs w:val="20"/>
          <w:color w:val="auto"/>
        </w:rPr>
      </w:pPr>
    </w:p>
    <w:p>
      <w:pPr>
        <w:ind w:right="20" w:firstLine="360"/>
        <w:spacing w:after="0" w:line="252" w:lineRule="auto"/>
        <w:rPr>
          <w:sz w:val="20"/>
          <w:szCs w:val="20"/>
          <w:color w:val="auto"/>
        </w:rPr>
      </w:pPr>
      <w:r>
        <w:rPr>
          <w:rFonts w:ascii="Arial" w:cs="Arial" w:eastAsia="Arial" w:hAnsi="Arial"/>
          <w:sz w:val="20"/>
          <w:szCs w:val="20"/>
          <w:color w:val="auto"/>
        </w:rPr>
        <w:t>We expect to continue incurring operating losses in the near term. Even though we generated positive cash flows from operations and free cash flow in 2022, 2021 and 2020, we may not be able to sustain these cash flows. We believe that our existing cash and cash equivalents and short-term investments will be sufficient to fund our operating and capital needs for at least the next 12 months and for the foreseeable future. 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the expansion of sales and marketing and international operating activities, any acquisitions of complementary businesses and technologies, the timing of our introduction of new product capabilities and enhancements of our platform and the continuing market acceptance of our platform. It may be necessary to seek additional equity or debt financing to fund our operating and capital needs.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218"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Term Loan and Revolving Credit Facility</w:t>
      </w:r>
    </w:p>
    <w:p>
      <w:pPr>
        <w:spacing w:after="0" w:line="249" w:lineRule="exact"/>
        <w:rPr>
          <w:sz w:val="20"/>
          <w:szCs w:val="20"/>
          <w:color w:val="auto"/>
        </w:rPr>
      </w:pPr>
    </w:p>
    <w:p>
      <w:pPr>
        <w:ind w:firstLine="360"/>
        <w:spacing w:after="0" w:line="253" w:lineRule="auto"/>
        <w:rPr>
          <w:sz w:val="20"/>
          <w:szCs w:val="20"/>
          <w:color w:val="auto"/>
        </w:rPr>
      </w:pPr>
      <w:r>
        <w:rPr>
          <w:rFonts w:ascii="Arial" w:cs="Arial" w:eastAsia="Arial" w:hAnsi="Arial"/>
          <w:sz w:val="20"/>
          <w:szCs w:val="20"/>
          <w:color w:val="auto"/>
        </w:rPr>
        <w:t>In July 2021, we entered into a credit agreement, or the Credit Agreement, which is comprised of a $375.0 million Term Loan and a $50.0 million Revolving Credit Facility, with a $15.0 million letter of credit sublimit. The Term Loan bears variable interest at a rate of 2.75% per annum over LIBOR, subject to a 0.50% floor. Prior to January 31, 2022, the interest rate on the Term Loan was 3.25%. From January 2022 through July 2022, July 2022 through October 2022, and October 2022 through January 2023, interest rates on our Term Loan were 3.27%, 5.56% and 7.16%, respectively. Effective January 31, 2023 through April 27, 2023, the Term Loan has an interest rate of 7.58%. The Term Loan is being amortized at 1% per annum in equal quarterly installments until the final payment of $350.6 million on the July 7, 2028 maturity date. We may be subject to mandatory Term Loan prepayments related to the excess cash provisions in the Credit Agreement beginning in 2023. The prepayments related to excess cash flow provisions apply if our first lien net leverage ratio (as defined in the Credit Agreement) exceeds 3.5, and at December 31, 2022, our first lien net leverage ratio was below that threshold.</w:t>
      </w:r>
    </w:p>
    <w:p>
      <w:pPr>
        <w:spacing w:after="0" w:line="208" w:lineRule="exact"/>
        <w:rPr>
          <w:sz w:val="20"/>
          <w:szCs w:val="20"/>
          <w:color w:val="auto"/>
        </w:rPr>
      </w:pPr>
    </w:p>
    <w:p>
      <w:pPr>
        <w:ind w:right="40" w:firstLine="360"/>
        <w:spacing w:after="0" w:line="255" w:lineRule="auto"/>
        <w:rPr>
          <w:sz w:val="20"/>
          <w:szCs w:val="20"/>
          <w:color w:val="auto"/>
        </w:rPr>
      </w:pPr>
      <w:r>
        <w:rPr>
          <w:rFonts w:ascii="Arial" w:cs="Arial" w:eastAsia="Arial" w:hAnsi="Arial"/>
          <w:sz w:val="20"/>
          <w:szCs w:val="20"/>
          <w:color w:val="auto"/>
        </w:rPr>
        <w:t>The Revolving Credit Facility bears interest at a rate, depending on first lien net leverage, ranging from 2.00% to 2.50% over LIBOR and matures on July 7, 2026. We pay a commitment fee during the term ranging from 0.25% to 0.375% per annum of the average daily undrawn portion of the revolving commitments based on the first lien net leverage ratio. The Credit Agreement contains customary representations and warranties and affirmative and negative covenants. Additionally, if at least 35% of the Revolving Credit Facility is drawn on the last day of the quarter, the total net leverage ratio cannot be greater than 5.50 to 1.00. At December 31, 2022, we were in compliance with the covenants and at December 31, 2022, we had $0.2 million of standby letters of credit outstanding under our Revolving Credit Facility.</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880" w:h="15480" w:orient="portrait"/>
          <w:cols w:equalWidth="0" w:num="1">
            <w:col w:w="9000"/>
          </w:cols>
          <w:pgMar w:left="1440" w:top="1204" w:right="1440" w:bottom="0" w:gutter="0" w:footer="0" w:header="0"/>
          <w:type w:val="continuous"/>
        </w:sectPr>
      </w:pPr>
    </w:p>
    <w:bookmarkStart w:id="162" w:name="page163"/>
    <w:bookmarkEnd w:id="162"/>
    <w:p>
      <w:pPr>
        <w:ind w:left="360"/>
        <w:spacing w:after="0"/>
        <w:rPr>
          <w:sz w:val="20"/>
          <w:szCs w:val="20"/>
          <w:color w:val="auto"/>
        </w:rPr>
      </w:pPr>
      <w:r>
        <w:rPr>
          <w:rFonts w:ascii="Arial" w:cs="Arial" w:eastAsia="Arial" w:hAnsi="Arial"/>
          <w:sz w:val="20"/>
          <w:szCs w:val="20"/>
          <w:b w:val="1"/>
          <w:bCs w:val="1"/>
          <w:i w:val="1"/>
          <w:iCs w:val="1"/>
          <w:color w:val="auto"/>
        </w:rPr>
        <w:t>Cash Flows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summarizes our cash flows for the periods presented: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3"/>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90"/>
        </w:trPr>
        <w:tc>
          <w:tcPr>
            <w:tcW w:w="4940" w:type="dxa"/>
            <w:vAlign w:val="bottom"/>
            <w:shd w:val="clear" w:color="auto" w:fill="D2EDF0"/>
          </w:tcPr>
          <w:p>
            <w:pPr>
              <w:ind w:left="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131,151</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96,765</w:t>
            </w:r>
          </w:p>
        </w:tc>
        <w:tc>
          <w:tcPr>
            <w:tcW w:w="500" w:type="dxa"/>
            <w:vAlign w:val="bottom"/>
            <w:gridSpan w:val="2"/>
            <w:shd w:val="clear" w:color="auto" w:fill="D2EDF0"/>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64,232</w:t>
            </w:r>
          </w:p>
        </w:tc>
        <w:tc>
          <w:tcPr>
            <w:tcW w:w="0" w:type="dxa"/>
            <w:vAlign w:val="bottom"/>
          </w:tcPr>
          <w:p>
            <w:pPr>
              <w:spacing w:after="0"/>
              <w:rPr>
                <w:sz w:val="1"/>
                <w:szCs w:val="1"/>
                <w:color w:val="auto"/>
              </w:rPr>
            </w:pPr>
          </w:p>
        </w:tc>
      </w:tr>
      <w:tr>
        <w:trPr>
          <w:trHeight w:val="296"/>
        </w:trPr>
        <w:tc>
          <w:tcPr>
            <w:tcW w:w="4940" w:type="dxa"/>
            <w:vAlign w:val="bottom"/>
          </w:tcPr>
          <w:p>
            <w:pPr>
              <w:ind w:left="60"/>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(128,039)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(391,590)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4,079</w:t>
            </w:r>
          </w:p>
        </w:tc>
        <w:tc>
          <w:tcPr>
            <w:tcW w:w="0" w:type="dxa"/>
            <w:vAlign w:val="bottom"/>
          </w:tcPr>
          <w:p>
            <w:pPr>
              <w:spacing w:after="0"/>
              <w:rPr>
                <w:sz w:val="1"/>
                <w:szCs w:val="1"/>
                <w:color w:val="auto"/>
              </w:rPr>
            </w:pPr>
          </w:p>
        </w:tc>
      </w:tr>
      <w:tr>
        <w:trPr>
          <w:trHeight w:val="304"/>
        </w:trPr>
        <w:tc>
          <w:tcPr>
            <w:tcW w:w="4940" w:type="dxa"/>
            <w:vAlign w:val="bottom"/>
            <w:shd w:val="clear" w:color="auto" w:fill="D2EDF0"/>
          </w:tcPr>
          <w:p>
            <w:pPr>
              <w:ind w:left="6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23,318</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397,646</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36,403</w:t>
            </w:r>
          </w:p>
        </w:tc>
        <w:tc>
          <w:tcPr>
            <w:tcW w:w="0" w:type="dxa"/>
            <w:vAlign w:val="bottom"/>
          </w:tcPr>
          <w:p>
            <w:pPr>
              <w:spacing w:after="0"/>
              <w:rPr>
                <w:sz w:val="1"/>
                <w:szCs w:val="1"/>
                <w:color w:val="auto"/>
              </w:rPr>
            </w:pPr>
          </w:p>
        </w:tc>
      </w:tr>
      <w:tr>
        <w:trPr>
          <w:trHeight w:val="232"/>
        </w:trPr>
        <w:tc>
          <w:tcPr>
            <w:tcW w:w="4940" w:type="dxa"/>
            <w:vAlign w:val="bottom"/>
          </w:tcPr>
          <w:p>
            <w:pPr>
              <w:ind w:left="60"/>
              <w:spacing w:after="0"/>
              <w:rPr>
                <w:sz w:val="20"/>
                <w:szCs w:val="20"/>
                <w:color w:val="auto"/>
              </w:rPr>
            </w:pPr>
            <w:r>
              <w:rPr>
                <w:rFonts w:ascii="Arial" w:cs="Arial" w:eastAsia="Arial" w:hAnsi="Arial"/>
                <w:sz w:val="18"/>
                <w:szCs w:val="18"/>
                <w:color w:val="auto"/>
              </w:rPr>
              <w:t>Effect of exchange rate changes on cash and cash</w:t>
            </w:r>
          </w:p>
        </w:tc>
        <w:tc>
          <w:tcPr>
            <w:tcW w:w="3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(3,835)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(3,013)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(916)</w:t>
            </w:r>
          </w:p>
        </w:tc>
        <w:tc>
          <w:tcPr>
            <w:tcW w:w="0" w:type="dxa"/>
            <w:vAlign w:val="bottom"/>
          </w:tcPr>
          <w:p>
            <w:pPr>
              <w:spacing w:after="0"/>
              <w:rPr>
                <w:sz w:val="1"/>
                <w:szCs w:val="1"/>
                <w:color w:val="auto"/>
              </w:rPr>
            </w:pPr>
          </w:p>
        </w:tc>
      </w:tr>
      <w:tr>
        <w:trPr>
          <w:trHeight w:val="238"/>
        </w:trPr>
        <w:tc>
          <w:tcPr>
            <w:tcW w:w="4940" w:type="dxa"/>
            <w:vAlign w:val="bottom"/>
            <w:tcBorders>
              <w:bottom w:val="single" w:sz="8" w:color="D2EDF0"/>
            </w:tcBorders>
          </w:tcPr>
          <w:p>
            <w:pPr>
              <w:ind w:left="140"/>
              <w:spacing w:after="0"/>
              <w:rPr>
                <w:sz w:val="20"/>
                <w:szCs w:val="20"/>
                <w:color w:val="auto"/>
              </w:rPr>
            </w:pPr>
            <w:r>
              <w:rPr>
                <w:rFonts w:ascii="Arial" w:cs="Arial" w:eastAsia="Arial" w:hAnsi="Arial"/>
                <w:sz w:val="18"/>
                <w:szCs w:val="18"/>
                <w:color w:val="auto"/>
              </w:rPr>
              <w:t>equivalents and restricted cash</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D2EDF0"/>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D2EDF0"/>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940" w:type="dxa"/>
            <w:vAlign w:val="bottom"/>
            <w:shd w:val="clear" w:color="auto" w:fill="D2EDF0"/>
          </w:tcPr>
          <w:p>
            <w:pPr>
              <w:ind w:left="60"/>
              <w:spacing w:after="0" w:line="177" w:lineRule="exact"/>
              <w:rPr>
                <w:sz w:val="20"/>
                <w:szCs w:val="20"/>
                <w:color w:val="auto"/>
              </w:rPr>
            </w:pPr>
            <w:r>
              <w:rPr>
                <w:rFonts w:ascii="Arial" w:cs="Arial" w:eastAsia="Arial" w:hAnsi="Arial"/>
                <w:sz w:val="18"/>
                <w:szCs w:val="18"/>
                <w:color w:val="auto"/>
              </w:rPr>
              <w:t>Net increase in cash and cash equivalents and restricted</w:t>
            </w:r>
          </w:p>
        </w:tc>
        <w:tc>
          <w:tcPr>
            <w:tcW w:w="300" w:type="dxa"/>
            <w:vAlign w:val="bottom"/>
            <w:vMerge w:val="restart"/>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22,595</w:t>
            </w:r>
          </w:p>
        </w:tc>
        <w:tc>
          <w:tcPr>
            <w:tcW w:w="380" w:type="dxa"/>
            <w:vAlign w:val="bottom"/>
            <w:gridSpan w:val="2"/>
            <w:vMerge w:val="restart"/>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99,808</w:t>
            </w:r>
          </w:p>
        </w:tc>
        <w:tc>
          <w:tcPr>
            <w:tcW w:w="500" w:type="dxa"/>
            <w:vAlign w:val="bottom"/>
            <w:gridSpan w:val="2"/>
            <w:vMerge w:val="restart"/>
            <w:shd w:val="clear" w:color="auto" w:fill="D2EDF0"/>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103,798</w:t>
            </w:r>
          </w:p>
        </w:tc>
        <w:tc>
          <w:tcPr>
            <w:tcW w:w="0" w:type="dxa"/>
            <w:vAlign w:val="bottom"/>
          </w:tcPr>
          <w:p>
            <w:pPr>
              <w:spacing w:after="0"/>
              <w:rPr>
                <w:sz w:val="1"/>
                <w:szCs w:val="1"/>
                <w:color w:val="auto"/>
              </w:rPr>
            </w:pPr>
          </w:p>
        </w:tc>
      </w:tr>
      <w:tr>
        <w:trPr>
          <w:trHeight w:val="238"/>
        </w:trPr>
        <w:tc>
          <w:tcPr>
            <w:tcW w:w="4940" w:type="dxa"/>
            <w:vAlign w:val="bottom"/>
            <w:shd w:val="clear" w:color="auto" w:fill="D2EDF0"/>
          </w:tcPr>
          <w:p>
            <w:pPr>
              <w:ind w:left="60"/>
              <w:spacing w:after="0"/>
              <w:rPr>
                <w:sz w:val="20"/>
                <w:szCs w:val="20"/>
                <w:color w:val="auto"/>
              </w:rPr>
            </w:pPr>
            <w:r>
              <w:rPr>
                <w:rFonts w:ascii="Arial" w:cs="Arial" w:eastAsia="Arial" w:hAnsi="Arial"/>
                <w:sz w:val="18"/>
                <w:szCs w:val="18"/>
                <w:color w:val="auto"/>
              </w:rPr>
              <w:t>cash</w:t>
            </w:r>
          </w:p>
        </w:tc>
        <w:tc>
          <w:tcPr>
            <w:tcW w:w="300" w:type="dxa"/>
            <w:vAlign w:val="bottom"/>
            <w:vMerge w:val="continue"/>
            <w:shd w:val="clear" w:color="auto" w:fill="D2EDF0"/>
          </w:tcPr>
          <w:p>
            <w:pPr>
              <w:spacing w:after="0"/>
              <w:rPr>
                <w:sz w:val="20"/>
                <w:szCs w:val="20"/>
                <w:color w:val="auto"/>
              </w:rPr>
            </w:pPr>
          </w:p>
        </w:tc>
        <w:tc>
          <w:tcPr>
            <w:tcW w:w="1000" w:type="dxa"/>
            <w:vAlign w:val="bottom"/>
            <w:vMerge w:val="continue"/>
            <w:shd w:val="clear" w:color="auto" w:fill="D2EDF0"/>
          </w:tcPr>
          <w:p>
            <w:pPr>
              <w:spacing w:after="0"/>
              <w:rPr>
                <w:sz w:val="20"/>
                <w:szCs w:val="20"/>
                <w:color w:val="auto"/>
              </w:rPr>
            </w:pPr>
          </w:p>
        </w:tc>
        <w:tc>
          <w:tcPr>
            <w:tcW w:w="380" w:type="dxa"/>
            <w:vAlign w:val="bottom"/>
            <w:gridSpan w:val="2"/>
            <w:vMerge w:val="continue"/>
            <w:shd w:val="clear" w:color="auto" w:fill="D2EDF0"/>
          </w:tcPr>
          <w:p>
            <w:pPr>
              <w:spacing w:after="0"/>
              <w:rPr>
                <w:sz w:val="20"/>
                <w:szCs w:val="20"/>
                <w:color w:val="auto"/>
              </w:rPr>
            </w:pPr>
          </w:p>
        </w:tc>
        <w:tc>
          <w:tcPr>
            <w:tcW w:w="1000" w:type="dxa"/>
            <w:vAlign w:val="bottom"/>
            <w:vMerge w:val="continue"/>
            <w:shd w:val="clear" w:color="auto" w:fill="D2EDF0"/>
          </w:tcPr>
          <w:p>
            <w:pPr>
              <w:spacing w:after="0"/>
              <w:rPr>
                <w:sz w:val="20"/>
                <w:szCs w:val="20"/>
                <w:color w:val="auto"/>
              </w:rPr>
            </w:pPr>
          </w:p>
        </w:tc>
        <w:tc>
          <w:tcPr>
            <w:tcW w:w="500" w:type="dxa"/>
            <w:vAlign w:val="bottom"/>
            <w:gridSpan w:val="2"/>
            <w:vMerge w:val="continue"/>
            <w:shd w:val="clear" w:color="auto" w:fill="D2EDF0"/>
          </w:tcPr>
          <w:p>
            <w:pPr>
              <w:spacing w:after="0"/>
              <w:rPr>
                <w:sz w:val="20"/>
                <w:szCs w:val="20"/>
                <w:color w:val="auto"/>
              </w:rPr>
            </w:pPr>
          </w:p>
        </w:tc>
        <w:tc>
          <w:tcPr>
            <w:tcW w:w="880" w:type="dxa"/>
            <w:vAlign w:val="bottom"/>
            <w:vMerge w:val="continue"/>
            <w:shd w:val="clear" w:color="auto" w:fill="D2EDF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-37465</wp:posOffset>
            </wp:positionV>
            <wp:extent cx="258127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81275" cy="38100"/>
                    </a:xfrm>
                    <a:prstGeom prst="rect">
                      <a:avLst/>
                    </a:prstGeom>
                    <a:noFill/>
                  </pic:spPr>
                </pic:pic>
              </a:graphicData>
            </a:graphic>
          </wp:anchor>
        </w:drawing>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Operating Activities</w:t>
      </w:r>
    </w:p>
    <w:p>
      <w:pPr>
        <w:spacing w:after="0" w:line="248" w:lineRule="exact"/>
        <w:rPr>
          <w:sz w:val="20"/>
          <w:szCs w:val="20"/>
          <w:color w:val="auto"/>
        </w:rPr>
      </w:pPr>
    </w:p>
    <w:p>
      <w:pPr>
        <w:jc w:val="both"/>
        <w:ind w:right="280" w:firstLine="360"/>
        <w:spacing w:after="0" w:line="262" w:lineRule="auto"/>
        <w:rPr>
          <w:sz w:val="20"/>
          <w:szCs w:val="20"/>
          <w:color w:val="auto"/>
        </w:rPr>
      </w:pPr>
      <w:r>
        <w:rPr>
          <w:rFonts w:ascii="Arial" w:cs="Arial" w:eastAsia="Arial" w:hAnsi="Arial"/>
          <w:sz w:val="20"/>
          <w:szCs w:val="20"/>
          <w:color w:val="auto"/>
        </w:rPr>
        <w:t>Our largest source of cash provided by operating activities is cash collections from sales of our products and services, as we typically invoice our customers in advance. Our primary uses of cash are employee compensation costs, third-party cloud infrastructure and other software subscription costs, demand generation expenditures and general corporate costs.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Investing Activities</w:t>
      </w:r>
    </w:p>
    <w:p>
      <w:pPr>
        <w:spacing w:after="0" w:line="248" w:lineRule="exact"/>
        <w:rPr>
          <w:sz w:val="20"/>
          <w:szCs w:val="20"/>
          <w:color w:val="auto"/>
        </w:rPr>
      </w:pPr>
    </w:p>
    <w:p>
      <w:pPr>
        <w:jc w:val="both"/>
        <w:ind w:right="40" w:firstLine="360"/>
        <w:spacing w:after="0" w:line="259" w:lineRule="auto"/>
        <w:rPr>
          <w:sz w:val="20"/>
          <w:szCs w:val="20"/>
          <w:color w:val="auto"/>
        </w:rPr>
      </w:pPr>
      <w:r>
        <w:rPr>
          <w:rFonts w:ascii="Arial" w:cs="Arial" w:eastAsia="Arial" w:hAnsi="Arial"/>
          <w:sz w:val="20"/>
          <w:szCs w:val="20"/>
          <w:color w:val="auto"/>
        </w:rPr>
        <w:t>From 2021 to 2022, net cash used in investing activities decreased by $263.6 million, primarily due to a decrease in cash paid for acquisitions of $191.7 million and a net decrease in cash paid for short-term investments of $89.4 million in 2022, partially offset by an increase in capitalized software development costs of $7.1 million, an increase in purchases of property and equipment of $5.5 million and an increase in cash paid for other investments of $5.0 million.</w:t>
      </w:r>
    </w:p>
    <w:p>
      <w:pPr>
        <w:spacing w:after="0" w:line="199" w:lineRule="exact"/>
        <w:rPr>
          <w:sz w:val="20"/>
          <w:szCs w:val="20"/>
          <w:color w:val="auto"/>
        </w:rPr>
      </w:pPr>
    </w:p>
    <w:p>
      <w:pPr>
        <w:ind w:right="180" w:firstLine="360"/>
        <w:spacing w:after="0" w:line="259" w:lineRule="auto"/>
        <w:rPr>
          <w:sz w:val="20"/>
          <w:szCs w:val="20"/>
          <w:color w:val="auto"/>
        </w:rPr>
      </w:pPr>
      <w:r>
        <w:rPr>
          <w:rFonts w:ascii="Arial" w:cs="Arial" w:eastAsia="Arial" w:hAnsi="Arial"/>
          <w:sz w:val="20"/>
          <w:szCs w:val="20"/>
          <w:color w:val="auto"/>
        </w:rPr>
        <w:t>From 2020 to 2021, net cash used in investing activities increased by $395.7 million, primarily due to an increase in cash paid for acquisitions of $258.2 million, a net increase in cash paid for short-term investments of $146.2 million, a $5.0 million other investment in 2021 and an increase in capitalized software development costs of $1.3 million, partially offset by a decrease in purchases of property and equipment of $15.0 million.</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Financing Activities</w:t>
      </w:r>
    </w:p>
    <w:p>
      <w:pPr>
        <w:spacing w:after="0" w:line="248" w:lineRule="exact"/>
        <w:rPr>
          <w:sz w:val="20"/>
          <w:szCs w:val="20"/>
          <w:color w:val="auto"/>
        </w:rPr>
      </w:pPr>
    </w:p>
    <w:p>
      <w:pPr>
        <w:ind w:right="180" w:firstLine="360"/>
        <w:spacing w:after="0" w:line="259" w:lineRule="auto"/>
        <w:rPr>
          <w:sz w:val="20"/>
          <w:szCs w:val="20"/>
          <w:color w:val="auto"/>
        </w:rPr>
      </w:pPr>
      <w:r>
        <w:rPr>
          <w:rFonts w:ascii="Arial" w:cs="Arial" w:eastAsia="Arial" w:hAnsi="Arial"/>
          <w:sz w:val="20"/>
          <w:szCs w:val="20"/>
          <w:color w:val="auto"/>
        </w:rPr>
        <w:t>From 2021 to 2022, net cash provided by financing activities decreased by $374.3 million, primarily due to the net proceeds from the issuance of our Credit Facility in 2021 of $365.7 million, a decrease of $6.5 million in the proceeds from the exercise of stock options and $3.8 million of principal payments made on our Term Loan in 2022, partially offset by a $1.1 million increase in proceeds from stock issued in connection with our employee stock purchase plan.</w:t>
      </w:r>
    </w:p>
    <w:p>
      <w:pPr>
        <w:spacing w:after="0" w:line="199" w:lineRule="exact"/>
        <w:rPr>
          <w:sz w:val="20"/>
          <w:szCs w:val="20"/>
          <w:color w:val="auto"/>
        </w:rPr>
      </w:pPr>
    </w:p>
    <w:p>
      <w:pPr>
        <w:ind w:firstLine="360"/>
        <w:spacing w:after="0" w:line="262" w:lineRule="auto"/>
        <w:rPr>
          <w:sz w:val="20"/>
          <w:szCs w:val="20"/>
          <w:color w:val="auto"/>
        </w:rPr>
      </w:pPr>
      <w:r>
        <w:rPr>
          <w:rFonts w:ascii="Arial" w:cs="Arial" w:eastAsia="Arial" w:hAnsi="Arial"/>
          <w:sz w:val="20"/>
          <w:szCs w:val="20"/>
          <w:color w:val="auto"/>
        </w:rPr>
        <w:t>From 2020 to 2021, net cash provided by financing activities increased by $361.2 million, primarily due to net proceeds from our Credit Facility of $365.7 million. This increase was partially offset by a decrease of $3.4 million in the proceeds from the exercise of stock options and $2.0 million of loan proceeds that we received from the state of Maryland in 2020.</w:t>
      </w:r>
    </w:p>
    <w:p>
      <w:pPr>
        <w:sectPr>
          <w:pgSz w:w="11880" w:h="15480" w:orient="portrait"/>
          <w:cols w:equalWidth="0" w:num="1">
            <w:col w:w="9000"/>
          </w:cols>
          <w:pgMar w:left="1440" w:top="12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880" w:h="15480" w:orient="portrait"/>
          <w:cols w:equalWidth="0" w:num="1">
            <w:col w:w="9000"/>
          </w:cols>
          <w:pgMar w:left="1440" w:top="1205" w:right="1440" w:bottom="0" w:gutter="0" w:footer="0" w:header="0"/>
          <w:type w:val="continuous"/>
        </w:sectPr>
      </w:pPr>
    </w:p>
    <w:bookmarkStart w:id="163" w:name="page164"/>
    <w:bookmarkEnd w:id="163"/>
    <w:p>
      <w:pPr>
        <w:ind w:left="360"/>
        <w:spacing w:after="0"/>
        <w:rPr>
          <w:sz w:val="20"/>
          <w:szCs w:val="20"/>
          <w:color w:val="auto"/>
        </w:rPr>
      </w:pPr>
      <w:r>
        <w:rPr>
          <w:rFonts w:ascii="Arial" w:cs="Arial" w:eastAsia="Arial" w:hAnsi="Arial"/>
          <w:sz w:val="20"/>
          <w:szCs w:val="20"/>
          <w:b w:val="1"/>
          <w:bCs w:val="1"/>
          <w:color w:val="auto"/>
        </w:rPr>
        <w:t>Contractual Obligations</w:t>
      </w:r>
    </w:p>
    <w:p>
      <w:pPr>
        <w:spacing w:after="0" w:line="251" w:lineRule="exact"/>
        <w:rPr>
          <w:sz w:val="20"/>
          <w:szCs w:val="20"/>
          <w:color w:val="auto"/>
        </w:rPr>
      </w:pPr>
    </w:p>
    <w:p>
      <w:pPr>
        <w:ind w:right="160" w:firstLine="360"/>
        <w:spacing w:after="0" w:line="289" w:lineRule="auto"/>
        <w:rPr>
          <w:sz w:val="20"/>
          <w:szCs w:val="20"/>
          <w:color w:val="auto"/>
        </w:rPr>
      </w:pPr>
      <w:r>
        <w:rPr>
          <w:rFonts w:ascii="Arial" w:cs="Arial" w:eastAsia="Arial" w:hAnsi="Arial"/>
          <w:sz w:val="19"/>
          <w:szCs w:val="19"/>
          <w:color w:val="auto"/>
        </w:rPr>
        <w:t>We have certain contractual obligations for future payments. Refer to Note 7 to our consolidated financial statements in this Annual Report on Form 10-K for our required operating lease payments and Note 9 for our required payments to Amazon Web Services, Inc. for cloud services.</w:t>
      </w:r>
    </w:p>
    <w:p>
      <w:pPr>
        <w:spacing w:after="0" w:line="171" w:lineRule="exact"/>
        <w:rPr>
          <w:sz w:val="20"/>
          <w:szCs w:val="20"/>
          <w:color w:val="auto"/>
        </w:rPr>
      </w:pPr>
    </w:p>
    <w:p>
      <w:pPr>
        <w:ind w:right="20" w:firstLine="360"/>
        <w:spacing w:after="0" w:line="262" w:lineRule="auto"/>
        <w:rPr>
          <w:sz w:val="20"/>
          <w:szCs w:val="20"/>
          <w:color w:val="auto"/>
        </w:rPr>
      </w:pPr>
      <w:r>
        <w:rPr>
          <w:rFonts w:ascii="Arial" w:cs="Arial" w:eastAsia="Arial" w:hAnsi="Arial"/>
          <w:sz w:val="20"/>
          <w:szCs w:val="20"/>
          <w:color w:val="auto"/>
        </w:rPr>
        <w:t>At December 31, 2022, we had other non-cancellable purchase obligations of $15.3 million due in the next twelve months and $9.0 million due thereafter. Additionally, we had $7.8 million of unrecognized tax benefits and $1.4 million of asset retirement obligations, the timing of payments for which is uncertain.</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51" w:lineRule="exact"/>
        <w:rPr>
          <w:sz w:val="20"/>
          <w:szCs w:val="20"/>
          <w:color w:val="auto"/>
        </w:rPr>
      </w:pPr>
    </w:p>
    <w:p>
      <w:pPr>
        <w:ind w:right="20" w:firstLine="360"/>
        <w:spacing w:after="0" w:line="257" w:lineRule="auto"/>
        <w:rPr>
          <w:sz w:val="20"/>
          <w:szCs w:val="20"/>
          <w:color w:val="auto"/>
        </w:rPr>
      </w:pPr>
      <w:r>
        <w:rPr>
          <w:rFonts w:ascii="Arial" w:cs="Arial" w:eastAsia="Arial" w:hAnsi="Arial"/>
          <w:sz w:val="20"/>
          <w:szCs w:val="20"/>
          <w:color w:val="auto"/>
        </w:rPr>
        <w:t>Our financial statements are prepared in accordance with U.S.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02" w:lineRule="exact"/>
        <w:rPr>
          <w:sz w:val="20"/>
          <w:szCs w:val="20"/>
          <w:color w:val="auto"/>
        </w:rPr>
      </w:pPr>
    </w:p>
    <w:p>
      <w:pPr>
        <w:ind w:right="440" w:firstLine="360"/>
        <w:spacing w:after="0" w:line="287" w:lineRule="auto"/>
        <w:rPr>
          <w:sz w:val="20"/>
          <w:szCs w:val="20"/>
          <w:color w:val="auto"/>
        </w:rPr>
      </w:pPr>
      <w:r>
        <w:rPr>
          <w:rFonts w:ascii="Arial" w:cs="Arial" w:eastAsia="Arial" w:hAnsi="Arial"/>
          <w:sz w:val="20"/>
          <w:szCs w:val="20"/>
          <w:color w:val="auto"/>
        </w:rPr>
        <w:t>The critical accounting estimates, assumptions and judgments that we believe have the most significant impact on our consolidated financial statements are described below.</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249" w:lineRule="exact"/>
        <w:rPr>
          <w:sz w:val="20"/>
          <w:szCs w:val="20"/>
          <w:color w:val="auto"/>
        </w:rPr>
      </w:pPr>
    </w:p>
    <w:p>
      <w:pPr>
        <w:ind w:right="360" w:firstLine="360"/>
        <w:spacing w:after="0" w:line="268" w:lineRule="auto"/>
        <w:rPr>
          <w:sz w:val="20"/>
          <w:szCs w:val="20"/>
          <w:color w:val="auto"/>
        </w:rPr>
      </w:pPr>
      <w:r>
        <w:rPr>
          <w:rFonts w:ascii="Arial" w:cs="Arial" w:eastAsia="Arial" w:hAnsi="Arial"/>
          <w:sz w:val="20"/>
          <w:szCs w:val="20"/>
          <w:color w:val="auto"/>
        </w:rPr>
        <w:t>We recognize revenue to depict the transfer of promised goods or services to customers in an amount that reflects the consideration to which we expect to be entitled to in exchange for those goods or services. In recognizing revenue, we apply the following steps:</w:t>
      </w:r>
    </w:p>
    <w:p>
      <w:pPr>
        <w:spacing w:after="0" w:line="70" w:lineRule="exact"/>
        <w:rPr>
          <w:sz w:val="20"/>
          <w:szCs w:val="20"/>
          <w:color w:val="auto"/>
        </w:rPr>
      </w:pPr>
    </w:p>
    <w:p>
      <w:pPr>
        <w:ind w:left="720" w:hanging="360"/>
        <w:spacing w:after="0"/>
        <w:tabs>
          <w:tab w:leader="none" w:pos="72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Identify the contract with a customer</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Identify the performance obligations in the contract</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Determine the transaction price</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Allocate the transaction price to the performance obligations in the contract</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Recognize revenue when or as performance obligations are satisfied</w:t>
      </w:r>
    </w:p>
    <w:p>
      <w:pPr>
        <w:spacing w:after="0" w:line="250" w:lineRule="exact"/>
        <w:rPr>
          <w:sz w:val="20"/>
          <w:szCs w:val="20"/>
          <w:color w:val="auto"/>
        </w:rPr>
      </w:pPr>
    </w:p>
    <w:p>
      <w:pPr>
        <w:ind w:right="20" w:firstLine="360"/>
        <w:spacing w:after="0" w:line="262" w:lineRule="auto"/>
        <w:rPr>
          <w:sz w:val="20"/>
          <w:szCs w:val="20"/>
          <w:color w:val="auto"/>
        </w:rPr>
      </w:pPr>
      <w:r>
        <w:rPr>
          <w:rFonts w:ascii="Arial" w:cs="Arial" w:eastAsia="Arial" w:hAnsi="Arial"/>
          <w:sz w:val="20"/>
          <w:szCs w:val="20"/>
          <w:color w:val="auto"/>
        </w:rPr>
        <w:t>In situations where we enter into a contractual arrangement that includes non-standard terms and conditions, such as acceptance provisions and options to purchase additional products and services, as well as contract modifications, we apply judgment in identifying and assessing the impact on revenue recognition.</w:t>
      </w:r>
    </w:p>
    <w:p>
      <w:pPr>
        <w:spacing w:after="0" w:line="196" w:lineRule="exact"/>
        <w:rPr>
          <w:sz w:val="20"/>
          <w:szCs w:val="20"/>
          <w:color w:val="auto"/>
        </w:rPr>
      </w:pPr>
    </w:p>
    <w:p>
      <w:pPr>
        <w:ind w:right="620" w:firstLine="360"/>
        <w:spacing w:after="0" w:line="268" w:lineRule="auto"/>
        <w:rPr>
          <w:sz w:val="20"/>
          <w:szCs w:val="20"/>
          <w:color w:val="auto"/>
        </w:rPr>
      </w:pPr>
      <w:r>
        <w:rPr>
          <w:rFonts w:ascii="Arial" w:cs="Arial" w:eastAsia="Arial" w:hAnsi="Arial"/>
          <w:sz w:val="20"/>
          <w:szCs w:val="20"/>
          <w:color w:val="auto"/>
        </w:rPr>
        <w:t>We generate revenue from subscription arrangements for our software and cloud-based solutions, perpetual licenses, maintenance associated with perpetual licenses and professional services and other revenue.</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Subscription Revenue</w:t>
      </w:r>
    </w:p>
    <w:p>
      <w:pPr>
        <w:spacing w:after="0" w:line="248" w:lineRule="exact"/>
        <w:rPr>
          <w:sz w:val="20"/>
          <w:szCs w:val="20"/>
          <w:color w:val="auto"/>
        </w:rPr>
      </w:pPr>
    </w:p>
    <w:p>
      <w:pPr>
        <w:ind w:right="40" w:firstLine="360"/>
        <w:spacing w:after="0" w:line="276" w:lineRule="auto"/>
        <w:rPr>
          <w:sz w:val="20"/>
          <w:szCs w:val="20"/>
          <w:color w:val="auto"/>
        </w:rPr>
      </w:pPr>
      <w:r>
        <w:rPr>
          <w:rFonts w:ascii="Arial" w:cs="Arial" w:eastAsia="Arial" w:hAnsi="Arial"/>
          <w:sz w:val="19"/>
          <w:szCs w:val="19"/>
          <w:color w:val="auto"/>
        </w:rPr>
        <w:t>Our subscription arrangements generally have annual or multi-year contractual terms and allow customers to use our software or cloud solutions. For our software subscriptions that are dependent on ongoing software updates and the ability to identify the latest cybersecurity vulnerabilities, revenue is recognized ratably over the subscription term given the critical utility provided by the ongoing updates that are released throughout the contract period. When the critical utility of our software does</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880" w:h="15480" w:orient="portrait"/>
          <w:cols w:equalWidth="0" w:num="1">
            <w:col w:w="9000"/>
          </w:cols>
          <w:pgMar w:left="1440" w:top="1203" w:right="1440" w:bottom="0" w:gutter="0" w:footer="0" w:header="0"/>
          <w:type w:val="continuous"/>
        </w:sectPr>
      </w:pPr>
    </w:p>
    <w:bookmarkStart w:id="164" w:name="page165"/>
    <w:bookmarkEnd w:id="164"/>
    <w:p>
      <w:pPr>
        <w:ind w:right="40"/>
        <w:spacing w:after="0" w:line="314" w:lineRule="auto"/>
        <w:rPr>
          <w:sz w:val="20"/>
          <w:szCs w:val="20"/>
          <w:color w:val="auto"/>
        </w:rPr>
      </w:pPr>
      <w:r>
        <w:rPr>
          <w:rFonts w:ascii="Arial" w:cs="Arial" w:eastAsia="Arial" w:hAnsi="Arial"/>
          <w:sz w:val="19"/>
          <w:szCs w:val="19"/>
          <w:color w:val="auto"/>
        </w:rPr>
        <w:t>not depend on ongoing updates, we recognize revenue attributable to the license at the time of delivery and the revenue attributable to the maintenance and support ratably over the contract period.</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Perpetual License and Maintenance Revenue</w:t>
      </w:r>
    </w:p>
    <w:p>
      <w:pPr>
        <w:spacing w:after="0" w:line="248" w:lineRule="exact"/>
        <w:rPr>
          <w:sz w:val="20"/>
          <w:szCs w:val="20"/>
          <w:color w:val="auto"/>
        </w:rPr>
      </w:pPr>
    </w:p>
    <w:p>
      <w:pPr>
        <w:ind w:right="60" w:firstLine="360"/>
        <w:spacing w:after="0" w:line="252" w:lineRule="auto"/>
        <w:rPr>
          <w:sz w:val="20"/>
          <w:szCs w:val="20"/>
          <w:color w:val="auto"/>
        </w:rPr>
      </w:pPr>
      <w:r>
        <w:rPr>
          <w:rFonts w:ascii="Arial" w:cs="Arial" w:eastAsia="Arial" w:hAnsi="Arial"/>
          <w:sz w:val="20"/>
          <w:szCs w:val="20"/>
          <w:color w:val="auto"/>
        </w:rPr>
        <w:t>Our perpetual licenses are generally sold with one or more years of maintenance, which include ongoing software updates and the ongoing ability to identify the latest cybersecurity vulnerabilities.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the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the our technology and other factors. While we believe that the estimates we have made are reasonable and appropriate, different assumptions and estimates could materially impact our reported financial results.</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Professional Services and Other Revenue</w:t>
      </w:r>
    </w:p>
    <w:p>
      <w:pPr>
        <w:spacing w:after="0" w:line="248" w:lineRule="exact"/>
        <w:rPr>
          <w:sz w:val="20"/>
          <w:szCs w:val="20"/>
          <w:color w:val="auto"/>
        </w:rPr>
      </w:pPr>
    </w:p>
    <w:p>
      <w:pPr>
        <w:jc w:val="both"/>
        <w:ind w:right="80" w:firstLine="360"/>
        <w:spacing w:after="0" w:line="262" w:lineRule="auto"/>
        <w:rPr>
          <w:sz w:val="20"/>
          <w:szCs w:val="20"/>
          <w:color w:val="auto"/>
        </w:rPr>
      </w:pPr>
      <w:r>
        <w:rPr>
          <w:rFonts w:ascii="Arial" w:cs="Arial" w:eastAsia="Arial" w:hAnsi="Arial"/>
          <w:sz w:val="20"/>
          <w:szCs w:val="20"/>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Contracts with Multiple Performance Obligations</w:t>
      </w:r>
    </w:p>
    <w:p>
      <w:pPr>
        <w:spacing w:after="0" w:line="248" w:lineRule="exact"/>
        <w:rPr>
          <w:sz w:val="20"/>
          <w:szCs w:val="20"/>
          <w:color w:val="auto"/>
        </w:rPr>
      </w:pPr>
    </w:p>
    <w:p>
      <w:pPr>
        <w:ind w:right="220" w:firstLine="360"/>
        <w:spacing w:after="0" w:line="289" w:lineRule="auto"/>
        <w:rPr>
          <w:sz w:val="20"/>
          <w:szCs w:val="20"/>
          <w:color w:val="auto"/>
        </w:rPr>
      </w:pPr>
      <w:r>
        <w:rPr>
          <w:rFonts w:ascii="Arial" w:cs="Arial" w:eastAsia="Arial" w:hAnsi="Arial"/>
          <w:sz w:val="19"/>
          <w:szCs w:val="19"/>
          <w:color w:val="auto"/>
        </w:rPr>
        <w:t>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Variable Consideration</w:t>
      </w:r>
    </w:p>
    <w:p>
      <w:pPr>
        <w:spacing w:after="0" w:line="248" w:lineRule="exact"/>
        <w:rPr>
          <w:sz w:val="20"/>
          <w:szCs w:val="20"/>
          <w:color w:val="auto"/>
        </w:rPr>
      </w:pPr>
    </w:p>
    <w:p>
      <w:pPr>
        <w:ind w:right="180" w:firstLine="360"/>
        <w:spacing w:after="0" w:line="259" w:lineRule="auto"/>
        <w:rPr>
          <w:sz w:val="20"/>
          <w:szCs w:val="20"/>
          <w:color w:val="auto"/>
        </w:rPr>
      </w:pPr>
      <w:r>
        <w:rPr>
          <w:rFonts w:ascii="Arial" w:cs="Arial" w:eastAsia="Arial" w:hAnsi="Arial"/>
          <w:sz w:val="20"/>
          <w:szCs w:val="20"/>
          <w:color w:val="auto"/>
        </w:rPr>
        <w:t>We record revenue from sales at the net sales price, which is the transaction price, including estimates of variable consideration when applicable. Certain of our customers may be entitled to receive credits and in certain circumstances, refunds, if service level commitments are not met. We have not historically experienced significant incidents affecting the ability to meet these service level commitments and any estimated refunds related to these agreements have not been material.</w:t>
      </w:r>
    </w:p>
    <w:p>
      <w:pPr>
        <w:spacing w:after="0" w:line="199" w:lineRule="exact"/>
        <w:rPr>
          <w:sz w:val="20"/>
          <w:szCs w:val="20"/>
          <w:color w:val="auto"/>
        </w:rPr>
      </w:pPr>
    </w:p>
    <w:p>
      <w:pPr>
        <w:ind w:right="180" w:firstLine="360"/>
        <w:spacing w:after="0" w:line="268" w:lineRule="auto"/>
        <w:rPr>
          <w:sz w:val="20"/>
          <w:szCs w:val="20"/>
          <w:color w:val="auto"/>
        </w:rPr>
      </w:pPr>
      <w:r>
        <w:rPr>
          <w:rFonts w:ascii="Arial" w:cs="Arial" w:eastAsia="Arial" w:hAnsi="Arial"/>
          <w:sz w:val="20"/>
          <w:szCs w:val="20"/>
          <w:color w:val="auto"/>
        </w:rPr>
        <w:t>Sales through our channel partner network of distributors and resellers are generally discounted as compared to the price that we would sell to an end user. Revenue for sales through our channel network, which is fixed, is recorded net of any distributor or reseller margin.</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880" w:h="15480" w:orient="portrait"/>
          <w:cols w:equalWidth="0" w:num="1">
            <w:col w:w="9000"/>
          </w:cols>
          <w:pgMar w:left="1440" w:top="1204" w:right="1440" w:bottom="0" w:gutter="0" w:footer="0" w:header="0"/>
          <w:type w:val="continuous"/>
        </w:sectPr>
      </w:pPr>
    </w:p>
    <w:bookmarkStart w:id="165" w:name="page166"/>
    <w:bookmarkEnd w:id="165"/>
    <w:p>
      <w:pPr>
        <w:ind w:left="360"/>
        <w:spacing w:after="0"/>
        <w:rPr>
          <w:sz w:val="20"/>
          <w:szCs w:val="20"/>
          <w:color w:val="auto"/>
        </w:rPr>
      </w:pPr>
      <w:r>
        <w:rPr>
          <w:rFonts w:ascii="Arial" w:cs="Arial" w:eastAsia="Arial" w:hAnsi="Arial"/>
          <w:sz w:val="20"/>
          <w:szCs w:val="20"/>
          <w:b w:val="1"/>
          <w:bCs w:val="1"/>
          <w:i w:val="1"/>
          <w:iCs w:val="1"/>
          <w:color w:val="auto"/>
        </w:rPr>
        <w:t>Deferred Commissions</w:t>
      </w:r>
    </w:p>
    <w:p>
      <w:pPr>
        <w:spacing w:after="0" w:line="249" w:lineRule="exact"/>
        <w:rPr>
          <w:sz w:val="20"/>
          <w:szCs w:val="20"/>
          <w:color w:val="auto"/>
        </w:rPr>
      </w:pPr>
    </w:p>
    <w:p>
      <w:pPr>
        <w:ind w:right="20" w:firstLine="360"/>
        <w:spacing w:after="0" w:line="254" w:lineRule="auto"/>
        <w:rPr>
          <w:sz w:val="20"/>
          <w:szCs w:val="20"/>
          <w:color w:val="auto"/>
        </w:rPr>
      </w:pPr>
      <w:r>
        <w:rPr>
          <w:rFonts w:ascii="Arial" w:cs="Arial" w:eastAsia="Arial" w:hAnsi="Arial"/>
          <w:sz w:val="20"/>
          <w:szCs w:val="20"/>
          <w:color w:val="auto"/>
        </w:rPr>
        <w:t>Sales commissions, including related incremental fringe benefit costs, are considered to be incremental costs of obtaining a contract, and therefore are deferred over an estimated period of benefit, which ranges between three and four years for subscription arrangements and five years for perpetual license arrangements. We have estimated the period of benefit based on the expected contract term including renewal periods, the lifecycle of our technology and other factors. Sales commissions on contract renewals are capitalized and amortized ratably over the contract term, with the exception of contracts with renewal periods that are one year or less, in which case the incremental costs are expensed as incurred. While we believe that the estimates we have made are reasonable and appropriate, different assumptions and estimates could materially impact our reported financial results.</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249" w:lineRule="exact"/>
        <w:rPr>
          <w:sz w:val="20"/>
          <w:szCs w:val="20"/>
          <w:color w:val="auto"/>
        </w:rPr>
      </w:pPr>
    </w:p>
    <w:p>
      <w:pPr>
        <w:ind w:right="120" w:firstLine="360"/>
        <w:spacing w:after="0" w:line="255" w:lineRule="auto"/>
        <w:rPr>
          <w:sz w:val="20"/>
          <w:szCs w:val="20"/>
          <w:color w:val="auto"/>
        </w:rPr>
      </w:pPr>
      <w:r>
        <w:rPr>
          <w:rFonts w:ascii="Arial" w:cs="Arial" w:eastAsia="Arial" w:hAnsi="Arial"/>
          <w:sz w:val="20"/>
          <w:szCs w:val="20"/>
          <w:color w:val="auto"/>
        </w:rPr>
        <w:t>Stock-based compensation expense related to stock options, restricted stock, restricted stock units, or RSUs, and purchase rights issued under our 2018 Employee Stock Purchase Plan, or the 2018 ESPP, is calculated based on the fair value of the awards granted and is recognized on a straight-line basis over the requisite service period, which is generally two to four years. Our performance stock units, or PSUs, vest over a period of 4 years and are subject to defined performance and service conditions. Our PSUs and RSUs that include performance-based vesting conditions are expensed using the accelerated attribution method. We account for forfeitures as they occur.</w:t>
      </w:r>
    </w:p>
    <w:p>
      <w:pPr>
        <w:spacing w:after="0" w:line="205" w:lineRule="exact"/>
        <w:rPr>
          <w:sz w:val="20"/>
          <w:szCs w:val="20"/>
          <w:color w:val="auto"/>
        </w:rPr>
      </w:pPr>
    </w:p>
    <w:p>
      <w:pPr>
        <w:ind w:right="140" w:firstLine="360"/>
        <w:spacing w:after="0" w:line="255" w:lineRule="auto"/>
        <w:rPr>
          <w:sz w:val="20"/>
          <w:szCs w:val="20"/>
          <w:color w:val="auto"/>
        </w:rPr>
      </w:pPr>
      <w:r>
        <w:rPr>
          <w:rFonts w:ascii="Arial" w:cs="Arial" w:eastAsia="Arial" w:hAnsi="Arial"/>
          <w:sz w:val="20"/>
          <w:szCs w:val="20"/>
          <w:color w:val="auto"/>
        </w:rPr>
        <w:t>The fair value of our RSUs and PSUs is based on the market price of our common stock on the date of grant. Estimating the fair value of stock options and purchase rights under the 2018 ESPP using the Black-Scholes option-pricing model requires assumptions as to the fair value of our underlying common stock, the estimated term of the option, the risk free interest rates, the expected volatility of the price of our common stock and the expected dividend yield. The assumptions used to estimate the fair value of the option awards reflect our best estimates. If any of the assumptions change significantly, stock-based compensation for future awards may differ significantly compared with the awards granted previously.</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assumptions and estimates are as follows:</w:t>
      </w:r>
    </w:p>
    <w:p>
      <w:pPr>
        <w:spacing w:after="0" w:line="130" w:lineRule="exact"/>
        <w:rPr>
          <w:sz w:val="20"/>
          <w:szCs w:val="20"/>
          <w:color w:val="auto"/>
        </w:rPr>
      </w:pPr>
    </w:p>
    <w:p>
      <w:pPr>
        <w:ind w:left="720" w:hanging="360"/>
        <w:spacing w:after="0"/>
        <w:tabs>
          <w:tab w:leader="none" w:pos="720" w:val="left"/>
        </w:tabs>
        <w:numPr>
          <w:ilvl w:val="0"/>
          <w:numId w:val="130"/>
        </w:numPr>
        <w:rPr>
          <w:rFonts w:ascii="Arial" w:cs="Arial" w:eastAsia="Arial" w:hAnsi="Arial"/>
          <w:sz w:val="20"/>
          <w:szCs w:val="20"/>
          <w:color w:val="auto"/>
        </w:rPr>
      </w:pPr>
      <w:r>
        <w:rPr>
          <w:rFonts w:ascii="Arial" w:cs="Arial" w:eastAsia="Arial" w:hAnsi="Arial"/>
          <w:sz w:val="20"/>
          <w:szCs w:val="20"/>
          <w:i w:val="1"/>
          <w:iCs w:val="1"/>
          <w:color w:val="auto"/>
        </w:rPr>
        <w:t xml:space="preserve">Fair Value of Common Stock. </w:t>
      </w:r>
      <w:r>
        <w:rPr>
          <w:rFonts w:ascii="Arial" w:cs="Arial" w:eastAsia="Arial" w:hAnsi="Arial"/>
          <w:sz w:val="20"/>
          <w:szCs w:val="20"/>
          <w:color w:val="auto"/>
        </w:rPr>
        <w:t>See “Valuations” discussion below.</w:t>
      </w:r>
    </w:p>
    <w:p>
      <w:pPr>
        <w:spacing w:after="0" w:line="70" w:lineRule="exact"/>
        <w:rPr>
          <w:rFonts w:ascii="Arial" w:cs="Arial" w:eastAsia="Arial" w:hAnsi="Arial"/>
          <w:sz w:val="20"/>
          <w:szCs w:val="20"/>
          <w:color w:val="auto"/>
        </w:rPr>
      </w:pPr>
    </w:p>
    <w:p>
      <w:pPr>
        <w:ind w:left="720" w:right="60" w:hanging="360"/>
        <w:spacing w:after="0" w:line="268" w:lineRule="auto"/>
        <w:tabs>
          <w:tab w:leader="none" w:pos="720" w:val="left"/>
        </w:tabs>
        <w:numPr>
          <w:ilvl w:val="0"/>
          <w:numId w:val="130"/>
        </w:numPr>
        <w:rPr>
          <w:rFonts w:ascii="Arial" w:cs="Arial" w:eastAsia="Arial" w:hAnsi="Arial"/>
          <w:sz w:val="20"/>
          <w:szCs w:val="20"/>
          <w:color w:val="auto"/>
        </w:rPr>
      </w:pPr>
      <w:r>
        <w:rPr>
          <w:rFonts w:ascii="Arial" w:cs="Arial" w:eastAsia="Arial" w:hAnsi="Arial"/>
          <w:sz w:val="20"/>
          <w:szCs w:val="20"/>
          <w:i w:val="1"/>
          <w:iCs w:val="1"/>
          <w:color w:val="auto"/>
        </w:rPr>
        <w:t xml:space="preserve">Expected Term. </w:t>
      </w:r>
      <w:r>
        <w:rPr>
          <w:rFonts w:ascii="Arial" w:cs="Arial" w:eastAsia="Arial" w:hAnsi="Arial"/>
          <w:sz w:val="20"/>
          <w:szCs w:val="20"/>
          <w:color w:val="auto"/>
        </w:rPr>
        <w:t>This is the period of time that the options granted are expected to remain</w:t>
      </w:r>
      <w:r>
        <w:rPr>
          <w:rFonts w:ascii="Arial" w:cs="Arial" w:eastAsia="Arial" w:hAnsi="Arial"/>
          <w:sz w:val="20"/>
          <w:szCs w:val="20"/>
          <w:i w:val="1"/>
          <w:iCs w:val="1"/>
          <w:color w:val="auto"/>
        </w:rPr>
        <w:t xml:space="preserve"> </w:t>
      </w:r>
      <w:r>
        <w:rPr>
          <w:rFonts w:ascii="Arial" w:cs="Arial" w:eastAsia="Arial" w:hAnsi="Arial"/>
          <w:sz w:val="20"/>
          <w:szCs w:val="20"/>
          <w:color w:val="auto"/>
        </w:rPr>
        <w:t>unexercised. We used the simplified method to calculate the average expected term for stock options. We use the actual purchase periods as the expected term in the 2018 ESPP.</w:t>
      </w:r>
    </w:p>
    <w:p>
      <w:pPr>
        <w:spacing w:after="0" w:line="9" w:lineRule="exact"/>
        <w:rPr>
          <w:rFonts w:ascii="Arial" w:cs="Arial" w:eastAsia="Arial" w:hAnsi="Arial"/>
          <w:sz w:val="20"/>
          <w:szCs w:val="20"/>
          <w:color w:val="auto"/>
        </w:rPr>
      </w:pPr>
    </w:p>
    <w:p>
      <w:pPr>
        <w:ind w:left="720" w:right="40" w:hanging="360"/>
        <w:spacing w:after="0" w:line="257" w:lineRule="auto"/>
        <w:tabs>
          <w:tab w:leader="none" w:pos="720" w:val="left"/>
        </w:tabs>
        <w:numPr>
          <w:ilvl w:val="0"/>
          <w:numId w:val="130"/>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Volatility. </w:t>
      </w:r>
      <w:r>
        <w:rPr>
          <w:rFonts w:ascii="Arial" w:cs="Arial" w:eastAsia="Arial" w:hAnsi="Arial"/>
          <w:sz w:val="20"/>
          <w:szCs w:val="20"/>
          <w:color w:val="auto"/>
        </w:rPr>
        <w:t>This is a measure of the amount by which a financial variable, such as a share</w:t>
      </w:r>
      <w:r>
        <w:rPr>
          <w:rFonts w:ascii="Arial" w:cs="Arial" w:eastAsia="Arial" w:hAnsi="Arial"/>
          <w:sz w:val="20"/>
          <w:szCs w:val="20"/>
          <w:i w:val="1"/>
          <w:iCs w:val="1"/>
          <w:color w:val="auto"/>
        </w:rPr>
        <w:t xml:space="preserve"> </w:t>
      </w:r>
      <w:r>
        <w:rPr>
          <w:rFonts w:ascii="Arial" w:cs="Arial" w:eastAsia="Arial" w:hAnsi="Arial"/>
          <w:sz w:val="20"/>
          <w:szCs w:val="20"/>
          <w:color w:val="auto"/>
        </w:rPr>
        <w:t>price, has fluctuated (historical volatility) or is expected to fluctuate (expected volatility) during a period. In 2021, we began using the volatility of our common stock to calculate expected volatility. Prior to 2021, we identified several public entities of similar size, complexity and stage of development and estimated our volatility based on the volatility of the common stock of these companies.</w:t>
      </w:r>
    </w:p>
    <w:p>
      <w:pPr>
        <w:spacing w:after="0" w:line="22" w:lineRule="exact"/>
        <w:rPr>
          <w:rFonts w:ascii="Arial" w:cs="Arial" w:eastAsia="Arial" w:hAnsi="Arial"/>
          <w:sz w:val="20"/>
          <w:szCs w:val="20"/>
          <w:i w:val="1"/>
          <w:iCs w:val="1"/>
          <w:color w:val="auto"/>
        </w:rPr>
      </w:pPr>
    </w:p>
    <w:p>
      <w:pPr>
        <w:ind w:left="720" w:right="660" w:hanging="360"/>
        <w:spacing w:after="0" w:line="281" w:lineRule="auto"/>
        <w:tabs>
          <w:tab w:leader="none" w:pos="720" w:val="left"/>
        </w:tabs>
        <w:numPr>
          <w:ilvl w:val="0"/>
          <w:numId w:val="130"/>
        </w:numPr>
        <w:rPr>
          <w:rFonts w:ascii="Arial" w:cs="Arial" w:eastAsia="Arial" w:hAnsi="Arial"/>
          <w:sz w:val="20"/>
          <w:szCs w:val="20"/>
          <w:color w:val="auto"/>
        </w:rPr>
      </w:pPr>
      <w:r>
        <w:rPr>
          <w:rFonts w:ascii="Arial" w:cs="Arial" w:eastAsia="Arial" w:hAnsi="Arial"/>
          <w:sz w:val="20"/>
          <w:szCs w:val="20"/>
          <w:i w:val="1"/>
          <w:iCs w:val="1"/>
          <w:color w:val="auto"/>
        </w:rPr>
        <w:t xml:space="preserve">Risk-Free Interest Rate. </w:t>
      </w:r>
      <w:r>
        <w:rPr>
          <w:rFonts w:ascii="Arial" w:cs="Arial" w:eastAsia="Arial" w:hAnsi="Arial"/>
          <w:sz w:val="20"/>
          <w:szCs w:val="20"/>
          <w:color w:val="auto"/>
        </w:rPr>
        <w:t>This is the U.S. Treasury rate, having a term that most closely</w:t>
      </w:r>
      <w:r>
        <w:rPr>
          <w:rFonts w:ascii="Arial" w:cs="Arial" w:eastAsia="Arial" w:hAnsi="Arial"/>
          <w:sz w:val="20"/>
          <w:szCs w:val="20"/>
          <w:i w:val="1"/>
          <w:iCs w:val="1"/>
          <w:color w:val="auto"/>
        </w:rPr>
        <w:t xml:space="preserve"> </w:t>
      </w:r>
      <w:r>
        <w:rPr>
          <w:rFonts w:ascii="Arial" w:cs="Arial" w:eastAsia="Arial" w:hAnsi="Arial"/>
          <w:sz w:val="20"/>
          <w:szCs w:val="20"/>
          <w:color w:val="auto"/>
        </w:rPr>
        <w:t>resembles the expected life of the stock option.</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30"/>
        </w:numPr>
        <w:rPr>
          <w:rFonts w:ascii="Arial" w:cs="Arial" w:eastAsia="Arial" w:hAnsi="Arial"/>
          <w:sz w:val="20"/>
          <w:szCs w:val="20"/>
          <w:color w:val="auto"/>
        </w:rPr>
      </w:pPr>
      <w:r>
        <w:rPr>
          <w:rFonts w:ascii="Arial" w:cs="Arial" w:eastAsia="Arial" w:hAnsi="Arial"/>
          <w:sz w:val="20"/>
          <w:szCs w:val="20"/>
          <w:i w:val="1"/>
          <w:iCs w:val="1"/>
          <w:color w:val="auto"/>
        </w:rPr>
        <w:t>Dividend Yield</w:t>
      </w:r>
      <w:r>
        <w:rPr>
          <w:rFonts w:ascii="Arial" w:cs="Arial" w:eastAsia="Arial" w:hAnsi="Arial"/>
          <w:sz w:val="20"/>
          <w:szCs w:val="20"/>
          <w:color w:val="auto"/>
        </w:rPr>
        <w:t>. We have not and do not expect to pay dividends on our common stock.</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Valuations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Following our IPO, we use the market price of our common stock at the date of grant as the fair</w:t>
      </w:r>
    </w:p>
    <w:p>
      <w:pPr>
        <w:sectPr>
          <w:pgSz w:w="11880" w:h="15480" w:orient="portrait"/>
          <w:cols w:equalWidth="0" w:num="1">
            <w:col w:w="9000"/>
          </w:cols>
          <w:pgMar w:left="1440" w:top="12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880" w:h="15480" w:orient="portrait"/>
          <w:cols w:equalWidth="0" w:num="1">
            <w:col w:w="9000"/>
          </w:cols>
          <w:pgMar w:left="1440" w:top="1205" w:right="1440" w:bottom="0" w:gutter="0" w:footer="0" w:header="0"/>
          <w:type w:val="continuous"/>
        </w:sectPr>
      </w:pPr>
    </w:p>
    <w:bookmarkStart w:id="166" w:name="page167"/>
    <w:bookmarkEnd w:id="166"/>
    <w:p>
      <w:pPr>
        <w:ind w:right="140"/>
        <w:spacing w:after="0" w:line="255" w:lineRule="auto"/>
        <w:rPr>
          <w:sz w:val="20"/>
          <w:szCs w:val="20"/>
          <w:color w:val="auto"/>
        </w:rPr>
      </w:pPr>
      <w:r>
        <w:rPr>
          <w:rFonts w:ascii="Arial" w:cs="Arial" w:eastAsia="Arial" w:hAnsi="Arial"/>
          <w:sz w:val="20"/>
          <w:szCs w:val="20"/>
          <w:color w:val="auto"/>
        </w:rPr>
        <w:t xml:space="preserve">value. Prior to our IPO, the lack of an active public market for our common stock required our Board of Directors to exercise reasonable judgment and consider a number of factors in order to make the best estimate of fair value of our common stock, in accordance with the technical practice-aid issued by the American Institute of Certified Public Accountants Practice Aid entitled </w:t>
      </w:r>
      <w:r>
        <w:rPr>
          <w:rFonts w:ascii="Arial" w:cs="Arial" w:eastAsia="Arial" w:hAnsi="Arial"/>
          <w:sz w:val="20"/>
          <w:szCs w:val="20"/>
          <w:i w:val="1"/>
          <w:iCs w:val="1"/>
          <w:color w:val="auto"/>
        </w:rPr>
        <w:t>Valuation of Privately-Held Company Equity Securities Issued as Compensation</w:t>
      </w:r>
      <w:r>
        <w:rPr>
          <w:rFonts w:ascii="Arial" w:cs="Arial" w:eastAsia="Arial" w:hAnsi="Arial"/>
          <w:sz w:val="20"/>
          <w:szCs w:val="20"/>
          <w:color w:val="auto"/>
        </w:rPr>
        <w:t>. Factors considered in connection with</w:t>
      </w:r>
      <w:r>
        <w:rPr>
          <w:rFonts w:ascii="Arial" w:cs="Arial" w:eastAsia="Arial" w:hAnsi="Arial"/>
          <w:sz w:val="20"/>
          <w:szCs w:val="20"/>
          <w:i w:val="1"/>
          <w:iCs w:val="1"/>
          <w:color w:val="auto"/>
        </w:rPr>
        <w:t xml:space="preserve"> </w:t>
      </w:r>
      <w:r>
        <w:rPr>
          <w:rFonts w:ascii="Arial" w:cs="Arial" w:eastAsia="Arial" w:hAnsi="Arial"/>
          <w:sz w:val="20"/>
          <w:szCs w:val="20"/>
          <w:color w:val="auto"/>
        </w:rPr>
        <w:t>estimating the fair value of our common stock underlying our award of restricted stock and stock option awards when performing the fair value calculations with the Black-Scholes option-pricing model included:</w:t>
      </w:r>
    </w:p>
    <w:p>
      <w:pPr>
        <w:spacing w:after="0" w:line="205" w:lineRule="exact"/>
        <w:rPr>
          <w:sz w:val="20"/>
          <w:szCs w:val="20"/>
          <w:color w:val="auto"/>
        </w:rPr>
      </w:pPr>
    </w:p>
    <w:p>
      <w:pPr>
        <w:ind w:left="720" w:hanging="360"/>
        <w:spacing w:after="0"/>
        <w:tabs>
          <w:tab w:leader="none" w:pos="7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results of independent third-party valuations of our common stock</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Recent arm’s length transactions involving the sale or transfer of our common stock</w:t>
      </w:r>
    </w:p>
    <w:p>
      <w:pPr>
        <w:spacing w:after="0" w:line="70" w:lineRule="exact"/>
        <w:rPr>
          <w:rFonts w:ascii="Arial" w:cs="Arial" w:eastAsia="Arial" w:hAnsi="Arial"/>
          <w:sz w:val="20"/>
          <w:szCs w:val="20"/>
          <w:color w:val="auto"/>
        </w:rPr>
      </w:pPr>
    </w:p>
    <w:p>
      <w:pPr>
        <w:ind w:left="720" w:right="240" w:hanging="360"/>
        <w:spacing w:after="0" w:line="281" w:lineRule="auto"/>
        <w:tabs>
          <w:tab w:leader="none" w:pos="7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rights, preferences and privileges of our Series A and Series B redeemable convertible preferred stock relative to those of our common stock</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Our historical financial results and future financial projections</w:t>
      </w:r>
    </w:p>
    <w:p>
      <w:pPr>
        <w:spacing w:after="0" w:line="70" w:lineRule="exact"/>
        <w:rPr>
          <w:rFonts w:ascii="Arial" w:cs="Arial" w:eastAsia="Arial" w:hAnsi="Arial"/>
          <w:sz w:val="20"/>
          <w:szCs w:val="20"/>
          <w:color w:val="auto"/>
        </w:rPr>
      </w:pPr>
    </w:p>
    <w:p>
      <w:pPr>
        <w:ind w:left="720" w:right="40" w:hanging="360"/>
        <w:spacing w:after="0" w:line="281" w:lineRule="auto"/>
        <w:tabs>
          <w:tab w:leader="none" w:pos="7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market value of equity interests in substantially similar businesses, which equity interests can be valued through nondiscretionary, objective means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lack of marketability of our common stock</w:t>
      </w:r>
    </w:p>
    <w:p>
      <w:pPr>
        <w:spacing w:after="0" w:line="70" w:lineRule="exact"/>
        <w:rPr>
          <w:rFonts w:ascii="Arial" w:cs="Arial" w:eastAsia="Arial" w:hAnsi="Arial"/>
          <w:sz w:val="20"/>
          <w:szCs w:val="20"/>
          <w:color w:val="auto"/>
        </w:rPr>
      </w:pPr>
    </w:p>
    <w:p>
      <w:pPr>
        <w:ind w:left="720" w:right="900" w:hanging="360"/>
        <w:spacing w:after="0" w:line="281" w:lineRule="auto"/>
        <w:tabs>
          <w:tab w:leader="none" w:pos="7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likelihood of achieving a liquidity event, such as an IPO given prevailing market conditions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Industry outlook</w:t>
      </w:r>
    </w:p>
    <w:p>
      <w:pPr>
        <w:spacing w:after="0" w:line="70" w:lineRule="exact"/>
        <w:rPr>
          <w:rFonts w:ascii="Arial" w:cs="Arial" w:eastAsia="Arial" w:hAnsi="Arial"/>
          <w:sz w:val="20"/>
          <w:szCs w:val="20"/>
          <w:color w:val="auto"/>
        </w:rPr>
      </w:pPr>
    </w:p>
    <w:p>
      <w:pPr>
        <w:ind w:left="720" w:right="220" w:hanging="360"/>
        <w:spacing w:after="0" w:line="287" w:lineRule="auto"/>
        <w:tabs>
          <w:tab w:leader="none" w:pos="7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General economic outlook including economic growth, inflation and unemployment, interest rate environment and global economic trends</w:t>
      </w:r>
    </w:p>
    <w:p>
      <w:pPr>
        <w:spacing w:after="0" w:line="170" w:lineRule="exact"/>
        <w:rPr>
          <w:sz w:val="20"/>
          <w:szCs w:val="20"/>
          <w:color w:val="auto"/>
        </w:rPr>
      </w:pPr>
    </w:p>
    <w:p>
      <w:pPr>
        <w:ind w:right="40" w:firstLine="360"/>
        <w:spacing w:after="0" w:line="262" w:lineRule="auto"/>
        <w:rPr>
          <w:sz w:val="20"/>
          <w:szCs w:val="20"/>
          <w:color w:val="auto"/>
        </w:rPr>
      </w:pPr>
      <w:r>
        <w:rPr>
          <w:rFonts w:ascii="Arial" w:cs="Arial" w:eastAsia="Arial" w:hAnsi="Arial"/>
          <w:sz w:val="20"/>
          <w:szCs w:val="20"/>
          <w:color w:val="auto"/>
        </w:rPr>
        <w:t>As described above, the exercise price of our stock option awards was determined by our Board of Directors, with input from management, taking into account the factors described above, using a combination of valuation methodologies with varying weighting applied to each methodology as of the grant date.</w:t>
      </w:r>
    </w:p>
    <w:p>
      <w:pPr>
        <w:spacing w:after="0" w:line="196" w:lineRule="exact"/>
        <w:rPr>
          <w:sz w:val="20"/>
          <w:szCs w:val="20"/>
          <w:color w:val="auto"/>
        </w:rPr>
      </w:pPr>
    </w:p>
    <w:p>
      <w:pPr>
        <w:ind w:right="60" w:firstLine="360"/>
        <w:spacing w:after="0" w:line="257" w:lineRule="auto"/>
        <w:rPr>
          <w:sz w:val="20"/>
          <w:szCs w:val="20"/>
          <w:color w:val="auto"/>
        </w:rPr>
      </w:pPr>
      <w:r>
        <w:rPr>
          <w:rFonts w:ascii="Arial" w:cs="Arial" w:eastAsia="Arial" w:hAnsi="Arial"/>
          <w:sz w:val="20"/>
          <w:szCs w:val="20"/>
          <w:color w:val="auto"/>
        </w:rPr>
        <w:t>Application of these approaches involved the use of estimates, judgment and assumptions that were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would have impacted our valuations as of each valuation date and may have had a material impact on the valuation of our common stock.</w:t>
      </w:r>
    </w:p>
    <w:p>
      <w:pPr>
        <w:spacing w:after="0" w:line="202" w:lineRule="exact"/>
        <w:rPr>
          <w:sz w:val="20"/>
          <w:szCs w:val="20"/>
          <w:color w:val="auto"/>
        </w:rPr>
      </w:pPr>
    </w:p>
    <w:p>
      <w:pPr>
        <w:ind w:right="280" w:firstLine="360"/>
        <w:spacing w:after="0" w:line="287" w:lineRule="auto"/>
        <w:rPr>
          <w:sz w:val="20"/>
          <w:szCs w:val="20"/>
          <w:color w:val="auto"/>
        </w:rPr>
      </w:pPr>
      <w:r>
        <w:rPr>
          <w:rFonts w:ascii="Arial" w:cs="Arial" w:eastAsia="Arial" w:hAnsi="Arial"/>
          <w:sz w:val="20"/>
          <w:szCs w:val="20"/>
          <w:color w:val="auto"/>
        </w:rPr>
        <w:t>The fair value of the 2018 ESPP purchase rights were estimated on the offering or modification dates based on the following assumptions: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7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6"/>
          </w:tcPr>
          <w:p>
            <w:pPr>
              <w:jc w:val="center"/>
              <w:ind w:left="142"/>
              <w:spacing w:after="0"/>
              <w:rPr>
                <w:sz w:val="20"/>
                <w:szCs w:val="20"/>
                <w:color w:val="auto"/>
              </w:rPr>
            </w:pPr>
            <w:r>
              <w:rPr>
                <w:rFonts w:ascii="Arial" w:cs="Arial" w:eastAsia="Arial" w:hAnsi="Arial"/>
                <w:sz w:val="18"/>
                <w:szCs w:val="18"/>
                <w:b w:val="1"/>
                <w:bCs w:val="1"/>
                <w:color w:val="auto"/>
                <w:w w:val="99"/>
              </w:rPr>
              <w:t>Year Ended December 31,</w:t>
            </w:r>
          </w:p>
        </w:tc>
        <w:tc>
          <w:tcPr>
            <w:tcW w:w="980" w:type="dxa"/>
            <w:vAlign w:val="bottom"/>
            <w:tcBorders>
              <w:bottom w:val="single" w:sz="8" w:color="auto"/>
            </w:tcBorders>
          </w:tcPr>
          <w:p>
            <w:pPr>
              <w:spacing w:after="0"/>
              <w:rPr>
                <w:sz w:val="20"/>
                <w:szCs w:val="20"/>
                <w:color w:val="auto"/>
              </w:rPr>
            </w:pPr>
          </w:p>
        </w:tc>
      </w:tr>
      <w:tr>
        <w:trPr>
          <w:trHeight w:val="265"/>
        </w:trPr>
        <w:tc>
          <w:tcPr>
            <w:tcW w:w="3780" w:type="dxa"/>
            <w:vAlign w:val="bottom"/>
            <w:tcBorders>
              <w:bottom w:val="single" w:sz="8" w:color="D2EDF0"/>
            </w:tcBorders>
          </w:tcPr>
          <w:p>
            <w:pPr>
              <w:spacing w:after="0"/>
              <w:rPr>
                <w:sz w:val="23"/>
                <w:szCs w:val="23"/>
                <w:color w:val="auto"/>
              </w:rPr>
            </w:pPr>
          </w:p>
        </w:tc>
        <w:tc>
          <w:tcPr>
            <w:tcW w:w="1680" w:type="dxa"/>
            <w:vAlign w:val="bottom"/>
            <w:tcBorders>
              <w:bottom w:val="single" w:sz="8" w:color="auto"/>
            </w:tcBorders>
            <w:gridSpan w:val="2"/>
          </w:tcPr>
          <w:p>
            <w:pPr>
              <w:jc w:val="right"/>
              <w:ind w:right="542"/>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3"/>
                <w:szCs w:val="23"/>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D2EDF0"/>
            </w:tcBorders>
          </w:tcPr>
          <w:p>
            <w:pPr>
              <w:spacing w:after="0"/>
              <w:rPr>
                <w:sz w:val="23"/>
                <w:szCs w:val="23"/>
                <w:color w:val="auto"/>
              </w:rPr>
            </w:pPr>
          </w:p>
        </w:tc>
        <w:tc>
          <w:tcPr>
            <w:tcW w:w="17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2020</w:t>
            </w:r>
          </w:p>
        </w:tc>
      </w:tr>
      <w:tr>
        <w:trPr>
          <w:trHeight w:val="290"/>
        </w:trPr>
        <w:tc>
          <w:tcPr>
            <w:tcW w:w="3780" w:type="dxa"/>
            <w:vAlign w:val="bottom"/>
            <w:shd w:val="clear" w:color="auto" w:fill="D2EDF0"/>
          </w:tcPr>
          <w:p>
            <w:pPr>
              <w:ind w:left="60"/>
              <w:spacing w:after="0"/>
              <w:rPr>
                <w:sz w:val="20"/>
                <w:szCs w:val="20"/>
                <w:color w:val="auto"/>
              </w:rPr>
            </w:pPr>
            <w:r>
              <w:rPr>
                <w:rFonts w:ascii="Arial" w:cs="Arial" w:eastAsia="Arial" w:hAnsi="Arial"/>
                <w:sz w:val="20"/>
                <w:szCs w:val="20"/>
                <w:color w:val="auto"/>
              </w:rPr>
              <w:t>Expected term (in years)</w:t>
            </w:r>
          </w:p>
        </w:tc>
        <w:tc>
          <w:tcPr>
            <w:tcW w:w="7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0.5</w:t>
            </w:r>
          </w:p>
        </w:tc>
        <w:tc>
          <w:tcPr>
            <w:tcW w:w="960" w:type="dxa"/>
            <w:vAlign w:val="bottom"/>
            <w:shd w:val="clear" w:color="auto" w:fill="D2EDF0"/>
          </w:tcPr>
          <w:p>
            <w:pPr>
              <w:ind w:left="20"/>
              <w:spacing w:after="0"/>
              <w:rPr>
                <w:sz w:val="20"/>
                <w:szCs w:val="20"/>
                <w:color w:val="auto"/>
              </w:rPr>
            </w:pPr>
            <w:r>
              <w:rPr>
                <w:rFonts w:ascii="Arial" w:cs="Arial" w:eastAsia="Arial" w:hAnsi="Arial"/>
                <w:sz w:val="20"/>
                <w:szCs w:val="20"/>
                <w:color w:val="auto"/>
              </w:rPr>
              <w:t>— 2.0</w:t>
            </w:r>
          </w:p>
        </w:tc>
        <w:tc>
          <w:tcPr>
            <w:tcW w:w="80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0.5</w:t>
            </w:r>
          </w:p>
        </w:tc>
        <w:tc>
          <w:tcPr>
            <w:tcW w:w="980" w:type="dxa"/>
            <w:vAlign w:val="bottom"/>
            <w:shd w:val="clear" w:color="auto" w:fill="D2EDF0"/>
          </w:tcPr>
          <w:p>
            <w:pPr>
              <w:ind w:left="20"/>
              <w:spacing w:after="0"/>
              <w:rPr>
                <w:sz w:val="20"/>
                <w:szCs w:val="20"/>
                <w:color w:val="auto"/>
              </w:rPr>
            </w:pPr>
            <w:r>
              <w:rPr>
                <w:rFonts w:ascii="Arial" w:cs="Arial" w:eastAsia="Arial" w:hAnsi="Arial"/>
                <w:sz w:val="20"/>
                <w:szCs w:val="20"/>
                <w:color w:val="auto"/>
              </w:rPr>
              <w:t>— 2.0</w:t>
            </w:r>
          </w:p>
        </w:tc>
        <w:tc>
          <w:tcPr>
            <w:tcW w:w="7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0.5</w:t>
            </w:r>
          </w:p>
        </w:tc>
        <w:tc>
          <w:tcPr>
            <w:tcW w:w="980" w:type="dxa"/>
            <w:vAlign w:val="bottom"/>
            <w:shd w:val="clear" w:color="auto" w:fill="D2EDF0"/>
          </w:tcPr>
          <w:p>
            <w:pPr>
              <w:ind w:left="20"/>
              <w:spacing w:after="0"/>
              <w:rPr>
                <w:sz w:val="20"/>
                <w:szCs w:val="20"/>
                <w:color w:val="auto"/>
              </w:rPr>
            </w:pPr>
            <w:r>
              <w:rPr>
                <w:rFonts w:ascii="Arial" w:cs="Arial" w:eastAsia="Arial" w:hAnsi="Arial"/>
                <w:sz w:val="20"/>
                <w:szCs w:val="20"/>
                <w:color w:val="auto"/>
              </w:rPr>
              <w:t>— 2.0</w:t>
            </w:r>
          </w:p>
        </w:tc>
      </w:tr>
      <w:tr>
        <w:trPr>
          <w:trHeight w:val="296"/>
        </w:trPr>
        <w:tc>
          <w:tcPr>
            <w:tcW w:w="3780" w:type="dxa"/>
            <w:vAlign w:val="bottom"/>
          </w:tcPr>
          <w:p>
            <w:pPr>
              <w:ind w:left="60"/>
              <w:spacing w:after="0"/>
              <w:rPr>
                <w:sz w:val="20"/>
                <w:szCs w:val="20"/>
                <w:color w:val="auto"/>
              </w:rPr>
            </w:pPr>
            <w:r>
              <w:rPr>
                <w:rFonts w:ascii="Arial" w:cs="Arial" w:eastAsia="Arial" w:hAnsi="Arial"/>
                <w:sz w:val="20"/>
                <w:szCs w:val="20"/>
                <w:color w:val="auto"/>
              </w:rPr>
              <w:t>Expected volatility</w:t>
            </w:r>
          </w:p>
        </w:tc>
        <w:tc>
          <w:tcPr>
            <w:tcW w:w="720" w:type="dxa"/>
            <w:vAlign w:val="bottom"/>
          </w:tcPr>
          <w:p>
            <w:pPr>
              <w:jc w:val="right"/>
              <w:spacing w:after="0"/>
              <w:rPr>
                <w:sz w:val="20"/>
                <w:szCs w:val="20"/>
                <w:color w:val="auto"/>
              </w:rPr>
            </w:pPr>
            <w:r>
              <w:rPr>
                <w:rFonts w:ascii="Arial" w:cs="Arial" w:eastAsia="Arial" w:hAnsi="Arial"/>
                <w:sz w:val="20"/>
                <w:szCs w:val="20"/>
                <w:color w:val="auto"/>
              </w:rPr>
              <w:t>42.8%</w:t>
            </w:r>
          </w:p>
        </w:tc>
        <w:tc>
          <w:tcPr>
            <w:tcW w:w="960" w:type="dxa"/>
            <w:vAlign w:val="bottom"/>
          </w:tcPr>
          <w:p>
            <w:pPr>
              <w:ind w:left="20"/>
              <w:spacing w:after="0"/>
              <w:rPr>
                <w:sz w:val="20"/>
                <w:szCs w:val="20"/>
                <w:color w:val="auto"/>
              </w:rPr>
            </w:pPr>
            <w:r>
              <w:rPr>
                <w:rFonts w:ascii="Arial" w:cs="Arial" w:eastAsia="Arial" w:hAnsi="Arial"/>
                <w:sz w:val="20"/>
                <w:szCs w:val="20"/>
                <w:color w:val="auto"/>
              </w:rPr>
              <w:t>— 61.0%</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37.2%</w:t>
            </w:r>
          </w:p>
        </w:tc>
        <w:tc>
          <w:tcPr>
            <w:tcW w:w="980" w:type="dxa"/>
            <w:vAlign w:val="bottom"/>
          </w:tcPr>
          <w:p>
            <w:pPr>
              <w:ind w:left="20"/>
              <w:spacing w:after="0"/>
              <w:rPr>
                <w:sz w:val="20"/>
                <w:szCs w:val="20"/>
                <w:color w:val="auto"/>
              </w:rPr>
            </w:pPr>
            <w:r>
              <w:rPr>
                <w:rFonts w:ascii="Arial" w:cs="Arial" w:eastAsia="Arial" w:hAnsi="Arial"/>
                <w:sz w:val="20"/>
                <w:szCs w:val="20"/>
                <w:color w:val="auto"/>
              </w:rPr>
              <w:t>— 59.4%</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41.6%</w:t>
            </w:r>
          </w:p>
        </w:tc>
        <w:tc>
          <w:tcPr>
            <w:tcW w:w="980" w:type="dxa"/>
            <w:vAlign w:val="bottom"/>
          </w:tcPr>
          <w:p>
            <w:pPr>
              <w:ind w:left="20"/>
              <w:spacing w:after="0"/>
              <w:rPr>
                <w:sz w:val="20"/>
                <w:szCs w:val="20"/>
                <w:color w:val="auto"/>
              </w:rPr>
            </w:pPr>
            <w:r>
              <w:rPr>
                <w:rFonts w:ascii="Arial" w:cs="Arial" w:eastAsia="Arial" w:hAnsi="Arial"/>
                <w:sz w:val="20"/>
                <w:szCs w:val="20"/>
                <w:color w:val="auto"/>
              </w:rPr>
              <w:t>— 60.1%</w:t>
            </w:r>
          </w:p>
        </w:tc>
      </w:tr>
      <w:tr>
        <w:trPr>
          <w:trHeight w:val="304"/>
        </w:trPr>
        <w:tc>
          <w:tcPr>
            <w:tcW w:w="3780" w:type="dxa"/>
            <w:vAlign w:val="bottom"/>
            <w:shd w:val="clear" w:color="auto" w:fill="D2EDF0"/>
          </w:tcPr>
          <w:p>
            <w:pPr>
              <w:ind w:left="60"/>
              <w:spacing w:after="0"/>
              <w:rPr>
                <w:sz w:val="20"/>
                <w:szCs w:val="20"/>
                <w:color w:val="auto"/>
              </w:rPr>
            </w:pPr>
            <w:r>
              <w:rPr>
                <w:rFonts w:ascii="Arial" w:cs="Arial" w:eastAsia="Arial" w:hAnsi="Arial"/>
                <w:sz w:val="20"/>
                <w:szCs w:val="20"/>
                <w:color w:val="auto"/>
              </w:rPr>
              <w:t>Risk-free interest rate</w:t>
            </w:r>
          </w:p>
        </w:tc>
        <w:tc>
          <w:tcPr>
            <w:tcW w:w="7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0.1%</w:t>
            </w:r>
          </w:p>
        </w:tc>
        <w:tc>
          <w:tcPr>
            <w:tcW w:w="960" w:type="dxa"/>
            <w:vAlign w:val="bottom"/>
            <w:shd w:val="clear" w:color="auto" w:fill="D2EDF0"/>
          </w:tcPr>
          <w:p>
            <w:pPr>
              <w:ind w:left="20"/>
              <w:spacing w:after="0"/>
              <w:rPr>
                <w:sz w:val="20"/>
                <w:szCs w:val="20"/>
                <w:color w:val="auto"/>
              </w:rPr>
            </w:pPr>
            <w:r>
              <w:rPr>
                <w:rFonts w:ascii="Arial" w:cs="Arial" w:eastAsia="Arial" w:hAnsi="Arial"/>
                <w:sz w:val="20"/>
                <w:szCs w:val="20"/>
                <w:color w:val="auto"/>
              </w:rPr>
              <w:t>— 3.4%</w:t>
            </w:r>
          </w:p>
        </w:tc>
        <w:tc>
          <w:tcPr>
            <w:tcW w:w="80" w:type="dxa"/>
            <w:vAlign w:val="bottom"/>
            <w:shd w:val="clear" w:color="auto" w:fill="D2EDF0"/>
          </w:tcPr>
          <w:p>
            <w:pPr>
              <w:spacing w:after="0"/>
              <w:rPr>
                <w:sz w:val="24"/>
                <w:szCs w:val="24"/>
                <w:color w:val="auto"/>
              </w:rPr>
            </w:pPr>
          </w:p>
        </w:tc>
        <w:tc>
          <w:tcPr>
            <w:tcW w:w="1700" w:type="dxa"/>
            <w:vAlign w:val="bottom"/>
            <w:gridSpan w:val="2"/>
            <w:shd w:val="clear" w:color="auto" w:fill="D2EDF0"/>
          </w:tcPr>
          <w:p>
            <w:pPr>
              <w:jc w:val="center"/>
              <w:spacing w:after="0"/>
              <w:rPr>
                <w:sz w:val="20"/>
                <w:szCs w:val="20"/>
                <w:color w:val="auto"/>
              </w:rPr>
            </w:pPr>
            <w:r>
              <w:rPr>
                <w:rFonts w:ascii="Arial" w:cs="Arial" w:eastAsia="Arial" w:hAnsi="Arial"/>
                <w:sz w:val="20"/>
                <w:szCs w:val="20"/>
                <w:color w:val="auto"/>
                <w:w w:val="99"/>
              </w:rPr>
              <w:t>0.1% — 0.2%</w:t>
            </w:r>
          </w:p>
        </w:tc>
        <w:tc>
          <w:tcPr>
            <w:tcW w:w="7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0.1%</w:t>
            </w:r>
          </w:p>
        </w:tc>
        <w:tc>
          <w:tcPr>
            <w:tcW w:w="980" w:type="dxa"/>
            <w:vAlign w:val="bottom"/>
            <w:shd w:val="clear" w:color="auto" w:fill="D2EDF0"/>
          </w:tcPr>
          <w:p>
            <w:pPr>
              <w:ind w:left="20"/>
              <w:spacing w:after="0"/>
              <w:rPr>
                <w:sz w:val="20"/>
                <w:szCs w:val="20"/>
                <w:color w:val="auto"/>
              </w:rPr>
            </w:pPr>
            <w:r>
              <w:rPr>
                <w:rFonts w:ascii="Arial" w:cs="Arial" w:eastAsia="Arial" w:hAnsi="Arial"/>
                <w:sz w:val="20"/>
                <w:szCs w:val="20"/>
                <w:color w:val="auto"/>
              </w:rPr>
              <w:t>— 0.9%</w:t>
            </w:r>
          </w:p>
        </w:tc>
      </w:tr>
      <w:tr>
        <w:trPr>
          <w:trHeight w:val="292"/>
        </w:trPr>
        <w:tc>
          <w:tcPr>
            <w:tcW w:w="3780" w:type="dxa"/>
            <w:vAlign w:val="bottom"/>
          </w:tcPr>
          <w:p>
            <w:pPr>
              <w:ind w:left="60"/>
              <w:spacing w:after="0"/>
              <w:rPr>
                <w:sz w:val="20"/>
                <w:szCs w:val="20"/>
                <w:color w:val="auto"/>
              </w:rPr>
            </w:pPr>
            <w:r>
              <w:rPr>
                <w:rFonts w:ascii="Arial" w:cs="Arial" w:eastAsia="Arial" w:hAnsi="Arial"/>
                <w:sz w:val="20"/>
                <w:szCs w:val="20"/>
                <w:color w:val="auto"/>
              </w:rPr>
              <w:t>Expected dividend yield</w:t>
            </w:r>
          </w:p>
        </w:tc>
        <w:tc>
          <w:tcPr>
            <w:tcW w:w="720" w:type="dxa"/>
            <w:vAlign w:val="bottom"/>
          </w:tcPr>
          <w:p>
            <w:pPr>
              <w:spacing w:after="0"/>
              <w:rPr>
                <w:sz w:val="24"/>
                <w:szCs w:val="24"/>
                <w:color w:val="auto"/>
              </w:rPr>
            </w:pPr>
          </w:p>
        </w:tc>
        <w:tc>
          <w:tcPr>
            <w:tcW w:w="960" w:type="dxa"/>
            <w:vAlign w:val="bottom"/>
          </w:tcPr>
          <w:p>
            <w:pPr>
              <w:jc w:val="center"/>
              <w:ind w:right="582"/>
              <w:spacing w:after="0"/>
              <w:rPr>
                <w:sz w:val="20"/>
                <w:szCs w:val="20"/>
                <w:color w:val="auto"/>
              </w:rPr>
            </w:pPr>
            <w:r>
              <w:rPr>
                <w:rFonts w:ascii="Arial" w:cs="Arial" w:eastAsia="Arial" w:hAnsi="Arial"/>
                <w:sz w:val="20"/>
                <w:szCs w:val="20"/>
                <w:color w:val="auto"/>
                <w:w w:val="99"/>
              </w:rPr>
              <w:t>—</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jc w:val="center"/>
              <w:ind w:right="600"/>
              <w:spacing w:after="0"/>
              <w:rPr>
                <w:sz w:val="20"/>
                <w:szCs w:val="20"/>
                <w:color w:val="auto"/>
              </w:rPr>
            </w:pPr>
            <w:r>
              <w:rPr>
                <w:rFonts w:ascii="Arial" w:cs="Arial" w:eastAsia="Arial" w:hAnsi="Arial"/>
                <w:sz w:val="20"/>
                <w:szCs w:val="20"/>
                <w:color w:val="auto"/>
                <w:w w:val="99"/>
              </w:rPr>
              <w:t>—</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jc w:val="center"/>
              <w:ind w:right="600"/>
              <w:spacing w:after="0"/>
              <w:rPr>
                <w:sz w:val="20"/>
                <w:szCs w:val="20"/>
                <w:color w:val="auto"/>
              </w:rPr>
            </w:pPr>
            <w:r>
              <w:rPr>
                <w:rFonts w:ascii="Arial" w:cs="Arial" w:eastAsia="Arial" w:hAnsi="Arial"/>
                <w:sz w:val="20"/>
                <w:szCs w:val="20"/>
                <w:color w:val="auto"/>
                <w:w w:val="99"/>
              </w:rPr>
              <w:t>—</w:t>
            </w:r>
          </w:p>
        </w:tc>
      </w:tr>
    </w:tbl>
    <w:p>
      <w:pPr>
        <w:spacing w:after="0" w:line="2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Business Combinations</w:t>
      </w:r>
    </w:p>
    <w:p>
      <w:pPr>
        <w:spacing w:after="0" w:line="249" w:lineRule="exact"/>
        <w:rPr>
          <w:sz w:val="20"/>
          <w:szCs w:val="20"/>
          <w:color w:val="auto"/>
        </w:rPr>
      </w:pPr>
    </w:p>
    <w:p>
      <w:pPr>
        <w:jc w:val="center"/>
        <w:ind w:right="280"/>
        <w:spacing w:after="0" w:line="314" w:lineRule="auto"/>
        <w:rPr>
          <w:sz w:val="20"/>
          <w:szCs w:val="20"/>
          <w:color w:val="auto"/>
        </w:rPr>
      </w:pPr>
      <w:r>
        <w:rPr>
          <w:rFonts w:ascii="Arial" w:cs="Arial" w:eastAsia="Arial" w:hAnsi="Arial"/>
          <w:sz w:val="19"/>
          <w:szCs w:val="19"/>
          <w:color w:val="auto"/>
        </w:rPr>
        <w:t>We account for business combinations by recognizing the fair value of acquired assets and liabilities. The excess purchase consideration over the fair value of acquired assets and liabilities is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880" w:h="15480" w:orient="portrait"/>
          <w:cols w:equalWidth="0" w:num="1">
            <w:col w:w="9000"/>
          </w:cols>
          <w:pgMar w:left="1440" w:top="1204" w:right="1440" w:bottom="0" w:gutter="0" w:footer="0" w:header="0"/>
          <w:type w:val="continuous"/>
        </w:sectPr>
      </w:pPr>
    </w:p>
    <w:bookmarkStart w:id="167" w:name="page168"/>
    <w:bookmarkEnd w:id="167"/>
    <w:p>
      <w:pPr>
        <w:ind w:right="180"/>
        <w:spacing w:after="0" w:line="253" w:lineRule="auto"/>
        <w:rPr>
          <w:sz w:val="20"/>
          <w:szCs w:val="20"/>
          <w:color w:val="auto"/>
        </w:rPr>
      </w:pPr>
      <w:r>
        <w:rPr>
          <w:rFonts w:ascii="Arial" w:cs="Arial" w:eastAsia="Arial" w:hAnsi="Arial"/>
          <w:sz w:val="20"/>
          <w:szCs w:val="20"/>
          <w:color w:val="auto"/>
        </w:rPr>
        <w:t>recorded as goodwill. When determining the fair value of assets acquired and liabilities assumed, a non-recurring Level 3 fair value measurement, we make estimates and assumptions, especially with respect to intangible assets such as identified acquired technology and trade names. We generally determine the fair value of acquired technology using the multi-period excess earnings method, a form of the income approach. Estimates in valuing identifiable intangible assets include, but are not limited to, projected revenue growth rates, obsolescence projections and an appropriate discount rate. Our estimate of fair value is based upon assumptions we believe to be reasonable, but which are inherently uncertain and, as a result, actual results may differ from estimates. During the measurement period, we may make adjustments to the fair value of assets acquired and liabilities assumed, with offsetting adjustments to goodwill. Any adjustments made after the measurement period will be reflected in the consolidated statements of operations. Acquisition-related transaction costs are expensed as incurred.</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Goodwill</w:t>
      </w:r>
    </w:p>
    <w:p>
      <w:pPr>
        <w:spacing w:after="0" w:line="249" w:lineRule="exact"/>
        <w:rPr>
          <w:sz w:val="20"/>
          <w:szCs w:val="20"/>
          <w:color w:val="auto"/>
        </w:rPr>
      </w:pPr>
    </w:p>
    <w:p>
      <w:pPr>
        <w:ind w:right="20" w:firstLine="360"/>
        <w:spacing w:after="0" w:line="255" w:lineRule="auto"/>
        <w:rPr>
          <w:sz w:val="20"/>
          <w:szCs w:val="20"/>
          <w:color w:val="auto"/>
        </w:rPr>
      </w:pPr>
      <w:r>
        <w:rPr>
          <w:rFonts w:ascii="Arial" w:cs="Arial" w:eastAsia="Arial" w:hAnsi="Arial"/>
          <w:sz w:val="20"/>
          <w:szCs w:val="20"/>
          <w:color w:val="auto"/>
        </w:rPr>
        <w:t>The excess purchase consideration over the fair value of acquired assets and liabilities is recorded as goodwill. We perform our annual impairment assessment on October 1, or more frequently, when events or circumstances indicate impairment may have occurred. We operate as one reporting unit and have elected to first assess qualitative factors to determine whether it is more likely than not that the fair value of the Company as a whole is less than its carrying amount, including goodwill. The qualitative assessment includes an evaluation of relevant events and circumstances, including macroeconomic, industry and market conditions, our overall financial performance, and trends in the value of our common stock. During the periods presented, there were no indications of impairment and it was not more likely than not that goodwill was impaired.</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Income Taxes</w:t>
      </w:r>
    </w:p>
    <w:p>
      <w:pPr>
        <w:spacing w:after="0" w:line="249" w:lineRule="exact"/>
        <w:rPr>
          <w:sz w:val="20"/>
          <w:szCs w:val="20"/>
          <w:color w:val="auto"/>
        </w:rPr>
      </w:pPr>
    </w:p>
    <w:p>
      <w:pPr>
        <w:ind w:right="40" w:firstLine="360"/>
        <w:spacing w:after="0" w:line="262" w:lineRule="auto"/>
        <w:rPr>
          <w:sz w:val="20"/>
          <w:szCs w:val="20"/>
          <w:color w:val="auto"/>
        </w:rPr>
      </w:pPr>
      <w:r>
        <w:rPr>
          <w:rFonts w:ascii="Arial" w:cs="Arial" w:eastAsia="Arial" w:hAnsi="Arial"/>
          <w:sz w:val="20"/>
          <w:szCs w:val="20"/>
          <w:color w:val="auto"/>
        </w:rPr>
        <w:t>We are subject to federal, state and local taxes in the United States as well as numerous international jurisdictions. These foreign jurisdictions have different statutory tax rates than the United States. Earnings generated by our international entities are related to transfer pricing requirements as applicable under local jurisdiction tax laws.</w:t>
      </w:r>
    </w:p>
    <w:p>
      <w:pPr>
        <w:spacing w:after="0" w:line="196" w:lineRule="exact"/>
        <w:rPr>
          <w:sz w:val="20"/>
          <w:szCs w:val="20"/>
          <w:color w:val="auto"/>
        </w:rPr>
      </w:pPr>
    </w:p>
    <w:p>
      <w:pPr>
        <w:ind w:right="100" w:firstLine="360"/>
        <w:spacing w:after="0" w:line="254" w:lineRule="auto"/>
        <w:rPr>
          <w:sz w:val="20"/>
          <w:szCs w:val="20"/>
          <w:color w:val="auto"/>
        </w:rPr>
      </w:pPr>
      <w:r>
        <w:rPr>
          <w:rFonts w:ascii="Arial" w:cs="Arial" w:eastAsia="Arial" w:hAnsi="Arial"/>
          <w:sz w:val="20"/>
          <w:szCs w:val="20"/>
          <w:color w:val="auto"/>
        </w:rPr>
        <w:t>We record a provision for income taxes under the asset and liability method, which requires recognition of deferred tax assets and liabilities for the expected future tax consequences of temporary differences between the financial statement carrying amounts and the tax basis of existing assets and liabilities, net operating loss carryforwards and tax credit carryforwards. Deferred tax assets and liabilities are measured using the tax rates that are expected to apply to taxable income for the years in which those tax assets and liabilities are expected to be realized or settled. A valuation allowance is provided if it is more likely than not that some or all of the deferred tax assets will not be realized. We have valuation allowances in all jurisdictions against deferred tax assets net of deferred tax liabilities that will reverse and provide a source of taxable income. Our evaluation of valuation allowances could change in the future and the impact could have a material impact on our financial statements.</w:t>
      </w:r>
    </w:p>
    <w:p>
      <w:pPr>
        <w:spacing w:after="0" w:line="203" w:lineRule="exact"/>
        <w:rPr>
          <w:sz w:val="20"/>
          <w:szCs w:val="20"/>
          <w:color w:val="auto"/>
        </w:rPr>
      </w:pPr>
    </w:p>
    <w:p>
      <w:pPr>
        <w:ind w:right="480" w:firstLine="360"/>
        <w:spacing w:after="0" w:line="268" w:lineRule="auto"/>
        <w:rPr>
          <w:sz w:val="20"/>
          <w:szCs w:val="20"/>
          <w:color w:val="auto"/>
        </w:rPr>
      </w:pPr>
      <w:r>
        <w:rPr>
          <w:rFonts w:ascii="Arial" w:cs="Arial" w:eastAsia="Arial" w:hAnsi="Arial"/>
          <w:sz w:val="20"/>
          <w:szCs w:val="20"/>
          <w:color w:val="auto"/>
        </w:rPr>
        <w:t>We recognize tax benefits from an uncertain tax position if it is more likely than not to be sustained upon audit by the relevant taxing authority. Interest and penalties associated with such uncertain tax positions are classified as a component of income tax expense.</w:t>
      </w:r>
    </w:p>
    <w:p>
      <w:pPr>
        <w:spacing w:after="0" w:line="190" w:lineRule="exact"/>
        <w:rPr>
          <w:sz w:val="20"/>
          <w:szCs w:val="20"/>
          <w:color w:val="auto"/>
        </w:rPr>
      </w:pPr>
    </w:p>
    <w:p>
      <w:pPr>
        <w:ind w:right="300" w:firstLine="360"/>
        <w:spacing w:after="0" w:line="262" w:lineRule="auto"/>
        <w:rPr>
          <w:sz w:val="20"/>
          <w:szCs w:val="20"/>
          <w:color w:val="auto"/>
        </w:rPr>
      </w:pPr>
      <w:r>
        <w:rPr>
          <w:rFonts w:ascii="Arial" w:cs="Arial" w:eastAsia="Arial" w:hAnsi="Arial"/>
          <w:sz w:val="20"/>
          <w:szCs w:val="20"/>
          <w:color w:val="auto"/>
        </w:rPr>
        <w:t>Depending on the jurisdiction, distributions of earnings could be subject to withholding taxes at rates applicable to the distributing jurisdiction. As we intend to continue to reinvest the earnings of foreign subsidiaries indefinitely, we have not provided for a U.S. income tax liability and foreign withholding taxes on undistributed foreign earnings of foreign subsidiaries.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880" w:h="15480" w:orient="portrait"/>
          <w:cols w:equalWidth="0" w:num="1">
            <w:col w:w="9000"/>
          </w:cols>
          <w:pgMar w:left="1440" w:top="1204" w:right="1440" w:bottom="0" w:gutter="0" w:footer="0" w:header="0"/>
          <w:type w:val="continuous"/>
        </w:sectPr>
      </w:pPr>
    </w:p>
    <w:bookmarkStart w:id="168" w:name="page169"/>
    <w:bookmarkEnd w:id="168"/>
    <w:p>
      <w:pPr>
        <w:spacing w:after="0"/>
        <w:tabs>
          <w:tab w:leader="none" w:pos="142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251" w:lineRule="exact"/>
        <w:rPr>
          <w:sz w:val="20"/>
          <w:szCs w:val="20"/>
          <w:color w:val="auto"/>
        </w:rPr>
      </w:pPr>
    </w:p>
    <w:p>
      <w:pPr>
        <w:ind w:right="380" w:firstLine="360"/>
        <w:spacing w:after="0" w:line="287" w:lineRule="auto"/>
        <w:rPr>
          <w:sz w:val="20"/>
          <w:szCs w:val="20"/>
          <w:color w:val="auto"/>
        </w:rPr>
      </w:pPr>
      <w:r>
        <w:rPr>
          <w:rFonts w:ascii="Arial" w:cs="Arial" w:eastAsia="Arial" w:hAnsi="Arial"/>
          <w:sz w:val="20"/>
          <w:szCs w:val="20"/>
          <w:color w:val="auto"/>
        </w:rPr>
        <w:t>We are exposed to market risks in the ordinary course of our business, including interest rate, foreign currency exchange and inflation risks.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Interest Rate Risk</w:t>
      </w:r>
    </w:p>
    <w:p>
      <w:pPr>
        <w:spacing w:after="0" w:line="249" w:lineRule="exact"/>
        <w:rPr>
          <w:sz w:val="20"/>
          <w:szCs w:val="20"/>
          <w:color w:val="auto"/>
        </w:rPr>
      </w:pPr>
    </w:p>
    <w:p>
      <w:pPr>
        <w:ind w:right="80" w:firstLine="360"/>
        <w:spacing w:after="0" w:line="254" w:lineRule="auto"/>
        <w:rPr>
          <w:sz w:val="20"/>
          <w:szCs w:val="20"/>
          <w:color w:val="auto"/>
        </w:rPr>
      </w:pPr>
      <w:r>
        <w:rPr>
          <w:rFonts w:ascii="Arial" w:cs="Arial" w:eastAsia="Arial" w:hAnsi="Arial"/>
          <w:sz w:val="20"/>
          <w:szCs w:val="20"/>
          <w:color w:val="auto"/>
        </w:rPr>
        <w:t>At December 31, 2022, we had $300.9 million of cash and cash equivalents, which consisted of cash deposits and money market funds. We also had $266.6 million of short-term investments, which consisted of commercial paper, asset backed securities, certificates of deposit, U.S. treasury and agency securities and corporate and supranational bonds. Our investments are carried at their fair market values with cumulative unrealized gains or losses recorded as a component of accumulated other comprehensive (loss) income within stockholders' equity.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w:t>
      </w:r>
    </w:p>
    <w:p>
      <w:pPr>
        <w:spacing w:after="0" w:line="203" w:lineRule="exact"/>
        <w:rPr>
          <w:sz w:val="20"/>
          <w:szCs w:val="20"/>
          <w:color w:val="auto"/>
        </w:rPr>
      </w:pPr>
    </w:p>
    <w:p>
      <w:pPr>
        <w:ind w:right="60" w:firstLine="360"/>
        <w:spacing w:after="0" w:line="256" w:lineRule="auto"/>
        <w:rPr>
          <w:sz w:val="20"/>
          <w:szCs w:val="20"/>
          <w:color w:val="auto"/>
        </w:rPr>
      </w:pPr>
      <w:r>
        <w:rPr>
          <w:rFonts w:ascii="Arial" w:cs="Arial" w:eastAsia="Arial" w:hAnsi="Arial"/>
          <w:sz w:val="20"/>
          <w:szCs w:val="20"/>
          <w:color w:val="auto"/>
        </w:rPr>
        <w:t>In July 2021, we entered into the Credit Agreement comprised of a $375.0 million Term Loan and a $50.0 million Revolving Credit Facility. Prior to January 31, 2022, the interest rate on the Term Loan was 3.25% (2.75% plus 0.50% LIBOR floor). From January 2022 through July 2022, July 2022 through October 2022, and October 2022 through January 2023, interest rates on our Term Loan were 3.27%, 5.56% and 7.16%, respectively. Effective January 31, 2023 through April 27, 2023, the Term Loan has a variable interest rate of 7.58%. A one percentage point increase in the rate would increase 2023 interest expense by $2.5 million.</w:t>
      </w:r>
    </w:p>
    <w:p>
      <w:pPr>
        <w:spacing w:after="0" w:line="203" w:lineRule="exact"/>
        <w:rPr>
          <w:sz w:val="20"/>
          <w:szCs w:val="20"/>
          <w:color w:val="auto"/>
        </w:rPr>
      </w:pPr>
    </w:p>
    <w:p>
      <w:pPr>
        <w:ind w:right="140" w:firstLine="360"/>
        <w:spacing w:after="0" w:line="262" w:lineRule="auto"/>
        <w:rPr>
          <w:sz w:val="20"/>
          <w:szCs w:val="20"/>
          <w:color w:val="auto"/>
        </w:rPr>
      </w:pPr>
      <w:r>
        <w:rPr>
          <w:rFonts w:ascii="Arial" w:cs="Arial" w:eastAsia="Arial" w:hAnsi="Arial"/>
          <w:sz w:val="20"/>
          <w:szCs w:val="20"/>
          <w:color w:val="auto"/>
        </w:rPr>
        <w:t>Because the United Kingdom Financial Conduct Authority, which regulates LIBOR, announced the desire to phase out the use of LIBOR by the middle of 2023, our borrowings in the second half of 2023 may be subject to the Secured Overnight Financing Rate, or SOFR, under the terms our Term Loan and Revolving Credit Facility.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Foreign Currency Exchange Risk</w:t>
      </w:r>
    </w:p>
    <w:p>
      <w:pPr>
        <w:spacing w:after="0" w:line="249" w:lineRule="exact"/>
        <w:rPr>
          <w:sz w:val="20"/>
          <w:szCs w:val="20"/>
          <w:color w:val="auto"/>
        </w:rPr>
      </w:pPr>
    </w:p>
    <w:p>
      <w:pPr>
        <w:ind w:right="20" w:firstLine="360"/>
        <w:spacing w:after="0" w:line="253" w:lineRule="auto"/>
        <w:rPr>
          <w:sz w:val="20"/>
          <w:szCs w:val="20"/>
          <w:color w:val="auto"/>
        </w:rPr>
      </w:pPr>
      <w:r>
        <w:rPr>
          <w:rFonts w:ascii="Arial" w:cs="Arial" w:eastAsia="Arial" w:hAnsi="Arial"/>
          <w:sz w:val="20"/>
          <w:szCs w:val="20"/>
          <w:color w:val="auto"/>
        </w:rPr>
        <w:t>Substantially all of our sales contracts are denominated in U.S. dollars, with a limited number of contracts denominated in foreign currencies, including foreign denominated leases. A portion of our operating expenses are incurred outside the United States, denominated in foreign currencies and subject to fluctuations due to changes in foreign currency exchange rates, particularly changes in the Euro, British Pound, Australian dollar, Israeli New Shekel and Indian Rupee. In 2022, the U.S. dollar strengthened compared to other currencies, which likely negatively impacted our international sales growth and lowered certain international operating expenses. Further strengthening of the U.S. dollar compared to other currencies could result in lower international sales as our products would seem more expensive and could result in lower international operating costs as the U.S. dollar is the functional currency for all of our international subsidiaries. Additionally, fluctuations in foreign currency exchange rates may cause us to recognize remeasurement and transaction gains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currencies becomes more significant.</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880" w:h="15480" w:orient="portrait"/>
          <w:cols w:equalWidth="0" w:num="1">
            <w:col w:w="9000"/>
          </w:cols>
          <w:pgMar w:left="1440" w:top="1203" w:right="1440" w:bottom="0" w:gutter="0" w:footer="0" w:header="0"/>
          <w:type w:val="continuous"/>
        </w:sectPr>
      </w:pPr>
    </w:p>
    <w:bookmarkStart w:id="169" w:name="page170"/>
    <w:bookmarkEnd w:id="169"/>
    <w:p>
      <w:pPr>
        <w:ind w:left="360"/>
        <w:spacing w:after="0"/>
        <w:rPr>
          <w:sz w:val="20"/>
          <w:szCs w:val="20"/>
          <w:color w:val="auto"/>
        </w:rPr>
      </w:pPr>
      <w:r>
        <w:rPr>
          <w:rFonts w:ascii="Arial" w:cs="Arial" w:eastAsia="Arial" w:hAnsi="Arial"/>
          <w:sz w:val="20"/>
          <w:szCs w:val="20"/>
          <w:b w:val="1"/>
          <w:bCs w:val="1"/>
          <w:i w:val="1"/>
          <w:iCs w:val="1"/>
          <w:color w:val="auto"/>
        </w:rPr>
        <w:t>Inflation Risk</w:t>
      </w:r>
    </w:p>
    <w:p>
      <w:pPr>
        <w:spacing w:after="0" w:line="249" w:lineRule="exact"/>
        <w:rPr>
          <w:sz w:val="20"/>
          <w:szCs w:val="20"/>
          <w:color w:val="auto"/>
        </w:rPr>
      </w:pPr>
    </w:p>
    <w:p>
      <w:pPr>
        <w:ind w:firstLine="360"/>
        <w:spacing w:after="0" w:line="259" w:lineRule="auto"/>
        <w:rPr>
          <w:sz w:val="20"/>
          <w:szCs w:val="20"/>
          <w:color w:val="auto"/>
        </w:rPr>
      </w:pPr>
      <w:r>
        <w:rPr>
          <w:rFonts w:ascii="Arial" w:cs="Arial" w:eastAsia="Arial" w:hAnsi="Arial"/>
          <w:sz w:val="20"/>
          <w:szCs w:val="20"/>
          <w:color w:val="auto"/>
        </w:rPr>
        <w:t>We do not believe that inflation has had a material effect on our business, results of operations, or financial condition through December 31, 2022. However, if our costs, specifically employee-related and third-party cloud infrastructure costs, were to become subject to significant inflationary pressures, we may not be able to fully offset such higher costs, and our inability or failure to do so could harm our business, results of operations, or financial condition.</w:t>
      </w:r>
    </w:p>
    <w:p>
      <w:pPr>
        <w:sectPr>
          <w:pgSz w:w="11880" w:h="15480" w:orient="portrait"/>
          <w:cols w:equalWidth="0" w:num="1">
            <w:col w:w="9000"/>
          </w:cols>
          <w:pgMar w:left="1440" w:top="12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880" w:h="15480" w:orient="portrait"/>
          <w:cols w:equalWidth="0" w:num="1">
            <w:col w:w="9000"/>
          </w:cols>
          <w:pgMar w:left="1440" w:top="1205" w:right="1440" w:bottom="0" w:gutter="0" w:footer="0" w:header="0"/>
          <w:type w:val="continuous"/>
        </w:sectPr>
      </w:pPr>
    </w:p>
    <w:bookmarkStart w:id="170" w:name="page171"/>
    <w:bookmarkEnd w:id="170"/>
    <w:tbl>
      <w:tblPr>
        <w:tblLayout w:type="fixed"/>
        <w:tblInd w:w="0" w:type="dxa"/>
        <w:tblCellMar>
          <w:top w:w="0" w:type="dxa"/>
          <w:left w:w="0" w:type="dxa"/>
          <w:bottom w:w="0" w:type="dxa"/>
          <w:right w:w="0" w:type="dxa"/>
        </w:tblCellMar>
      </w:tblPr>
      <w:tr>
        <w:trPr>
          <w:trHeight w:val="276"/>
        </w:trPr>
        <w:tc>
          <w:tcPr>
            <w:tcW w:w="1380" w:type="dxa"/>
            <w:vAlign w:val="bottom"/>
            <w:gridSpan w:val="2"/>
          </w:tcPr>
          <w:p>
            <w:pPr>
              <w:spacing w:after="0"/>
              <w:rPr>
                <w:sz w:val="20"/>
                <w:szCs w:val="20"/>
                <w:color w:val="auto"/>
              </w:rPr>
            </w:pPr>
            <w:r>
              <w:rPr>
                <w:rFonts w:ascii="Arial" w:cs="Arial" w:eastAsia="Arial" w:hAnsi="Arial"/>
                <w:sz w:val="20"/>
                <w:szCs w:val="20"/>
                <w:b w:val="1"/>
                <w:bCs w:val="1"/>
                <w:color w:val="auto"/>
              </w:rPr>
              <w:t>Item 8.</w:t>
            </w:r>
          </w:p>
        </w:tc>
        <w:tc>
          <w:tcPr>
            <w:tcW w:w="6380" w:type="dxa"/>
            <w:vAlign w:val="bottom"/>
          </w:tcPr>
          <w:p>
            <w:pPr>
              <w:ind w:left="60"/>
              <w:spacing w:after="0"/>
              <w:rPr>
                <w:sz w:val="20"/>
                <w:szCs w:val="20"/>
                <w:color w:val="auto"/>
              </w:rPr>
            </w:pPr>
            <w:r>
              <w:rPr>
                <w:rFonts w:ascii="Arial" w:cs="Arial" w:eastAsia="Arial" w:hAnsi="Arial"/>
                <w:sz w:val="20"/>
                <w:szCs w:val="20"/>
                <w:b w:val="1"/>
                <w:bCs w:val="1"/>
                <w:color w:val="auto"/>
              </w:rPr>
              <w:t>Financial Statements and Supplementary Data</w:t>
            </w:r>
          </w:p>
        </w:tc>
        <w:tc>
          <w:tcPr>
            <w:tcW w:w="1140" w:type="dxa"/>
            <w:vAlign w:val="bottom"/>
          </w:tcPr>
          <w:p>
            <w:pPr>
              <w:spacing w:after="0"/>
              <w:rPr>
                <w:sz w:val="24"/>
                <w:szCs w:val="24"/>
                <w:color w:val="auto"/>
              </w:rPr>
            </w:pPr>
          </w:p>
        </w:tc>
      </w:tr>
      <w:tr>
        <w:trPr>
          <w:trHeight w:val="480"/>
        </w:trPr>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380" w:type="dxa"/>
            <w:vAlign w:val="bottom"/>
          </w:tcPr>
          <w:p>
            <w:pPr>
              <w:ind w:left="560"/>
              <w:spacing w:after="0"/>
              <w:rPr>
                <w:sz w:val="20"/>
                <w:szCs w:val="20"/>
                <w:color w:val="auto"/>
              </w:rPr>
            </w:pPr>
            <w:r>
              <w:rPr>
                <w:rFonts w:ascii="Arial" w:cs="Arial" w:eastAsia="Arial" w:hAnsi="Arial"/>
                <w:sz w:val="20"/>
                <w:szCs w:val="20"/>
                <w:b w:val="1"/>
                <w:bCs w:val="1"/>
                <w:color w:val="auto"/>
              </w:rPr>
              <w:t>INDEX TO CONSOLIDATED FINANCIAL STATEMENTS</w:t>
            </w:r>
          </w:p>
        </w:tc>
        <w:tc>
          <w:tcPr>
            <w:tcW w:w="1140" w:type="dxa"/>
            <w:vAlign w:val="bottom"/>
          </w:tcPr>
          <w:p>
            <w:pPr>
              <w:spacing w:after="0"/>
              <w:rPr>
                <w:sz w:val="24"/>
                <w:szCs w:val="24"/>
                <w:color w:val="auto"/>
              </w:rPr>
            </w:pPr>
          </w:p>
        </w:tc>
      </w:tr>
      <w:tr>
        <w:trPr>
          <w:trHeight w:val="412"/>
        </w:trPr>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140" w:type="dxa"/>
            <w:vAlign w:val="bottom"/>
          </w:tcPr>
          <w:p>
            <w:pPr>
              <w:ind w:left="680"/>
              <w:spacing w:after="0"/>
              <w:rPr>
                <w:sz w:val="20"/>
                <w:szCs w:val="20"/>
                <w:color w:val="auto"/>
              </w:rPr>
            </w:pPr>
            <w:r>
              <w:rPr>
                <w:rFonts w:ascii="Arial" w:cs="Arial" w:eastAsia="Arial" w:hAnsi="Arial"/>
                <w:sz w:val="20"/>
                <w:szCs w:val="20"/>
                <w:color w:val="auto"/>
                <w:w w:val="94"/>
              </w:rPr>
              <w:t>Page</w:t>
            </w:r>
          </w:p>
        </w:tc>
      </w:tr>
      <w:tr>
        <w:trPr>
          <w:trHeight w:val="600"/>
        </w:trPr>
        <w:tc>
          <w:tcPr>
            <w:tcW w:w="7760" w:type="dxa"/>
            <w:vAlign w:val="bottom"/>
            <w:gridSpan w:val="3"/>
          </w:tcPr>
          <w:p>
            <w:pPr>
              <w:ind w:left="60"/>
              <w:spacing w:after="0"/>
              <w:rPr>
                <w:sz w:val="20"/>
                <w:szCs w:val="20"/>
                <w:color w:val="auto"/>
              </w:rPr>
            </w:pPr>
            <w:r>
              <w:rPr>
                <w:rFonts w:ascii="Arial" w:cs="Arial" w:eastAsia="Arial" w:hAnsi="Arial"/>
                <w:sz w:val="20"/>
                <w:szCs w:val="20"/>
                <w:color w:val="auto"/>
              </w:rPr>
              <w:t>Reports of Independent Registered Public Accounting Firm</w:t>
            </w:r>
          </w:p>
        </w:tc>
        <w:tc>
          <w:tcPr>
            <w:tcW w:w="1140" w:type="dxa"/>
            <w:vAlign w:val="bottom"/>
          </w:tcPr>
          <w:p>
            <w:pPr>
              <w:ind w:left="680"/>
              <w:spacing w:after="0"/>
              <w:rPr>
                <w:sz w:val="20"/>
                <w:szCs w:val="20"/>
                <w:color w:val="auto"/>
              </w:rPr>
            </w:pPr>
            <w:r>
              <w:rPr>
                <w:rFonts w:ascii="Arial" w:cs="Arial" w:eastAsia="Arial" w:hAnsi="Arial"/>
                <w:sz w:val="20"/>
                <w:szCs w:val="20"/>
                <w:color w:val="auto"/>
              </w:rPr>
              <w:t>80</w:t>
            </w:r>
          </w:p>
        </w:tc>
      </w:tr>
      <w:tr>
        <w:trPr>
          <w:trHeight w:val="300"/>
        </w:trPr>
        <w:tc>
          <w:tcPr>
            <w:tcW w:w="7760" w:type="dxa"/>
            <w:vAlign w:val="bottom"/>
            <w:gridSpan w:val="3"/>
          </w:tcPr>
          <w:p>
            <w:pPr>
              <w:ind w:left="60"/>
              <w:spacing w:after="0"/>
              <w:rPr>
                <w:sz w:val="20"/>
                <w:szCs w:val="20"/>
                <w:color w:val="auto"/>
              </w:rPr>
            </w:pPr>
            <w:r>
              <w:rPr>
                <w:rFonts w:ascii="Arial" w:cs="Arial" w:eastAsia="Arial" w:hAnsi="Arial"/>
                <w:sz w:val="20"/>
                <w:szCs w:val="20"/>
                <w:color w:val="auto"/>
              </w:rPr>
              <w:t>Financial Statements</w:t>
            </w:r>
          </w:p>
        </w:tc>
        <w:tc>
          <w:tcPr>
            <w:tcW w:w="1140" w:type="dxa"/>
            <w:vAlign w:val="bottom"/>
          </w:tcPr>
          <w:p>
            <w:pPr>
              <w:spacing w:after="0"/>
              <w:rPr>
                <w:sz w:val="24"/>
                <w:szCs w:val="24"/>
                <w:color w:val="auto"/>
              </w:rPr>
            </w:pPr>
          </w:p>
        </w:tc>
      </w:tr>
      <w:tr>
        <w:trPr>
          <w:trHeight w:val="300"/>
        </w:trPr>
        <w:tc>
          <w:tcPr>
            <w:tcW w:w="7760" w:type="dxa"/>
            <w:vAlign w:val="bottom"/>
            <w:gridSpan w:val="3"/>
          </w:tcPr>
          <w:p>
            <w:pPr>
              <w:ind w:left="60"/>
              <w:spacing w:after="0"/>
              <w:rPr>
                <w:sz w:val="20"/>
                <w:szCs w:val="20"/>
                <w:color w:val="auto"/>
              </w:rPr>
            </w:pPr>
            <w:r>
              <w:rPr>
                <w:rFonts w:ascii="Arial" w:cs="Arial" w:eastAsia="Arial" w:hAnsi="Arial"/>
                <w:sz w:val="20"/>
                <w:szCs w:val="20"/>
                <w:color w:val="auto"/>
              </w:rPr>
              <w:t>Consolidated Balance Sheets</w:t>
            </w:r>
          </w:p>
        </w:tc>
        <w:tc>
          <w:tcPr>
            <w:tcW w:w="1140" w:type="dxa"/>
            <w:vAlign w:val="bottom"/>
          </w:tcPr>
          <w:p>
            <w:pPr>
              <w:ind w:left="680"/>
              <w:spacing w:after="0"/>
              <w:rPr>
                <w:sz w:val="20"/>
                <w:szCs w:val="20"/>
                <w:color w:val="auto"/>
              </w:rPr>
            </w:pPr>
            <w:r>
              <w:rPr>
                <w:rFonts w:ascii="Arial" w:cs="Arial" w:eastAsia="Arial" w:hAnsi="Arial"/>
                <w:sz w:val="20"/>
                <w:szCs w:val="20"/>
                <w:color w:val="auto"/>
              </w:rPr>
              <w:t>85</w:t>
            </w:r>
          </w:p>
        </w:tc>
      </w:tr>
      <w:tr>
        <w:trPr>
          <w:trHeight w:val="300"/>
        </w:trPr>
        <w:tc>
          <w:tcPr>
            <w:tcW w:w="7760" w:type="dxa"/>
            <w:vAlign w:val="bottom"/>
            <w:gridSpan w:val="3"/>
          </w:tcPr>
          <w:p>
            <w:pPr>
              <w:ind w:left="60"/>
              <w:spacing w:after="0"/>
              <w:rPr>
                <w:sz w:val="20"/>
                <w:szCs w:val="20"/>
                <w:color w:val="auto"/>
              </w:rPr>
            </w:pPr>
            <w:r>
              <w:rPr>
                <w:rFonts w:ascii="Arial" w:cs="Arial" w:eastAsia="Arial" w:hAnsi="Arial"/>
                <w:sz w:val="20"/>
                <w:szCs w:val="20"/>
                <w:color w:val="auto"/>
              </w:rPr>
              <w:t>Consolidated Statements of Operations</w:t>
            </w:r>
          </w:p>
        </w:tc>
        <w:tc>
          <w:tcPr>
            <w:tcW w:w="1140" w:type="dxa"/>
            <w:vAlign w:val="bottom"/>
          </w:tcPr>
          <w:p>
            <w:pPr>
              <w:ind w:left="680"/>
              <w:spacing w:after="0"/>
              <w:rPr>
                <w:sz w:val="20"/>
                <w:szCs w:val="20"/>
                <w:color w:val="auto"/>
              </w:rPr>
            </w:pPr>
            <w:r>
              <w:rPr>
                <w:rFonts w:ascii="Arial" w:cs="Arial" w:eastAsia="Arial" w:hAnsi="Arial"/>
                <w:sz w:val="20"/>
                <w:szCs w:val="20"/>
                <w:color w:val="auto"/>
              </w:rPr>
              <w:t>86</w:t>
            </w:r>
          </w:p>
        </w:tc>
      </w:tr>
      <w:tr>
        <w:trPr>
          <w:trHeight w:val="300"/>
        </w:trPr>
        <w:tc>
          <w:tcPr>
            <w:tcW w:w="7760" w:type="dxa"/>
            <w:vAlign w:val="bottom"/>
            <w:gridSpan w:val="3"/>
          </w:tcPr>
          <w:p>
            <w:pPr>
              <w:ind w:left="60"/>
              <w:spacing w:after="0"/>
              <w:rPr>
                <w:sz w:val="20"/>
                <w:szCs w:val="20"/>
                <w:color w:val="auto"/>
              </w:rPr>
            </w:pPr>
            <w:r>
              <w:rPr>
                <w:rFonts w:ascii="Arial" w:cs="Arial" w:eastAsia="Arial" w:hAnsi="Arial"/>
                <w:sz w:val="20"/>
                <w:szCs w:val="20"/>
                <w:color w:val="auto"/>
              </w:rPr>
              <w:t>Consolidated Statements of Comprehensive Loss</w:t>
            </w:r>
          </w:p>
        </w:tc>
        <w:tc>
          <w:tcPr>
            <w:tcW w:w="1140" w:type="dxa"/>
            <w:vAlign w:val="bottom"/>
          </w:tcPr>
          <w:p>
            <w:pPr>
              <w:ind w:left="680"/>
              <w:spacing w:after="0"/>
              <w:rPr>
                <w:sz w:val="20"/>
                <w:szCs w:val="20"/>
                <w:color w:val="auto"/>
              </w:rPr>
            </w:pPr>
            <w:r>
              <w:rPr>
                <w:rFonts w:ascii="Arial" w:cs="Arial" w:eastAsia="Arial" w:hAnsi="Arial"/>
                <w:sz w:val="20"/>
                <w:szCs w:val="20"/>
                <w:color w:val="auto"/>
              </w:rPr>
              <w:t>87</w:t>
            </w:r>
          </w:p>
        </w:tc>
      </w:tr>
      <w:tr>
        <w:trPr>
          <w:trHeight w:val="300"/>
        </w:trPr>
        <w:tc>
          <w:tcPr>
            <w:tcW w:w="7760" w:type="dxa"/>
            <w:vAlign w:val="bottom"/>
            <w:gridSpan w:val="3"/>
          </w:tcPr>
          <w:p>
            <w:pPr>
              <w:ind w:left="60"/>
              <w:spacing w:after="0"/>
              <w:rPr>
                <w:sz w:val="20"/>
                <w:szCs w:val="20"/>
                <w:color w:val="auto"/>
              </w:rPr>
            </w:pPr>
            <w:r>
              <w:rPr>
                <w:rFonts w:ascii="Arial" w:cs="Arial" w:eastAsia="Arial" w:hAnsi="Arial"/>
                <w:sz w:val="20"/>
                <w:szCs w:val="20"/>
                <w:color w:val="auto"/>
              </w:rPr>
              <w:t>Consolidated Statements of Stockholders' Equity</w:t>
            </w:r>
          </w:p>
        </w:tc>
        <w:tc>
          <w:tcPr>
            <w:tcW w:w="1140" w:type="dxa"/>
            <w:vAlign w:val="bottom"/>
          </w:tcPr>
          <w:p>
            <w:pPr>
              <w:ind w:left="680"/>
              <w:spacing w:after="0"/>
              <w:rPr>
                <w:sz w:val="20"/>
                <w:szCs w:val="20"/>
                <w:color w:val="auto"/>
              </w:rPr>
            </w:pPr>
            <w:r>
              <w:rPr>
                <w:rFonts w:ascii="Arial" w:cs="Arial" w:eastAsia="Arial" w:hAnsi="Arial"/>
                <w:sz w:val="20"/>
                <w:szCs w:val="20"/>
                <w:color w:val="auto"/>
              </w:rPr>
              <w:t>88</w:t>
            </w:r>
          </w:p>
        </w:tc>
      </w:tr>
      <w:tr>
        <w:trPr>
          <w:trHeight w:val="300"/>
        </w:trPr>
        <w:tc>
          <w:tcPr>
            <w:tcW w:w="7760" w:type="dxa"/>
            <w:vAlign w:val="bottom"/>
            <w:gridSpan w:val="3"/>
          </w:tcPr>
          <w:p>
            <w:pPr>
              <w:ind w:left="60"/>
              <w:spacing w:after="0"/>
              <w:rPr>
                <w:sz w:val="20"/>
                <w:szCs w:val="20"/>
                <w:color w:val="auto"/>
              </w:rPr>
            </w:pPr>
            <w:r>
              <w:rPr>
                <w:rFonts w:ascii="Arial" w:cs="Arial" w:eastAsia="Arial" w:hAnsi="Arial"/>
                <w:sz w:val="20"/>
                <w:szCs w:val="20"/>
                <w:color w:val="auto"/>
              </w:rPr>
              <w:t>Consolidated Statements of Cash Flows</w:t>
            </w:r>
          </w:p>
        </w:tc>
        <w:tc>
          <w:tcPr>
            <w:tcW w:w="1140" w:type="dxa"/>
            <w:vAlign w:val="bottom"/>
          </w:tcPr>
          <w:p>
            <w:pPr>
              <w:ind w:left="680"/>
              <w:spacing w:after="0"/>
              <w:rPr>
                <w:sz w:val="20"/>
                <w:szCs w:val="20"/>
                <w:color w:val="auto"/>
              </w:rPr>
            </w:pPr>
            <w:r>
              <w:rPr>
                <w:rFonts w:ascii="Arial" w:cs="Arial" w:eastAsia="Arial" w:hAnsi="Arial"/>
                <w:sz w:val="20"/>
                <w:szCs w:val="20"/>
                <w:color w:val="auto"/>
              </w:rPr>
              <w:t>89</w:t>
            </w:r>
          </w:p>
        </w:tc>
      </w:tr>
      <w:tr>
        <w:trPr>
          <w:trHeight w:val="300"/>
        </w:trPr>
        <w:tc>
          <w:tcPr>
            <w:tcW w:w="7760" w:type="dxa"/>
            <w:vAlign w:val="bottom"/>
            <w:gridSpan w:val="3"/>
          </w:tcPr>
          <w:p>
            <w:pPr>
              <w:ind w:left="60"/>
              <w:spacing w:after="0"/>
              <w:rPr>
                <w:sz w:val="20"/>
                <w:szCs w:val="20"/>
                <w:color w:val="auto"/>
              </w:rPr>
            </w:pPr>
            <w:r>
              <w:rPr>
                <w:rFonts w:ascii="Arial" w:cs="Arial" w:eastAsia="Arial" w:hAnsi="Arial"/>
                <w:sz w:val="20"/>
                <w:szCs w:val="20"/>
                <w:color w:val="auto"/>
              </w:rPr>
              <w:t>Notes to Consolidated Financial Statements</w:t>
            </w:r>
          </w:p>
        </w:tc>
        <w:tc>
          <w:tcPr>
            <w:tcW w:w="1140" w:type="dxa"/>
            <w:vAlign w:val="bottom"/>
          </w:tcPr>
          <w:p>
            <w:pPr>
              <w:ind w:left="680"/>
              <w:spacing w:after="0"/>
              <w:rPr>
                <w:sz w:val="20"/>
                <w:szCs w:val="20"/>
                <w:color w:val="auto"/>
              </w:rPr>
            </w:pPr>
            <w:r>
              <w:rPr>
                <w:rFonts w:ascii="Arial" w:cs="Arial" w:eastAsia="Arial" w:hAnsi="Arial"/>
                <w:sz w:val="20"/>
                <w:szCs w:val="20"/>
                <w:color w:val="auto"/>
              </w:rPr>
              <w:t>90</w:t>
            </w:r>
          </w:p>
        </w:tc>
      </w:tr>
      <w:tr>
        <w:trPr>
          <w:trHeight w:val="300"/>
        </w:trPr>
        <w:tc>
          <w:tcPr>
            <w:tcW w:w="480" w:type="dxa"/>
            <w:vAlign w:val="bottom"/>
          </w:tcPr>
          <w:p>
            <w:pPr>
              <w:ind w:left="280"/>
              <w:spacing w:after="0"/>
              <w:rPr>
                <w:sz w:val="20"/>
                <w:szCs w:val="20"/>
                <w:color w:val="auto"/>
              </w:rPr>
            </w:pPr>
            <w:r>
              <w:rPr>
                <w:rFonts w:ascii="Arial" w:cs="Arial" w:eastAsia="Arial" w:hAnsi="Arial"/>
                <w:sz w:val="20"/>
                <w:szCs w:val="20"/>
                <w:color w:val="auto"/>
              </w:rPr>
              <w:t>1.</w:t>
            </w:r>
          </w:p>
        </w:tc>
        <w:tc>
          <w:tcPr>
            <w:tcW w:w="7280" w:type="dxa"/>
            <w:vAlign w:val="bottom"/>
            <w:gridSpan w:val="2"/>
          </w:tcPr>
          <w:p>
            <w:pPr>
              <w:ind w:left="20"/>
              <w:spacing w:after="0"/>
              <w:rPr>
                <w:sz w:val="20"/>
                <w:szCs w:val="20"/>
                <w:color w:val="auto"/>
              </w:rPr>
            </w:pPr>
            <w:r>
              <w:rPr>
                <w:rFonts w:ascii="Arial" w:cs="Arial" w:eastAsia="Arial" w:hAnsi="Arial"/>
                <w:sz w:val="20"/>
                <w:szCs w:val="20"/>
                <w:color w:val="auto"/>
              </w:rPr>
              <w:t>Business and Summary of Significant Accounting Policies</w:t>
            </w:r>
          </w:p>
        </w:tc>
        <w:tc>
          <w:tcPr>
            <w:tcW w:w="1140" w:type="dxa"/>
            <w:vAlign w:val="bottom"/>
          </w:tcPr>
          <w:p>
            <w:pPr>
              <w:ind w:left="680"/>
              <w:spacing w:after="0"/>
              <w:rPr>
                <w:sz w:val="20"/>
                <w:szCs w:val="20"/>
                <w:color w:val="auto"/>
              </w:rPr>
            </w:pPr>
            <w:r>
              <w:rPr>
                <w:rFonts w:ascii="Arial" w:cs="Arial" w:eastAsia="Arial" w:hAnsi="Arial"/>
                <w:sz w:val="20"/>
                <w:szCs w:val="20"/>
                <w:color w:val="auto"/>
              </w:rPr>
              <w:t>90</w:t>
            </w:r>
          </w:p>
        </w:tc>
      </w:tr>
      <w:tr>
        <w:trPr>
          <w:trHeight w:val="300"/>
        </w:trPr>
        <w:tc>
          <w:tcPr>
            <w:tcW w:w="480" w:type="dxa"/>
            <w:vAlign w:val="bottom"/>
          </w:tcPr>
          <w:p>
            <w:pPr>
              <w:ind w:left="280"/>
              <w:spacing w:after="0"/>
              <w:rPr>
                <w:sz w:val="20"/>
                <w:szCs w:val="20"/>
                <w:color w:val="auto"/>
              </w:rPr>
            </w:pPr>
            <w:r>
              <w:rPr>
                <w:rFonts w:ascii="Arial" w:cs="Arial" w:eastAsia="Arial" w:hAnsi="Arial"/>
                <w:sz w:val="20"/>
                <w:szCs w:val="20"/>
                <w:color w:val="auto"/>
              </w:rPr>
              <w:t>2.</w:t>
            </w:r>
          </w:p>
        </w:tc>
        <w:tc>
          <w:tcPr>
            <w:tcW w:w="900" w:type="dxa"/>
            <w:vAlign w:val="bottom"/>
          </w:tcPr>
          <w:p>
            <w:pPr>
              <w:ind w:left="20"/>
              <w:spacing w:after="0"/>
              <w:rPr>
                <w:sz w:val="20"/>
                <w:szCs w:val="20"/>
                <w:color w:val="auto"/>
              </w:rPr>
            </w:pPr>
            <w:r>
              <w:rPr>
                <w:rFonts w:ascii="Arial" w:cs="Arial" w:eastAsia="Arial" w:hAnsi="Arial"/>
                <w:sz w:val="20"/>
                <w:szCs w:val="20"/>
                <w:color w:val="auto"/>
              </w:rPr>
              <w:t>Revenue</w:t>
            </w:r>
          </w:p>
        </w:tc>
        <w:tc>
          <w:tcPr>
            <w:tcW w:w="6380" w:type="dxa"/>
            <w:vAlign w:val="bottom"/>
          </w:tcPr>
          <w:p>
            <w:pPr>
              <w:spacing w:after="0"/>
              <w:rPr>
                <w:sz w:val="24"/>
                <w:szCs w:val="24"/>
                <w:color w:val="auto"/>
              </w:rPr>
            </w:pPr>
          </w:p>
        </w:tc>
        <w:tc>
          <w:tcPr>
            <w:tcW w:w="1140" w:type="dxa"/>
            <w:vAlign w:val="bottom"/>
          </w:tcPr>
          <w:p>
            <w:pPr>
              <w:ind w:left="680"/>
              <w:spacing w:after="0"/>
              <w:rPr>
                <w:sz w:val="20"/>
                <w:szCs w:val="20"/>
                <w:color w:val="auto"/>
              </w:rPr>
            </w:pPr>
            <w:r>
              <w:rPr>
                <w:rFonts w:ascii="Arial" w:cs="Arial" w:eastAsia="Arial" w:hAnsi="Arial"/>
                <w:sz w:val="20"/>
                <w:szCs w:val="20"/>
                <w:color w:val="auto"/>
              </w:rPr>
              <w:t>97</w:t>
            </w:r>
          </w:p>
        </w:tc>
      </w:tr>
      <w:tr>
        <w:trPr>
          <w:trHeight w:val="300"/>
        </w:trPr>
        <w:tc>
          <w:tcPr>
            <w:tcW w:w="7760" w:type="dxa"/>
            <w:vAlign w:val="bottom"/>
            <w:gridSpan w:val="3"/>
          </w:tcPr>
          <w:p>
            <w:pPr>
              <w:ind w:left="300"/>
              <w:spacing w:after="0"/>
              <w:rPr>
                <w:sz w:val="20"/>
                <w:szCs w:val="20"/>
                <w:color w:val="auto"/>
              </w:rPr>
            </w:pPr>
            <w:r>
              <w:rPr>
                <w:rFonts w:ascii="Arial" w:cs="Arial" w:eastAsia="Arial" w:hAnsi="Arial"/>
                <w:sz w:val="20"/>
                <w:szCs w:val="20"/>
                <w:color w:val="auto"/>
              </w:rPr>
              <w:t>3. Cash Equivalents and Short-Term Investments</w:t>
            </w:r>
          </w:p>
        </w:tc>
        <w:tc>
          <w:tcPr>
            <w:tcW w:w="1140" w:type="dxa"/>
            <w:vAlign w:val="bottom"/>
          </w:tcPr>
          <w:p>
            <w:pPr>
              <w:ind w:left="680"/>
              <w:spacing w:after="0"/>
              <w:rPr>
                <w:sz w:val="20"/>
                <w:szCs w:val="20"/>
                <w:color w:val="auto"/>
              </w:rPr>
            </w:pPr>
            <w:r>
              <w:rPr>
                <w:rFonts w:ascii="Arial" w:cs="Arial" w:eastAsia="Arial" w:hAnsi="Arial"/>
                <w:sz w:val="20"/>
                <w:szCs w:val="20"/>
                <w:color w:val="auto"/>
              </w:rPr>
              <w:t>98</w:t>
            </w:r>
          </w:p>
        </w:tc>
      </w:tr>
      <w:tr>
        <w:trPr>
          <w:trHeight w:val="300"/>
        </w:trPr>
        <w:tc>
          <w:tcPr>
            <w:tcW w:w="480" w:type="dxa"/>
            <w:vAlign w:val="bottom"/>
          </w:tcPr>
          <w:p>
            <w:pPr>
              <w:ind w:left="280"/>
              <w:spacing w:after="0"/>
              <w:rPr>
                <w:sz w:val="20"/>
                <w:szCs w:val="20"/>
                <w:color w:val="auto"/>
              </w:rPr>
            </w:pPr>
            <w:r>
              <w:rPr>
                <w:rFonts w:ascii="Arial" w:cs="Arial" w:eastAsia="Arial" w:hAnsi="Arial"/>
                <w:sz w:val="20"/>
                <w:szCs w:val="20"/>
                <w:color w:val="auto"/>
              </w:rPr>
              <w:t>4.</w:t>
            </w:r>
          </w:p>
        </w:tc>
        <w:tc>
          <w:tcPr>
            <w:tcW w:w="7280" w:type="dxa"/>
            <w:vAlign w:val="bottom"/>
            <w:gridSpan w:val="2"/>
          </w:tcPr>
          <w:p>
            <w:pPr>
              <w:ind w:left="20"/>
              <w:spacing w:after="0"/>
              <w:rPr>
                <w:sz w:val="20"/>
                <w:szCs w:val="20"/>
                <w:color w:val="auto"/>
              </w:rPr>
            </w:pPr>
            <w:r>
              <w:rPr>
                <w:rFonts w:ascii="Arial" w:cs="Arial" w:eastAsia="Arial" w:hAnsi="Arial"/>
                <w:sz w:val="20"/>
                <w:szCs w:val="20"/>
                <w:color w:val="auto"/>
              </w:rPr>
              <w:t>Fair Value Measurements</w:t>
            </w:r>
          </w:p>
        </w:tc>
        <w:tc>
          <w:tcPr>
            <w:tcW w:w="1140" w:type="dxa"/>
            <w:vAlign w:val="bottom"/>
          </w:tcPr>
          <w:p>
            <w:pPr>
              <w:ind w:left="680"/>
              <w:spacing w:after="0"/>
              <w:rPr>
                <w:sz w:val="20"/>
                <w:szCs w:val="20"/>
                <w:color w:val="auto"/>
              </w:rPr>
            </w:pPr>
            <w:r>
              <w:rPr>
                <w:rFonts w:ascii="Arial" w:cs="Arial" w:eastAsia="Arial" w:hAnsi="Arial"/>
                <w:sz w:val="20"/>
                <w:szCs w:val="20"/>
                <w:color w:val="auto"/>
              </w:rPr>
              <w:t>99</w:t>
            </w:r>
          </w:p>
        </w:tc>
      </w:tr>
      <w:tr>
        <w:trPr>
          <w:trHeight w:val="300"/>
        </w:trPr>
        <w:tc>
          <w:tcPr>
            <w:tcW w:w="480" w:type="dxa"/>
            <w:vAlign w:val="bottom"/>
          </w:tcPr>
          <w:p>
            <w:pPr>
              <w:ind w:left="280"/>
              <w:spacing w:after="0"/>
              <w:rPr>
                <w:sz w:val="20"/>
                <w:szCs w:val="20"/>
                <w:color w:val="auto"/>
              </w:rPr>
            </w:pPr>
            <w:r>
              <w:rPr>
                <w:rFonts w:ascii="Arial" w:cs="Arial" w:eastAsia="Arial" w:hAnsi="Arial"/>
                <w:sz w:val="20"/>
                <w:szCs w:val="20"/>
                <w:color w:val="auto"/>
              </w:rPr>
              <w:t>5.</w:t>
            </w:r>
          </w:p>
        </w:tc>
        <w:tc>
          <w:tcPr>
            <w:tcW w:w="7280" w:type="dxa"/>
            <w:vAlign w:val="bottom"/>
            <w:gridSpan w:val="2"/>
          </w:tcPr>
          <w:p>
            <w:pPr>
              <w:ind w:left="20"/>
              <w:spacing w:after="0"/>
              <w:rPr>
                <w:sz w:val="20"/>
                <w:szCs w:val="20"/>
                <w:color w:val="auto"/>
              </w:rPr>
            </w:pPr>
            <w:r>
              <w:rPr>
                <w:rFonts w:ascii="Arial" w:cs="Arial" w:eastAsia="Arial" w:hAnsi="Arial"/>
                <w:sz w:val="20"/>
                <w:szCs w:val="20"/>
                <w:color w:val="auto"/>
              </w:rPr>
              <w:t>Property and Equipment, Net</w:t>
            </w:r>
          </w:p>
        </w:tc>
        <w:tc>
          <w:tcPr>
            <w:tcW w:w="1140" w:type="dxa"/>
            <w:vAlign w:val="bottom"/>
          </w:tcPr>
          <w:p>
            <w:pPr>
              <w:ind w:left="680"/>
              <w:spacing w:after="0"/>
              <w:rPr>
                <w:sz w:val="20"/>
                <w:szCs w:val="20"/>
                <w:color w:val="auto"/>
              </w:rPr>
            </w:pPr>
            <w:r>
              <w:rPr>
                <w:rFonts w:ascii="Arial" w:cs="Arial" w:eastAsia="Arial" w:hAnsi="Arial"/>
                <w:sz w:val="20"/>
                <w:szCs w:val="20"/>
                <w:color w:val="auto"/>
              </w:rPr>
              <w:t>101</w:t>
            </w:r>
          </w:p>
        </w:tc>
      </w:tr>
      <w:tr>
        <w:trPr>
          <w:trHeight w:val="300"/>
        </w:trPr>
        <w:tc>
          <w:tcPr>
            <w:tcW w:w="7760" w:type="dxa"/>
            <w:vAlign w:val="bottom"/>
            <w:gridSpan w:val="3"/>
          </w:tcPr>
          <w:p>
            <w:pPr>
              <w:ind w:left="280"/>
              <w:spacing w:after="0"/>
              <w:rPr>
                <w:sz w:val="20"/>
                <w:szCs w:val="20"/>
                <w:color w:val="auto"/>
              </w:rPr>
            </w:pPr>
            <w:r>
              <w:rPr>
                <w:rFonts w:ascii="Arial" w:cs="Arial" w:eastAsia="Arial" w:hAnsi="Arial"/>
                <w:sz w:val="20"/>
                <w:szCs w:val="20"/>
                <w:color w:val="auto"/>
              </w:rPr>
              <w:t>6. Acquisitions, Goodwill and Intangible Assets</w:t>
            </w:r>
          </w:p>
        </w:tc>
        <w:tc>
          <w:tcPr>
            <w:tcW w:w="1140" w:type="dxa"/>
            <w:vAlign w:val="bottom"/>
          </w:tcPr>
          <w:p>
            <w:pPr>
              <w:ind w:left="680"/>
              <w:spacing w:after="0"/>
              <w:rPr>
                <w:sz w:val="20"/>
                <w:szCs w:val="20"/>
                <w:color w:val="auto"/>
              </w:rPr>
            </w:pPr>
            <w:r>
              <w:rPr>
                <w:rFonts w:ascii="Arial" w:cs="Arial" w:eastAsia="Arial" w:hAnsi="Arial"/>
                <w:sz w:val="20"/>
                <w:szCs w:val="20"/>
                <w:color w:val="auto"/>
              </w:rPr>
              <w:t>101</w:t>
            </w:r>
          </w:p>
        </w:tc>
      </w:tr>
      <w:tr>
        <w:trPr>
          <w:trHeight w:val="300"/>
        </w:trPr>
        <w:tc>
          <w:tcPr>
            <w:tcW w:w="480" w:type="dxa"/>
            <w:vAlign w:val="bottom"/>
          </w:tcPr>
          <w:p>
            <w:pPr>
              <w:ind w:left="280"/>
              <w:spacing w:after="0"/>
              <w:rPr>
                <w:sz w:val="20"/>
                <w:szCs w:val="20"/>
                <w:color w:val="auto"/>
              </w:rPr>
            </w:pPr>
            <w:r>
              <w:rPr>
                <w:rFonts w:ascii="Arial" w:cs="Arial" w:eastAsia="Arial" w:hAnsi="Arial"/>
                <w:sz w:val="20"/>
                <w:szCs w:val="20"/>
                <w:color w:val="auto"/>
              </w:rPr>
              <w:t>7.</w:t>
            </w:r>
          </w:p>
        </w:tc>
        <w:tc>
          <w:tcPr>
            <w:tcW w:w="900" w:type="dxa"/>
            <w:vAlign w:val="bottom"/>
          </w:tcPr>
          <w:p>
            <w:pPr>
              <w:ind w:left="20"/>
              <w:spacing w:after="0"/>
              <w:rPr>
                <w:sz w:val="20"/>
                <w:szCs w:val="20"/>
                <w:color w:val="auto"/>
              </w:rPr>
            </w:pPr>
            <w:r>
              <w:rPr>
                <w:rFonts w:ascii="Arial" w:cs="Arial" w:eastAsia="Arial" w:hAnsi="Arial"/>
                <w:sz w:val="20"/>
                <w:szCs w:val="20"/>
                <w:color w:val="auto"/>
              </w:rPr>
              <w:t>Leases</w:t>
            </w:r>
          </w:p>
        </w:tc>
        <w:tc>
          <w:tcPr>
            <w:tcW w:w="6380" w:type="dxa"/>
            <w:vAlign w:val="bottom"/>
          </w:tcPr>
          <w:p>
            <w:pPr>
              <w:spacing w:after="0"/>
              <w:rPr>
                <w:sz w:val="24"/>
                <w:szCs w:val="24"/>
                <w:color w:val="auto"/>
              </w:rPr>
            </w:pPr>
          </w:p>
        </w:tc>
        <w:tc>
          <w:tcPr>
            <w:tcW w:w="1140" w:type="dxa"/>
            <w:vAlign w:val="bottom"/>
          </w:tcPr>
          <w:p>
            <w:pPr>
              <w:ind w:left="680"/>
              <w:spacing w:after="0"/>
              <w:rPr>
                <w:sz w:val="20"/>
                <w:szCs w:val="20"/>
                <w:color w:val="auto"/>
              </w:rPr>
            </w:pPr>
            <w:r>
              <w:rPr>
                <w:rFonts w:ascii="Arial" w:cs="Arial" w:eastAsia="Arial" w:hAnsi="Arial"/>
                <w:sz w:val="20"/>
                <w:szCs w:val="20"/>
                <w:color w:val="auto"/>
              </w:rPr>
              <w:t>103</w:t>
            </w:r>
          </w:p>
        </w:tc>
      </w:tr>
      <w:tr>
        <w:trPr>
          <w:trHeight w:val="300"/>
        </w:trPr>
        <w:tc>
          <w:tcPr>
            <w:tcW w:w="480" w:type="dxa"/>
            <w:vAlign w:val="bottom"/>
          </w:tcPr>
          <w:p>
            <w:pPr>
              <w:ind w:left="280"/>
              <w:spacing w:after="0"/>
              <w:rPr>
                <w:sz w:val="20"/>
                <w:szCs w:val="20"/>
                <w:color w:val="auto"/>
              </w:rPr>
            </w:pPr>
            <w:r>
              <w:rPr>
                <w:rFonts w:ascii="Arial" w:cs="Arial" w:eastAsia="Arial" w:hAnsi="Arial"/>
                <w:sz w:val="20"/>
                <w:szCs w:val="20"/>
                <w:color w:val="auto"/>
              </w:rPr>
              <w:t>8.</w:t>
            </w:r>
          </w:p>
        </w:tc>
        <w:tc>
          <w:tcPr>
            <w:tcW w:w="900" w:type="dxa"/>
            <w:vAlign w:val="bottom"/>
          </w:tcPr>
          <w:p>
            <w:pPr>
              <w:ind w:left="20"/>
              <w:spacing w:after="0"/>
              <w:rPr>
                <w:sz w:val="20"/>
                <w:szCs w:val="20"/>
                <w:color w:val="auto"/>
              </w:rPr>
            </w:pPr>
            <w:r>
              <w:rPr>
                <w:rFonts w:ascii="Arial" w:cs="Arial" w:eastAsia="Arial" w:hAnsi="Arial"/>
                <w:sz w:val="20"/>
                <w:szCs w:val="20"/>
                <w:color w:val="auto"/>
              </w:rPr>
              <w:t>Debt</w:t>
            </w:r>
          </w:p>
        </w:tc>
        <w:tc>
          <w:tcPr>
            <w:tcW w:w="6380" w:type="dxa"/>
            <w:vAlign w:val="bottom"/>
          </w:tcPr>
          <w:p>
            <w:pPr>
              <w:spacing w:after="0"/>
              <w:rPr>
                <w:sz w:val="24"/>
                <w:szCs w:val="24"/>
                <w:color w:val="auto"/>
              </w:rPr>
            </w:pPr>
          </w:p>
        </w:tc>
        <w:tc>
          <w:tcPr>
            <w:tcW w:w="1140" w:type="dxa"/>
            <w:vAlign w:val="bottom"/>
          </w:tcPr>
          <w:p>
            <w:pPr>
              <w:ind w:left="680"/>
              <w:spacing w:after="0"/>
              <w:rPr>
                <w:sz w:val="20"/>
                <w:szCs w:val="20"/>
                <w:color w:val="auto"/>
              </w:rPr>
            </w:pPr>
            <w:r>
              <w:rPr>
                <w:rFonts w:ascii="Arial" w:cs="Arial" w:eastAsia="Arial" w:hAnsi="Arial"/>
                <w:sz w:val="20"/>
                <w:szCs w:val="20"/>
                <w:color w:val="auto"/>
              </w:rPr>
              <w:t>104</w:t>
            </w:r>
          </w:p>
        </w:tc>
      </w:tr>
      <w:tr>
        <w:trPr>
          <w:trHeight w:val="300"/>
        </w:trPr>
        <w:tc>
          <w:tcPr>
            <w:tcW w:w="480" w:type="dxa"/>
            <w:vAlign w:val="bottom"/>
          </w:tcPr>
          <w:p>
            <w:pPr>
              <w:ind w:left="280"/>
              <w:spacing w:after="0"/>
              <w:rPr>
                <w:sz w:val="20"/>
                <w:szCs w:val="20"/>
                <w:color w:val="auto"/>
              </w:rPr>
            </w:pPr>
            <w:r>
              <w:rPr>
                <w:rFonts w:ascii="Arial" w:cs="Arial" w:eastAsia="Arial" w:hAnsi="Arial"/>
                <w:sz w:val="20"/>
                <w:szCs w:val="20"/>
                <w:color w:val="auto"/>
              </w:rPr>
              <w:t>9.</w:t>
            </w:r>
          </w:p>
        </w:tc>
        <w:tc>
          <w:tcPr>
            <w:tcW w:w="7280" w:type="dxa"/>
            <w:vAlign w:val="bottom"/>
            <w:gridSpan w:val="2"/>
          </w:tcPr>
          <w:p>
            <w:pPr>
              <w:ind w:left="20"/>
              <w:spacing w:after="0"/>
              <w:rPr>
                <w:sz w:val="20"/>
                <w:szCs w:val="20"/>
                <w:color w:val="auto"/>
              </w:rPr>
            </w:pPr>
            <w:r>
              <w:rPr>
                <w:rFonts w:ascii="Arial" w:cs="Arial" w:eastAsia="Arial" w:hAnsi="Arial"/>
                <w:sz w:val="20"/>
                <w:szCs w:val="20"/>
                <w:color w:val="auto"/>
              </w:rPr>
              <w:t>Commitments and Contingencies</w:t>
            </w:r>
          </w:p>
        </w:tc>
        <w:tc>
          <w:tcPr>
            <w:tcW w:w="1140" w:type="dxa"/>
            <w:vAlign w:val="bottom"/>
          </w:tcPr>
          <w:p>
            <w:pPr>
              <w:ind w:left="680"/>
              <w:spacing w:after="0"/>
              <w:rPr>
                <w:sz w:val="20"/>
                <w:szCs w:val="20"/>
                <w:color w:val="auto"/>
              </w:rPr>
            </w:pPr>
            <w:r>
              <w:rPr>
                <w:rFonts w:ascii="Arial" w:cs="Arial" w:eastAsia="Arial" w:hAnsi="Arial"/>
                <w:sz w:val="20"/>
                <w:szCs w:val="20"/>
                <w:color w:val="auto"/>
              </w:rPr>
              <w:t>106</w:t>
            </w:r>
          </w:p>
        </w:tc>
      </w:tr>
      <w:tr>
        <w:trPr>
          <w:trHeight w:val="300"/>
        </w:trPr>
        <w:tc>
          <w:tcPr>
            <w:tcW w:w="7760" w:type="dxa"/>
            <w:vAlign w:val="bottom"/>
            <w:gridSpan w:val="3"/>
          </w:tcPr>
          <w:p>
            <w:pPr>
              <w:ind w:left="280"/>
              <w:spacing w:after="0"/>
              <w:rPr>
                <w:sz w:val="20"/>
                <w:szCs w:val="20"/>
                <w:color w:val="auto"/>
              </w:rPr>
            </w:pPr>
            <w:r>
              <w:rPr>
                <w:rFonts w:ascii="Arial" w:cs="Arial" w:eastAsia="Arial" w:hAnsi="Arial"/>
                <w:sz w:val="20"/>
                <w:szCs w:val="20"/>
                <w:color w:val="auto"/>
              </w:rPr>
              <w:t>10. Stock-Based Compensation</w:t>
            </w:r>
          </w:p>
        </w:tc>
        <w:tc>
          <w:tcPr>
            <w:tcW w:w="1140" w:type="dxa"/>
            <w:vAlign w:val="bottom"/>
          </w:tcPr>
          <w:p>
            <w:pPr>
              <w:ind w:left="680"/>
              <w:spacing w:after="0"/>
              <w:rPr>
                <w:sz w:val="20"/>
                <w:szCs w:val="20"/>
                <w:color w:val="auto"/>
              </w:rPr>
            </w:pPr>
            <w:r>
              <w:rPr>
                <w:rFonts w:ascii="Arial" w:cs="Arial" w:eastAsia="Arial" w:hAnsi="Arial"/>
                <w:sz w:val="20"/>
                <w:szCs w:val="20"/>
                <w:color w:val="auto"/>
              </w:rPr>
              <w:t>106</w:t>
            </w:r>
          </w:p>
        </w:tc>
      </w:tr>
      <w:tr>
        <w:trPr>
          <w:trHeight w:val="300"/>
        </w:trPr>
        <w:tc>
          <w:tcPr>
            <w:tcW w:w="7760" w:type="dxa"/>
            <w:vAlign w:val="bottom"/>
            <w:gridSpan w:val="3"/>
          </w:tcPr>
          <w:p>
            <w:pPr>
              <w:ind w:left="280"/>
              <w:spacing w:after="0"/>
              <w:rPr>
                <w:sz w:val="20"/>
                <w:szCs w:val="20"/>
                <w:color w:val="auto"/>
              </w:rPr>
            </w:pPr>
            <w:r>
              <w:rPr>
                <w:rFonts w:ascii="Arial" w:cs="Arial" w:eastAsia="Arial" w:hAnsi="Arial"/>
                <w:sz w:val="20"/>
                <w:szCs w:val="20"/>
                <w:color w:val="auto"/>
              </w:rPr>
              <w:t>11. Income Taxes</w:t>
            </w:r>
          </w:p>
        </w:tc>
        <w:tc>
          <w:tcPr>
            <w:tcW w:w="1140" w:type="dxa"/>
            <w:vAlign w:val="bottom"/>
          </w:tcPr>
          <w:p>
            <w:pPr>
              <w:ind w:left="680"/>
              <w:spacing w:after="0"/>
              <w:rPr>
                <w:sz w:val="20"/>
                <w:szCs w:val="20"/>
                <w:color w:val="auto"/>
              </w:rPr>
            </w:pPr>
            <w:r>
              <w:rPr>
                <w:rFonts w:ascii="Arial" w:cs="Arial" w:eastAsia="Arial" w:hAnsi="Arial"/>
                <w:sz w:val="20"/>
                <w:szCs w:val="20"/>
                <w:color w:val="auto"/>
              </w:rPr>
              <w:t>110</w:t>
            </w:r>
          </w:p>
        </w:tc>
      </w:tr>
      <w:tr>
        <w:trPr>
          <w:trHeight w:val="300"/>
        </w:trPr>
        <w:tc>
          <w:tcPr>
            <w:tcW w:w="7760" w:type="dxa"/>
            <w:vAlign w:val="bottom"/>
            <w:gridSpan w:val="3"/>
          </w:tcPr>
          <w:p>
            <w:pPr>
              <w:ind w:left="280"/>
              <w:spacing w:after="0"/>
              <w:rPr>
                <w:sz w:val="20"/>
                <w:szCs w:val="20"/>
                <w:color w:val="auto"/>
              </w:rPr>
            </w:pPr>
            <w:r>
              <w:rPr>
                <w:rFonts w:ascii="Arial" w:cs="Arial" w:eastAsia="Arial" w:hAnsi="Arial"/>
                <w:sz w:val="20"/>
                <w:szCs w:val="20"/>
                <w:color w:val="auto"/>
              </w:rPr>
              <w:t>12. Net Loss Per Share</w:t>
            </w:r>
          </w:p>
        </w:tc>
        <w:tc>
          <w:tcPr>
            <w:tcW w:w="1140" w:type="dxa"/>
            <w:vAlign w:val="bottom"/>
          </w:tcPr>
          <w:p>
            <w:pPr>
              <w:ind w:left="680"/>
              <w:spacing w:after="0"/>
              <w:rPr>
                <w:sz w:val="20"/>
                <w:szCs w:val="20"/>
                <w:color w:val="auto"/>
              </w:rPr>
            </w:pPr>
            <w:r>
              <w:rPr>
                <w:rFonts w:ascii="Arial" w:cs="Arial" w:eastAsia="Arial" w:hAnsi="Arial"/>
                <w:sz w:val="20"/>
                <w:szCs w:val="20"/>
                <w:color w:val="auto"/>
              </w:rPr>
              <w:t>113</w:t>
            </w:r>
          </w:p>
        </w:tc>
      </w:tr>
      <w:tr>
        <w:trPr>
          <w:trHeight w:val="300"/>
        </w:trPr>
        <w:tc>
          <w:tcPr>
            <w:tcW w:w="7760" w:type="dxa"/>
            <w:vAlign w:val="bottom"/>
            <w:gridSpan w:val="3"/>
          </w:tcPr>
          <w:p>
            <w:pPr>
              <w:ind w:left="280"/>
              <w:spacing w:after="0"/>
              <w:rPr>
                <w:sz w:val="20"/>
                <w:szCs w:val="20"/>
                <w:color w:val="auto"/>
              </w:rPr>
            </w:pPr>
            <w:r>
              <w:rPr>
                <w:rFonts w:ascii="Arial" w:cs="Arial" w:eastAsia="Arial" w:hAnsi="Arial"/>
                <w:sz w:val="20"/>
                <w:szCs w:val="20"/>
                <w:color w:val="auto"/>
              </w:rPr>
              <w:t>13. Geographic Information</w:t>
            </w:r>
          </w:p>
        </w:tc>
        <w:tc>
          <w:tcPr>
            <w:tcW w:w="1140" w:type="dxa"/>
            <w:vAlign w:val="bottom"/>
          </w:tcPr>
          <w:p>
            <w:pPr>
              <w:ind w:left="680"/>
              <w:spacing w:after="0"/>
              <w:rPr>
                <w:sz w:val="20"/>
                <w:szCs w:val="20"/>
                <w:color w:val="auto"/>
              </w:rPr>
            </w:pPr>
            <w:r>
              <w:rPr>
                <w:rFonts w:ascii="Arial" w:cs="Arial" w:eastAsia="Arial" w:hAnsi="Arial"/>
                <w:sz w:val="20"/>
                <w:szCs w:val="20"/>
                <w:color w:val="auto"/>
              </w:rPr>
              <w:t>114</w:t>
            </w:r>
          </w:p>
        </w:tc>
      </w:tr>
      <w:tr>
        <w:trPr>
          <w:trHeight w:val="300"/>
        </w:trPr>
        <w:tc>
          <w:tcPr>
            <w:tcW w:w="7760" w:type="dxa"/>
            <w:vAlign w:val="bottom"/>
            <w:gridSpan w:val="3"/>
          </w:tcPr>
          <w:p>
            <w:pPr>
              <w:ind w:left="280"/>
              <w:spacing w:after="0"/>
              <w:rPr>
                <w:sz w:val="20"/>
                <w:szCs w:val="20"/>
                <w:color w:val="auto"/>
              </w:rPr>
            </w:pPr>
            <w:r>
              <w:rPr>
                <w:rFonts w:ascii="Arial" w:cs="Arial" w:eastAsia="Arial" w:hAnsi="Arial"/>
                <w:sz w:val="20"/>
                <w:szCs w:val="20"/>
                <w:color w:val="auto"/>
              </w:rPr>
              <w:t>14. Benefit Plans</w:t>
            </w:r>
          </w:p>
        </w:tc>
        <w:tc>
          <w:tcPr>
            <w:tcW w:w="1140" w:type="dxa"/>
            <w:vAlign w:val="bottom"/>
          </w:tcPr>
          <w:p>
            <w:pPr>
              <w:ind w:left="680"/>
              <w:spacing w:after="0"/>
              <w:rPr>
                <w:sz w:val="20"/>
                <w:szCs w:val="20"/>
                <w:color w:val="auto"/>
              </w:rPr>
            </w:pPr>
            <w:r>
              <w:rPr>
                <w:rFonts w:ascii="Arial" w:cs="Arial" w:eastAsia="Arial" w:hAnsi="Arial"/>
                <w:sz w:val="20"/>
                <w:szCs w:val="20"/>
                <w:color w:val="auto"/>
              </w:rPr>
              <w:t>114</w:t>
            </w:r>
          </w:p>
        </w:tc>
      </w:tr>
    </w:tbl>
    <w:p>
      <w:pPr>
        <w:spacing w:after="0" w:line="200" w:lineRule="exact"/>
        <w:rPr>
          <w:sz w:val="20"/>
          <w:szCs w:val="20"/>
          <w:color w:val="auto"/>
        </w:rPr>
      </w:pP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880" w:h="15480" w:orient="portrait"/>
          <w:cols w:equalWidth="0" w:num="1">
            <w:col w:w="9000"/>
          </w:cols>
          <w:pgMar w:left="1440" w:top="1203" w:right="1440" w:bottom="0" w:gutter="0" w:footer="0" w:header="0"/>
          <w:type w:val="continuous"/>
        </w:sectPr>
      </w:pPr>
    </w:p>
    <w:bookmarkStart w:id="171" w:name="page172"/>
    <w:bookmarkEnd w:id="171"/>
    <w:p>
      <w:pPr>
        <w:ind w:right="1120" w:firstLine="1120"/>
        <w:spacing w:after="0" w:line="501"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 xml:space="preserve">To the Stockholders and the Board of Directors of Tenable Holdings, Inc. </w:t>
      </w:r>
      <w:r>
        <w:rPr>
          <w:rFonts w:ascii="Arial" w:cs="Arial" w:eastAsia="Arial" w:hAnsi="Arial"/>
          <w:sz w:val="20"/>
          <w:szCs w:val="20"/>
          <w:b w:val="1"/>
          <w:bCs w:val="1"/>
          <w:color w:val="auto"/>
        </w:rPr>
        <w:t>Opinion on the Financial Statements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We have audited the accompanying consolidated balance sheets of Tenable Holdings, Inc. (the Company) as of December 31, 2022 and 2021, the related consolidated statements of operations, comprehensive loss, stockholders' equity and cash flows for each of the three years in the period ended December 31, 2022,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01"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24, 2023 expressed an unqualified opinion thereon.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51"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ind w:right="220"/>
        <w:spacing w:after="0" w:line="270"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Matters</w:t>
      </w:r>
    </w:p>
    <w:p>
      <w:pPr>
        <w:spacing w:after="0" w:line="251"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1880" w:h="15480" w:orient="portrait"/>
          <w:cols w:equalWidth="0" w:num="1">
            <w:col w:w="9000"/>
          </w:cols>
          <w:pgMar w:left="1440" w:top="1203" w:right="1440" w:bottom="0" w:gutter="0" w:footer="0" w:header="0"/>
          <w:type w:val="continuous"/>
        </w:sectPr>
      </w:pPr>
    </w:p>
    <w:bookmarkStart w:id="172" w:name="page173"/>
    <w:bookmarkEnd w:id="172"/>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Arial" w:cs="Arial" w:eastAsia="Arial" w:hAnsi="Arial"/>
          <w:sz w:val="20"/>
          <w:szCs w:val="20"/>
          <w:i w:val="1"/>
          <w:iCs w:val="1"/>
          <w:color w:val="auto"/>
        </w:rPr>
        <w:t>Description</w:t>
      </w:r>
    </w:p>
    <w:p>
      <w:pPr>
        <w:ind w:left="100"/>
        <w:spacing w:after="0" w:line="208" w:lineRule="auto"/>
        <w:rPr>
          <w:sz w:val="20"/>
          <w:szCs w:val="20"/>
          <w:color w:val="auto"/>
        </w:rPr>
      </w:pPr>
      <w:r>
        <w:rPr>
          <w:rFonts w:ascii="Arial" w:cs="Arial" w:eastAsia="Arial" w:hAnsi="Arial"/>
          <w:sz w:val="20"/>
          <w:szCs w:val="20"/>
          <w:i w:val="1"/>
          <w:iCs w:val="1"/>
          <w:color w:val="auto"/>
        </w:rPr>
        <w:t>of the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0"/>
          <w:szCs w:val="20"/>
          <w:i w:val="1"/>
          <w:iCs w:val="1"/>
          <w:color w:val="auto"/>
        </w:rPr>
        <w:t>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0"/>
        <w:spacing w:after="0" w:line="225" w:lineRule="auto"/>
        <w:rPr>
          <w:sz w:val="20"/>
          <w:szCs w:val="20"/>
          <w:color w:val="auto"/>
        </w:rPr>
      </w:pPr>
      <w:r>
        <w:rPr>
          <w:rFonts w:ascii="Arial" w:cs="Arial" w:eastAsia="Arial" w:hAnsi="Arial"/>
          <w:sz w:val="20"/>
          <w:szCs w:val="20"/>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0"/>
        <w:spacing w:after="0"/>
        <w:rPr>
          <w:sz w:val="20"/>
          <w:szCs w:val="20"/>
          <w:color w:val="auto"/>
        </w:rPr>
      </w:pPr>
      <w:r>
        <w:rPr>
          <w:rFonts w:ascii="Arial" w:cs="Arial" w:eastAsia="Arial" w:hAnsi="Arial"/>
          <w:sz w:val="20"/>
          <w:szCs w:val="20"/>
          <w:i w:val="1"/>
          <w:iCs w:val="1"/>
          <w:color w:val="auto"/>
        </w:rPr>
        <w:t>Description</w:t>
      </w:r>
    </w:p>
    <w:p>
      <w:pPr>
        <w:ind w:left="100"/>
        <w:spacing w:after="0" w:line="208" w:lineRule="auto"/>
        <w:rPr>
          <w:sz w:val="20"/>
          <w:szCs w:val="20"/>
          <w:color w:val="auto"/>
        </w:rPr>
      </w:pPr>
      <w:r>
        <w:rPr>
          <w:rFonts w:ascii="Arial" w:cs="Arial" w:eastAsia="Arial" w:hAnsi="Arial"/>
          <w:sz w:val="20"/>
          <w:szCs w:val="20"/>
          <w:i w:val="1"/>
          <w:iCs w:val="1"/>
          <w:color w:val="auto"/>
        </w:rPr>
        <w:t>of the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0"/>
          <w:szCs w:val="20"/>
          <w:i w:val="1"/>
          <w:iCs w:val="1"/>
          <w:color w:val="auto"/>
        </w:rPr>
        <w:t>Matter</w:t>
      </w:r>
    </w:p>
    <w:p>
      <w:pPr>
        <w:spacing w:after="0" w:line="20" w:lineRule="exact"/>
        <w:rPr>
          <w:sz w:val="20"/>
          <w:szCs w:val="20"/>
          <w:color w:val="auto"/>
        </w:rPr>
      </w:pPr>
      <w:r>
        <w:rPr>
          <w:sz w:val="20"/>
          <w:szCs w:val="20"/>
          <w:color w:val="auto"/>
        </w:rPr>
        <w:br w:type="column"/>
      </w:r>
    </w:p>
    <w:p>
      <w:pPr>
        <w:ind w:left="2" w:right="520"/>
        <w:spacing w:after="0" w:line="252" w:lineRule="auto"/>
        <w:rPr>
          <w:sz w:val="20"/>
          <w:szCs w:val="20"/>
          <w:color w:val="auto"/>
        </w:rPr>
      </w:pPr>
      <w:r>
        <w:rPr>
          <w:rFonts w:ascii="Arial" w:cs="Arial" w:eastAsia="Arial" w:hAnsi="Arial"/>
          <w:sz w:val="20"/>
          <w:szCs w:val="20"/>
          <w:b w:val="1"/>
          <w:bCs w:val="1"/>
          <w:i w:val="1"/>
          <w:iCs w:val="1"/>
          <w:color w:val="auto"/>
        </w:rPr>
        <w:t>Revenue Recognition – Identification and Evaluation of Contracts with Non-Standard Terms and Conditions</w:t>
      </w:r>
    </w:p>
    <w:p>
      <w:pPr>
        <w:ind w:left="2" w:right="240"/>
        <w:spacing w:after="0" w:line="262" w:lineRule="auto"/>
        <w:rPr>
          <w:sz w:val="20"/>
          <w:szCs w:val="20"/>
          <w:color w:val="auto"/>
        </w:rPr>
      </w:pPr>
      <w:r>
        <w:rPr>
          <w:rFonts w:ascii="Arial" w:cs="Arial" w:eastAsia="Arial" w:hAnsi="Arial"/>
          <w:sz w:val="20"/>
          <w:szCs w:val="20"/>
          <w:color w:val="auto"/>
        </w:rPr>
        <w:t>As described in Note 1 to the consolidated financial statements, management enters into certain contracts with customers, including software subscription arrangements and perpetual licenses with related maintenance, with non-standard terms and conditions.</w:t>
      </w:r>
    </w:p>
    <w:p>
      <w:pPr>
        <w:spacing w:after="0" w:line="196" w:lineRule="exact"/>
        <w:rPr>
          <w:sz w:val="20"/>
          <w:szCs w:val="20"/>
          <w:color w:val="auto"/>
        </w:rPr>
      </w:pPr>
    </w:p>
    <w:p>
      <w:pPr>
        <w:ind w:left="2" w:right="200"/>
        <w:spacing w:after="0" w:line="255" w:lineRule="auto"/>
        <w:rPr>
          <w:sz w:val="20"/>
          <w:szCs w:val="20"/>
          <w:color w:val="auto"/>
        </w:rPr>
      </w:pPr>
      <w:r>
        <w:rPr>
          <w:rFonts w:ascii="Arial" w:cs="Arial" w:eastAsia="Arial" w:hAnsi="Arial"/>
          <w:sz w:val="20"/>
          <w:szCs w:val="20"/>
          <w:color w:val="auto"/>
        </w:rPr>
        <w:t>Performing procedures relating to the identification and evaluation of non-standard terms and conditions in contracts is a critical audit matter because there is a significant amount of judgment required by management in identifying and evaluating non-standard terms and conditions and determining the impact of such terms and conditions on the amount and timing of revenue recognition. Accordingly, there is significant auditor judgment and significant audit effort in performing our audit procedures to evaluate whether non-standard terms and conditions in contracts were appropriately identified and evaluated by management.</w:t>
      </w:r>
    </w:p>
    <w:p>
      <w:pPr>
        <w:spacing w:after="0" w:line="70" w:lineRule="exact"/>
        <w:rPr>
          <w:sz w:val="20"/>
          <w:szCs w:val="20"/>
          <w:color w:val="auto"/>
        </w:rPr>
      </w:pPr>
    </w:p>
    <w:p>
      <w:pPr>
        <w:ind w:left="2" w:right="200"/>
        <w:spacing w:after="0" w:line="263" w:lineRule="auto"/>
        <w:rPr>
          <w:sz w:val="20"/>
          <w:szCs w:val="20"/>
          <w:color w:val="auto"/>
        </w:rPr>
      </w:pPr>
      <w:r>
        <w:rPr>
          <w:rFonts w:ascii="Arial" w:cs="Arial" w:eastAsia="Arial" w:hAnsi="Arial"/>
          <w:sz w:val="19"/>
          <w:szCs w:val="19"/>
          <w:color w:val="auto"/>
        </w:rPr>
        <w:t>We obtained an understanding, evaluated the design and tested the operating effectiveness of controls over the Company’s process for identifying and evaluating contracts with non-standard terms and conditions. These procedures also included, among others, on a sample basis (i) testing the completeness and accuracy of management’s identification of contracts with non-standard terms and conditions and</w:t>
      </w:r>
    </w:p>
    <w:p>
      <w:pPr>
        <w:spacing w:after="0" w:line="3" w:lineRule="exact"/>
        <w:rPr>
          <w:sz w:val="20"/>
          <w:szCs w:val="20"/>
          <w:color w:val="auto"/>
        </w:rPr>
      </w:pPr>
    </w:p>
    <w:p>
      <w:pPr>
        <w:ind w:left="2" w:right="600" w:hanging="2"/>
        <w:spacing w:after="0" w:line="287" w:lineRule="auto"/>
        <w:tabs>
          <w:tab w:leader="none" w:pos="28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testing management’s determination of the impact of non-standard terms and conditions on the amount and timing of revenue recognition.</w:t>
      </w:r>
    </w:p>
    <w:p>
      <w:pPr>
        <w:spacing w:after="0" w:line="6" w:lineRule="exact"/>
        <w:rPr>
          <w:sz w:val="20"/>
          <w:szCs w:val="20"/>
          <w:color w:val="auto"/>
        </w:rPr>
      </w:pPr>
    </w:p>
    <w:p>
      <w:pPr>
        <w:ind w:left="2"/>
        <w:spacing w:after="0"/>
        <w:rPr>
          <w:sz w:val="20"/>
          <w:szCs w:val="20"/>
          <w:color w:val="auto"/>
        </w:rPr>
      </w:pPr>
      <w:r>
        <w:rPr>
          <w:rFonts w:ascii="Arial" w:cs="Arial" w:eastAsia="Arial" w:hAnsi="Arial"/>
          <w:sz w:val="20"/>
          <w:szCs w:val="20"/>
          <w:b w:val="1"/>
          <w:bCs w:val="1"/>
          <w:i w:val="1"/>
          <w:iCs w:val="1"/>
          <w:color w:val="auto"/>
        </w:rPr>
        <w:t>Valuation of Acquired Developed Technology Intangible Assets</w:t>
      </w:r>
    </w:p>
    <w:p>
      <w:pPr>
        <w:spacing w:after="0" w:line="54" w:lineRule="exact"/>
        <w:rPr>
          <w:sz w:val="20"/>
          <w:szCs w:val="20"/>
          <w:color w:val="auto"/>
        </w:rPr>
      </w:pPr>
    </w:p>
    <w:p>
      <w:pPr>
        <w:ind w:left="2" w:right="160"/>
        <w:spacing w:after="0" w:line="268" w:lineRule="auto"/>
        <w:rPr>
          <w:sz w:val="20"/>
          <w:szCs w:val="20"/>
          <w:color w:val="auto"/>
        </w:rPr>
      </w:pPr>
      <w:r>
        <w:rPr>
          <w:rFonts w:ascii="Arial" w:cs="Arial" w:eastAsia="Arial" w:hAnsi="Arial"/>
          <w:sz w:val="19"/>
          <w:szCs w:val="19"/>
          <w:color w:val="auto"/>
        </w:rPr>
        <w:t>As described in Note 6 to the consolidated financial statements, during the year ended December 31, 2022, the Company completed acquisitions for $66.8 million, in the aggregate, in cash. The Company’s accounting for the acquisitions included determining the fair value of certain acquired intangible assets using an income approach including developed technology with a determined fair value of $11.0 million. Auditing the accounting for the valuation of the acquired intangible assets using an income approach involved complex auditor judgment due to the estimation required in management’s determination of the fair values. The estimation was significant primarily due to the sensitivity of the fair value of the developed technology using an income approach to the underlying assumptions, including the projected revenue growth rates and the obsolescence factor. These significant assumptions are forward-looking and could be affected by future economic and market conditions.</w:t>
      </w:r>
    </w:p>
    <w:p>
      <w:pPr>
        <w:spacing w:after="0" w:line="87" w:lineRule="exact"/>
        <w:rPr>
          <w:sz w:val="20"/>
          <w:szCs w:val="20"/>
          <w:color w:val="auto"/>
        </w:rPr>
      </w:pPr>
    </w:p>
    <w:p>
      <w:pPr>
        <w:sectPr>
          <w:pgSz w:w="11880" w:h="15480" w:orient="portrait"/>
          <w:cols w:equalWidth="0" w:num="2">
            <w:col w:w="1160" w:space="138"/>
            <w:col w:w="7702"/>
          </w:cols>
          <w:pgMar w:left="1440" w:top="1269" w:right="1440" w:bottom="0" w:gutter="0" w:footer="0" w:header="0"/>
        </w:sectPr>
      </w:pPr>
    </w:p>
    <w:p>
      <w:pPr>
        <w:spacing w:after="0" w:line="2" w:lineRule="exact"/>
        <w:rPr>
          <w:sz w:val="20"/>
          <w:szCs w:val="20"/>
          <w:color w:val="auto"/>
        </w:rPr>
      </w:pPr>
    </w:p>
    <w:p>
      <w:pPr>
        <w:ind w:left="100"/>
        <w:spacing w:after="0" w:line="225" w:lineRule="auto"/>
        <w:rPr>
          <w:sz w:val="20"/>
          <w:szCs w:val="20"/>
          <w:color w:val="auto"/>
        </w:rPr>
      </w:pPr>
      <w:r>
        <w:rPr>
          <w:rFonts w:ascii="Arial" w:cs="Arial" w:eastAsia="Arial" w:hAnsi="Arial"/>
          <w:sz w:val="20"/>
          <w:szCs w:val="20"/>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ind w:right="120"/>
        <w:spacing w:after="0" w:line="267" w:lineRule="auto"/>
        <w:rPr>
          <w:sz w:val="20"/>
          <w:szCs w:val="20"/>
          <w:color w:val="auto"/>
        </w:rPr>
      </w:pPr>
      <w:r>
        <w:rPr>
          <w:rFonts w:ascii="Arial" w:cs="Arial" w:eastAsia="Arial" w:hAnsi="Arial"/>
          <w:sz w:val="19"/>
          <w:szCs w:val="19"/>
          <w:color w:val="auto"/>
        </w:rPr>
        <w:t>We obtained an understanding, evaluated the design and tested the operating effectiveness of controls over the Company’s process for accounting for the valuation of the acquired intangible assets using an income approach. For example, we tested controls over management’s review of the valuation models and significant assumptions used in determining the fair value of the acquired developed technology intangible assets as well as controls over the completeness and accuracy of the data used in the models and assumptions. To test the fair value of the acquired developed technology, our audit procedures included, among others, evaluating the Company's use of valuation methodologies, evaluating the significant assumptions, evaluating the significant aspects of prospective financial information and testing the completeness and accuracy of underlying data. We involved our valuation specialists to assist in testing the valuation of the acquired intangible asset. For example, we compared the significant assumptions to current industry and market trends and to other relevant factors. We also performed sensitivity analyses of the significant assumptions to evaluate the change in the fair value resulting from changes in the assumptions.</w:t>
      </w:r>
    </w:p>
    <w:p>
      <w:pPr>
        <w:spacing w:after="0" w:line="200" w:lineRule="exact"/>
        <w:rPr>
          <w:sz w:val="20"/>
          <w:szCs w:val="20"/>
          <w:color w:val="auto"/>
        </w:rPr>
      </w:pPr>
    </w:p>
    <w:p>
      <w:pPr>
        <w:sectPr>
          <w:pgSz w:w="11880" w:h="15480" w:orient="portrait"/>
          <w:cols w:equalWidth="0" w:num="2">
            <w:col w:w="1160" w:space="140"/>
            <w:col w:w="7700"/>
          </w:cols>
          <w:pgMar w:left="1440" w:top="126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880" w:h="15480" w:orient="portrait"/>
          <w:cols w:equalWidth="0" w:num="1">
            <w:col w:w="9000"/>
          </w:cols>
          <w:pgMar w:left="1440" w:top="1269" w:right="1440" w:bottom="0" w:gutter="0" w:footer="0" w:header="0"/>
          <w:type w:val="continuous"/>
        </w:sectPr>
      </w:pPr>
    </w:p>
    <w:bookmarkStart w:id="173" w:name="page174"/>
    <w:bookmarkEnd w:id="173"/>
    <w:p>
      <w:pPr>
        <w:spacing w:after="0"/>
        <w:rPr>
          <w:sz w:val="20"/>
          <w:szCs w:val="20"/>
          <w:color w:val="auto"/>
        </w:rPr>
      </w:pPr>
      <w:r>
        <w:rPr>
          <w:rFonts w:ascii="Arial" w:cs="Arial" w:eastAsia="Arial" w:hAnsi="Arial"/>
          <w:sz w:val="20"/>
          <w:szCs w:val="20"/>
          <w:color w:val="auto"/>
        </w:rPr>
        <w:t>/s/ Ernst &amp; Young LLP</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We have served as the Company’s auditor since 2014</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color w:val="auto"/>
        </w:rPr>
        <w:t>Baltimore, Maryland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February 24, 2023</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880" w:h="15480" w:orient="portrait"/>
          <w:cols w:equalWidth="0" w:num="1">
            <w:col w:w="9000"/>
          </w:cols>
          <w:pgMar w:left="1440" w:top="1204" w:right="1440" w:bottom="0" w:gutter="0" w:footer="0" w:header="0"/>
          <w:type w:val="continuous"/>
        </w:sectPr>
      </w:pPr>
    </w:p>
    <w:bookmarkStart w:id="174" w:name="page175"/>
    <w:bookmarkEnd w:id="174"/>
    <w:p>
      <w:pPr>
        <w:ind w:right="1120" w:firstLine="1120"/>
        <w:spacing w:after="0" w:line="501"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 xml:space="preserve">To the Stockholders and Board of Directors of Tenable Holdings, Inc. </w:t>
      </w:r>
      <w:r>
        <w:rPr>
          <w:rFonts w:ascii="Arial" w:cs="Arial" w:eastAsia="Arial" w:hAnsi="Arial"/>
          <w:sz w:val="20"/>
          <w:szCs w:val="20"/>
          <w:b w:val="1"/>
          <w:bCs w:val="1"/>
          <w:color w:val="auto"/>
        </w:rPr>
        <w:t>Opinion on Internal Control Over Financial Reporting</w:t>
      </w:r>
    </w:p>
    <w:p>
      <w:pPr>
        <w:spacing w:after="0" w:line="1"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We have audited Tenable Holdings, Inc.’s internal control over financial reporting as of December 31, 2022, based on criteria established in Internal Control—Integrated Framework issued by the Committee of Sponsoring Organizations of the Treadway Commission (2013 framework) (the COSO criteria). In our opinion, Tenable Holdings, Inc. (the Company) maintained, in all material respects, effective internal control over financial reporting as of December 31, 2022, based on the COSO criteria.</w:t>
      </w:r>
    </w:p>
    <w:p>
      <w:pPr>
        <w:spacing w:after="0" w:line="202"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(PCAOB), the consolidated balance sheets of Tenable Holdings, Inc. as of December 31, 2022 and 2021, the related consolidated statements of operations, comprehensive loss, stockholders' equity and cash flows for each of the three years in the period ended December 31, 2022, and the related notes and the financial statement schedule listed in the Index at item 15(a)(2) (collectively referred to as the “consolidated financial statements”) and our report dated February 24, 2023 expressed an unqualified opinion thereon.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51" w:lineRule="exact"/>
        <w:rPr>
          <w:sz w:val="20"/>
          <w:szCs w:val="20"/>
          <w:color w:val="auto"/>
        </w:rPr>
      </w:pPr>
    </w:p>
    <w:p>
      <w:pPr>
        <w:ind w:right="140"/>
        <w:spacing w:after="0" w:line="272" w:lineRule="auto"/>
        <w:rPr>
          <w:sz w:val="20"/>
          <w:szCs w:val="20"/>
          <w:color w:val="auto"/>
        </w:rPr>
      </w:pPr>
      <w:r>
        <w:rPr>
          <w:rFonts w:ascii="Arial" w:cs="Arial" w:eastAsia="Arial" w:hAnsi="Arial"/>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right="300"/>
        <w:spacing w:after="0" w:line="268"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251"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880" w:h="15480" w:orient="portrait"/>
          <w:cols w:equalWidth="0" w:num="1">
            <w:col w:w="9000"/>
          </w:cols>
          <w:pgMar w:left="1440" w:top="1203" w:right="1440" w:bottom="0" w:gutter="0" w:footer="0" w:header="0"/>
          <w:type w:val="continuous"/>
        </w:sectPr>
      </w:pPr>
    </w:p>
    <w:bookmarkStart w:id="175" w:name="page176"/>
    <w:bookmarkEnd w:id="175"/>
    <w:p>
      <w:pPr>
        <w:ind w:right="320"/>
        <w:spacing w:after="0" w:line="314" w:lineRule="auto"/>
        <w:rPr>
          <w:sz w:val="20"/>
          <w:szCs w:val="20"/>
          <w:color w:val="auto"/>
        </w:rPr>
      </w:pPr>
      <w:r>
        <w:rPr>
          <w:rFonts w:ascii="Arial" w:cs="Arial" w:eastAsia="Arial" w:hAnsi="Arial"/>
          <w:sz w:val="19"/>
          <w:szCs w:val="19"/>
          <w:color w:val="auto"/>
        </w:rPr>
        <w:t>reasonable assurance regarding prevention or timely detection of unauthorized acquisition, use, or disposition of the company’s assets that could have a material effect on the financial statements.</w:t>
      </w:r>
    </w:p>
    <w:p>
      <w:pPr>
        <w:spacing w:after="0" w:line="148"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Baltimore, Maryland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February 24, 2023</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1880" w:h="15480" w:orient="portrait"/>
          <w:cols w:equalWidth="0" w:num="1">
            <w:col w:w="9000"/>
          </w:cols>
          <w:pgMar w:left="1440" w:top="1204" w:right="1440" w:bottom="0" w:gutter="0" w:footer="0" w:header="0"/>
          <w:type w:val="continuous"/>
        </w:sectPr>
      </w:pPr>
    </w:p>
    <w:bookmarkStart w:id="176" w:name="page177"/>
    <w:bookmarkEnd w:id="176"/>
    <w:p>
      <w:pPr>
        <w:jc w:val="center"/>
        <w:spacing w:after="0"/>
        <w:rPr>
          <w:sz w:val="20"/>
          <w:szCs w:val="20"/>
          <w:color w:val="auto"/>
        </w:rPr>
      </w:pPr>
      <w:r>
        <w:rPr>
          <w:rFonts w:ascii="Arial" w:cs="Arial" w:eastAsia="Arial" w:hAnsi="Arial"/>
          <w:sz w:val="20"/>
          <w:szCs w:val="20"/>
          <w:b w:val="1"/>
          <w:bCs w:val="1"/>
          <w:color w:val="auto"/>
        </w:rPr>
        <w:t>TENABLE HOLDINGS,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172"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3962400</wp:posOffset>
            </wp:positionH>
            <wp:positionV relativeFrom="paragraph">
              <wp:posOffset>20955</wp:posOffset>
            </wp:positionV>
            <wp:extent cx="1752600"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52600" cy="12700"/>
                    </a:xfrm>
                    <a:prstGeom prst="rect">
                      <a:avLst/>
                    </a:prstGeom>
                    <a:noFill/>
                  </pic:spPr>
                </pic:pic>
              </a:graphicData>
            </a:graphic>
          </wp:anchor>
        </w:drawing>
      </w:r>
    </w:p>
    <w:p>
      <w:pPr>
        <w:spacing w:after="0" w:line="28" w:lineRule="exact"/>
        <w:rPr>
          <w:sz w:val="20"/>
          <w:szCs w:val="20"/>
          <w:color w:val="auto"/>
        </w:rPr>
      </w:pPr>
    </w:p>
    <w:p>
      <w:pPr>
        <w:ind w:left="60" w:right="460"/>
        <w:spacing w:after="0" w:line="281" w:lineRule="auto"/>
        <w:rPr>
          <w:sz w:val="20"/>
          <w:szCs w:val="20"/>
          <w:color w:val="auto"/>
        </w:rPr>
      </w:pPr>
      <w:r>
        <w:rPr>
          <w:rFonts w:ascii="Arial" w:cs="Arial" w:eastAsia="Arial" w:hAnsi="Arial"/>
          <w:sz w:val="18"/>
          <w:szCs w:val="18"/>
          <w:b w:val="1"/>
          <w:bCs w:val="1"/>
          <w:color w:val="auto"/>
        </w:rPr>
        <w:t>(in thousands, except per share data) 2022 2021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5715000" cy="168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15000" cy="16827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6240" w:type="dxa"/>
            <w:vAlign w:val="bottom"/>
          </w:tcPr>
          <w:p>
            <w:pPr>
              <w:ind w:left="60"/>
              <w:spacing w:after="0"/>
              <w:rPr>
                <w:sz w:val="20"/>
                <w:szCs w:val="20"/>
                <w:color w:val="auto"/>
              </w:rPr>
            </w:pPr>
            <w:r>
              <w:rPr>
                <w:rFonts w:ascii="Arial" w:cs="Arial" w:eastAsia="Arial" w:hAnsi="Arial"/>
                <w:sz w:val="20"/>
                <w:szCs w:val="20"/>
                <w:color w:val="auto"/>
              </w:rPr>
              <w:t>Current assets:</w:t>
            </w: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6240" w:type="dxa"/>
            <w:vAlign w:val="bottom"/>
            <w:shd w:val="clear" w:color="auto" w:fill="D2EDF0"/>
          </w:tcPr>
          <w:p>
            <w:pPr>
              <w:ind w:left="180"/>
              <w:spacing w:after="0"/>
              <w:rPr>
                <w:sz w:val="20"/>
                <w:szCs w:val="20"/>
                <w:color w:val="auto"/>
              </w:rPr>
            </w:pPr>
            <w:r>
              <w:rPr>
                <w:rFonts w:ascii="Arial" w:cs="Arial" w:eastAsia="Arial" w:hAnsi="Arial"/>
                <w:sz w:val="20"/>
                <w:szCs w:val="20"/>
                <w:color w:val="auto"/>
              </w:rPr>
              <w:t>Cash and cash equivalents</w:t>
            </w:r>
          </w:p>
        </w:tc>
        <w:tc>
          <w:tcPr>
            <w:tcW w:w="280" w:type="dxa"/>
            <w:vAlign w:val="bottom"/>
            <w:shd w:val="clear" w:color="auto" w:fill="D2EDF0"/>
          </w:tcPr>
          <w:p>
            <w:pPr>
              <w:jc w:val="right"/>
              <w:ind w:right="20"/>
              <w:spacing w:after="0"/>
              <w:rPr>
                <w:sz w:val="20"/>
                <w:szCs w:val="20"/>
                <w:color w:val="auto"/>
              </w:rPr>
            </w:pPr>
            <w:r>
              <w:rPr>
                <w:rFonts w:ascii="Arial" w:cs="Arial" w:eastAsia="Arial" w:hAnsi="Arial"/>
                <w:sz w:val="20"/>
                <w:szCs w:val="20"/>
                <w:color w:val="auto"/>
              </w:rPr>
              <w:t>$</w:t>
            </w:r>
          </w:p>
        </w:tc>
        <w:tc>
          <w:tcPr>
            <w:tcW w:w="10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300,866</w:t>
            </w:r>
          </w:p>
        </w:tc>
        <w:tc>
          <w:tcPr>
            <w:tcW w:w="34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278,000</w:t>
            </w:r>
          </w:p>
        </w:tc>
        <w:tc>
          <w:tcPr>
            <w:tcW w:w="0" w:type="dxa"/>
            <w:vAlign w:val="bottom"/>
          </w:tcPr>
          <w:p>
            <w:pPr>
              <w:spacing w:after="0"/>
              <w:rPr>
                <w:sz w:val="1"/>
                <w:szCs w:val="1"/>
                <w:color w:val="auto"/>
              </w:rPr>
            </w:pPr>
          </w:p>
        </w:tc>
      </w:tr>
      <w:tr>
        <w:trPr>
          <w:trHeight w:val="255"/>
        </w:trPr>
        <w:tc>
          <w:tcPr>
            <w:tcW w:w="6240" w:type="dxa"/>
            <w:vAlign w:val="bottom"/>
          </w:tcPr>
          <w:p>
            <w:pPr>
              <w:ind w:left="180"/>
              <w:spacing w:after="0"/>
              <w:rPr>
                <w:sz w:val="20"/>
                <w:szCs w:val="20"/>
                <w:color w:val="auto"/>
              </w:rPr>
            </w:pPr>
            <w:r>
              <w:rPr>
                <w:rFonts w:ascii="Arial" w:cs="Arial" w:eastAsia="Arial" w:hAnsi="Arial"/>
                <w:sz w:val="20"/>
                <w:szCs w:val="20"/>
                <w:color w:val="auto"/>
              </w:rPr>
              <w:t>Short-term investments</w:t>
            </w: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266,569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234,292</w:t>
            </w:r>
          </w:p>
        </w:tc>
        <w:tc>
          <w:tcPr>
            <w:tcW w:w="0" w:type="dxa"/>
            <w:vAlign w:val="bottom"/>
          </w:tcPr>
          <w:p>
            <w:pPr>
              <w:spacing w:after="0"/>
              <w:rPr>
                <w:sz w:val="1"/>
                <w:szCs w:val="1"/>
                <w:color w:val="auto"/>
              </w:rPr>
            </w:pPr>
          </w:p>
        </w:tc>
      </w:tr>
      <w:tr>
        <w:trPr>
          <w:trHeight w:val="193"/>
        </w:trPr>
        <w:tc>
          <w:tcPr>
            <w:tcW w:w="6240" w:type="dxa"/>
            <w:vAlign w:val="bottom"/>
            <w:shd w:val="clear" w:color="auto" w:fill="D2EDF0"/>
          </w:tcPr>
          <w:p>
            <w:pPr>
              <w:ind w:left="180"/>
              <w:spacing w:after="0" w:line="193" w:lineRule="exact"/>
              <w:rPr>
                <w:sz w:val="20"/>
                <w:szCs w:val="20"/>
                <w:color w:val="auto"/>
              </w:rPr>
            </w:pPr>
            <w:r>
              <w:rPr>
                <w:rFonts w:ascii="Arial" w:cs="Arial" w:eastAsia="Arial" w:hAnsi="Arial"/>
                <w:sz w:val="20"/>
                <w:szCs w:val="20"/>
                <w:color w:val="auto"/>
              </w:rPr>
              <w:t>Accounts receivable (net of allowance for doubtful accounts of</w:t>
            </w:r>
          </w:p>
        </w:tc>
        <w:tc>
          <w:tcPr>
            <w:tcW w:w="280" w:type="dxa"/>
            <w:vAlign w:val="bottom"/>
            <w:shd w:val="clear" w:color="auto" w:fill="D2EDF0"/>
          </w:tcPr>
          <w:p>
            <w:pPr>
              <w:spacing w:after="0"/>
              <w:rPr>
                <w:sz w:val="16"/>
                <w:szCs w:val="16"/>
                <w:color w:val="auto"/>
              </w:rPr>
            </w:pPr>
          </w:p>
        </w:tc>
        <w:tc>
          <w:tcPr>
            <w:tcW w:w="108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187,341</w:t>
            </w:r>
          </w:p>
        </w:tc>
        <w:tc>
          <w:tcPr>
            <w:tcW w:w="80" w:type="dxa"/>
            <w:vAlign w:val="bottom"/>
            <w:shd w:val="clear" w:color="auto" w:fill="D2EDF0"/>
          </w:tcPr>
          <w:p>
            <w:pPr>
              <w:spacing w:after="0"/>
              <w:rPr>
                <w:sz w:val="16"/>
                <w:szCs w:val="16"/>
                <w:color w:val="auto"/>
              </w:rPr>
            </w:pPr>
          </w:p>
        </w:tc>
        <w:tc>
          <w:tcPr>
            <w:tcW w:w="260" w:type="dxa"/>
            <w:vAlign w:val="bottom"/>
            <w:shd w:val="clear" w:color="auto" w:fill="D2EDF0"/>
          </w:tcPr>
          <w:p>
            <w:pPr>
              <w:spacing w:after="0"/>
              <w:rPr>
                <w:sz w:val="16"/>
                <w:szCs w:val="16"/>
                <w:color w:val="auto"/>
              </w:rPr>
            </w:pPr>
          </w:p>
        </w:tc>
        <w:tc>
          <w:tcPr>
            <w:tcW w:w="106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136,601</w:t>
            </w:r>
          </w:p>
        </w:tc>
        <w:tc>
          <w:tcPr>
            <w:tcW w:w="0" w:type="dxa"/>
            <w:vAlign w:val="bottom"/>
          </w:tcPr>
          <w:p>
            <w:pPr>
              <w:spacing w:after="0"/>
              <w:rPr>
                <w:sz w:val="1"/>
                <w:szCs w:val="1"/>
                <w:color w:val="auto"/>
              </w:rPr>
            </w:pPr>
          </w:p>
        </w:tc>
      </w:tr>
      <w:tr>
        <w:trPr>
          <w:trHeight w:val="272"/>
        </w:trPr>
        <w:tc>
          <w:tcPr>
            <w:tcW w:w="6240" w:type="dxa"/>
            <w:vAlign w:val="bottom"/>
            <w:shd w:val="clear" w:color="auto" w:fill="D2EDF0"/>
          </w:tcPr>
          <w:p>
            <w:pPr>
              <w:ind w:left="320"/>
              <w:spacing w:after="0"/>
              <w:rPr>
                <w:sz w:val="20"/>
                <w:szCs w:val="20"/>
                <w:color w:val="auto"/>
              </w:rPr>
            </w:pPr>
            <w:r>
              <w:rPr>
                <w:rFonts w:ascii="Arial" w:cs="Arial" w:eastAsia="Arial" w:hAnsi="Arial"/>
                <w:sz w:val="20"/>
                <w:szCs w:val="20"/>
                <w:color w:val="auto"/>
              </w:rPr>
              <w:t>$1,400 and $524 at December 31, 2022 and 2021, respectively)</w:t>
            </w:r>
          </w:p>
        </w:tc>
        <w:tc>
          <w:tcPr>
            <w:tcW w:w="280" w:type="dxa"/>
            <w:vAlign w:val="bottom"/>
            <w:shd w:val="clear" w:color="auto" w:fill="D2EDF0"/>
          </w:tcPr>
          <w:p>
            <w:pPr>
              <w:spacing w:after="0"/>
              <w:rPr>
                <w:sz w:val="23"/>
                <w:szCs w:val="23"/>
                <w:color w:val="auto"/>
              </w:rPr>
            </w:pPr>
          </w:p>
        </w:tc>
        <w:tc>
          <w:tcPr>
            <w:tcW w:w="1080" w:type="dxa"/>
            <w:vAlign w:val="bottom"/>
            <w:vMerge w:val="continue"/>
            <w:shd w:val="clear" w:color="auto" w:fill="D2EDF0"/>
          </w:tcPr>
          <w:p>
            <w:pPr>
              <w:spacing w:after="0"/>
              <w:rPr>
                <w:sz w:val="23"/>
                <w:szCs w:val="23"/>
                <w:color w:val="auto"/>
              </w:rPr>
            </w:pPr>
          </w:p>
        </w:tc>
        <w:tc>
          <w:tcPr>
            <w:tcW w:w="80" w:type="dxa"/>
            <w:vAlign w:val="bottom"/>
            <w:shd w:val="clear" w:color="auto" w:fill="D2EDF0"/>
          </w:tcPr>
          <w:p>
            <w:pPr>
              <w:spacing w:after="0"/>
              <w:rPr>
                <w:sz w:val="23"/>
                <w:szCs w:val="23"/>
                <w:color w:val="auto"/>
              </w:rPr>
            </w:pPr>
          </w:p>
        </w:tc>
        <w:tc>
          <w:tcPr>
            <w:tcW w:w="260" w:type="dxa"/>
            <w:vAlign w:val="bottom"/>
            <w:shd w:val="clear" w:color="auto" w:fill="D2EDF0"/>
          </w:tcPr>
          <w:p>
            <w:pPr>
              <w:spacing w:after="0"/>
              <w:rPr>
                <w:sz w:val="23"/>
                <w:szCs w:val="23"/>
                <w:color w:val="auto"/>
              </w:rPr>
            </w:pPr>
          </w:p>
        </w:tc>
        <w:tc>
          <w:tcPr>
            <w:tcW w:w="1060" w:type="dxa"/>
            <w:vAlign w:val="bottom"/>
            <w:vMerge w:val="continue"/>
            <w:shd w:val="clear" w:color="auto" w:fill="D2EDF0"/>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6240" w:type="dxa"/>
            <w:vAlign w:val="bottom"/>
          </w:tcPr>
          <w:p>
            <w:pPr>
              <w:ind w:left="180"/>
              <w:spacing w:after="0"/>
              <w:rPr>
                <w:sz w:val="20"/>
                <w:szCs w:val="20"/>
                <w:color w:val="auto"/>
              </w:rPr>
            </w:pPr>
            <w:r>
              <w:rPr>
                <w:rFonts w:ascii="Arial" w:cs="Arial" w:eastAsia="Arial" w:hAnsi="Arial"/>
                <w:sz w:val="20"/>
                <w:szCs w:val="20"/>
                <w:color w:val="auto"/>
              </w:rPr>
              <w:t>Deferred commissions</w:t>
            </w: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44,270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40,311</w:t>
            </w:r>
          </w:p>
        </w:tc>
        <w:tc>
          <w:tcPr>
            <w:tcW w:w="0" w:type="dxa"/>
            <w:vAlign w:val="bottom"/>
          </w:tcPr>
          <w:p>
            <w:pPr>
              <w:spacing w:after="0"/>
              <w:rPr>
                <w:sz w:val="1"/>
                <w:szCs w:val="1"/>
                <w:color w:val="auto"/>
              </w:rPr>
            </w:pPr>
          </w:p>
        </w:tc>
      </w:tr>
      <w:tr>
        <w:trPr>
          <w:trHeight w:val="265"/>
        </w:trPr>
        <w:tc>
          <w:tcPr>
            <w:tcW w:w="6240" w:type="dxa"/>
            <w:vAlign w:val="bottom"/>
            <w:tcBorders>
              <w:bottom w:val="single" w:sz="8" w:color="D2EDF0"/>
            </w:tcBorders>
            <w:shd w:val="clear" w:color="auto" w:fill="D2EDF0"/>
          </w:tcPr>
          <w:p>
            <w:pPr>
              <w:ind w:left="180"/>
              <w:spacing w:after="0"/>
              <w:rPr>
                <w:sz w:val="20"/>
                <w:szCs w:val="20"/>
                <w:color w:val="auto"/>
              </w:rPr>
            </w:pPr>
            <w:r>
              <w:rPr>
                <w:rFonts w:ascii="Arial" w:cs="Arial" w:eastAsia="Arial" w:hAnsi="Arial"/>
                <w:sz w:val="20"/>
                <w:szCs w:val="20"/>
                <w:color w:val="auto"/>
              </w:rPr>
              <w:t>Prepaid expenses and other current assets</w:t>
            </w:r>
          </w:p>
        </w:tc>
        <w:tc>
          <w:tcPr>
            <w:tcW w:w="280" w:type="dxa"/>
            <w:vAlign w:val="bottom"/>
            <w:tcBorders>
              <w:bottom w:val="single" w:sz="8" w:color="auto"/>
            </w:tcBorders>
            <w:shd w:val="clear" w:color="auto" w:fill="D2EDF0"/>
          </w:tcPr>
          <w:p>
            <w:pPr>
              <w:spacing w:after="0"/>
              <w:rPr>
                <w:sz w:val="23"/>
                <w:szCs w:val="23"/>
                <w:color w:val="auto"/>
              </w:rPr>
            </w:pPr>
          </w:p>
        </w:tc>
        <w:tc>
          <w:tcPr>
            <w:tcW w:w="108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58,121</w:t>
            </w:r>
          </w:p>
        </w:tc>
        <w:tc>
          <w:tcPr>
            <w:tcW w:w="80" w:type="dxa"/>
            <w:vAlign w:val="bottom"/>
            <w:tcBorders>
              <w:bottom w:val="single" w:sz="8" w:color="D2EDF0"/>
            </w:tcBorders>
            <w:shd w:val="clear" w:color="auto" w:fill="D2EDF0"/>
          </w:tcPr>
          <w:p>
            <w:pPr>
              <w:spacing w:after="0"/>
              <w:rPr>
                <w:sz w:val="23"/>
                <w:szCs w:val="23"/>
                <w:color w:val="auto"/>
              </w:rPr>
            </w:pPr>
          </w:p>
        </w:tc>
        <w:tc>
          <w:tcPr>
            <w:tcW w:w="260" w:type="dxa"/>
            <w:vAlign w:val="bottom"/>
            <w:tcBorders>
              <w:bottom w:val="single" w:sz="8" w:color="auto"/>
            </w:tcBorders>
            <w:shd w:val="clear" w:color="auto" w:fill="D2EDF0"/>
          </w:tcPr>
          <w:p>
            <w:pPr>
              <w:spacing w:after="0"/>
              <w:rPr>
                <w:sz w:val="23"/>
                <w:szCs w:val="23"/>
                <w:color w:val="auto"/>
              </w:rPr>
            </w:pPr>
          </w:p>
        </w:tc>
        <w:tc>
          <w:tcPr>
            <w:tcW w:w="106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60,234</w:t>
            </w:r>
          </w:p>
        </w:tc>
        <w:tc>
          <w:tcPr>
            <w:tcW w:w="0" w:type="dxa"/>
            <w:vAlign w:val="bottom"/>
          </w:tcPr>
          <w:p>
            <w:pPr>
              <w:spacing w:after="0"/>
              <w:rPr>
                <w:sz w:val="1"/>
                <w:szCs w:val="1"/>
                <w:color w:val="auto"/>
              </w:rPr>
            </w:pPr>
          </w:p>
        </w:tc>
      </w:tr>
      <w:tr>
        <w:trPr>
          <w:trHeight w:val="225"/>
        </w:trPr>
        <w:tc>
          <w:tcPr>
            <w:tcW w:w="6240" w:type="dxa"/>
            <w:vAlign w:val="bottom"/>
          </w:tcPr>
          <w:p>
            <w:pPr>
              <w:ind w:left="60"/>
              <w:spacing w:after="0" w:line="225" w:lineRule="exact"/>
              <w:rPr>
                <w:sz w:val="20"/>
                <w:szCs w:val="20"/>
                <w:color w:val="auto"/>
              </w:rPr>
            </w:pPr>
            <w:r>
              <w:rPr>
                <w:rFonts w:ascii="Arial" w:cs="Arial" w:eastAsia="Arial" w:hAnsi="Arial"/>
                <w:sz w:val="20"/>
                <w:szCs w:val="20"/>
                <w:color w:val="auto"/>
              </w:rPr>
              <w:t>Total current assets</w:t>
            </w:r>
          </w:p>
        </w:tc>
        <w:tc>
          <w:tcPr>
            <w:tcW w:w="280" w:type="dxa"/>
            <w:vAlign w:val="bottom"/>
          </w:tcPr>
          <w:p>
            <w:pPr>
              <w:spacing w:after="0"/>
              <w:rPr>
                <w:sz w:val="19"/>
                <w:szCs w:val="19"/>
                <w:color w:val="auto"/>
              </w:rPr>
            </w:pPr>
          </w:p>
        </w:tc>
        <w:tc>
          <w:tcPr>
            <w:tcW w:w="1080" w:type="dxa"/>
            <w:vAlign w:val="bottom"/>
          </w:tcPr>
          <w:p>
            <w:pPr>
              <w:jc w:val="right"/>
              <w:spacing w:after="0" w:line="225" w:lineRule="exact"/>
              <w:rPr>
                <w:sz w:val="20"/>
                <w:szCs w:val="20"/>
                <w:color w:val="auto"/>
              </w:rPr>
            </w:pPr>
            <w:r>
              <w:rPr>
                <w:rFonts w:ascii="Arial" w:cs="Arial" w:eastAsia="Arial" w:hAnsi="Arial"/>
                <w:sz w:val="20"/>
                <w:szCs w:val="20"/>
                <w:color w:val="auto"/>
              </w:rPr>
              <w:t>857,167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line="225" w:lineRule="exact"/>
              <w:rPr>
                <w:sz w:val="20"/>
                <w:szCs w:val="20"/>
                <w:color w:val="auto"/>
              </w:rPr>
            </w:pPr>
            <w:r>
              <w:rPr>
                <w:rFonts w:ascii="Arial" w:cs="Arial" w:eastAsia="Arial" w:hAnsi="Arial"/>
                <w:sz w:val="20"/>
                <w:szCs w:val="20"/>
                <w:color w:val="auto"/>
              </w:rPr>
              <w:t>749,438</w:t>
            </w:r>
          </w:p>
        </w:tc>
        <w:tc>
          <w:tcPr>
            <w:tcW w:w="0" w:type="dxa"/>
            <w:vAlign w:val="bottom"/>
          </w:tcPr>
          <w:p>
            <w:pPr>
              <w:spacing w:after="0"/>
              <w:rPr>
                <w:sz w:val="1"/>
                <w:szCs w:val="1"/>
                <w:color w:val="auto"/>
              </w:rPr>
            </w:pPr>
          </w:p>
        </w:tc>
      </w:tr>
      <w:tr>
        <w:trPr>
          <w:trHeight w:val="255"/>
        </w:trPr>
        <w:tc>
          <w:tcPr>
            <w:tcW w:w="6240" w:type="dxa"/>
            <w:vAlign w:val="bottom"/>
            <w:shd w:val="clear" w:color="auto" w:fill="D2EDF0"/>
          </w:tcPr>
          <w:p>
            <w:pPr>
              <w:ind w:left="60"/>
              <w:spacing w:after="0"/>
              <w:rPr>
                <w:sz w:val="20"/>
                <w:szCs w:val="20"/>
                <w:color w:val="auto"/>
              </w:rPr>
            </w:pPr>
            <w:r>
              <w:rPr>
                <w:rFonts w:ascii="Arial" w:cs="Arial" w:eastAsia="Arial" w:hAnsi="Arial"/>
                <w:sz w:val="20"/>
                <w:szCs w:val="20"/>
                <w:color w:val="auto"/>
              </w:rPr>
              <w:t>Property and equipment, net</w:t>
            </w:r>
          </w:p>
        </w:tc>
        <w:tc>
          <w:tcPr>
            <w:tcW w:w="280" w:type="dxa"/>
            <w:vAlign w:val="bottom"/>
            <w:shd w:val="clear" w:color="auto" w:fill="D2EDF0"/>
          </w:tcPr>
          <w:p>
            <w:pPr>
              <w:spacing w:after="0"/>
              <w:rPr>
                <w:sz w:val="22"/>
                <w:szCs w:val="22"/>
                <w:color w:val="auto"/>
              </w:rPr>
            </w:pPr>
          </w:p>
        </w:tc>
        <w:tc>
          <w:tcPr>
            <w:tcW w:w="10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46,726</w:t>
            </w:r>
          </w:p>
        </w:tc>
        <w:tc>
          <w:tcPr>
            <w:tcW w:w="80" w:type="dxa"/>
            <w:vAlign w:val="bottom"/>
            <w:shd w:val="clear" w:color="auto" w:fill="D2EDF0"/>
          </w:tcPr>
          <w:p>
            <w:pPr>
              <w:spacing w:after="0"/>
              <w:rPr>
                <w:sz w:val="22"/>
                <w:szCs w:val="22"/>
                <w:color w:val="auto"/>
              </w:rPr>
            </w:pPr>
          </w:p>
        </w:tc>
        <w:tc>
          <w:tcPr>
            <w:tcW w:w="260" w:type="dxa"/>
            <w:vAlign w:val="bottom"/>
            <w:shd w:val="clear" w:color="auto" w:fill="D2EDF0"/>
          </w:tcPr>
          <w:p>
            <w:pPr>
              <w:spacing w:after="0"/>
              <w:rPr>
                <w:sz w:val="22"/>
                <w:szCs w:val="22"/>
                <w:color w:val="auto"/>
              </w:rPr>
            </w:pPr>
          </w:p>
        </w:tc>
        <w:tc>
          <w:tcPr>
            <w:tcW w:w="10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36,833</w:t>
            </w:r>
          </w:p>
        </w:tc>
        <w:tc>
          <w:tcPr>
            <w:tcW w:w="0" w:type="dxa"/>
            <w:vAlign w:val="bottom"/>
          </w:tcPr>
          <w:p>
            <w:pPr>
              <w:spacing w:after="0"/>
              <w:rPr>
                <w:sz w:val="1"/>
                <w:szCs w:val="1"/>
                <w:color w:val="auto"/>
              </w:rPr>
            </w:pPr>
          </w:p>
        </w:tc>
      </w:tr>
      <w:tr>
        <w:trPr>
          <w:trHeight w:val="255"/>
        </w:trPr>
        <w:tc>
          <w:tcPr>
            <w:tcW w:w="6240" w:type="dxa"/>
            <w:vAlign w:val="bottom"/>
          </w:tcPr>
          <w:p>
            <w:pPr>
              <w:ind w:left="60"/>
              <w:spacing w:after="0"/>
              <w:rPr>
                <w:sz w:val="20"/>
                <w:szCs w:val="20"/>
                <w:color w:val="auto"/>
              </w:rPr>
            </w:pPr>
            <w:r>
              <w:rPr>
                <w:rFonts w:ascii="Arial" w:cs="Arial" w:eastAsia="Arial" w:hAnsi="Arial"/>
                <w:sz w:val="20"/>
                <w:szCs w:val="20"/>
                <w:color w:val="auto"/>
              </w:rPr>
              <w:t>Deferred commissions (net of current portion)</w:t>
            </w: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67,238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59,638</w:t>
            </w:r>
          </w:p>
        </w:tc>
        <w:tc>
          <w:tcPr>
            <w:tcW w:w="0" w:type="dxa"/>
            <w:vAlign w:val="bottom"/>
          </w:tcPr>
          <w:p>
            <w:pPr>
              <w:spacing w:after="0"/>
              <w:rPr>
                <w:sz w:val="1"/>
                <w:szCs w:val="1"/>
                <w:color w:val="auto"/>
              </w:rPr>
            </w:pPr>
          </w:p>
        </w:tc>
      </w:tr>
      <w:tr>
        <w:trPr>
          <w:trHeight w:val="255"/>
        </w:trPr>
        <w:tc>
          <w:tcPr>
            <w:tcW w:w="6240" w:type="dxa"/>
            <w:vAlign w:val="bottom"/>
            <w:shd w:val="clear" w:color="auto" w:fill="D2EDF0"/>
          </w:tcPr>
          <w:p>
            <w:pPr>
              <w:ind w:left="60"/>
              <w:spacing w:after="0"/>
              <w:rPr>
                <w:sz w:val="20"/>
                <w:szCs w:val="20"/>
                <w:color w:val="auto"/>
              </w:rPr>
            </w:pPr>
            <w:r>
              <w:rPr>
                <w:rFonts w:ascii="Arial" w:cs="Arial" w:eastAsia="Arial" w:hAnsi="Arial"/>
                <w:sz w:val="20"/>
                <w:szCs w:val="20"/>
                <w:color w:val="auto"/>
              </w:rPr>
              <w:t>Operating lease right-of-use assets</w:t>
            </w:r>
          </w:p>
        </w:tc>
        <w:tc>
          <w:tcPr>
            <w:tcW w:w="280" w:type="dxa"/>
            <w:vAlign w:val="bottom"/>
            <w:shd w:val="clear" w:color="auto" w:fill="D2EDF0"/>
          </w:tcPr>
          <w:p>
            <w:pPr>
              <w:spacing w:after="0"/>
              <w:rPr>
                <w:sz w:val="22"/>
                <w:szCs w:val="22"/>
                <w:color w:val="auto"/>
              </w:rPr>
            </w:pPr>
          </w:p>
        </w:tc>
        <w:tc>
          <w:tcPr>
            <w:tcW w:w="10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38,495</w:t>
            </w:r>
          </w:p>
        </w:tc>
        <w:tc>
          <w:tcPr>
            <w:tcW w:w="80" w:type="dxa"/>
            <w:vAlign w:val="bottom"/>
            <w:shd w:val="clear" w:color="auto" w:fill="D2EDF0"/>
          </w:tcPr>
          <w:p>
            <w:pPr>
              <w:spacing w:after="0"/>
              <w:rPr>
                <w:sz w:val="22"/>
                <w:szCs w:val="22"/>
                <w:color w:val="auto"/>
              </w:rPr>
            </w:pPr>
          </w:p>
        </w:tc>
        <w:tc>
          <w:tcPr>
            <w:tcW w:w="260" w:type="dxa"/>
            <w:vAlign w:val="bottom"/>
            <w:shd w:val="clear" w:color="auto" w:fill="D2EDF0"/>
          </w:tcPr>
          <w:p>
            <w:pPr>
              <w:spacing w:after="0"/>
              <w:rPr>
                <w:sz w:val="22"/>
                <w:szCs w:val="22"/>
                <w:color w:val="auto"/>
              </w:rPr>
            </w:pPr>
          </w:p>
        </w:tc>
        <w:tc>
          <w:tcPr>
            <w:tcW w:w="10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38,530</w:t>
            </w:r>
          </w:p>
        </w:tc>
        <w:tc>
          <w:tcPr>
            <w:tcW w:w="0" w:type="dxa"/>
            <w:vAlign w:val="bottom"/>
          </w:tcPr>
          <w:p>
            <w:pPr>
              <w:spacing w:after="0"/>
              <w:rPr>
                <w:sz w:val="1"/>
                <w:szCs w:val="1"/>
                <w:color w:val="auto"/>
              </w:rPr>
            </w:pPr>
          </w:p>
        </w:tc>
      </w:tr>
      <w:tr>
        <w:trPr>
          <w:trHeight w:val="255"/>
        </w:trPr>
        <w:tc>
          <w:tcPr>
            <w:tcW w:w="6240" w:type="dxa"/>
            <w:vAlign w:val="bottom"/>
          </w:tcPr>
          <w:p>
            <w:pPr>
              <w:ind w:left="60"/>
              <w:spacing w:after="0"/>
              <w:rPr>
                <w:sz w:val="20"/>
                <w:szCs w:val="20"/>
                <w:color w:val="auto"/>
              </w:rPr>
            </w:pPr>
            <w:r>
              <w:rPr>
                <w:rFonts w:ascii="Arial" w:cs="Arial" w:eastAsia="Arial" w:hAnsi="Arial"/>
                <w:sz w:val="20"/>
                <w:szCs w:val="20"/>
                <w:color w:val="auto"/>
              </w:rPr>
              <w:t>Acquired intangible assets, net</w:t>
            </w: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75,376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71,536</w:t>
            </w:r>
          </w:p>
        </w:tc>
        <w:tc>
          <w:tcPr>
            <w:tcW w:w="0" w:type="dxa"/>
            <w:vAlign w:val="bottom"/>
          </w:tcPr>
          <w:p>
            <w:pPr>
              <w:spacing w:after="0"/>
              <w:rPr>
                <w:sz w:val="1"/>
                <w:szCs w:val="1"/>
                <w:color w:val="auto"/>
              </w:rPr>
            </w:pPr>
          </w:p>
        </w:tc>
      </w:tr>
      <w:tr>
        <w:trPr>
          <w:trHeight w:val="255"/>
        </w:trPr>
        <w:tc>
          <w:tcPr>
            <w:tcW w:w="6240" w:type="dxa"/>
            <w:vAlign w:val="bottom"/>
            <w:shd w:val="clear" w:color="auto" w:fill="D2EDF0"/>
          </w:tcPr>
          <w:p>
            <w:pPr>
              <w:ind w:left="60"/>
              <w:spacing w:after="0"/>
              <w:rPr>
                <w:sz w:val="20"/>
                <w:szCs w:val="20"/>
                <w:color w:val="auto"/>
              </w:rPr>
            </w:pPr>
            <w:r>
              <w:rPr>
                <w:rFonts w:ascii="Arial" w:cs="Arial" w:eastAsia="Arial" w:hAnsi="Arial"/>
                <w:sz w:val="20"/>
                <w:szCs w:val="20"/>
                <w:color w:val="auto"/>
              </w:rPr>
              <w:t>Goodwill</w:t>
            </w:r>
          </w:p>
        </w:tc>
        <w:tc>
          <w:tcPr>
            <w:tcW w:w="280" w:type="dxa"/>
            <w:vAlign w:val="bottom"/>
            <w:shd w:val="clear" w:color="auto" w:fill="D2EDF0"/>
          </w:tcPr>
          <w:p>
            <w:pPr>
              <w:spacing w:after="0"/>
              <w:rPr>
                <w:sz w:val="22"/>
                <w:szCs w:val="22"/>
                <w:color w:val="auto"/>
              </w:rPr>
            </w:pPr>
          </w:p>
        </w:tc>
        <w:tc>
          <w:tcPr>
            <w:tcW w:w="10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316,520</w:t>
            </w:r>
          </w:p>
        </w:tc>
        <w:tc>
          <w:tcPr>
            <w:tcW w:w="80" w:type="dxa"/>
            <w:vAlign w:val="bottom"/>
            <w:shd w:val="clear" w:color="auto" w:fill="D2EDF0"/>
          </w:tcPr>
          <w:p>
            <w:pPr>
              <w:spacing w:after="0"/>
              <w:rPr>
                <w:sz w:val="22"/>
                <w:szCs w:val="22"/>
                <w:color w:val="auto"/>
              </w:rPr>
            </w:pPr>
          </w:p>
        </w:tc>
        <w:tc>
          <w:tcPr>
            <w:tcW w:w="260" w:type="dxa"/>
            <w:vAlign w:val="bottom"/>
            <w:shd w:val="clear" w:color="auto" w:fill="D2EDF0"/>
          </w:tcPr>
          <w:p>
            <w:pPr>
              <w:spacing w:after="0"/>
              <w:rPr>
                <w:sz w:val="22"/>
                <w:szCs w:val="22"/>
                <w:color w:val="auto"/>
              </w:rPr>
            </w:pPr>
          </w:p>
        </w:tc>
        <w:tc>
          <w:tcPr>
            <w:tcW w:w="10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261,614</w:t>
            </w:r>
          </w:p>
        </w:tc>
        <w:tc>
          <w:tcPr>
            <w:tcW w:w="0" w:type="dxa"/>
            <w:vAlign w:val="bottom"/>
          </w:tcPr>
          <w:p>
            <w:pPr>
              <w:spacing w:after="0"/>
              <w:rPr>
                <w:sz w:val="1"/>
                <w:szCs w:val="1"/>
                <w:color w:val="auto"/>
              </w:rPr>
            </w:pPr>
          </w:p>
        </w:tc>
      </w:tr>
      <w:tr>
        <w:trPr>
          <w:trHeight w:val="245"/>
        </w:trPr>
        <w:tc>
          <w:tcPr>
            <w:tcW w:w="6240" w:type="dxa"/>
            <w:vAlign w:val="bottom"/>
            <w:tcBorders>
              <w:bottom w:val="single" w:sz="8" w:color="D2EDF0"/>
            </w:tcBorders>
          </w:tcPr>
          <w:p>
            <w:pPr>
              <w:ind w:left="60"/>
              <w:spacing w:after="0"/>
              <w:rPr>
                <w:sz w:val="20"/>
                <w:szCs w:val="20"/>
                <w:color w:val="auto"/>
              </w:rPr>
            </w:pPr>
            <w:r>
              <w:rPr>
                <w:rFonts w:ascii="Arial" w:cs="Arial" w:eastAsia="Arial" w:hAnsi="Arial"/>
                <w:sz w:val="20"/>
                <w:szCs w:val="20"/>
                <w:color w:val="auto"/>
              </w:rPr>
              <w:t>Other assets</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38,008</w:t>
            </w:r>
          </w:p>
        </w:tc>
        <w:tc>
          <w:tcPr>
            <w:tcW w:w="80" w:type="dxa"/>
            <w:vAlign w:val="bottom"/>
            <w:tcBorders>
              <w:bottom w:val="single" w:sz="8" w:color="D2EDF0"/>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31,230</w:t>
            </w:r>
          </w:p>
        </w:tc>
        <w:tc>
          <w:tcPr>
            <w:tcW w:w="0" w:type="dxa"/>
            <w:vAlign w:val="bottom"/>
          </w:tcPr>
          <w:p>
            <w:pPr>
              <w:spacing w:after="0"/>
              <w:rPr>
                <w:sz w:val="1"/>
                <w:szCs w:val="1"/>
                <w:color w:val="auto"/>
              </w:rPr>
            </w:pPr>
          </w:p>
        </w:tc>
      </w:tr>
      <w:tr>
        <w:trPr>
          <w:trHeight w:val="240"/>
        </w:trPr>
        <w:tc>
          <w:tcPr>
            <w:tcW w:w="6240" w:type="dxa"/>
            <w:vAlign w:val="bottom"/>
            <w:tcBorders>
              <w:bottom w:val="single" w:sz="8" w:color="D2EDF0"/>
            </w:tcBorders>
            <w:shd w:val="clear" w:color="auto" w:fill="D2EDF0"/>
          </w:tcPr>
          <w:p>
            <w:pPr>
              <w:ind w:left="60"/>
              <w:spacing w:after="0" w:line="215" w:lineRule="exact"/>
              <w:rPr>
                <w:sz w:val="20"/>
                <w:szCs w:val="20"/>
                <w:color w:val="auto"/>
              </w:rPr>
            </w:pPr>
            <w:r>
              <w:rPr>
                <w:rFonts w:ascii="Arial" w:cs="Arial" w:eastAsia="Arial" w:hAnsi="Arial"/>
                <w:sz w:val="20"/>
                <w:szCs w:val="20"/>
                <w:color w:val="auto"/>
              </w:rPr>
              <w:t>Total assets</w:t>
            </w:r>
          </w:p>
        </w:tc>
        <w:tc>
          <w:tcPr>
            <w:tcW w:w="280" w:type="dxa"/>
            <w:vAlign w:val="bottom"/>
            <w:tcBorders>
              <w:bottom w:val="single" w:sz="8" w:color="auto"/>
            </w:tcBorders>
            <w:shd w:val="clear" w:color="auto" w:fill="D2EDF0"/>
          </w:tcPr>
          <w:p>
            <w:pPr>
              <w:jc w:val="right"/>
              <w:ind w:right="20"/>
              <w:spacing w:after="0" w:line="215"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D2EDF0"/>
          </w:tcPr>
          <w:p>
            <w:pPr>
              <w:jc w:val="right"/>
              <w:spacing w:after="0" w:line="215" w:lineRule="exact"/>
              <w:rPr>
                <w:sz w:val="20"/>
                <w:szCs w:val="20"/>
                <w:color w:val="auto"/>
              </w:rPr>
            </w:pPr>
            <w:r>
              <w:rPr>
                <w:rFonts w:ascii="Arial" w:cs="Arial" w:eastAsia="Arial" w:hAnsi="Arial"/>
                <w:sz w:val="20"/>
                <w:szCs w:val="20"/>
                <w:color w:val="auto"/>
              </w:rPr>
              <w:t>1,439,530</w:t>
            </w:r>
          </w:p>
        </w:tc>
        <w:tc>
          <w:tcPr>
            <w:tcW w:w="80" w:type="dxa"/>
            <w:vAlign w:val="bottom"/>
            <w:tcBorders>
              <w:bottom w:val="single" w:sz="8" w:color="D2EDF0"/>
            </w:tcBorders>
            <w:shd w:val="clear" w:color="auto" w:fill="D2EDF0"/>
          </w:tcPr>
          <w:p>
            <w:pPr>
              <w:spacing w:after="0"/>
              <w:rPr>
                <w:sz w:val="20"/>
                <w:szCs w:val="20"/>
                <w:color w:val="auto"/>
              </w:rPr>
            </w:pPr>
          </w:p>
        </w:tc>
        <w:tc>
          <w:tcPr>
            <w:tcW w:w="260" w:type="dxa"/>
            <w:vAlign w:val="bottom"/>
            <w:tcBorders>
              <w:bottom w:val="single" w:sz="8" w:color="auto"/>
            </w:tcBorders>
            <w:shd w:val="clear" w:color="auto" w:fill="D2EDF0"/>
          </w:tcPr>
          <w:p>
            <w:pPr>
              <w:jc w:val="right"/>
              <w:spacing w:after="0" w:line="215"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D2EDF0"/>
          </w:tcPr>
          <w:p>
            <w:pPr>
              <w:jc w:val="right"/>
              <w:spacing w:after="0" w:line="215" w:lineRule="exact"/>
              <w:rPr>
                <w:sz w:val="20"/>
                <w:szCs w:val="20"/>
                <w:color w:val="auto"/>
              </w:rPr>
            </w:pPr>
            <w:r>
              <w:rPr>
                <w:rFonts w:ascii="Arial" w:cs="Arial" w:eastAsia="Arial" w:hAnsi="Arial"/>
                <w:sz w:val="20"/>
                <w:szCs w:val="20"/>
                <w:color w:val="auto"/>
              </w:rPr>
              <w:t>1,248,819</w:t>
            </w:r>
          </w:p>
        </w:tc>
        <w:tc>
          <w:tcPr>
            <w:tcW w:w="0" w:type="dxa"/>
            <w:vAlign w:val="bottom"/>
          </w:tcPr>
          <w:p>
            <w:pPr>
              <w:spacing w:after="0"/>
              <w:rPr>
                <w:sz w:val="1"/>
                <w:szCs w:val="1"/>
                <w:color w:val="auto"/>
              </w:rPr>
            </w:pPr>
          </w:p>
        </w:tc>
      </w:tr>
      <w:tr>
        <w:trPr>
          <w:trHeight w:val="20"/>
        </w:trPr>
        <w:tc>
          <w:tcPr>
            <w:tcW w:w="6240" w:type="dxa"/>
            <w:vAlign w:val="bottom"/>
            <w:tcBorders>
              <w:top w:val="single" w:sz="8" w:color="D2EDF0"/>
              <w:bottom w:val="single" w:sz="8" w:color="D2EDF0"/>
            </w:tcBorders>
            <w:vMerge w:val="restart"/>
          </w:tcPr>
          <w:p>
            <w:pPr>
              <w:ind w:left="6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D2EDF0"/>
              <w:bottom w:val="single" w:sz="8" w:color="auto"/>
            </w:tcBorders>
          </w:tcPr>
          <w:p>
            <w:pPr>
              <w:spacing w:after="0" w:line="20" w:lineRule="exact"/>
              <w:rPr>
                <w:sz w:val="1"/>
                <w:szCs w:val="1"/>
                <w:color w:val="auto"/>
              </w:rPr>
            </w:pPr>
          </w:p>
        </w:tc>
        <w:tc>
          <w:tcPr>
            <w:tcW w:w="1080" w:type="dxa"/>
            <w:vAlign w:val="bottom"/>
            <w:tcBorders>
              <w:top w:val="single" w:sz="8" w:color="D2EDF0"/>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260" w:type="dxa"/>
            <w:vAlign w:val="bottom"/>
            <w:tcBorders>
              <w:top w:val="single" w:sz="8" w:color="D2EDF0"/>
              <w:bottom w:val="single" w:sz="8" w:color="auto"/>
            </w:tcBorders>
          </w:tcPr>
          <w:p>
            <w:pPr>
              <w:spacing w:after="0" w:line="20" w:lineRule="exact"/>
              <w:rPr>
                <w:sz w:val="1"/>
                <w:szCs w:val="1"/>
                <w:color w:val="auto"/>
              </w:rPr>
            </w:pPr>
          </w:p>
        </w:tc>
        <w:tc>
          <w:tcPr>
            <w:tcW w:w="1060" w:type="dxa"/>
            <w:vAlign w:val="bottom"/>
            <w:tcBorders>
              <w:top w:val="single" w:sz="8" w:color="D2EDF0"/>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240" w:type="dxa"/>
            <w:vAlign w:val="bottom"/>
            <w:shd w:val="clear" w:color="auto" w:fill="D2EDF0"/>
          </w:tcPr>
          <w:p>
            <w:pPr>
              <w:ind w:left="60"/>
              <w:spacing w:after="0"/>
              <w:rPr>
                <w:sz w:val="20"/>
                <w:szCs w:val="20"/>
                <w:color w:val="auto"/>
              </w:rPr>
            </w:pPr>
            <w:r>
              <w:rPr>
                <w:rFonts w:ascii="Arial" w:cs="Arial" w:eastAsia="Arial" w:hAnsi="Arial"/>
                <w:sz w:val="20"/>
                <w:szCs w:val="20"/>
                <w:color w:val="auto"/>
              </w:rPr>
              <w:t>Current liabilities:</w:t>
            </w:r>
          </w:p>
        </w:tc>
        <w:tc>
          <w:tcPr>
            <w:tcW w:w="280" w:type="dxa"/>
            <w:vAlign w:val="bottom"/>
            <w:shd w:val="clear" w:color="auto" w:fill="D2EDF0"/>
          </w:tcPr>
          <w:p>
            <w:pPr>
              <w:spacing w:after="0"/>
              <w:rPr>
                <w:sz w:val="22"/>
                <w:szCs w:val="22"/>
                <w:color w:val="auto"/>
              </w:rPr>
            </w:pPr>
          </w:p>
        </w:tc>
        <w:tc>
          <w:tcPr>
            <w:tcW w:w="1080" w:type="dxa"/>
            <w:vAlign w:val="bottom"/>
            <w:shd w:val="clear" w:color="auto" w:fill="D2EDF0"/>
          </w:tcPr>
          <w:p>
            <w:pPr>
              <w:spacing w:after="0"/>
              <w:rPr>
                <w:sz w:val="22"/>
                <w:szCs w:val="22"/>
                <w:color w:val="auto"/>
              </w:rPr>
            </w:pPr>
          </w:p>
        </w:tc>
        <w:tc>
          <w:tcPr>
            <w:tcW w:w="80" w:type="dxa"/>
            <w:vAlign w:val="bottom"/>
            <w:shd w:val="clear" w:color="auto" w:fill="D2EDF0"/>
          </w:tcPr>
          <w:p>
            <w:pPr>
              <w:spacing w:after="0"/>
              <w:rPr>
                <w:sz w:val="22"/>
                <w:szCs w:val="22"/>
                <w:color w:val="auto"/>
              </w:rPr>
            </w:pPr>
          </w:p>
        </w:tc>
        <w:tc>
          <w:tcPr>
            <w:tcW w:w="260" w:type="dxa"/>
            <w:vAlign w:val="bottom"/>
            <w:shd w:val="clear" w:color="auto" w:fill="D2EDF0"/>
          </w:tcPr>
          <w:p>
            <w:pPr>
              <w:spacing w:after="0"/>
              <w:rPr>
                <w:sz w:val="22"/>
                <w:szCs w:val="22"/>
                <w:color w:val="auto"/>
              </w:rPr>
            </w:pPr>
          </w:p>
        </w:tc>
        <w:tc>
          <w:tcPr>
            <w:tcW w:w="1060" w:type="dxa"/>
            <w:vAlign w:val="bottom"/>
            <w:shd w:val="clear" w:color="auto" w:fill="D2EDF0"/>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240" w:type="dxa"/>
            <w:vAlign w:val="bottom"/>
          </w:tcPr>
          <w:p>
            <w:pPr>
              <w:ind w:left="180"/>
              <w:spacing w:after="0"/>
              <w:rPr>
                <w:sz w:val="20"/>
                <w:szCs w:val="20"/>
                <w:color w:val="auto"/>
              </w:rPr>
            </w:pPr>
            <w:r>
              <w:rPr>
                <w:rFonts w:ascii="Arial" w:cs="Arial" w:eastAsia="Arial" w:hAnsi="Arial"/>
                <w:sz w:val="20"/>
                <w:szCs w:val="20"/>
                <w:color w:val="auto"/>
              </w:rPr>
              <w:t>Accounts payable and accrued expenses</w:t>
            </w: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18,722</w:t>
            </w:r>
          </w:p>
        </w:tc>
        <w:tc>
          <w:tcPr>
            <w:tcW w:w="3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16,254</w:t>
            </w:r>
          </w:p>
        </w:tc>
        <w:tc>
          <w:tcPr>
            <w:tcW w:w="0" w:type="dxa"/>
            <w:vAlign w:val="bottom"/>
          </w:tcPr>
          <w:p>
            <w:pPr>
              <w:spacing w:after="0"/>
              <w:rPr>
                <w:sz w:val="1"/>
                <w:szCs w:val="1"/>
                <w:color w:val="auto"/>
              </w:rPr>
            </w:pPr>
          </w:p>
        </w:tc>
      </w:tr>
      <w:tr>
        <w:trPr>
          <w:trHeight w:val="255"/>
        </w:trPr>
        <w:tc>
          <w:tcPr>
            <w:tcW w:w="6240" w:type="dxa"/>
            <w:vAlign w:val="bottom"/>
            <w:shd w:val="clear" w:color="auto" w:fill="D2EDF0"/>
          </w:tcPr>
          <w:p>
            <w:pPr>
              <w:ind w:left="180"/>
              <w:spacing w:after="0"/>
              <w:rPr>
                <w:sz w:val="20"/>
                <w:szCs w:val="20"/>
                <w:color w:val="auto"/>
              </w:rPr>
            </w:pPr>
            <w:r>
              <w:rPr>
                <w:rFonts w:ascii="Arial" w:cs="Arial" w:eastAsia="Arial" w:hAnsi="Arial"/>
                <w:sz w:val="20"/>
                <w:szCs w:val="20"/>
                <w:color w:val="auto"/>
              </w:rPr>
              <w:t>Accrued compensation</w:t>
            </w:r>
          </w:p>
        </w:tc>
        <w:tc>
          <w:tcPr>
            <w:tcW w:w="280" w:type="dxa"/>
            <w:vAlign w:val="bottom"/>
            <w:shd w:val="clear" w:color="auto" w:fill="D2EDF0"/>
          </w:tcPr>
          <w:p>
            <w:pPr>
              <w:spacing w:after="0"/>
              <w:rPr>
                <w:sz w:val="22"/>
                <w:szCs w:val="22"/>
                <w:color w:val="auto"/>
              </w:rPr>
            </w:pPr>
          </w:p>
        </w:tc>
        <w:tc>
          <w:tcPr>
            <w:tcW w:w="10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52,620</w:t>
            </w:r>
          </w:p>
        </w:tc>
        <w:tc>
          <w:tcPr>
            <w:tcW w:w="80" w:type="dxa"/>
            <w:vAlign w:val="bottom"/>
            <w:shd w:val="clear" w:color="auto" w:fill="D2EDF0"/>
          </w:tcPr>
          <w:p>
            <w:pPr>
              <w:spacing w:after="0"/>
              <w:rPr>
                <w:sz w:val="22"/>
                <w:szCs w:val="22"/>
                <w:color w:val="auto"/>
              </w:rPr>
            </w:pPr>
          </w:p>
        </w:tc>
        <w:tc>
          <w:tcPr>
            <w:tcW w:w="260" w:type="dxa"/>
            <w:vAlign w:val="bottom"/>
            <w:shd w:val="clear" w:color="auto" w:fill="D2EDF0"/>
          </w:tcPr>
          <w:p>
            <w:pPr>
              <w:spacing w:after="0"/>
              <w:rPr>
                <w:sz w:val="22"/>
                <w:szCs w:val="22"/>
                <w:color w:val="auto"/>
              </w:rPr>
            </w:pPr>
          </w:p>
        </w:tc>
        <w:tc>
          <w:tcPr>
            <w:tcW w:w="10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54,051</w:t>
            </w:r>
          </w:p>
        </w:tc>
        <w:tc>
          <w:tcPr>
            <w:tcW w:w="0" w:type="dxa"/>
            <w:vAlign w:val="bottom"/>
          </w:tcPr>
          <w:p>
            <w:pPr>
              <w:spacing w:after="0"/>
              <w:rPr>
                <w:sz w:val="1"/>
                <w:szCs w:val="1"/>
                <w:color w:val="auto"/>
              </w:rPr>
            </w:pPr>
          </w:p>
        </w:tc>
      </w:tr>
      <w:tr>
        <w:trPr>
          <w:trHeight w:val="255"/>
        </w:trPr>
        <w:tc>
          <w:tcPr>
            <w:tcW w:w="6240" w:type="dxa"/>
            <w:vAlign w:val="bottom"/>
          </w:tcPr>
          <w:p>
            <w:pPr>
              <w:ind w:left="180"/>
              <w:spacing w:after="0"/>
              <w:rPr>
                <w:sz w:val="20"/>
                <w:szCs w:val="20"/>
                <w:color w:val="auto"/>
              </w:rPr>
            </w:pPr>
            <w:r>
              <w:rPr>
                <w:rFonts w:ascii="Arial" w:cs="Arial" w:eastAsia="Arial" w:hAnsi="Arial"/>
                <w:sz w:val="20"/>
                <w:szCs w:val="20"/>
                <w:color w:val="auto"/>
              </w:rPr>
              <w:t>Deferred revenue</w:t>
            </w: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502,115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407,498</w:t>
            </w:r>
          </w:p>
        </w:tc>
        <w:tc>
          <w:tcPr>
            <w:tcW w:w="0" w:type="dxa"/>
            <w:vAlign w:val="bottom"/>
          </w:tcPr>
          <w:p>
            <w:pPr>
              <w:spacing w:after="0"/>
              <w:rPr>
                <w:sz w:val="1"/>
                <w:szCs w:val="1"/>
                <w:color w:val="auto"/>
              </w:rPr>
            </w:pPr>
          </w:p>
        </w:tc>
      </w:tr>
      <w:tr>
        <w:trPr>
          <w:trHeight w:val="255"/>
        </w:trPr>
        <w:tc>
          <w:tcPr>
            <w:tcW w:w="6240" w:type="dxa"/>
            <w:vAlign w:val="bottom"/>
            <w:shd w:val="clear" w:color="auto" w:fill="D2EDF0"/>
          </w:tcPr>
          <w:p>
            <w:pPr>
              <w:ind w:left="180"/>
              <w:spacing w:after="0"/>
              <w:rPr>
                <w:sz w:val="20"/>
                <w:szCs w:val="20"/>
                <w:color w:val="auto"/>
              </w:rPr>
            </w:pPr>
            <w:r>
              <w:rPr>
                <w:rFonts w:ascii="Arial" w:cs="Arial" w:eastAsia="Arial" w:hAnsi="Arial"/>
                <w:sz w:val="20"/>
                <w:szCs w:val="20"/>
                <w:color w:val="auto"/>
              </w:rPr>
              <w:t>Operating lease liabilities</w:t>
            </w:r>
          </w:p>
        </w:tc>
        <w:tc>
          <w:tcPr>
            <w:tcW w:w="280" w:type="dxa"/>
            <w:vAlign w:val="bottom"/>
            <w:shd w:val="clear" w:color="auto" w:fill="D2EDF0"/>
          </w:tcPr>
          <w:p>
            <w:pPr>
              <w:spacing w:after="0"/>
              <w:rPr>
                <w:sz w:val="22"/>
                <w:szCs w:val="22"/>
                <w:color w:val="auto"/>
              </w:rPr>
            </w:pPr>
          </w:p>
        </w:tc>
        <w:tc>
          <w:tcPr>
            <w:tcW w:w="10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5,821</w:t>
            </w:r>
          </w:p>
        </w:tc>
        <w:tc>
          <w:tcPr>
            <w:tcW w:w="80" w:type="dxa"/>
            <w:vAlign w:val="bottom"/>
            <w:shd w:val="clear" w:color="auto" w:fill="D2EDF0"/>
          </w:tcPr>
          <w:p>
            <w:pPr>
              <w:spacing w:after="0"/>
              <w:rPr>
                <w:sz w:val="22"/>
                <w:szCs w:val="22"/>
                <w:color w:val="auto"/>
              </w:rPr>
            </w:pPr>
          </w:p>
        </w:tc>
        <w:tc>
          <w:tcPr>
            <w:tcW w:w="260" w:type="dxa"/>
            <w:vAlign w:val="bottom"/>
            <w:shd w:val="clear" w:color="auto" w:fill="D2EDF0"/>
          </w:tcPr>
          <w:p>
            <w:pPr>
              <w:spacing w:after="0"/>
              <w:rPr>
                <w:sz w:val="22"/>
                <w:szCs w:val="22"/>
                <w:color w:val="auto"/>
              </w:rPr>
            </w:pPr>
          </w:p>
        </w:tc>
        <w:tc>
          <w:tcPr>
            <w:tcW w:w="10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2,320</w:t>
            </w:r>
          </w:p>
        </w:tc>
        <w:tc>
          <w:tcPr>
            <w:tcW w:w="0" w:type="dxa"/>
            <w:vAlign w:val="bottom"/>
          </w:tcPr>
          <w:p>
            <w:pPr>
              <w:spacing w:after="0"/>
              <w:rPr>
                <w:sz w:val="1"/>
                <w:szCs w:val="1"/>
                <w:color w:val="auto"/>
              </w:rPr>
            </w:pPr>
          </w:p>
        </w:tc>
      </w:tr>
      <w:tr>
        <w:trPr>
          <w:trHeight w:val="245"/>
        </w:trPr>
        <w:tc>
          <w:tcPr>
            <w:tcW w:w="6240" w:type="dxa"/>
            <w:vAlign w:val="bottom"/>
            <w:tcBorders>
              <w:bottom w:val="single" w:sz="8" w:color="D2EDF0"/>
            </w:tcBorders>
          </w:tcPr>
          <w:p>
            <w:pPr>
              <w:ind w:left="180"/>
              <w:spacing w:after="0"/>
              <w:rPr>
                <w:sz w:val="20"/>
                <w:szCs w:val="20"/>
                <w:color w:val="auto"/>
              </w:rPr>
            </w:pPr>
            <w:r>
              <w:rPr>
                <w:rFonts w:ascii="Arial" w:cs="Arial" w:eastAsia="Arial" w:hAnsi="Arial"/>
                <w:sz w:val="20"/>
                <w:szCs w:val="20"/>
                <w:color w:val="auto"/>
              </w:rPr>
              <w:t>Other current liabilities</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4,882</w:t>
            </w:r>
          </w:p>
        </w:tc>
        <w:tc>
          <w:tcPr>
            <w:tcW w:w="80" w:type="dxa"/>
            <w:vAlign w:val="bottom"/>
            <w:tcBorders>
              <w:bottom w:val="single" w:sz="8" w:color="D2EDF0"/>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3,759</w:t>
            </w:r>
          </w:p>
        </w:tc>
        <w:tc>
          <w:tcPr>
            <w:tcW w:w="0" w:type="dxa"/>
            <w:vAlign w:val="bottom"/>
          </w:tcPr>
          <w:p>
            <w:pPr>
              <w:spacing w:after="0"/>
              <w:rPr>
                <w:sz w:val="1"/>
                <w:szCs w:val="1"/>
                <w:color w:val="auto"/>
              </w:rPr>
            </w:pPr>
          </w:p>
        </w:tc>
      </w:tr>
      <w:tr>
        <w:trPr>
          <w:trHeight w:val="245"/>
        </w:trPr>
        <w:tc>
          <w:tcPr>
            <w:tcW w:w="6240" w:type="dxa"/>
            <w:vAlign w:val="bottom"/>
            <w:shd w:val="clear" w:color="auto" w:fill="D2EDF0"/>
          </w:tcPr>
          <w:p>
            <w:pPr>
              <w:ind w:left="60"/>
              <w:spacing w:after="0"/>
              <w:rPr>
                <w:sz w:val="20"/>
                <w:szCs w:val="20"/>
                <w:color w:val="auto"/>
              </w:rPr>
            </w:pPr>
            <w:r>
              <w:rPr>
                <w:rFonts w:ascii="Arial" w:cs="Arial" w:eastAsia="Arial" w:hAnsi="Arial"/>
                <w:sz w:val="20"/>
                <w:szCs w:val="20"/>
                <w:color w:val="auto"/>
              </w:rPr>
              <w:t>Total current liabilities</w:t>
            </w:r>
          </w:p>
        </w:tc>
        <w:tc>
          <w:tcPr>
            <w:tcW w:w="280" w:type="dxa"/>
            <w:vAlign w:val="bottom"/>
            <w:shd w:val="clear" w:color="auto" w:fill="D2EDF0"/>
          </w:tcPr>
          <w:p>
            <w:pPr>
              <w:spacing w:after="0"/>
              <w:rPr>
                <w:sz w:val="21"/>
                <w:szCs w:val="21"/>
                <w:color w:val="auto"/>
              </w:rPr>
            </w:pPr>
          </w:p>
        </w:tc>
        <w:tc>
          <w:tcPr>
            <w:tcW w:w="10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584,160</w:t>
            </w:r>
          </w:p>
        </w:tc>
        <w:tc>
          <w:tcPr>
            <w:tcW w:w="80" w:type="dxa"/>
            <w:vAlign w:val="bottom"/>
            <w:shd w:val="clear" w:color="auto" w:fill="D2EDF0"/>
          </w:tcPr>
          <w:p>
            <w:pPr>
              <w:spacing w:after="0"/>
              <w:rPr>
                <w:sz w:val="21"/>
                <w:szCs w:val="21"/>
                <w:color w:val="auto"/>
              </w:rPr>
            </w:pPr>
          </w:p>
        </w:tc>
        <w:tc>
          <w:tcPr>
            <w:tcW w:w="260" w:type="dxa"/>
            <w:vAlign w:val="bottom"/>
            <w:shd w:val="clear" w:color="auto" w:fill="D2EDF0"/>
          </w:tcPr>
          <w:p>
            <w:pPr>
              <w:spacing w:after="0"/>
              <w:rPr>
                <w:sz w:val="21"/>
                <w:szCs w:val="21"/>
                <w:color w:val="auto"/>
              </w:rPr>
            </w:pPr>
          </w:p>
        </w:tc>
        <w:tc>
          <w:tcPr>
            <w:tcW w:w="10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483,882</w:t>
            </w:r>
          </w:p>
        </w:tc>
        <w:tc>
          <w:tcPr>
            <w:tcW w:w="0" w:type="dxa"/>
            <w:vAlign w:val="bottom"/>
          </w:tcPr>
          <w:p>
            <w:pPr>
              <w:spacing w:after="0"/>
              <w:rPr>
                <w:sz w:val="1"/>
                <w:szCs w:val="1"/>
                <w:color w:val="auto"/>
              </w:rPr>
            </w:pPr>
          </w:p>
        </w:tc>
      </w:tr>
      <w:tr>
        <w:trPr>
          <w:trHeight w:val="255"/>
        </w:trPr>
        <w:tc>
          <w:tcPr>
            <w:tcW w:w="6240" w:type="dxa"/>
            <w:vAlign w:val="bottom"/>
          </w:tcPr>
          <w:p>
            <w:pPr>
              <w:ind w:left="60"/>
              <w:spacing w:after="0"/>
              <w:rPr>
                <w:sz w:val="20"/>
                <w:szCs w:val="20"/>
                <w:color w:val="auto"/>
              </w:rPr>
            </w:pPr>
            <w:r>
              <w:rPr>
                <w:rFonts w:ascii="Arial" w:cs="Arial" w:eastAsia="Arial" w:hAnsi="Arial"/>
                <w:sz w:val="20"/>
                <w:szCs w:val="20"/>
                <w:color w:val="auto"/>
              </w:rPr>
              <w:t>Deferred revenue (net of current portion)</w:t>
            </w: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162,487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123,387</w:t>
            </w:r>
          </w:p>
        </w:tc>
        <w:tc>
          <w:tcPr>
            <w:tcW w:w="0" w:type="dxa"/>
            <w:vAlign w:val="bottom"/>
          </w:tcPr>
          <w:p>
            <w:pPr>
              <w:spacing w:after="0"/>
              <w:rPr>
                <w:sz w:val="1"/>
                <w:szCs w:val="1"/>
                <w:color w:val="auto"/>
              </w:rPr>
            </w:pPr>
          </w:p>
        </w:tc>
      </w:tr>
      <w:tr>
        <w:trPr>
          <w:trHeight w:val="255"/>
        </w:trPr>
        <w:tc>
          <w:tcPr>
            <w:tcW w:w="6240" w:type="dxa"/>
            <w:vAlign w:val="bottom"/>
            <w:shd w:val="clear" w:color="auto" w:fill="D2EDF0"/>
          </w:tcPr>
          <w:p>
            <w:pPr>
              <w:ind w:left="60"/>
              <w:spacing w:after="0"/>
              <w:rPr>
                <w:sz w:val="20"/>
                <w:szCs w:val="20"/>
                <w:color w:val="auto"/>
              </w:rPr>
            </w:pPr>
            <w:r>
              <w:rPr>
                <w:rFonts w:ascii="Arial" w:cs="Arial" w:eastAsia="Arial" w:hAnsi="Arial"/>
                <w:sz w:val="20"/>
                <w:szCs w:val="20"/>
                <w:color w:val="auto"/>
              </w:rPr>
              <w:t>Term loan, net of issuance costs (net of current portion)</w:t>
            </w:r>
          </w:p>
        </w:tc>
        <w:tc>
          <w:tcPr>
            <w:tcW w:w="280" w:type="dxa"/>
            <w:vAlign w:val="bottom"/>
            <w:shd w:val="clear" w:color="auto" w:fill="D2EDF0"/>
          </w:tcPr>
          <w:p>
            <w:pPr>
              <w:spacing w:after="0"/>
              <w:rPr>
                <w:sz w:val="22"/>
                <w:szCs w:val="22"/>
                <w:color w:val="auto"/>
              </w:rPr>
            </w:pPr>
          </w:p>
        </w:tc>
        <w:tc>
          <w:tcPr>
            <w:tcW w:w="10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361,970</w:t>
            </w:r>
          </w:p>
        </w:tc>
        <w:tc>
          <w:tcPr>
            <w:tcW w:w="80" w:type="dxa"/>
            <w:vAlign w:val="bottom"/>
            <w:shd w:val="clear" w:color="auto" w:fill="D2EDF0"/>
          </w:tcPr>
          <w:p>
            <w:pPr>
              <w:spacing w:after="0"/>
              <w:rPr>
                <w:sz w:val="22"/>
                <w:szCs w:val="22"/>
                <w:color w:val="auto"/>
              </w:rPr>
            </w:pPr>
          </w:p>
        </w:tc>
        <w:tc>
          <w:tcPr>
            <w:tcW w:w="260" w:type="dxa"/>
            <w:vAlign w:val="bottom"/>
            <w:shd w:val="clear" w:color="auto" w:fill="D2EDF0"/>
          </w:tcPr>
          <w:p>
            <w:pPr>
              <w:spacing w:after="0"/>
              <w:rPr>
                <w:sz w:val="22"/>
                <w:szCs w:val="22"/>
                <w:color w:val="auto"/>
              </w:rPr>
            </w:pPr>
          </w:p>
        </w:tc>
        <w:tc>
          <w:tcPr>
            <w:tcW w:w="10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364,728</w:t>
            </w:r>
          </w:p>
        </w:tc>
        <w:tc>
          <w:tcPr>
            <w:tcW w:w="0" w:type="dxa"/>
            <w:vAlign w:val="bottom"/>
          </w:tcPr>
          <w:p>
            <w:pPr>
              <w:spacing w:after="0"/>
              <w:rPr>
                <w:sz w:val="1"/>
                <w:szCs w:val="1"/>
                <w:color w:val="auto"/>
              </w:rPr>
            </w:pPr>
          </w:p>
        </w:tc>
      </w:tr>
      <w:tr>
        <w:trPr>
          <w:trHeight w:val="255"/>
        </w:trPr>
        <w:tc>
          <w:tcPr>
            <w:tcW w:w="6240" w:type="dxa"/>
            <w:vAlign w:val="bottom"/>
          </w:tcPr>
          <w:p>
            <w:pPr>
              <w:ind w:left="60"/>
              <w:spacing w:after="0"/>
              <w:rPr>
                <w:sz w:val="20"/>
                <w:szCs w:val="20"/>
                <w:color w:val="auto"/>
              </w:rPr>
            </w:pPr>
            <w:r>
              <w:rPr>
                <w:rFonts w:ascii="Arial" w:cs="Arial" w:eastAsia="Arial" w:hAnsi="Arial"/>
                <w:sz w:val="20"/>
                <w:szCs w:val="20"/>
                <w:color w:val="auto"/>
              </w:rPr>
              <w:t>Operating lease liabilities (net of current portion)</w:t>
            </w: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52,611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55,046</w:t>
            </w:r>
          </w:p>
        </w:tc>
        <w:tc>
          <w:tcPr>
            <w:tcW w:w="0" w:type="dxa"/>
            <w:vAlign w:val="bottom"/>
          </w:tcPr>
          <w:p>
            <w:pPr>
              <w:spacing w:after="0"/>
              <w:rPr>
                <w:sz w:val="1"/>
                <w:szCs w:val="1"/>
                <w:color w:val="auto"/>
              </w:rPr>
            </w:pPr>
          </w:p>
        </w:tc>
      </w:tr>
      <w:tr>
        <w:trPr>
          <w:trHeight w:val="265"/>
        </w:trPr>
        <w:tc>
          <w:tcPr>
            <w:tcW w:w="624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20"/>
                <w:szCs w:val="20"/>
                <w:color w:val="auto"/>
              </w:rPr>
              <w:t>Other liabilities</w:t>
            </w:r>
          </w:p>
        </w:tc>
        <w:tc>
          <w:tcPr>
            <w:tcW w:w="280" w:type="dxa"/>
            <w:vAlign w:val="bottom"/>
            <w:tcBorders>
              <w:bottom w:val="single" w:sz="8" w:color="auto"/>
            </w:tcBorders>
            <w:shd w:val="clear" w:color="auto" w:fill="D2EDF0"/>
          </w:tcPr>
          <w:p>
            <w:pPr>
              <w:spacing w:after="0"/>
              <w:rPr>
                <w:sz w:val="23"/>
                <w:szCs w:val="23"/>
                <w:color w:val="auto"/>
              </w:rPr>
            </w:pPr>
          </w:p>
        </w:tc>
        <w:tc>
          <w:tcPr>
            <w:tcW w:w="108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7,436</w:t>
            </w:r>
          </w:p>
        </w:tc>
        <w:tc>
          <w:tcPr>
            <w:tcW w:w="80" w:type="dxa"/>
            <w:vAlign w:val="bottom"/>
            <w:tcBorders>
              <w:bottom w:val="single" w:sz="8" w:color="D2EDF0"/>
            </w:tcBorders>
            <w:shd w:val="clear" w:color="auto" w:fill="D2EDF0"/>
          </w:tcPr>
          <w:p>
            <w:pPr>
              <w:spacing w:after="0"/>
              <w:rPr>
                <w:sz w:val="23"/>
                <w:szCs w:val="23"/>
                <w:color w:val="auto"/>
              </w:rPr>
            </w:pPr>
          </w:p>
        </w:tc>
        <w:tc>
          <w:tcPr>
            <w:tcW w:w="260" w:type="dxa"/>
            <w:vAlign w:val="bottom"/>
            <w:tcBorders>
              <w:bottom w:val="single" w:sz="8" w:color="auto"/>
            </w:tcBorders>
            <w:shd w:val="clear" w:color="auto" w:fill="D2EDF0"/>
          </w:tcPr>
          <w:p>
            <w:pPr>
              <w:spacing w:after="0"/>
              <w:rPr>
                <w:sz w:val="23"/>
                <w:szCs w:val="23"/>
                <w:color w:val="auto"/>
              </w:rPr>
            </w:pPr>
          </w:p>
        </w:tc>
        <w:tc>
          <w:tcPr>
            <w:tcW w:w="106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6,463</w:t>
            </w:r>
          </w:p>
        </w:tc>
        <w:tc>
          <w:tcPr>
            <w:tcW w:w="0" w:type="dxa"/>
            <w:vAlign w:val="bottom"/>
          </w:tcPr>
          <w:p>
            <w:pPr>
              <w:spacing w:after="0"/>
              <w:rPr>
                <w:sz w:val="1"/>
                <w:szCs w:val="1"/>
                <w:color w:val="auto"/>
              </w:rPr>
            </w:pPr>
          </w:p>
        </w:tc>
      </w:tr>
      <w:tr>
        <w:trPr>
          <w:trHeight w:val="225"/>
        </w:trPr>
        <w:tc>
          <w:tcPr>
            <w:tcW w:w="6240" w:type="dxa"/>
            <w:vAlign w:val="bottom"/>
          </w:tcPr>
          <w:p>
            <w:pPr>
              <w:ind w:left="60"/>
              <w:spacing w:after="0" w:line="225" w:lineRule="exact"/>
              <w:rPr>
                <w:sz w:val="20"/>
                <w:szCs w:val="20"/>
                <w:color w:val="auto"/>
              </w:rPr>
            </w:pPr>
            <w:r>
              <w:rPr>
                <w:rFonts w:ascii="Arial" w:cs="Arial" w:eastAsia="Arial" w:hAnsi="Arial"/>
                <w:sz w:val="20"/>
                <w:szCs w:val="20"/>
                <w:color w:val="auto"/>
              </w:rPr>
              <w:t>Total liabilities</w:t>
            </w:r>
          </w:p>
        </w:tc>
        <w:tc>
          <w:tcPr>
            <w:tcW w:w="280" w:type="dxa"/>
            <w:vAlign w:val="bottom"/>
          </w:tcPr>
          <w:p>
            <w:pPr>
              <w:spacing w:after="0"/>
              <w:rPr>
                <w:sz w:val="19"/>
                <w:szCs w:val="19"/>
                <w:color w:val="auto"/>
              </w:rPr>
            </w:pPr>
          </w:p>
        </w:tc>
        <w:tc>
          <w:tcPr>
            <w:tcW w:w="1080" w:type="dxa"/>
            <w:vAlign w:val="bottom"/>
          </w:tcPr>
          <w:p>
            <w:pPr>
              <w:jc w:val="right"/>
              <w:spacing w:after="0" w:line="225" w:lineRule="exact"/>
              <w:rPr>
                <w:sz w:val="20"/>
                <w:szCs w:val="20"/>
                <w:color w:val="auto"/>
              </w:rPr>
            </w:pPr>
            <w:r>
              <w:rPr>
                <w:rFonts w:ascii="Arial" w:cs="Arial" w:eastAsia="Arial" w:hAnsi="Arial"/>
                <w:sz w:val="20"/>
                <w:szCs w:val="20"/>
                <w:color w:val="auto"/>
              </w:rPr>
              <w:t>1,168,664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line="225" w:lineRule="exact"/>
              <w:rPr>
                <w:sz w:val="20"/>
                <w:szCs w:val="20"/>
                <w:color w:val="auto"/>
              </w:rPr>
            </w:pPr>
            <w:r>
              <w:rPr>
                <w:rFonts w:ascii="Arial" w:cs="Arial" w:eastAsia="Arial" w:hAnsi="Arial"/>
                <w:sz w:val="20"/>
                <w:szCs w:val="20"/>
                <w:color w:val="auto"/>
              </w:rPr>
              <w:t>1,033,506</w:t>
            </w:r>
          </w:p>
        </w:tc>
        <w:tc>
          <w:tcPr>
            <w:tcW w:w="0" w:type="dxa"/>
            <w:vAlign w:val="bottom"/>
          </w:tcPr>
          <w:p>
            <w:pPr>
              <w:spacing w:after="0"/>
              <w:rPr>
                <w:sz w:val="1"/>
                <w:szCs w:val="1"/>
                <w:color w:val="auto"/>
              </w:rPr>
            </w:pPr>
          </w:p>
        </w:tc>
      </w:tr>
      <w:tr>
        <w:trPr>
          <w:trHeight w:val="255"/>
        </w:trPr>
        <w:tc>
          <w:tcPr>
            <w:tcW w:w="6240" w:type="dxa"/>
            <w:vAlign w:val="bottom"/>
            <w:shd w:val="clear" w:color="auto" w:fill="D2EDF0"/>
          </w:tcPr>
          <w:p>
            <w:pPr>
              <w:spacing w:after="0"/>
              <w:rPr>
                <w:sz w:val="22"/>
                <w:szCs w:val="22"/>
                <w:color w:val="auto"/>
              </w:rPr>
            </w:pPr>
          </w:p>
        </w:tc>
        <w:tc>
          <w:tcPr>
            <w:tcW w:w="280" w:type="dxa"/>
            <w:vAlign w:val="bottom"/>
            <w:shd w:val="clear" w:color="auto" w:fill="D2EDF0"/>
          </w:tcPr>
          <w:p>
            <w:pPr>
              <w:spacing w:after="0"/>
              <w:rPr>
                <w:sz w:val="22"/>
                <w:szCs w:val="22"/>
                <w:color w:val="auto"/>
              </w:rPr>
            </w:pPr>
          </w:p>
        </w:tc>
        <w:tc>
          <w:tcPr>
            <w:tcW w:w="1080" w:type="dxa"/>
            <w:vAlign w:val="bottom"/>
            <w:shd w:val="clear" w:color="auto" w:fill="D2EDF0"/>
          </w:tcPr>
          <w:p>
            <w:pPr>
              <w:spacing w:after="0"/>
              <w:rPr>
                <w:sz w:val="22"/>
                <w:szCs w:val="22"/>
                <w:color w:val="auto"/>
              </w:rPr>
            </w:pPr>
          </w:p>
        </w:tc>
        <w:tc>
          <w:tcPr>
            <w:tcW w:w="80" w:type="dxa"/>
            <w:vAlign w:val="bottom"/>
            <w:shd w:val="clear" w:color="auto" w:fill="D2EDF0"/>
          </w:tcPr>
          <w:p>
            <w:pPr>
              <w:spacing w:after="0"/>
              <w:rPr>
                <w:sz w:val="22"/>
                <w:szCs w:val="22"/>
                <w:color w:val="auto"/>
              </w:rPr>
            </w:pPr>
          </w:p>
        </w:tc>
        <w:tc>
          <w:tcPr>
            <w:tcW w:w="260" w:type="dxa"/>
            <w:vAlign w:val="bottom"/>
            <w:shd w:val="clear" w:color="auto" w:fill="D2EDF0"/>
          </w:tcPr>
          <w:p>
            <w:pPr>
              <w:spacing w:after="0"/>
              <w:rPr>
                <w:sz w:val="22"/>
                <w:szCs w:val="22"/>
                <w:color w:val="auto"/>
              </w:rPr>
            </w:pPr>
          </w:p>
        </w:tc>
        <w:tc>
          <w:tcPr>
            <w:tcW w:w="1060" w:type="dxa"/>
            <w:vAlign w:val="bottom"/>
            <w:shd w:val="clear" w:color="auto" w:fill="D2EDF0"/>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240" w:type="dxa"/>
            <w:vAlign w:val="bottom"/>
          </w:tcPr>
          <w:p>
            <w:pPr>
              <w:ind w:left="60"/>
              <w:spacing w:after="0"/>
              <w:rPr>
                <w:sz w:val="20"/>
                <w:szCs w:val="20"/>
                <w:color w:val="auto"/>
              </w:rPr>
            </w:pPr>
            <w:r>
              <w:rPr>
                <w:rFonts w:ascii="Arial" w:cs="Arial" w:eastAsia="Arial" w:hAnsi="Arial"/>
                <w:sz w:val="20"/>
                <w:szCs w:val="20"/>
                <w:color w:val="auto"/>
              </w:rPr>
              <w:t>Stockholders’ equity:</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D2EDF0"/>
          </w:tcPr>
          <w:p>
            <w:pPr>
              <w:ind w:left="180"/>
              <w:spacing w:after="0" w:line="203" w:lineRule="exact"/>
              <w:rPr>
                <w:sz w:val="20"/>
                <w:szCs w:val="20"/>
                <w:color w:val="auto"/>
              </w:rPr>
            </w:pPr>
            <w:r>
              <w:rPr>
                <w:rFonts w:ascii="Arial" w:cs="Arial" w:eastAsia="Arial" w:hAnsi="Arial"/>
                <w:sz w:val="20"/>
                <w:szCs w:val="20"/>
                <w:color w:val="auto"/>
              </w:rPr>
              <w:t>Common stock (par value: $0.01; 500,000 shares authorized,</w:t>
            </w:r>
          </w:p>
        </w:tc>
        <w:tc>
          <w:tcPr>
            <w:tcW w:w="280" w:type="dxa"/>
            <w:vAlign w:val="bottom"/>
            <w:shd w:val="clear" w:color="auto" w:fill="D2EDF0"/>
          </w:tcPr>
          <w:p>
            <w:pPr>
              <w:spacing w:after="0"/>
              <w:rPr>
                <w:sz w:val="17"/>
                <w:szCs w:val="17"/>
                <w:color w:val="auto"/>
              </w:rPr>
            </w:pPr>
          </w:p>
        </w:tc>
        <w:tc>
          <w:tcPr>
            <w:tcW w:w="1080" w:type="dxa"/>
            <w:vAlign w:val="bottom"/>
            <w:shd w:val="clear" w:color="auto" w:fill="D2EDF0"/>
          </w:tcPr>
          <w:p>
            <w:pPr>
              <w:spacing w:after="0"/>
              <w:rPr>
                <w:sz w:val="17"/>
                <w:szCs w:val="17"/>
                <w:color w:val="auto"/>
              </w:rPr>
            </w:pPr>
          </w:p>
        </w:tc>
        <w:tc>
          <w:tcPr>
            <w:tcW w:w="80" w:type="dxa"/>
            <w:vAlign w:val="bottom"/>
            <w:shd w:val="clear" w:color="auto" w:fill="D2EDF0"/>
          </w:tcPr>
          <w:p>
            <w:pPr>
              <w:spacing w:after="0"/>
              <w:rPr>
                <w:sz w:val="17"/>
                <w:szCs w:val="17"/>
                <w:color w:val="auto"/>
              </w:rPr>
            </w:pPr>
          </w:p>
        </w:tc>
        <w:tc>
          <w:tcPr>
            <w:tcW w:w="260" w:type="dxa"/>
            <w:vAlign w:val="bottom"/>
            <w:shd w:val="clear" w:color="auto" w:fill="D2EDF0"/>
          </w:tcPr>
          <w:p>
            <w:pPr>
              <w:spacing w:after="0"/>
              <w:rPr>
                <w:sz w:val="17"/>
                <w:szCs w:val="17"/>
                <w:color w:val="auto"/>
              </w:rPr>
            </w:pPr>
          </w:p>
        </w:tc>
        <w:tc>
          <w:tcPr>
            <w:tcW w:w="1060" w:type="dxa"/>
            <w:vAlign w:val="bottom"/>
            <w:shd w:val="clear" w:color="auto" w:fill="D2EDF0"/>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40" w:type="dxa"/>
            <w:vAlign w:val="bottom"/>
            <w:shd w:val="clear" w:color="auto" w:fill="D2EDF0"/>
          </w:tcPr>
          <w:p>
            <w:pPr>
              <w:ind w:left="320"/>
              <w:spacing w:after="0" w:line="200" w:lineRule="exact"/>
              <w:rPr>
                <w:sz w:val="20"/>
                <w:szCs w:val="20"/>
                <w:color w:val="auto"/>
              </w:rPr>
            </w:pPr>
            <w:r>
              <w:rPr>
                <w:rFonts w:ascii="Arial" w:cs="Arial" w:eastAsia="Arial" w:hAnsi="Arial"/>
                <w:sz w:val="20"/>
                <w:szCs w:val="20"/>
                <w:color w:val="auto"/>
              </w:rPr>
              <w:t>113,056 and 108,929 shares issued and outstanding at December</w:t>
            </w:r>
          </w:p>
        </w:tc>
        <w:tc>
          <w:tcPr>
            <w:tcW w:w="280" w:type="dxa"/>
            <w:vAlign w:val="bottom"/>
            <w:shd w:val="clear" w:color="auto" w:fill="D2EDF0"/>
          </w:tcPr>
          <w:p>
            <w:pPr>
              <w:spacing w:after="0"/>
              <w:rPr>
                <w:sz w:val="17"/>
                <w:szCs w:val="17"/>
                <w:color w:val="auto"/>
              </w:rPr>
            </w:pPr>
          </w:p>
        </w:tc>
        <w:tc>
          <w:tcPr>
            <w:tcW w:w="108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1,131</w:t>
            </w:r>
          </w:p>
        </w:tc>
        <w:tc>
          <w:tcPr>
            <w:tcW w:w="80" w:type="dxa"/>
            <w:vAlign w:val="bottom"/>
            <w:shd w:val="clear" w:color="auto" w:fill="D2EDF0"/>
          </w:tcPr>
          <w:p>
            <w:pPr>
              <w:spacing w:after="0"/>
              <w:rPr>
                <w:sz w:val="17"/>
                <w:szCs w:val="17"/>
                <w:color w:val="auto"/>
              </w:rPr>
            </w:pPr>
          </w:p>
        </w:tc>
        <w:tc>
          <w:tcPr>
            <w:tcW w:w="260" w:type="dxa"/>
            <w:vAlign w:val="bottom"/>
            <w:shd w:val="clear" w:color="auto" w:fill="D2EDF0"/>
          </w:tcPr>
          <w:p>
            <w:pPr>
              <w:spacing w:after="0"/>
              <w:rPr>
                <w:sz w:val="17"/>
                <w:szCs w:val="17"/>
                <w:color w:val="auto"/>
              </w:rPr>
            </w:pPr>
          </w:p>
        </w:tc>
        <w:tc>
          <w:tcPr>
            <w:tcW w:w="106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1,089</w:t>
            </w:r>
          </w:p>
        </w:tc>
        <w:tc>
          <w:tcPr>
            <w:tcW w:w="0" w:type="dxa"/>
            <w:vAlign w:val="bottom"/>
          </w:tcPr>
          <w:p>
            <w:pPr>
              <w:spacing w:after="0"/>
              <w:rPr>
                <w:sz w:val="1"/>
                <w:szCs w:val="1"/>
                <w:color w:val="auto"/>
              </w:rPr>
            </w:pPr>
          </w:p>
        </w:tc>
      </w:tr>
      <w:tr>
        <w:trPr>
          <w:trHeight w:val="272"/>
        </w:trPr>
        <w:tc>
          <w:tcPr>
            <w:tcW w:w="6240" w:type="dxa"/>
            <w:vAlign w:val="bottom"/>
            <w:shd w:val="clear" w:color="auto" w:fill="D2EDF0"/>
          </w:tcPr>
          <w:p>
            <w:pPr>
              <w:ind w:left="320"/>
              <w:spacing w:after="0"/>
              <w:rPr>
                <w:sz w:val="20"/>
                <w:szCs w:val="20"/>
                <w:color w:val="auto"/>
              </w:rPr>
            </w:pPr>
            <w:r>
              <w:rPr>
                <w:rFonts w:ascii="Arial" w:cs="Arial" w:eastAsia="Arial" w:hAnsi="Arial"/>
                <w:sz w:val="20"/>
                <w:szCs w:val="20"/>
                <w:color w:val="auto"/>
              </w:rPr>
              <w:t>31, 2022 and 2021, respectively)</w:t>
            </w:r>
          </w:p>
        </w:tc>
        <w:tc>
          <w:tcPr>
            <w:tcW w:w="280" w:type="dxa"/>
            <w:vAlign w:val="bottom"/>
            <w:shd w:val="clear" w:color="auto" w:fill="D2EDF0"/>
          </w:tcPr>
          <w:p>
            <w:pPr>
              <w:spacing w:after="0"/>
              <w:rPr>
                <w:sz w:val="23"/>
                <w:szCs w:val="23"/>
                <w:color w:val="auto"/>
              </w:rPr>
            </w:pPr>
          </w:p>
        </w:tc>
        <w:tc>
          <w:tcPr>
            <w:tcW w:w="1080" w:type="dxa"/>
            <w:vAlign w:val="bottom"/>
            <w:vMerge w:val="continue"/>
            <w:shd w:val="clear" w:color="auto" w:fill="D2EDF0"/>
          </w:tcPr>
          <w:p>
            <w:pPr>
              <w:spacing w:after="0"/>
              <w:rPr>
                <w:sz w:val="23"/>
                <w:szCs w:val="23"/>
                <w:color w:val="auto"/>
              </w:rPr>
            </w:pPr>
          </w:p>
        </w:tc>
        <w:tc>
          <w:tcPr>
            <w:tcW w:w="80" w:type="dxa"/>
            <w:vAlign w:val="bottom"/>
            <w:shd w:val="clear" w:color="auto" w:fill="D2EDF0"/>
          </w:tcPr>
          <w:p>
            <w:pPr>
              <w:spacing w:after="0"/>
              <w:rPr>
                <w:sz w:val="23"/>
                <w:szCs w:val="23"/>
                <w:color w:val="auto"/>
              </w:rPr>
            </w:pPr>
          </w:p>
        </w:tc>
        <w:tc>
          <w:tcPr>
            <w:tcW w:w="260" w:type="dxa"/>
            <w:vAlign w:val="bottom"/>
            <w:shd w:val="clear" w:color="auto" w:fill="D2EDF0"/>
          </w:tcPr>
          <w:p>
            <w:pPr>
              <w:spacing w:after="0"/>
              <w:rPr>
                <w:sz w:val="23"/>
                <w:szCs w:val="23"/>
                <w:color w:val="auto"/>
              </w:rPr>
            </w:pPr>
          </w:p>
        </w:tc>
        <w:tc>
          <w:tcPr>
            <w:tcW w:w="1060" w:type="dxa"/>
            <w:vAlign w:val="bottom"/>
            <w:vMerge w:val="continue"/>
            <w:shd w:val="clear" w:color="auto" w:fill="D2EDF0"/>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6240" w:type="dxa"/>
            <w:vAlign w:val="bottom"/>
          </w:tcPr>
          <w:p>
            <w:pPr>
              <w:ind w:left="180"/>
              <w:spacing w:after="0"/>
              <w:rPr>
                <w:sz w:val="20"/>
                <w:szCs w:val="20"/>
                <w:color w:val="auto"/>
              </w:rPr>
            </w:pPr>
            <w:r>
              <w:rPr>
                <w:rFonts w:ascii="Arial" w:cs="Arial" w:eastAsia="Arial" w:hAnsi="Arial"/>
                <w:sz w:val="20"/>
                <w:szCs w:val="20"/>
                <w:color w:val="auto"/>
              </w:rPr>
              <w:t>Additional paid-in capital</w:t>
            </w: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1,017,837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869,059</w:t>
            </w:r>
          </w:p>
        </w:tc>
        <w:tc>
          <w:tcPr>
            <w:tcW w:w="0" w:type="dxa"/>
            <w:vAlign w:val="bottom"/>
          </w:tcPr>
          <w:p>
            <w:pPr>
              <w:spacing w:after="0"/>
              <w:rPr>
                <w:sz w:val="1"/>
                <w:szCs w:val="1"/>
                <w:color w:val="auto"/>
              </w:rPr>
            </w:pPr>
          </w:p>
        </w:tc>
      </w:tr>
      <w:tr>
        <w:trPr>
          <w:trHeight w:val="255"/>
        </w:trPr>
        <w:tc>
          <w:tcPr>
            <w:tcW w:w="6240" w:type="dxa"/>
            <w:vAlign w:val="bottom"/>
            <w:shd w:val="clear" w:color="auto" w:fill="D2EDF0"/>
          </w:tcPr>
          <w:p>
            <w:pPr>
              <w:ind w:left="180"/>
              <w:spacing w:after="0"/>
              <w:rPr>
                <w:sz w:val="20"/>
                <w:szCs w:val="20"/>
                <w:color w:val="auto"/>
              </w:rPr>
            </w:pPr>
            <w:r>
              <w:rPr>
                <w:rFonts w:ascii="Arial" w:cs="Arial" w:eastAsia="Arial" w:hAnsi="Arial"/>
                <w:sz w:val="20"/>
                <w:szCs w:val="20"/>
                <w:color w:val="auto"/>
              </w:rPr>
              <w:t>Accumulated other comprehensive loss</w:t>
            </w:r>
          </w:p>
        </w:tc>
        <w:tc>
          <w:tcPr>
            <w:tcW w:w="280" w:type="dxa"/>
            <w:vAlign w:val="bottom"/>
            <w:shd w:val="clear" w:color="auto" w:fill="D2EDF0"/>
          </w:tcPr>
          <w:p>
            <w:pPr>
              <w:spacing w:after="0"/>
              <w:rPr>
                <w:sz w:val="22"/>
                <w:szCs w:val="22"/>
                <w:color w:val="auto"/>
              </w:rPr>
            </w:pPr>
          </w:p>
        </w:tc>
        <w:tc>
          <w:tcPr>
            <w:tcW w:w="10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(1,351)</w:t>
            </w:r>
          </w:p>
        </w:tc>
        <w:tc>
          <w:tcPr>
            <w:tcW w:w="80" w:type="dxa"/>
            <w:vAlign w:val="bottom"/>
            <w:shd w:val="clear" w:color="auto" w:fill="D2EDF0"/>
          </w:tcPr>
          <w:p>
            <w:pPr>
              <w:spacing w:after="0"/>
              <w:rPr>
                <w:sz w:val="22"/>
                <w:szCs w:val="22"/>
                <w:color w:val="auto"/>
              </w:rPr>
            </w:pPr>
          </w:p>
        </w:tc>
        <w:tc>
          <w:tcPr>
            <w:tcW w:w="260" w:type="dxa"/>
            <w:vAlign w:val="bottom"/>
            <w:shd w:val="clear" w:color="auto" w:fill="D2EDF0"/>
          </w:tcPr>
          <w:p>
            <w:pPr>
              <w:spacing w:after="0"/>
              <w:rPr>
                <w:sz w:val="22"/>
                <w:szCs w:val="22"/>
                <w:color w:val="auto"/>
              </w:rPr>
            </w:pPr>
          </w:p>
        </w:tc>
        <w:tc>
          <w:tcPr>
            <w:tcW w:w="10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(306)</w:t>
            </w:r>
          </w:p>
        </w:tc>
        <w:tc>
          <w:tcPr>
            <w:tcW w:w="0" w:type="dxa"/>
            <w:vAlign w:val="bottom"/>
          </w:tcPr>
          <w:p>
            <w:pPr>
              <w:spacing w:after="0"/>
              <w:rPr>
                <w:sz w:val="1"/>
                <w:szCs w:val="1"/>
                <w:color w:val="auto"/>
              </w:rPr>
            </w:pPr>
          </w:p>
        </w:tc>
      </w:tr>
      <w:tr>
        <w:trPr>
          <w:trHeight w:val="245"/>
        </w:trPr>
        <w:tc>
          <w:tcPr>
            <w:tcW w:w="6240" w:type="dxa"/>
            <w:vAlign w:val="bottom"/>
            <w:tcBorders>
              <w:bottom w:val="single" w:sz="8" w:color="D2EDF0"/>
            </w:tcBorders>
          </w:tcPr>
          <w:p>
            <w:pPr>
              <w:ind w:left="180"/>
              <w:spacing w:after="0"/>
              <w:rPr>
                <w:sz w:val="20"/>
                <w:szCs w:val="20"/>
                <w:color w:val="auto"/>
              </w:rPr>
            </w:pPr>
            <w:r>
              <w:rPr>
                <w:rFonts w:ascii="Arial" w:cs="Arial" w:eastAsia="Arial" w:hAnsi="Arial"/>
                <w:sz w:val="20"/>
                <w:szCs w:val="20"/>
                <w:color w:val="auto"/>
              </w:rPr>
              <w:t>Accumulated deficit</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(746,751)</w:t>
            </w:r>
          </w:p>
        </w:tc>
        <w:tc>
          <w:tcPr>
            <w:tcW w:w="80" w:type="dxa"/>
            <w:vAlign w:val="bottom"/>
            <w:tcBorders>
              <w:bottom w:val="single" w:sz="8" w:color="D2EDF0"/>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(654,529)</w:t>
            </w:r>
          </w:p>
        </w:tc>
        <w:tc>
          <w:tcPr>
            <w:tcW w:w="0" w:type="dxa"/>
            <w:vAlign w:val="bottom"/>
          </w:tcPr>
          <w:p>
            <w:pPr>
              <w:spacing w:after="0"/>
              <w:rPr>
                <w:sz w:val="1"/>
                <w:szCs w:val="1"/>
                <w:color w:val="auto"/>
              </w:rPr>
            </w:pPr>
          </w:p>
        </w:tc>
      </w:tr>
      <w:tr>
        <w:trPr>
          <w:trHeight w:val="255"/>
        </w:trPr>
        <w:tc>
          <w:tcPr>
            <w:tcW w:w="624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20"/>
                <w:szCs w:val="20"/>
                <w:color w:val="auto"/>
              </w:rPr>
              <w:t>Total stockholders’ equity</w:t>
            </w:r>
          </w:p>
        </w:tc>
        <w:tc>
          <w:tcPr>
            <w:tcW w:w="280" w:type="dxa"/>
            <w:vAlign w:val="bottom"/>
            <w:tcBorders>
              <w:bottom w:val="single" w:sz="8" w:color="auto"/>
            </w:tcBorders>
            <w:shd w:val="clear" w:color="auto" w:fill="D2EDF0"/>
          </w:tcPr>
          <w:p>
            <w:pPr>
              <w:spacing w:after="0"/>
              <w:rPr>
                <w:sz w:val="22"/>
                <w:szCs w:val="22"/>
                <w:color w:val="auto"/>
              </w:rPr>
            </w:pPr>
          </w:p>
        </w:tc>
        <w:tc>
          <w:tcPr>
            <w:tcW w:w="108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270,866</w:t>
            </w:r>
          </w:p>
        </w:tc>
        <w:tc>
          <w:tcPr>
            <w:tcW w:w="80" w:type="dxa"/>
            <w:vAlign w:val="bottom"/>
            <w:tcBorders>
              <w:bottom w:val="single" w:sz="8" w:color="D2EDF0"/>
            </w:tcBorders>
            <w:shd w:val="clear" w:color="auto" w:fill="D2EDF0"/>
          </w:tcPr>
          <w:p>
            <w:pPr>
              <w:spacing w:after="0"/>
              <w:rPr>
                <w:sz w:val="22"/>
                <w:szCs w:val="22"/>
                <w:color w:val="auto"/>
              </w:rPr>
            </w:pPr>
          </w:p>
        </w:tc>
        <w:tc>
          <w:tcPr>
            <w:tcW w:w="260" w:type="dxa"/>
            <w:vAlign w:val="bottom"/>
            <w:tcBorders>
              <w:bottom w:val="single" w:sz="8" w:color="auto"/>
            </w:tcBorders>
            <w:shd w:val="clear" w:color="auto" w:fill="D2EDF0"/>
          </w:tcPr>
          <w:p>
            <w:pPr>
              <w:spacing w:after="0"/>
              <w:rPr>
                <w:sz w:val="22"/>
                <w:szCs w:val="22"/>
                <w:color w:val="auto"/>
              </w:rPr>
            </w:pPr>
          </w:p>
        </w:tc>
        <w:tc>
          <w:tcPr>
            <w:tcW w:w="106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215,313</w:t>
            </w:r>
          </w:p>
        </w:tc>
        <w:tc>
          <w:tcPr>
            <w:tcW w:w="0" w:type="dxa"/>
            <w:vAlign w:val="bottom"/>
          </w:tcPr>
          <w:p>
            <w:pPr>
              <w:spacing w:after="0"/>
              <w:rPr>
                <w:sz w:val="1"/>
                <w:szCs w:val="1"/>
                <w:color w:val="auto"/>
              </w:rPr>
            </w:pPr>
          </w:p>
        </w:tc>
      </w:tr>
      <w:tr>
        <w:trPr>
          <w:trHeight w:val="195"/>
        </w:trPr>
        <w:tc>
          <w:tcPr>
            <w:tcW w:w="6240" w:type="dxa"/>
            <w:vAlign w:val="bottom"/>
          </w:tcPr>
          <w:p>
            <w:pPr>
              <w:ind w:left="60"/>
              <w:spacing w:after="0" w:line="195" w:lineRule="exact"/>
              <w:rPr>
                <w:sz w:val="20"/>
                <w:szCs w:val="20"/>
                <w:color w:val="auto"/>
              </w:rPr>
            </w:pPr>
            <w:r>
              <w:rPr>
                <w:rFonts w:ascii="Arial" w:cs="Arial" w:eastAsia="Arial" w:hAnsi="Arial"/>
                <w:sz w:val="20"/>
                <w:szCs w:val="20"/>
                <w:color w:val="auto"/>
              </w:rPr>
              <w:t>Total liabilities and stockholders’ equity</w:t>
            </w:r>
          </w:p>
        </w:tc>
        <w:tc>
          <w:tcPr>
            <w:tcW w:w="280" w:type="dxa"/>
            <w:vAlign w:val="bottom"/>
            <w:tcBorders>
              <w:bottom w:val="single" w:sz="8" w:color="auto"/>
            </w:tcBorders>
          </w:tcPr>
          <w:p>
            <w:pPr>
              <w:jc w:val="right"/>
              <w:ind w:right="20"/>
              <w:spacing w:after="0" w:line="195"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20"/>
                <w:szCs w:val="20"/>
                <w:color w:val="auto"/>
              </w:rPr>
              <w:t>1,439,530</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20"/>
                <w:szCs w:val="20"/>
                <w:color w:val="auto"/>
              </w:rPr>
              <w:t>1,248,819</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3962400</wp:posOffset>
            </wp:positionH>
            <wp:positionV relativeFrom="paragraph">
              <wp:posOffset>-3704590</wp:posOffset>
            </wp:positionV>
            <wp:extent cx="175260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52600" cy="38100"/>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-37465</wp:posOffset>
            </wp:positionV>
            <wp:extent cx="175260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52600" cy="38100"/>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880" w:h="15480" w:orient="portrait"/>
          <w:cols w:equalWidth="0" w:num="1">
            <w:col w:w="9000"/>
          </w:cols>
          <w:pgMar w:left="1440" w:top="1203" w:right="1440" w:bottom="0" w:gutter="0" w:footer="0" w:header="0"/>
          <w:type w:val="continuous"/>
        </w:sectPr>
      </w:pPr>
    </w:p>
    <w:bookmarkStart w:id="177" w:name="page178"/>
    <w:bookmarkEnd w:id="177"/>
    <w:p>
      <w:pPr>
        <w:jc w:val="center"/>
        <w:spacing w:after="0"/>
        <w:rPr>
          <w:sz w:val="20"/>
          <w:szCs w:val="20"/>
          <w:color w:val="auto"/>
        </w:rPr>
      </w:pPr>
      <w:r>
        <w:rPr>
          <w:rFonts w:ascii="Arial" w:cs="Arial" w:eastAsia="Arial" w:hAnsi="Arial"/>
          <w:sz w:val="20"/>
          <w:szCs w:val="20"/>
          <w:b w:val="1"/>
          <w:bCs w:val="1"/>
          <w:color w:val="auto"/>
        </w:rPr>
        <w:t>TENABLE HOLDINGS,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 except per share data)</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1"/>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9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Revenue</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683,191</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541,130</w:t>
            </w:r>
          </w:p>
        </w:tc>
        <w:tc>
          <w:tcPr>
            <w:tcW w:w="500" w:type="dxa"/>
            <w:vAlign w:val="bottom"/>
            <w:gridSpan w:val="2"/>
            <w:shd w:val="clear" w:color="auto" w:fill="D2EDF0"/>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440,221</w:t>
            </w:r>
          </w:p>
        </w:tc>
        <w:tc>
          <w:tcPr>
            <w:tcW w:w="0" w:type="dxa"/>
            <w:vAlign w:val="bottom"/>
          </w:tcPr>
          <w:p>
            <w:pPr>
              <w:spacing w:after="0"/>
              <w:rPr>
                <w:sz w:val="1"/>
                <w:szCs w:val="1"/>
                <w:color w:val="auto"/>
              </w:rPr>
            </w:pPr>
          </w:p>
        </w:tc>
      </w:tr>
      <w:tr>
        <w:trPr>
          <w:trHeight w:val="290"/>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20"/>
                <w:szCs w:val="20"/>
                <w:color w:val="auto"/>
              </w:rPr>
              <w:t>Cost of revenue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154,789</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106,396</w:t>
            </w:r>
          </w:p>
        </w:tc>
        <w:tc>
          <w:tcPr>
            <w:tcW w:w="80" w:type="dxa"/>
            <w:vAlign w:val="bottom"/>
            <w:tcBorders>
              <w:bottom w:val="single" w:sz="8" w:color="D2EDF0"/>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77,554</w:t>
            </w:r>
          </w:p>
        </w:tc>
        <w:tc>
          <w:tcPr>
            <w:tcW w:w="0" w:type="dxa"/>
            <w:vAlign w:val="bottom"/>
          </w:tcPr>
          <w:p>
            <w:pPr>
              <w:spacing w:after="0"/>
              <w:rPr>
                <w:sz w:val="1"/>
                <w:szCs w:val="1"/>
                <w:color w:val="auto"/>
              </w:rPr>
            </w:pPr>
          </w:p>
        </w:tc>
      </w:tr>
      <w:tr>
        <w:trPr>
          <w:trHeight w:val="29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Gross profit</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528,402</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434,734</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362,667</w:t>
            </w:r>
          </w:p>
        </w:tc>
        <w:tc>
          <w:tcPr>
            <w:tcW w:w="0" w:type="dxa"/>
            <w:vAlign w:val="bottom"/>
          </w:tcPr>
          <w:p>
            <w:pPr>
              <w:spacing w:after="0"/>
              <w:rPr>
                <w:sz w:val="1"/>
                <w:szCs w:val="1"/>
                <w:color w:val="auto"/>
              </w:rPr>
            </w:pPr>
          </w:p>
        </w:tc>
      </w:tr>
      <w:tr>
        <w:trPr>
          <w:trHeight w:val="296"/>
        </w:trPr>
        <w:tc>
          <w:tcPr>
            <w:tcW w:w="4940" w:type="dxa"/>
            <w:vAlign w:val="bottom"/>
          </w:tcPr>
          <w:p>
            <w:pPr>
              <w:ind w:left="60"/>
              <w:spacing w:after="0"/>
              <w:rPr>
                <w:sz w:val="20"/>
                <w:szCs w:val="20"/>
                <w:color w:val="auto"/>
              </w:rPr>
            </w:pPr>
            <w:r>
              <w:rPr>
                <w:rFonts w:ascii="Arial" w:cs="Arial" w:eastAsia="Arial" w:hAnsi="Arial"/>
                <w:sz w:val="20"/>
                <w:szCs w:val="20"/>
                <w:color w:val="auto"/>
              </w:rPr>
              <w:t>Operating expenses: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940" w:type="dxa"/>
            <w:vAlign w:val="bottom"/>
            <w:shd w:val="clear" w:color="auto" w:fill="D2EDF0"/>
          </w:tcPr>
          <w:p>
            <w:pPr>
              <w:ind w:left="280"/>
              <w:spacing w:after="0"/>
              <w:rPr>
                <w:sz w:val="20"/>
                <w:szCs w:val="20"/>
                <w:color w:val="auto"/>
              </w:rPr>
            </w:pPr>
            <w:r>
              <w:rPr>
                <w:rFonts w:ascii="Arial" w:cs="Arial" w:eastAsia="Arial" w:hAnsi="Arial"/>
                <w:sz w:val="20"/>
                <w:szCs w:val="20"/>
                <w:color w:val="auto"/>
              </w:rPr>
              <w:t>Sales and marketing</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349,430</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270,158</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224,277</w:t>
            </w:r>
          </w:p>
        </w:tc>
        <w:tc>
          <w:tcPr>
            <w:tcW w:w="0" w:type="dxa"/>
            <w:vAlign w:val="bottom"/>
          </w:tcPr>
          <w:p>
            <w:pPr>
              <w:spacing w:after="0"/>
              <w:rPr>
                <w:sz w:val="1"/>
                <w:szCs w:val="1"/>
                <w:color w:val="auto"/>
              </w:rPr>
            </w:pPr>
          </w:p>
        </w:tc>
      </w:tr>
      <w:tr>
        <w:trPr>
          <w:trHeight w:val="296"/>
        </w:trPr>
        <w:tc>
          <w:tcPr>
            <w:tcW w:w="4940" w:type="dxa"/>
            <w:vAlign w:val="bottom"/>
          </w:tcPr>
          <w:p>
            <w:pPr>
              <w:ind w:left="280"/>
              <w:spacing w:after="0"/>
              <w:rPr>
                <w:sz w:val="20"/>
                <w:szCs w:val="20"/>
                <w:color w:val="auto"/>
              </w:rPr>
            </w:pPr>
            <w:r>
              <w:rPr>
                <w:rFonts w:ascii="Arial" w:cs="Arial" w:eastAsia="Arial" w:hAnsi="Arial"/>
                <w:sz w:val="20"/>
                <w:szCs w:val="20"/>
                <w:color w:val="auto"/>
              </w:rPr>
              <w:t>Research and development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143,560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116,432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101,687</w:t>
            </w:r>
          </w:p>
        </w:tc>
        <w:tc>
          <w:tcPr>
            <w:tcW w:w="0" w:type="dxa"/>
            <w:vAlign w:val="bottom"/>
          </w:tcPr>
          <w:p>
            <w:pPr>
              <w:spacing w:after="0"/>
              <w:rPr>
                <w:sz w:val="1"/>
                <w:szCs w:val="1"/>
                <w:color w:val="auto"/>
              </w:rPr>
            </w:pPr>
          </w:p>
        </w:tc>
      </w:tr>
      <w:tr>
        <w:trPr>
          <w:trHeight w:val="294"/>
        </w:trPr>
        <w:tc>
          <w:tcPr>
            <w:tcW w:w="4940" w:type="dxa"/>
            <w:vAlign w:val="bottom"/>
            <w:tcBorders>
              <w:bottom w:val="single" w:sz="8" w:color="D2EDF0"/>
            </w:tcBorders>
            <w:shd w:val="clear" w:color="auto" w:fill="D2EDF0"/>
          </w:tcPr>
          <w:p>
            <w:pPr>
              <w:ind w:left="280"/>
              <w:spacing w:after="0"/>
              <w:rPr>
                <w:sz w:val="20"/>
                <w:szCs w:val="20"/>
                <w:color w:val="auto"/>
              </w:rPr>
            </w:pPr>
            <w:r>
              <w:rPr>
                <w:rFonts w:ascii="Arial" w:cs="Arial" w:eastAsia="Arial" w:hAnsi="Arial"/>
                <w:sz w:val="20"/>
                <w:szCs w:val="20"/>
                <w:color w:val="auto"/>
              </w:rPr>
              <w:t>General and administrative</w:t>
            </w: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103,227</w:t>
            </w:r>
          </w:p>
        </w:tc>
        <w:tc>
          <w:tcPr>
            <w:tcW w:w="80" w:type="dxa"/>
            <w:vAlign w:val="bottom"/>
            <w:tcBorders>
              <w:bottom w:val="single" w:sz="8" w:color="D2EDF0"/>
            </w:tcBorders>
            <w:shd w:val="clear" w:color="auto" w:fill="D2EDF0"/>
          </w:tcPr>
          <w:p>
            <w:pPr>
              <w:spacing w:after="0"/>
              <w:rPr>
                <w:sz w:val="24"/>
                <w:szCs w:val="24"/>
                <w:color w:val="auto"/>
              </w:rPr>
            </w:pP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89,912</w:t>
            </w:r>
          </w:p>
        </w:tc>
        <w:tc>
          <w:tcPr>
            <w:tcW w:w="80" w:type="dxa"/>
            <w:vAlign w:val="bottom"/>
            <w:tcBorders>
              <w:bottom w:val="single" w:sz="8" w:color="D2EDF0"/>
            </w:tcBorders>
            <w:shd w:val="clear" w:color="auto" w:fill="D2EDF0"/>
          </w:tcPr>
          <w:p>
            <w:pPr>
              <w:spacing w:after="0"/>
              <w:rPr>
                <w:sz w:val="24"/>
                <w:szCs w:val="24"/>
                <w:color w:val="auto"/>
              </w:rPr>
            </w:pPr>
          </w:p>
        </w:tc>
        <w:tc>
          <w:tcPr>
            <w:tcW w:w="420" w:type="dxa"/>
            <w:vAlign w:val="bottom"/>
            <w:tcBorders>
              <w:bottom w:val="single" w:sz="8" w:color="auto"/>
            </w:tcBorders>
            <w:shd w:val="clear" w:color="auto" w:fill="D2EDF0"/>
          </w:tcPr>
          <w:p>
            <w:pPr>
              <w:spacing w:after="0"/>
              <w:rPr>
                <w:sz w:val="24"/>
                <w:szCs w:val="24"/>
                <w:color w:val="auto"/>
              </w:rPr>
            </w:pPr>
          </w:p>
        </w:tc>
        <w:tc>
          <w:tcPr>
            <w:tcW w:w="88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73,136</w:t>
            </w:r>
          </w:p>
        </w:tc>
        <w:tc>
          <w:tcPr>
            <w:tcW w:w="0" w:type="dxa"/>
            <w:vAlign w:val="bottom"/>
          </w:tcPr>
          <w:p>
            <w:pPr>
              <w:spacing w:after="0"/>
              <w:rPr>
                <w:sz w:val="1"/>
                <w:szCs w:val="1"/>
                <w:color w:val="auto"/>
              </w:rPr>
            </w:pPr>
          </w:p>
        </w:tc>
      </w:tr>
      <w:tr>
        <w:trPr>
          <w:trHeight w:val="280"/>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20"/>
                <w:szCs w:val="20"/>
                <w:color w:val="auto"/>
              </w:rPr>
              <w:t>Total operating expenses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596,217</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476,502</w:t>
            </w:r>
          </w:p>
        </w:tc>
        <w:tc>
          <w:tcPr>
            <w:tcW w:w="80" w:type="dxa"/>
            <w:vAlign w:val="bottom"/>
            <w:tcBorders>
              <w:bottom w:val="single" w:sz="8" w:color="D2EDF0"/>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399,100</w:t>
            </w:r>
          </w:p>
        </w:tc>
        <w:tc>
          <w:tcPr>
            <w:tcW w:w="0" w:type="dxa"/>
            <w:vAlign w:val="bottom"/>
          </w:tcPr>
          <w:p>
            <w:pPr>
              <w:spacing w:after="0"/>
              <w:rPr>
                <w:sz w:val="1"/>
                <w:szCs w:val="1"/>
                <w:color w:val="auto"/>
              </w:rPr>
            </w:pPr>
          </w:p>
        </w:tc>
      </w:tr>
      <w:tr>
        <w:trPr>
          <w:trHeight w:val="29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Loss from operations</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(67,815)</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(41,768)</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(36,433)</w:t>
            </w:r>
          </w:p>
        </w:tc>
        <w:tc>
          <w:tcPr>
            <w:tcW w:w="0" w:type="dxa"/>
            <w:vAlign w:val="bottom"/>
          </w:tcPr>
          <w:p>
            <w:pPr>
              <w:spacing w:after="0"/>
              <w:rPr>
                <w:sz w:val="1"/>
                <w:szCs w:val="1"/>
                <w:color w:val="auto"/>
              </w:rPr>
            </w:pPr>
          </w:p>
        </w:tc>
      </w:tr>
      <w:tr>
        <w:trPr>
          <w:trHeight w:val="296"/>
        </w:trPr>
        <w:tc>
          <w:tcPr>
            <w:tcW w:w="4940" w:type="dxa"/>
            <w:vAlign w:val="bottom"/>
          </w:tcPr>
          <w:p>
            <w:pPr>
              <w:ind w:left="60"/>
              <w:spacing w:after="0"/>
              <w:rPr>
                <w:sz w:val="20"/>
                <w:szCs w:val="20"/>
                <w:color w:val="auto"/>
              </w:rPr>
            </w:pPr>
            <w:r>
              <w:rPr>
                <w:rFonts w:ascii="Arial" w:cs="Arial" w:eastAsia="Arial" w:hAnsi="Arial"/>
                <w:sz w:val="20"/>
                <w:szCs w:val="20"/>
                <w:color w:val="auto"/>
              </w:rPr>
              <w:t>Interest income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6,284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606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1,740</w:t>
            </w:r>
          </w:p>
        </w:tc>
        <w:tc>
          <w:tcPr>
            <w:tcW w:w="0" w:type="dxa"/>
            <w:vAlign w:val="bottom"/>
          </w:tcPr>
          <w:p>
            <w:pPr>
              <w:spacing w:after="0"/>
              <w:rPr>
                <w:sz w:val="1"/>
                <w:szCs w:val="1"/>
                <w:color w:val="auto"/>
              </w:rPr>
            </w:pPr>
          </w:p>
        </w:tc>
      </w:tr>
      <w:tr>
        <w:trPr>
          <w:trHeight w:val="304"/>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Interest expense</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(19,001)</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(7,502)</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(496)</w:t>
            </w:r>
          </w:p>
        </w:tc>
        <w:tc>
          <w:tcPr>
            <w:tcW w:w="0" w:type="dxa"/>
            <w:vAlign w:val="bottom"/>
          </w:tcPr>
          <w:p>
            <w:pPr>
              <w:spacing w:after="0"/>
              <w:rPr>
                <w:sz w:val="1"/>
                <w:szCs w:val="1"/>
                <w:color w:val="auto"/>
              </w:rPr>
            </w:pPr>
          </w:p>
        </w:tc>
      </w:tr>
      <w:tr>
        <w:trPr>
          <w:trHeight w:val="290"/>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20"/>
                <w:szCs w:val="20"/>
                <w:color w:val="auto"/>
              </w:rPr>
              <w:t>Other expense,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(4,757)</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(1,965)</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(1,885)</w:t>
            </w:r>
          </w:p>
        </w:tc>
        <w:tc>
          <w:tcPr>
            <w:tcW w:w="0" w:type="dxa"/>
            <w:vAlign w:val="bottom"/>
          </w:tcPr>
          <w:p>
            <w:pPr>
              <w:spacing w:after="0"/>
              <w:rPr>
                <w:sz w:val="1"/>
                <w:szCs w:val="1"/>
                <w:color w:val="auto"/>
              </w:rPr>
            </w:pPr>
          </w:p>
        </w:tc>
      </w:tr>
      <w:tr>
        <w:trPr>
          <w:trHeight w:val="29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Loss before income taxes</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(85,289)</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(50,629)</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(37,074)</w:t>
            </w:r>
          </w:p>
        </w:tc>
        <w:tc>
          <w:tcPr>
            <w:tcW w:w="0" w:type="dxa"/>
            <w:vAlign w:val="bottom"/>
          </w:tcPr>
          <w:p>
            <w:pPr>
              <w:spacing w:after="0"/>
              <w:rPr>
                <w:sz w:val="1"/>
                <w:szCs w:val="1"/>
                <w:color w:val="auto"/>
              </w:rPr>
            </w:pPr>
          </w:p>
        </w:tc>
      </w:tr>
      <w:tr>
        <w:trPr>
          <w:trHeight w:val="290"/>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20"/>
                <w:szCs w:val="20"/>
                <w:color w:val="auto"/>
              </w:rPr>
              <w:t>Provision (benefit) for income taxes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6,933</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(3,952)</w:t>
            </w:r>
          </w:p>
        </w:tc>
        <w:tc>
          <w:tcPr>
            <w:tcW w:w="80" w:type="dxa"/>
            <w:vAlign w:val="bottom"/>
            <w:tcBorders>
              <w:bottom w:val="single" w:sz="8" w:color="D2EDF0"/>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5,657</w:t>
            </w:r>
          </w:p>
        </w:tc>
        <w:tc>
          <w:tcPr>
            <w:tcW w:w="0" w:type="dxa"/>
            <w:vAlign w:val="bottom"/>
          </w:tcPr>
          <w:p>
            <w:pPr>
              <w:spacing w:after="0"/>
              <w:rPr>
                <w:sz w:val="1"/>
                <w:szCs w:val="1"/>
                <w:color w:val="auto"/>
              </w:rPr>
            </w:pPr>
          </w:p>
        </w:tc>
      </w:tr>
      <w:tr>
        <w:trPr>
          <w:trHeight w:val="28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Net loss</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(92,222)</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(46,677)</w:t>
            </w:r>
          </w:p>
        </w:tc>
        <w:tc>
          <w:tcPr>
            <w:tcW w:w="500" w:type="dxa"/>
            <w:vAlign w:val="bottom"/>
            <w:gridSpan w:val="2"/>
            <w:shd w:val="clear" w:color="auto" w:fill="D2EDF0"/>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(42,731)</w:t>
            </w:r>
          </w:p>
        </w:tc>
        <w:tc>
          <w:tcPr>
            <w:tcW w:w="0" w:type="dxa"/>
            <w:vAlign w:val="bottom"/>
          </w:tcPr>
          <w:p>
            <w:pPr>
              <w:spacing w:after="0"/>
              <w:rPr>
                <w:sz w:val="1"/>
                <w:szCs w:val="1"/>
                <w:color w:val="auto"/>
              </w:rPr>
            </w:pPr>
          </w:p>
        </w:tc>
      </w:tr>
      <w:tr>
        <w:trPr>
          <w:trHeight w:val="20"/>
        </w:trPr>
        <w:tc>
          <w:tcPr>
            <w:tcW w:w="494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Net loss per share, basic and diluted</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(0.83)</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(0.44)</w:t>
            </w:r>
          </w:p>
        </w:tc>
        <w:tc>
          <w:tcPr>
            <w:tcW w:w="500" w:type="dxa"/>
            <w:vAlign w:val="bottom"/>
            <w:gridSpan w:val="2"/>
            <w:shd w:val="clear" w:color="auto" w:fill="D2EDF0"/>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(0.42)</w:t>
            </w:r>
          </w:p>
        </w:tc>
        <w:tc>
          <w:tcPr>
            <w:tcW w:w="0" w:type="dxa"/>
            <w:vAlign w:val="bottom"/>
          </w:tcPr>
          <w:p>
            <w:pPr>
              <w:spacing w:after="0"/>
              <w:rPr>
                <w:sz w:val="1"/>
                <w:szCs w:val="1"/>
                <w:color w:val="auto"/>
              </w:rPr>
            </w:pPr>
          </w:p>
        </w:tc>
      </w:tr>
      <w:tr>
        <w:trPr>
          <w:trHeight w:val="20"/>
        </w:trPr>
        <w:tc>
          <w:tcPr>
            <w:tcW w:w="4940" w:type="dxa"/>
            <w:vAlign w:val="bottom"/>
            <w:tcBorders>
              <w:top w:val="single" w:sz="8" w:color="D2EDF0"/>
              <w:bottom w:val="single" w:sz="8" w:color="D2EDF0"/>
            </w:tcBorders>
            <w:vMerge w:val="restart"/>
          </w:tcPr>
          <w:p>
            <w:pPr>
              <w:ind w:left="60"/>
              <w:spacing w:after="0" w:line="183" w:lineRule="exact"/>
              <w:rPr>
                <w:sz w:val="20"/>
                <w:szCs w:val="20"/>
                <w:color w:val="auto"/>
              </w:rPr>
            </w:pPr>
            <w:r>
              <w:rPr>
                <w:rFonts w:ascii="Arial" w:cs="Arial" w:eastAsia="Arial" w:hAnsi="Arial"/>
                <w:sz w:val="20"/>
                <w:szCs w:val="20"/>
                <w:color w:val="auto"/>
              </w:rPr>
              <w:t>Weighted-average shares used to compute net loss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111,321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106,387</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color w:val="auto"/>
              </w:rPr>
              <w:t>101,009</w:t>
            </w:r>
          </w:p>
        </w:tc>
        <w:tc>
          <w:tcPr>
            <w:tcW w:w="0" w:type="dxa"/>
            <w:vAlign w:val="bottom"/>
          </w:tcPr>
          <w:p>
            <w:pPr>
              <w:spacing w:after="0"/>
              <w:rPr>
                <w:sz w:val="1"/>
                <w:szCs w:val="1"/>
                <w:color w:val="auto"/>
              </w:rPr>
            </w:pPr>
          </w:p>
        </w:tc>
      </w:tr>
      <w:tr>
        <w:trPr>
          <w:trHeight w:val="242"/>
        </w:trPr>
        <w:tc>
          <w:tcPr>
            <w:tcW w:w="4940" w:type="dxa"/>
            <w:vAlign w:val="bottom"/>
          </w:tcPr>
          <w:p>
            <w:pPr>
              <w:ind w:left="140"/>
              <w:spacing w:after="0"/>
              <w:rPr>
                <w:sz w:val="20"/>
                <w:szCs w:val="20"/>
                <w:color w:val="auto"/>
              </w:rPr>
            </w:pPr>
            <w:r>
              <w:rPr>
                <w:rFonts w:ascii="Arial" w:cs="Arial" w:eastAsia="Arial" w:hAnsi="Arial"/>
                <w:sz w:val="20"/>
                <w:szCs w:val="20"/>
                <w:color w:val="auto"/>
              </w:rPr>
              <w:t>per share, basic and diluted</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-713740</wp:posOffset>
            </wp:positionV>
            <wp:extent cx="258127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81275" cy="3810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-332740</wp:posOffset>
            </wp:positionV>
            <wp:extent cx="258127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81275" cy="3810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-37465</wp:posOffset>
            </wp:positionV>
            <wp:extent cx="258127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81275" cy="38100"/>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880" w:h="15480" w:orient="portrait"/>
          <w:cols w:equalWidth="0" w:num="1">
            <w:col w:w="9000"/>
          </w:cols>
          <w:pgMar w:left="1440" w:top="1203" w:right="1440" w:bottom="0" w:gutter="0" w:footer="0" w:header="0"/>
          <w:type w:val="continuous"/>
        </w:sectPr>
      </w:pPr>
    </w:p>
    <w:bookmarkStart w:id="178" w:name="page179"/>
    <w:bookmarkEnd w:id="178"/>
    <w:p>
      <w:pPr>
        <w:jc w:val="center"/>
        <w:spacing w:after="0"/>
        <w:rPr>
          <w:sz w:val="20"/>
          <w:szCs w:val="20"/>
          <w:color w:val="auto"/>
        </w:rPr>
      </w:pPr>
      <w:r>
        <w:rPr>
          <w:rFonts w:ascii="Arial" w:cs="Arial" w:eastAsia="Arial" w:hAnsi="Arial"/>
          <w:sz w:val="20"/>
          <w:szCs w:val="20"/>
          <w:b w:val="1"/>
          <w:bCs w:val="1"/>
          <w:color w:val="auto"/>
        </w:rPr>
        <w:t>TENABLE HOLDINGS,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COMPREHENSIVE LOSS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240"/>
        </w:trPr>
        <w:tc>
          <w:tcPr>
            <w:tcW w:w="4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r>
      <w:tr>
        <w:trPr>
          <w:trHeight w:val="265"/>
        </w:trPr>
        <w:tc>
          <w:tcPr>
            <w:tcW w:w="454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3"/>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2020</w:t>
            </w:r>
          </w:p>
        </w:tc>
      </w:tr>
      <w:tr>
        <w:trPr>
          <w:trHeight w:val="290"/>
        </w:trPr>
        <w:tc>
          <w:tcPr>
            <w:tcW w:w="4540" w:type="dxa"/>
            <w:vAlign w:val="bottom"/>
            <w:shd w:val="clear" w:color="auto" w:fill="D2EDF0"/>
          </w:tcPr>
          <w:p>
            <w:pPr>
              <w:ind w:left="60"/>
              <w:spacing w:after="0"/>
              <w:rPr>
                <w:sz w:val="20"/>
                <w:szCs w:val="20"/>
                <w:color w:val="auto"/>
              </w:rPr>
            </w:pPr>
            <w:r>
              <w:rPr>
                <w:rFonts w:ascii="Arial" w:cs="Arial" w:eastAsia="Arial" w:hAnsi="Arial"/>
                <w:sz w:val="20"/>
                <w:szCs w:val="20"/>
                <w:color w:val="auto"/>
              </w:rPr>
              <w:t>Net loss</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(92,222)</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(46,677)</w:t>
            </w:r>
          </w:p>
        </w:tc>
        <w:tc>
          <w:tcPr>
            <w:tcW w:w="480" w:type="dxa"/>
            <w:vAlign w:val="bottom"/>
            <w:gridSpan w:val="2"/>
            <w:shd w:val="clear" w:color="auto" w:fill="D2EDF0"/>
          </w:tcPr>
          <w:p>
            <w:pPr>
              <w:jc w:val="right"/>
              <w:ind w:right="240"/>
              <w:spacing w:after="0"/>
              <w:rPr>
                <w:sz w:val="20"/>
                <w:szCs w:val="20"/>
                <w:color w:val="auto"/>
              </w:rPr>
            </w:pPr>
            <w:r>
              <w:rPr>
                <w:rFonts w:ascii="Arial" w:cs="Arial" w:eastAsia="Arial" w:hAnsi="Arial"/>
                <w:sz w:val="20"/>
                <w:szCs w:val="20"/>
                <w:color w:val="auto"/>
              </w:rPr>
              <w:t>$</w:t>
            </w: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(42,731)</w:t>
            </w:r>
          </w:p>
        </w:tc>
      </w:tr>
      <w:tr>
        <w:trPr>
          <w:trHeight w:val="296"/>
        </w:trPr>
        <w:tc>
          <w:tcPr>
            <w:tcW w:w="4540" w:type="dxa"/>
            <w:vAlign w:val="bottom"/>
          </w:tcPr>
          <w:p>
            <w:pPr>
              <w:ind w:left="60"/>
              <w:spacing w:after="0"/>
              <w:rPr>
                <w:sz w:val="20"/>
                <w:szCs w:val="20"/>
                <w:color w:val="auto"/>
              </w:rPr>
            </w:pPr>
            <w:r>
              <w:rPr>
                <w:rFonts w:ascii="Arial" w:cs="Arial" w:eastAsia="Arial" w:hAnsi="Arial"/>
                <w:sz w:val="20"/>
                <w:szCs w:val="20"/>
                <w:color w:val="auto"/>
              </w:rPr>
              <w:t>Other comprehensive loss, net of tax:</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4"/>
        </w:trPr>
        <w:tc>
          <w:tcPr>
            <w:tcW w:w="4540" w:type="dxa"/>
            <w:vAlign w:val="bottom"/>
            <w:tcBorders>
              <w:bottom w:val="single" w:sz="8" w:color="D2EDF0"/>
            </w:tcBorders>
            <w:shd w:val="clear" w:color="auto" w:fill="D2EDF0"/>
          </w:tcPr>
          <w:p>
            <w:pPr>
              <w:ind w:left="280"/>
              <w:spacing w:after="0"/>
              <w:rPr>
                <w:sz w:val="20"/>
                <w:szCs w:val="20"/>
                <w:color w:val="auto"/>
              </w:rPr>
            </w:pPr>
            <w:r>
              <w:rPr>
                <w:rFonts w:ascii="Arial" w:cs="Arial" w:eastAsia="Arial" w:hAnsi="Arial"/>
                <w:sz w:val="20"/>
                <w:szCs w:val="20"/>
                <w:color w:val="auto"/>
              </w:rPr>
              <w:t>Unrealized loss on available-for-sale securities</w:t>
            </w: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(1,045)</w:t>
            </w:r>
          </w:p>
        </w:tc>
        <w:tc>
          <w:tcPr>
            <w:tcW w:w="80" w:type="dxa"/>
            <w:vAlign w:val="bottom"/>
            <w:tcBorders>
              <w:bottom w:val="single" w:sz="8" w:color="D2EDF0"/>
            </w:tcBorders>
            <w:shd w:val="clear" w:color="auto" w:fill="D2EDF0"/>
          </w:tcPr>
          <w:p>
            <w:pPr>
              <w:spacing w:after="0"/>
              <w:rPr>
                <w:sz w:val="24"/>
                <w:szCs w:val="24"/>
                <w:color w:val="auto"/>
              </w:rPr>
            </w:pP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(316)</w:t>
            </w:r>
          </w:p>
        </w:tc>
        <w:tc>
          <w:tcPr>
            <w:tcW w:w="80" w:type="dxa"/>
            <w:vAlign w:val="bottom"/>
            <w:tcBorders>
              <w:bottom w:val="single" w:sz="8" w:color="D2EDF0"/>
            </w:tcBorders>
            <w:shd w:val="clear" w:color="auto" w:fill="D2EDF0"/>
          </w:tcPr>
          <w:p>
            <w:pPr>
              <w:spacing w:after="0"/>
              <w:rPr>
                <w:sz w:val="24"/>
                <w:szCs w:val="24"/>
                <w:color w:val="auto"/>
              </w:rPr>
            </w:pPr>
          </w:p>
        </w:tc>
        <w:tc>
          <w:tcPr>
            <w:tcW w:w="400" w:type="dxa"/>
            <w:vAlign w:val="bottom"/>
            <w:tcBorders>
              <w:bottom w:val="single" w:sz="8" w:color="auto"/>
            </w:tcBorders>
            <w:shd w:val="clear" w:color="auto" w:fill="D2EDF0"/>
          </w:tcPr>
          <w:p>
            <w:pPr>
              <w:spacing w:after="0"/>
              <w:rPr>
                <w:sz w:val="24"/>
                <w:szCs w:val="24"/>
                <w:color w:val="auto"/>
              </w:rPr>
            </w:pPr>
          </w:p>
        </w:tc>
        <w:tc>
          <w:tcPr>
            <w:tcW w:w="9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(40)</w:t>
            </w:r>
          </w:p>
        </w:tc>
      </w:tr>
      <w:tr>
        <w:trPr>
          <w:trHeight w:val="280"/>
        </w:trPr>
        <w:tc>
          <w:tcPr>
            <w:tcW w:w="4540" w:type="dxa"/>
            <w:vAlign w:val="bottom"/>
            <w:tcBorders>
              <w:bottom w:val="single" w:sz="8" w:color="D2EDF0"/>
            </w:tcBorders>
          </w:tcPr>
          <w:p>
            <w:pPr>
              <w:ind w:left="60"/>
              <w:spacing w:after="0"/>
              <w:rPr>
                <w:sz w:val="20"/>
                <w:szCs w:val="20"/>
                <w:color w:val="auto"/>
              </w:rPr>
            </w:pPr>
            <w:r>
              <w:rPr>
                <w:rFonts w:ascii="Arial" w:cs="Arial" w:eastAsia="Arial" w:hAnsi="Arial"/>
                <w:sz w:val="20"/>
                <w:szCs w:val="20"/>
                <w:color w:val="auto"/>
              </w:rPr>
              <w:t>Other comprehensive loss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(1,045)</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(316)</w:t>
            </w:r>
          </w:p>
        </w:tc>
        <w:tc>
          <w:tcPr>
            <w:tcW w:w="80" w:type="dxa"/>
            <w:vAlign w:val="bottom"/>
            <w:tcBorders>
              <w:bottom w:val="single" w:sz="8" w:color="D2EDF0"/>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w:t>
            </w:r>
          </w:p>
        </w:tc>
      </w:tr>
      <w:tr>
        <w:trPr>
          <w:trHeight w:val="280"/>
        </w:trPr>
        <w:tc>
          <w:tcPr>
            <w:tcW w:w="4540" w:type="dxa"/>
            <w:vAlign w:val="bottom"/>
            <w:shd w:val="clear" w:color="auto" w:fill="D2EDF0"/>
          </w:tcPr>
          <w:p>
            <w:pPr>
              <w:ind w:left="60"/>
              <w:spacing w:after="0"/>
              <w:rPr>
                <w:sz w:val="20"/>
                <w:szCs w:val="20"/>
                <w:color w:val="auto"/>
              </w:rPr>
            </w:pPr>
            <w:r>
              <w:rPr>
                <w:rFonts w:ascii="Arial" w:cs="Arial" w:eastAsia="Arial" w:hAnsi="Arial"/>
                <w:sz w:val="20"/>
                <w:szCs w:val="20"/>
                <w:color w:val="auto"/>
              </w:rPr>
              <w:t>Comprehensive loss</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(93,267)</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(46,993)</w:t>
            </w:r>
          </w:p>
        </w:tc>
        <w:tc>
          <w:tcPr>
            <w:tcW w:w="480" w:type="dxa"/>
            <w:vAlign w:val="bottom"/>
            <w:gridSpan w:val="2"/>
            <w:shd w:val="clear" w:color="auto" w:fill="D2EDF0"/>
          </w:tcPr>
          <w:p>
            <w:pPr>
              <w:jc w:val="right"/>
              <w:ind w:right="240"/>
              <w:spacing w:after="0"/>
              <w:rPr>
                <w:sz w:val="20"/>
                <w:szCs w:val="20"/>
                <w:color w:val="auto"/>
              </w:rPr>
            </w:pPr>
            <w:r>
              <w:rPr>
                <w:rFonts w:ascii="Arial" w:cs="Arial" w:eastAsia="Arial" w:hAnsi="Arial"/>
                <w:sz w:val="20"/>
                <w:szCs w:val="20"/>
                <w:color w:val="auto"/>
              </w:rPr>
              <w:t>$</w:t>
            </w: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(42,771)</w:t>
            </w:r>
          </w:p>
        </w:tc>
      </w:tr>
      <w:tr>
        <w:trPr>
          <w:trHeight w:val="20"/>
        </w:trPr>
        <w:tc>
          <w:tcPr>
            <w:tcW w:w="454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-37465</wp:posOffset>
            </wp:positionV>
            <wp:extent cx="258127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81275" cy="38100"/>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1880" w:h="15480" w:orient="portrait"/>
          <w:cols w:equalWidth="0" w:num="1">
            <w:col w:w="9000"/>
          </w:cols>
          <w:pgMar w:left="1440" w:top="1203" w:right="1440" w:bottom="0" w:gutter="0" w:footer="0" w:header="0"/>
          <w:type w:val="continuous"/>
        </w:sectPr>
      </w:pPr>
    </w:p>
    <w:bookmarkStart w:id="179" w:name="page180"/>
    <w:bookmarkEnd w:id="179"/>
    <w:p>
      <w:pPr>
        <w:jc w:val="center"/>
        <w:spacing w:after="0"/>
        <w:rPr>
          <w:sz w:val="20"/>
          <w:szCs w:val="20"/>
          <w:color w:val="auto"/>
        </w:rPr>
      </w:pPr>
      <w:r>
        <w:rPr>
          <w:rFonts w:ascii="Arial" w:cs="Arial" w:eastAsia="Arial" w:hAnsi="Arial"/>
          <w:sz w:val="20"/>
          <w:szCs w:val="20"/>
          <w:b w:val="1"/>
          <w:bCs w:val="1"/>
          <w:color w:val="auto"/>
        </w:rPr>
        <w:t>TENABLE HOLDINGS,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142"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1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Accumulated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Other</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0"/>
        </w:trPr>
        <w:tc>
          <w:tcPr>
            <w:tcW w:w="1900" w:type="dxa"/>
            <w:vAlign w:val="bottom"/>
          </w:tcPr>
          <w:p>
            <w:pPr>
              <w:spacing w:after="0"/>
              <w:rPr>
                <w:sz w:val="20"/>
                <w:szCs w:val="20"/>
                <w:color w:val="auto"/>
              </w:rPr>
            </w:pPr>
          </w:p>
        </w:tc>
        <w:tc>
          <w:tcPr>
            <w:tcW w:w="17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20"/>
                <w:szCs w:val="20"/>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rPr>
              <w:t>Comprehensive</w:t>
            </w:r>
          </w:p>
        </w:tc>
        <w:tc>
          <w:tcPr>
            <w:tcW w:w="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20"/>
        </w:trPr>
        <w:tc>
          <w:tcPr>
            <w:tcW w:w="19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19"/>
                <w:szCs w:val="19"/>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9"/>
                <w:szCs w:val="19"/>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(Loss) Income</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77"/>
        </w:trPr>
        <w:tc>
          <w:tcPr>
            <w:tcW w:w="1900" w:type="dxa"/>
            <w:vAlign w:val="bottom"/>
          </w:tcPr>
          <w:p>
            <w:pPr>
              <w:spacing w:after="0" w:line="177" w:lineRule="exact"/>
              <w:rPr>
                <w:sz w:val="20"/>
                <w:szCs w:val="20"/>
                <w:color w:val="auto"/>
              </w:rPr>
            </w:pPr>
            <w:r>
              <w:rPr>
                <w:rFonts w:ascii="Arial" w:cs="Arial" w:eastAsia="Arial" w:hAnsi="Arial"/>
                <w:sz w:val="18"/>
                <w:szCs w:val="18"/>
                <w:b w:val="1"/>
                <w:bCs w:val="1"/>
                <w:color w:val="auto"/>
              </w:rPr>
              <w:t>Balance at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98,587</w:t>
            </w:r>
          </w:p>
        </w:tc>
        <w:tc>
          <w:tcPr>
            <w:tcW w:w="30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986</w:t>
            </w:r>
          </w:p>
        </w:tc>
        <w:tc>
          <w:tcPr>
            <w:tcW w:w="220" w:type="dxa"/>
            <w:vAlign w:val="bottom"/>
            <w:gridSpan w:val="2"/>
            <w:vMerge w:val="restart"/>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662,990</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34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(565,121)</w:t>
            </w:r>
          </w:p>
        </w:tc>
        <w:tc>
          <w:tcPr>
            <w:tcW w:w="34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98,905</w:t>
            </w:r>
          </w:p>
        </w:tc>
        <w:tc>
          <w:tcPr>
            <w:tcW w:w="0" w:type="dxa"/>
            <w:vAlign w:val="bottom"/>
          </w:tcPr>
          <w:p>
            <w:pPr>
              <w:spacing w:after="0"/>
              <w:rPr>
                <w:sz w:val="1"/>
                <w:szCs w:val="1"/>
                <w:color w:val="auto"/>
              </w:rPr>
            </w:pPr>
          </w:p>
        </w:tc>
      </w:tr>
      <w:tr>
        <w:trPr>
          <w:trHeight w:val="248"/>
        </w:trPr>
        <w:tc>
          <w:tcPr>
            <w:tcW w:w="190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82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900" w:type="dxa"/>
            <w:vAlign w:val="bottom"/>
          </w:tcPr>
          <w:p>
            <w:pPr>
              <w:spacing w:after="0" w:line="188" w:lineRule="exact"/>
              <w:rPr>
                <w:sz w:val="20"/>
                <w:szCs w:val="20"/>
                <w:color w:val="auto"/>
              </w:rPr>
            </w:pPr>
            <w:r>
              <w:rPr>
                <w:rFonts w:ascii="Arial" w:cs="Arial" w:eastAsia="Arial" w:hAnsi="Arial"/>
                <w:sz w:val="18"/>
                <w:szCs w:val="18"/>
                <w:color w:val="auto"/>
              </w:rPr>
              <w:t>Exercise of stock</w:t>
            </w:r>
          </w:p>
        </w:tc>
        <w:tc>
          <w:tcPr>
            <w:tcW w:w="82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2,956</w:t>
            </w:r>
          </w:p>
        </w:tc>
        <w:tc>
          <w:tcPr>
            <w:tcW w:w="80" w:type="dxa"/>
            <w:vAlign w:val="bottom"/>
            <w:shd w:val="clear" w:color="auto" w:fill="D2EDF0"/>
          </w:tcPr>
          <w:p>
            <w:pPr>
              <w:spacing w:after="0"/>
              <w:rPr>
                <w:sz w:val="16"/>
                <w:szCs w:val="16"/>
                <w:color w:val="auto"/>
              </w:rPr>
            </w:pPr>
          </w:p>
        </w:tc>
        <w:tc>
          <w:tcPr>
            <w:tcW w:w="220" w:type="dxa"/>
            <w:vAlign w:val="bottom"/>
            <w:shd w:val="clear" w:color="auto" w:fill="D2EDF0"/>
          </w:tcPr>
          <w:p>
            <w:pPr>
              <w:spacing w:after="0"/>
              <w:rPr>
                <w:sz w:val="16"/>
                <w:szCs w:val="16"/>
                <w:color w:val="auto"/>
              </w:rPr>
            </w:pPr>
          </w:p>
        </w:tc>
        <w:tc>
          <w:tcPr>
            <w:tcW w:w="6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D2EDF0"/>
          </w:tcPr>
          <w:p>
            <w:pPr>
              <w:spacing w:after="0"/>
              <w:rPr>
                <w:sz w:val="16"/>
                <w:szCs w:val="16"/>
                <w:color w:val="auto"/>
              </w:rPr>
            </w:pPr>
          </w:p>
        </w:tc>
        <w:tc>
          <w:tcPr>
            <w:tcW w:w="140" w:type="dxa"/>
            <w:vAlign w:val="bottom"/>
            <w:shd w:val="clear" w:color="auto" w:fill="D2EDF0"/>
          </w:tcPr>
          <w:p>
            <w:pPr>
              <w:spacing w:after="0"/>
              <w:rPr>
                <w:sz w:val="16"/>
                <w:szCs w:val="16"/>
                <w:color w:val="auto"/>
              </w:rPr>
            </w:pPr>
          </w:p>
        </w:tc>
        <w:tc>
          <w:tcPr>
            <w:tcW w:w="86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21,680</w:t>
            </w:r>
          </w:p>
        </w:tc>
        <w:tc>
          <w:tcPr>
            <w:tcW w:w="80" w:type="dxa"/>
            <w:vAlign w:val="bottom"/>
            <w:shd w:val="clear" w:color="auto" w:fill="D2EDF0"/>
          </w:tcPr>
          <w:p>
            <w:pPr>
              <w:spacing w:after="0"/>
              <w:rPr>
                <w:sz w:val="16"/>
                <w:szCs w:val="16"/>
                <w:color w:val="auto"/>
              </w:rPr>
            </w:pPr>
          </w:p>
        </w:tc>
        <w:tc>
          <w:tcPr>
            <w:tcW w:w="140" w:type="dxa"/>
            <w:vAlign w:val="bottom"/>
            <w:shd w:val="clear" w:color="auto" w:fill="D2EDF0"/>
          </w:tcPr>
          <w:p>
            <w:pPr>
              <w:spacing w:after="0"/>
              <w:rPr>
                <w:sz w:val="16"/>
                <w:szCs w:val="16"/>
                <w:color w:val="auto"/>
              </w:rPr>
            </w:pPr>
          </w:p>
        </w:tc>
        <w:tc>
          <w:tcPr>
            <w:tcW w:w="13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16"/>
                <w:szCs w:val="16"/>
                <w:color w:val="auto"/>
              </w:rPr>
            </w:pPr>
          </w:p>
        </w:tc>
        <w:tc>
          <w:tcPr>
            <w:tcW w:w="260" w:type="dxa"/>
            <w:vAlign w:val="bottom"/>
            <w:shd w:val="clear" w:color="auto" w:fill="D2EDF0"/>
          </w:tcPr>
          <w:p>
            <w:pPr>
              <w:spacing w:after="0"/>
              <w:rPr>
                <w:sz w:val="16"/>
                <w:szCs w:val="16"/>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16"/>
                <w:szCs w:val="16"/>
                <w:color w:val="auto"/>
              </w:rPr>
            </w:pPr>
          </w:p>
        </w:tc>
        <w:tc>
          <w:tcPr>
            <w:tcW w:w="260" w:type="dxa"/>
            <w:vAlign w:val="bottom"/>
            <w:shd w:val="clear" w:color="auto" w:fill="D2EDF0"/>
          </w:tcPr>
          <w:p>
            <w:pPr>
              <w:spacing w:after="0"/>
              <w:rPr>
                <w:sz w:val="16"/>
                <w:szCs w:val="16"/>
                <w:color w:val="auto"/>
              </w:rPr>
            </w:pPr>
          </w:p>
        </w:tc>
        <w:tc>
          <w:tcPr>
            <w:tcW w:w="104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21,709</w:t>
            </w:r>
          </w:p>
        </w:tc>
        <w:tc>
          <w:tcPr>
            <w:tcW w:w="0" w:type="dxa"/>
            <w:vAlign w:val="bottom"/>
          </w:tcPr>
          <w:p>
            <w:pPr>
              <w:spacing w:after="0"/>
              <w:rPr>
                <w:sz w:val="1"/>
                <w:szCs w:val="1"/>
                <w:color w:val="auto"/>
              </w:rPr>
            </w:pPr>
          </w:p>
        </w:tc>
      </w:tr>
      <w:tr>
        <w:trPr>
          <w:trHeight w:val="248"/>
        </w:trPr>
        <w:tc>
          <w:tcPr>
            <w:tcW w:w="1900" w:type="dxa"/>
            <w:vAlign w:val="bottom"/>
          </w:tcPr>
          <w:p>
            <w:pPr>
              <w:spacing w:after="0"/>
              <w:rPr>
                <w:sz w:val="20"/>
                <w:szCs w:val="20"/>
                <w:color w:val="auto"/>
              </w:rPr>
            </w:pPr>
            <w:r>
              <w:rPr>
                <w:rFonts w:ascii="Arial" w:cs="Arial" w:eastAsia="Arial" w:hAnsi="Arial"/>
                <w:sz w:val="18"/>
                <w:szCs w:val="18"/>
                <w:color w:val="auto"/>
              </w:rPr>
              <w:t>options</w:t>
            </w:r>
          </w:p>
        </w:tc>
        <w:tc>
          <w:tcPr>
            <w:tcW w:w="82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20" w:type="dxa"/>
            <w:vAlign w:val="bottom"/>
            <w:shd w:val="clear" w:color="auto" w:fill="D2EDF0"/>
          </w:tcPr>
          <w:p>
            <w:pPr>
              <w:spacing w:after="0"/>
              <w:rPr>
                <w:sz w:val="21"/>
                <w:szCs w:val="21"/>
                <w:color w:val="auto"/>
              </w:rPr>
            </w:pPr>
          </w:p>
        </w:tc>
        <w:tc>
          <w:tcPr>
            <w:tcW w:w="6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140" w:type="dxa"/>
            <w:vAlign w:val="bottom"/>
            <w:shd w:val="clear" w:color="auto" w:fill="D2EDF0"/>
          </w:tcPr>
          <w:p>
            <w:pPr>
              <w:spacing w:after="0"/>
              <w:rPr>
                <w:sz w:val="21"/>
                <w:szCs w:val="21"/>
                <w:color w:val="auto"/>
              </w:rPr>
            </w:pPr>
          </w:p>
        </w:tc>
        <w:tc>
          <w:tcPr>
            <w:tcW w:w="86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140" w:type="dxa"/>
            <w:vAlign w:val="bottom"/>
            <w:shd w:val="clear" w:color="auto" w:fill="D2EDF0"/>
          </w:tcPr>
          <w:p>
            <w:pPr>
              <w:spacing w:after="0"/>
              <w:rPr>
                <w:sz w:val="21"/>
                <w:szCs w:val="21"/>
                <w:color w:val="auto"/>
              </w:rPr>
            </w:pPr>
          </w:p>
        </w:tc>
        <w:tc>
          <w:tcPr>
            <w:tcW w:w="13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60" w:type="dxa"/>
            <w:vAlign w:val="bottom"/>
            <w:shd w:val="clear" w:color="auto" w:fill="D2EDF0"/>
          </w:tcPr>
          <w:p>
            <w:pPr>
              <w:spacing w:after="0"/>
              <w:rPr>
                <w:sz w:val="21"/>
                <w:szCs w:val="21"/>
                <w:color w:val="auto"/>
              </w:rPr>
            </w:pPr>
          </w:p>
        </w:tc>
        <w:tc>
          <w:tcPr>
            <w:tcW w:w="10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60" w:type="dxa"/>
            <w:vAlign w:val="bottom"/>
            <w:shd w:val="clear" w:color="auto" w:fill="D2EDF0"/>
          </w:tcPr>
          <w:p>
            <w:pPr>
              <w:spacing w:after="0"/>
              <w:rPr>
                <w:sz w:val="21"/>
                <w:szCs w:val="21"/>
                <w:color w:val="auto"/>
              </w:rPr>
            </w:pPr>
          </w:p>
        </w:tc>
        <w:tc>
          <w:tcPr>
            <w:tcW w:w="1040" w:type="dxa"/>
            <w:vAlign w:val="bottom"/>
            <w:vMerge w:val="continue"/>
            <w:shd w:val="clear" w:color="auto" w:fill="D2EDF0"/>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900" w:type="dxa"/>
            <w:vAlign w:val="bottom"/>
          </w:tcPr>
          <w:p>
            <w:pPr>
              <w:spacing w:after="0" w:line="188" w:lineRule="exact"/>
              <w:rPr>
                <w:sz w:val="20"/>
                <w:szCs w:val="20"/>
                <w:color w:val="auto"/>
              </w:rPr>
            </w:pPr>
            <w:r>
              <w:rPr>
                <w:rFonts w:ascii="Arial" w:cs="Arial" w:eastAsia="Arial" w:hAnsi="Arial"/>
                <w:sz w:val="18"/>
                <w:szCs w:val="18"/>
                <w:color w:val="auto"/>
              </w:rPr>
              <w:t>Vesting of restricted</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1,504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1900" w:type="dxa"/>
            <w:vAlign w:val="bottom"/>
          </w:tcPr>
          <w:p>
            <w:pPr>
              <w:spacing w:after="0"/>
              <w:rPr>
                <w:sz w:val="20"/>
                <w:szCs w:val="20"/>
                <w:color w:val="auto"/>
              </w:rPr>
            </w:pPr>
            <w:r>
              <w:rPr>
                <w:rFonts w:ascii="Arial" w:cs="Arial" w:eastAsia="Arial" w:hAnsi="Arial"/>
                <w:sz w:val="18"/>
                <w:szCs w:val="18"/>
                <w:color w:val="auto"/>
              </w:rPr>
              <w:t>stock units</w:t>
            </w: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Issuance of common</w:t>
            </w:r>
          </w:p>
        </w:tc>
        <w:tc>
          <w:tcPr>
            <w:tcW w:w="820" w:type="dxa"/>
            <w:vAlign w:val="bottom"/>
            <w:shd w:val="clear" w:color="auto" w:fill="D2EDF0"/>
          </w:tcPr>
          <w:p>
            <w:pPr>
              <w:spacing w:after="0"/>
              <w:rPr>
                <w:sz w:val="17"/>
                <w:szCs w:val="17"/>
                <w:color w:val="auto"/>
              </w:rPr>
            </w:pPr>
          </w:p>
        </w:tc>
        <w:tc>
          <w:tcPr>
            <w:tcW w:w="80" w:type="dxa"/>
            <w:vAlign w:val="bottom"/>
            <w:shd w:val="clear" w:color="auto" w:fill="D2EDF0"/>
          </w:tcPr>
          <w:p>
            <w:pPr>
              <w:spacing w:after="0"/>
              <w:rPr>
                <w:sz w:val="17"/>
                <w:szCs w:val="17"/>
                <w:color w:val="auto"/>
              </w:rPr>
            </w:pPr>
          </w:p>
        </w:tc>
        <w:tc>
          <w:tcPr>
            <w:tcW w:w="220" w:type="dxa"/>
            <w:vAlign w:val="bottom"/>
            <w:shd w:val="clear" w:color="auto" w:fill="D2EDF0"/>
          </w:tcPr>
          <w:p>
            <w:pPr>
              <w:spacing w:after="0"/>
              <w:rPr>
                <w:sz w:val="17"/>
                <w:szCs w:val="17"/>
                <w:color w:val="auto"/>
              </w:rPr>
            </w:pPr>
          </w:p>
        </w:tc>
        <w:tc>
          <w:tcPr>
            <w:tcW w:w="600" w:type="dxa"/>
            <w:vAlign w:val="bottom"/>
            <w:shd w:val="clear" w:color="auto" w:fill="D2EDF0"/>
          </w:tcPr>
          <w:p>
            <w:pPr>
              <w:spacing w:after="0"/>
              <w:rPr>
                <w:sz w:val="17"/>
                <w:szCs w:val="17"/>
                <w:color w:val="auto"/>
              </w:rPr>
            </w:pPr>
          </w:p>
        </w:tc>
        <w:tc>
          <w:tcPr>
            <w:tcW w:w="80" w:type="dxa"/>
            <w:vAlign w:val="bottom"/>
            <w:shd w:val="clear" w:color="auto" w:fill="D2EDF0"/>
          </w:tcPr>
          <w:p>
            <w:pPr>
              <w:spacing w:after="0"/>
              <w:rPr>
                <w:sz w:val="17"/>
                <w:szCs w:val="17"/>
                <w:color w:val="auto"/>
              </w:rPr>
            </w:pPr>
          </w:p>
        </w:tc>
        <w:tc>
          <w:tcPr>
            <w:tcW w:w="140" w:type="dxa"/>
            <w:vAlign w:val="bottom"/>
            <w:shd w:val="clear" w:color="auto" w:fill="D2EDF0"/>
          </w:tcPr>
          <w:p>
            <w:pPr>
              <w:spacing w:after="0"/>
              <w:rPr>
                <w:sz w:val="17"/>
                <w:szCs w:val="17"/>
                <w:color w:val="auto"/>
              </w:rPr>
            </w:pPr>
          </w:p>
        </w:tc>
        <w:tc>
          <w:tcPr>
            <w:tcW w:w="860" w:type="dxa"/>
            <w:vAlign w:val="bottom"/>
            <w:shd w:val="clear" w:color="auto" w:fill="D2EDF0"/>
          </w:tcPr>
          <w:p>
            <w:pPr>
              <w:spacing w:after="0"/>
              <w:rPr>
                <w:sz w:val="17"/>
                <w:szCs w:val="17"/>
                <w:color w:val="auto"/>
              </w:rPr>
            </w:pPr>
          </w:p>
        </w:tc>
        <w:tc>
          <w:tcPr>
            <w:tcW w:w="80" w:type="dxa"/>
            <w:vAlign w:val="bottom"/>
            <w:shd w:val="clear" w:color="auto" w:fill="D2EDF0"/>
          </w:tcPr>
          <w:p>
            <w:pPr>
              <w:spacing w:after="0"/>
              <w:rPr>
                <w:sz w:val="17"/>
                <w:szCs w:val="17"/>
                <w:color w:val="auto"/>
              </w:rPr>
            </w:pPr>
          </w:p>
        </w:tc>
        <w:tc>
          <w:tcPr>
            <w:tcW w:w="140" w:type="dxa"/>
            <w:vAlign w:val="bottom"/>
            <w:shd w:val="clear" w:color="auto" w:fill="D2EDF0"/>
          </w:tcPr>
          <w:p>
            <w:pPr>
              <w:spacing w:after="0"/>
              <w:rPr>
                <w:sz w:val="17"/>
                <w:szCs w:val="17"/>
                <w:color w:val="auto"/>
              </w:rPr>
            </w:pPr>
          </w:p>
        </w:tc>
        <w:tc>
          <w:tcPr>
            <w:tcW w:w="1300" w:type="dxa"/>
            <w:vAlign w:val="bottom"/>
            <w:shd w:val="clear" w:color="auto" w:fill="D2EDF0"/>
          </w:tcPr>
          <w:p>
            <w:pPr>
              <w:spacing w:after="0"/>
              <w:rPr>
                <w:sz w:val="17"/>
                <w:szCs w:val="17"/>
                <w:color w:val="auto"/>
              </w:rPr>
            </w:pPr>
          </w:p>
        </w:tc>
        <w:tc>
          <w:tcPr>
            <w:tcW w:w="80" w:type="dxa"/>
            <w:vAlign w:val="bottom"/>
            <w:shd w:val="clear" w:color="auto" w:fill="D2EDF0"/>
          </w:tcPr>
          <w:p>
            <w:pPr>
              <w:spacing w:after="0"/>
              <w:rPr>
                <w:sz w:val="17"/>
                <w:szCs w:val="17"/>
                <w:color w:val="auto"/>
              </w:rPr>
            </w:pPr>
          </w:p>
        </w:tc>
        <w:tc>
          <w:tcPr>
            <w:tcW w:w="260" w:type="dxa"/>
            <w:vAlign w:val="bottom"/>
            <w:shd w:val="clear" w:color="auto" w:fill="D2EDF0"/>
          </w:tcPr>
          <w:p>
            <w:pPr>
              <w:spacing w:after="0"/>
              <w:rPr>
                <w:sz w:val="17"/>
                <w:szCs w:val="17"/>
                <w:color w:val="auto"/>
              </w:rPr>
            </w:pPr>
          </w:p>
        </w:tc>
        <w:tc>
          <w:tcPr>
            <w:tcW w:w="1000" w:type="dxa"/>
            <w:vAlign w:val="bottom"/>
            <w:shd w:val="clear" w:color="auto" w:fill="D2EDF0"/>
          </w:tcPr>
          <w:p>
            <w:pPr>
              <w:spacing w:after="0"/>
              <w:rPr>
                <w:sz w:val="17"/>
                <w:szCs w:val="17"/>
                <w:color w:val="auto"/>
              </w:rPr>
            </w:pPr>
          </w:p>
        </w:tc>
        <w:tc>
          <w:tcPr>
            <w:tcW w:w="80" w:type="dxa"/>
            <w:vAlign w:val="bottom"/>
            <w:shd w:val="clear" w:color="auto" w:fill="D2EDF0"/>
          </w:tcPr>
          <w:p>
            <w:pPr>
              <w:spacing w:after="0"/>
              <w:rPr>
                <w:sz w:val="17"/>
                <w:szCs w:val="17"/>
                <w:color w:val="auto"/>
              </w:rPr>
            </w:pPr>
          </w:p>
        </w:tc>
        <w:tc>
          <w:tcPr>
            <w:tcW w:w="260" w:type="dxa"/>
            <w:vAlign w:val="bottom"/>
            <w:shd w:val="clear" w:color="auto" w:fill="D2EDF0"/>
          </w:tcPr>
          <w:p>
            <w:pPr>
              <w:spacing w:after="0"/>
              <w:rPr>
                <w:sz w:val="17"/>
                <w:szCs w:val="17"/>
                <w:color w:val="auto"/>
              </w:rPr>
            </w:pPr>
          </w:p>
        </w:tc>
        <w:tc>
          <w:tcPr>
            <w:tcW w:w="1040" w:type="dxa"/>
            <w:vAlign w:val="bottom"/>
            <w:shd w:val="clear" w:color="auto" w:fill="D2EDF0"/>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line="180" w:lineRule="exact"/>
              <w:rPr>
                <w:sz w:val="20"/>
                <w:szCs w:val="20"/>
                <w:color w:val="auto"/>
              </w:rPr>
            </w:pPr>
            <w:r>
              <w:rPr>
                <w:rFonts w:ascii="Arial" w:cs="Arial" w:eastAsia="Arial" w:hAnsi="Arial"/>
                <w:sz w:val="18"/>
                <w:szCs w:val="18"/>
                <w:color w:val="auto"/>
              </w:rPr>
              <w:t>stock under employee</w:t>
            </w:r>
          </w:p>
        </w:tc>
        <w:tc>
          <w:tcPr>
            <w:tcW w:w="82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668</w:t>
            </w:r>
          </w:p>
        </w:tc>
        <w:tc>
          <w:tcPr>
            <w:tcW w:w="80" w:type="dxa"/>
            <w:vAlign w:val="bottom"/>
            <w:shd w:val="clear" w:color="auto" w:fill="D2EDF0"/>
          </w:tcPr>
          <w:p>
            <w:pPr>
              <w:spacing w:after="0"/>
              <w:rPr>
                <w:sz w:val="15"/>
                <w:szCs w:val="15"/>
                <w:color w:val="auto"/>
              </w:rPr>
            </w:pPr>
          </w:p>
        </w:tc>
        <w:tc>
          <w:tcPr>
            <w:tcW w:w="220" w:type="dxa"/>
            <w:vAlign w:val="bottom"/>
            <w:shd w:val="clear" w:color="auto" w:fill="D2EDF0"/>
          </w:tcPr>
          <w:p>
            <w:pPr>
              <w:spacing w:after="0"/>
              <w:rPr>
                <w:sz w:val="15"/>
                <w:szCs w:val="15"/>
                <w:color w:val="auto"/>
              </w:rPr>
            </w:pPr>
          </w:p>
        </w:tc>
        <w:tc>
          <w:tcPr>
            <w:tcW w:w="6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D2EDF0"/>
          </w:tcPr>
          <w:p>
            <w:pPr>
              <w:spacing w:after="0"/>
              <w:rPr>
                <w:sz w:val="15"/>
                <w:szCs w:val="15"/>
                <w:color w:val="auto"/>
              </w:rPr>
            </w:pPr>
          </w:p>
        </w:tc>
        <w:tc>
          <w:tcPr>
            <w:tcW w:w="140" w:type="dxa"/>
            <w:vAlign w:val="bottom"/>
            <w:shd w:val="clear" w:color="auto" w:fill="D2EDF0"/>
          </w:tcPr>
          <w:p>
            <w:pPr>
              <w:spacing w:after="0"/>
              <w:rPr>
                <w:sz w:val="15"/>
                <w:szCs w:val="15"/>
                <w:color w:val="auto"/>
              </w:rPr>
            </w:pPr>
          </w:p>
        </w:tc>
        <w:tc>
          <w:tcPr>
            <w:tcW w:w="86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13,033</w:t>
            </w:r>
          </w:p>
        </w:tc>
        <w:tc>
          <w:tcPr>
            <w:tcW w:w="80" w:type="dxa"/>
            <w:vAlign w:val="bottom"/>
            <w:shd w:val="clear" w:color="auto" w:fill="D2EDF0"/>
          </w:tcPr>
          <w:p>
            <w:pPr>
              <w:spacing w:after="0"/>
              <w:rPr>
                <w:sz w:val="15"/>
                <w:szCs w:val="15"/>
                <w:color w:val="auto"/>
              </w:rPr>
            </w:pPr>
          </w:p>
        </w:tc>
        <w:tc>
          <w:tcPr>
            <w:tcW w:w="140" w:type="dxa"/>
            <w:vAlign w:val="bottom"/>
            <w:shd w:val="clear" w:color="auto" w:fill="D2EDF0"/>
          </w:tcPr>
          <w:p>
            <w:pPr>
              <w:spacing w:after="0"/>
              <w:rPr>
                <w:sz w:val="15"/>
                <w:szCs w:val="15"/>
                <w:color w:val="auto"/>
              </w:rPr>
            </w:pPr>
          </w:p>
        </w:tc>
        <w:tc>
          <w:tcPr>
            <w:tcW w:w="13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15"/>
                <w:szCs w:val="15"/>
                <w:color w:val="auto"/>
              </w:rPr>
            </w:pPr>
          </w:p>
        </w:tc>
        <w:tc>
          <w:tcPr>
            <w:tcW w:w="260" w:type="dxa"/>
            <w:vAlign w:val="bottom"/>
            <w:shd w:val="clear" w:color="auto" w:fill="D2EDF0"/>
          </w:tcPr>
          <w:p>
            <w:pPr>
              <w:spacing w:after="0"/>
              <w:rPr>
                <w:sz w:val="15"/>
                <w:szCs w:val="15"/>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15"/>
                <w:szCs w:val="15"/>
                <w:color w:val="auto"/>
              </w:rPr>
            </w:pPr>
          </w:p>
        </w:tc>
        <w:tc>
          <w:tcPr>
            <w:tcW w:w="260" w:type="dxa"/>
            <w:vAlign w:val="bottom"/>
            <w:shd w:val="clear" w:color="auto" w:fill="D2EDF0"/>
          </w:tcPr>
          <w:p>
            <w:pPr>
              <w:spacing w:after="0"/>
              <w:rPr>
                <w:sz w:val="15"/>
                <w:szCs w:val="15"/>
                <w:color w:val="auto"/>
              </w:rPr>
            </w:pPr>
          </w:p>
        </w:tc>
        <w:tc>
          <w:tcPr>
            <w:tcW w:w="104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13,040</w:t>
            </w:r>
          </w:p>
        </w:tc>
        <w:tc>
          <w:tcPr>
            <w:tcW w:w="0" w:type="dxa"/>
            <w:vAlign w:val="bottom"/>
          </w:tcPr>
          <w:p>
            <w:pPr>
              <w:spacing w:after="0"/>
              <w:rPr>
                <w:sz w:val="1"/>
                <w:szCs w:val="1"/>
                <w:color w:val="auto"/>
              </w:rPr>
            </w:pPr>
          </w:p>
        </w:tc>
      </w:tr>
      <w:tr>
        <w:trPr>
          <w:trHeight w:val="248"/>
        </w:trPr>
        <w:tc>
          <w:tcPr>
            <w:tcW w:w="1900" w:type="dxa"/>
            <w:vAlign w:val="bottom"/>
          </w:tcPr>
          <w:p>
            <w:pPr>
              <w:spacing w:after="0"/>
              <w:rPr>
                <w:sz w:val="20"/>
                <w:szCs w:val="20"/>
                <w:color w:val="auto"/>
              </w:rPr>
            </w:pPr>
            <w:r>
              <w:rPr>
                <w:rFonts w:ascii="Arial" w:cs="Arial" w:eastAsia="Arial" w:hAnsi="Arial"/>
                <w:sz w:val="18"/>
                <w:szCs w:val="18"/>
                <w:color w:val="auto"/>
              </w:rPr>
              <w:t>stock purchase plan</w:t>
            </w:r>
          </w:p>
        </w:tc>
        <w:tc>
          <w:tcPr>
            <w:tcW w:w="82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20" w:type="dxa"/>
            <w:vAlign w:val="bottom"/>
            <w:shd w:val="clear" w:color="auto" w:fill="D2EDF0"/>
          </w:tcPr>
          <w:p>
            <w:pPr>
              <w:spacing w:after="0"/>
              <w:rPr>
                <w:sz w:val="21"/>
                <w:szCs w:val="21"/>
                <w:color w:val="auto"/>
              </w:rPr>
            </w:pPr>
          </w:p>
        </w:tc>
        <w:tc>
          <w:tcPr>
            <w:tcW w:w="6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140" w:type="dxa"/>
            <w:vAlign w:val="bottom"/>
            <w:shd w:val="clear" w:color="auto" w:fill="D2EDF0"/>
          </w:tcPr>
          <w:p>
            <w:pPr>
              <w:spacing w:after="0"/>
              <w:rPr>
                <w:sz w:val="21"/>
                <w:szCs w:val="21"/>
                <w:color w:val="auto"/>
              </w:rPr>
            </w:pPr>
          </w:p>
        </w:tc>
        <w:tc>
          <w:tcPr>
            <w:tcW w:w="86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140" w:type="dxa"/>
            <w:vAlign w:val="bottom"/>
            <w:shd w:val="clear" w:color="auto" w:fill="D2EDF0"/>
          </w:tcPr>
          <w:p>
            <w:pPr>
              <w:spacing w:after="0"/>
              <w:rPr>
                <w:sz w:val="21"/>
                <w:szCs w:val="21"/>
                <w:color w:val="auto"/>
              </w:rPr>
            </w:pPr>
          </w:p>
        </w:tc>
        <w:tc>
          <w:tcPr>
            <w:tcW w:w="13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60" w:type="dxa"/>
            <w:vAlign w:val="bottom"/>
            <w:shd w:val="clear" w:color="auto" w:fill="D2EDF0"/>
          </w:tcPr>
          <w:p>
            <w:pPr>
              <w:spacing w:after="0"/>
              <w:rPr>
                <w:sz w:val="21"/>
                <w:szCs w:val="21"/>
                <w:color w:val="auto"/>
              </w:rPr>
            </w:pPr>
          </w:p>
        </w:tc>
        <w:tc>
          <w:tcPr>
            <w:tcW w:w="10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60" w:type="dxa"/>
            <w:vAlign w:val="bottom"/>
            <w:shd w:val="clear" w:color="auto" w:fill="D2EDF0"/>
          </w:tcPr>
          <w:p>
            <w:pPr>
              <w:spacing w:after="0"/>
              <w:rPr>
                <w:sz w:val="21"/>
                <w:szCs w:val="21"/>
                <w:color w:val="auto"/>
              </w:rPr>
            </w:pPr>
          </w:p>
        </w:tc>
        <w:tc>
          <w:tcPr>
            <w:tcW w:w="1040" w:type="dxa"/>
            <w:vAlign w:val="bottom"/>
            <w:vMerge w:val="continue"/>
            <w:shd w:val="clear" w:color="auto" w:fill="D2EDF0"/>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900" w:type="dxa"/>
            <w:vAlign w:val="bottom"/>
          </w:tcPr>
          <w:p>
            <w:pPr>
              <w:spacing w:after="0" w:line="188" w:lineRule="exact"/>
              <w:rPr>
                <w:sz w:val="20"/>
                <w:szCs w:val="20"/>
                <w:color w:val="auto"/>
              </w:rPr>
            </w:pPr>
            <w:r>
              <w:rPr>
                <w:rFonts w:ascii="Arial" w:cs="Arial" w:eastAsia="Arial" w:hAnsi="Arial"/>
                <w:sz w:val="18"/>
                <w:szCs w:val="18"/>
                <w:color w:val="auto"/>
              </w:rPr>
              <w:t>Stock-based</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59,782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59,782</w:t>
            </w:r>
          </w:p>
        </w:tc>
        <w:tc>
          <w:tcPr>
            <w:tcW w:w="0" w:type="dxa"/>
            <w:vAlign w:val="bottom"/>
          </w:tcPr>
          <w:p>
            <w:pPr>
              <w:spacing w:after="0"/>
              <w:rPr>
                <w:sz w:val="1"/>
                <w:szCs w:val="1"/>
                <w:color w:val="auto"/>
              </w:rPr>
            </w:pPr>
          </w:p>
        </w:tc>
      </w:tr>
      <w:tr>
        <w:trPr>
          <w:trHeight w:val="239"/>
        </w:trPr>
        <w:tc>
          <w:tcPr>
            <w:tcW w:w="1900" w:type="dxa"/>
            <w:vAlign w:val="bottom"/>
          </w:tcPr>
          <w:p>
            <w:pPr>
              <w:spacing w:after="0"/>
              <w:rPr>
                <w:sz w:val="20"/>
                <w:szCs w:val="20"/>
                <w:color w:val="auto"/>
              </w:rPr>
            </w:pPr>
            <w:r>
              <w:rPr>
                <w:rFonts w:ascii="Arial" w:cs="Arial" w:eastAsia="Arial" w:hAnsi="Arial"/>
                <w:sz w:val="18"/>
                <w:szCs w:val="18"/>
                <w:color w:val="auto"/>
              </w:rPr>
              <w:t>compensation</w:t>
            </w: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Other comprehensive</w:t>
            </w:r>
          </w:p>
        </w:tc>
        <w:tc>
          <w:tcPr>
            <w:tcW w:w="82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17"/>
                <w:szCs w:val="17"/>
                <w:color w:val="auto"/>
              </w:rPr>
            </w:pPr>
          </w:p>
        </w:tc>
        <w:tc>
          <w:tcPr>
            <w:tcW w:w="220" w:type="dxa"/>
            <w:vAlign w:val="bottom"/>
            <w:shd w:val="clear" w:color="auto" w:fill="D2EDF0"/>
          </w:tcPr>
          <w:p>
            <w:pPr>
              <w:spacing w:after="0"/>
              <w:rPr>
                <w:sz w:val="17"/>
                <w:szCs w:val="17"/>
                <w:color w:val="auto"/>
              </w:rPr>
            </w:pPr>
          </w:p>
        </w:tc>
        <w:tc>
          <w:tcPr>
            <w:tcW w:w="6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17"/>
                <w:szCs w:val="17"/>
                <w:color w:val="auto"/>
              </w:rPr>
            </w:pPr>
          </w:p>
        </w:tc>
        <w:tc>
          <w:tcPr>
            <w:tcW w:w="140" w:type="dxa"/>
            <w:vAlign w:val="bottom"/>
            <w:shd w:val="clear" w:color="auto" w:fill="D2EDF0"/>
          </w:tcPr>
          <w:p>
            <w:pPr>
              <w:spacing w:after="0"/>
              <w:rPr>
                <w:sz w:val="17"/>
                <w:szCs w:val="17"/>
                <w:color w:val="auto"/>
              </w:rPr>
            </w:pPr>
          </w:p>
        </w:tc>
        <w:tc>
          <w:tcPr>
            <w:tcW w:w="86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17"/>
                <w:szCs w:val="17"/>
                <w:color w:val="auto"/>
              </w:rPr>
            </w:pPr>
          </w:p>
        </w:tc>
        <w:tc>
          <w:tcPr>
            <w:tcW w:w="140" w:type="dxa"/>
            <w:vAlign w:val="bottom"/>
            <w:shd w:val="clear" w:color="auto" w:fill="D2EDF0"/>
          </w:tcPr>
          <w:p>
            <w:pPr>
              <w:spacing w:after="0"/>
              <w:rPr>
                <w:sz w:val="17"/>
                <w:szCs w:val="17"/>
                <w:color w:val="auto"/>
              </w:rPr>
            </w:pPr>
          </w:p>
        </w:tc>
        <w:tc>
          <w:tcPr>
            <w:tcW w:w="13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D2EDF0"/>
          </w:tcPr>
          <w:p>
            <w:pPr>
              <w:spacing w:after="0"/>
              <w:rPr>
                <w:sz w:val="17"/>
                <w:szCs w:val="17"/>
                <w:color w:val="auto"/>
              </w:rPr>
            </w:pPr>
          </w:p>
        </w:tc>
        <w:tc>
          <w:tcPr>
            <w:tcW w:w="260" w:type="dxa"/>
            <w:vAlign w:val="bottom"/>
            <w:shd w:val="clear" w:color="auto" w:fill="D2EDF0"/>
          </w:tcPr>
          <w:p>
            <w:pPr>
              <w:spacing w:after="0"/>
              <w:rPr>
                <w:sz w:val="17"/>
                <w:szCs w:val="17"/>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17"/>
                <w:szCs w:val="17"/>
                <w:color w:val="auto"/>
              </w:rPr>
            </w:pPr>
          </w:p>
        </w:tc>
        <w:tc>
          <w:tcPr>
            <w:tcW w:w="260" w:type="dxa"/>
            <w:vAlign w:val="bottom"/>
            <w:shd w:val="clear" w:color="auto" w:fill="D2EDF0"/>
          </w:tcPr>
          <w:p>
            <w:pPr>
              <w:spacing w:after="0"/>
              <w:rPr>
                <w:sz w:val="17"/>
                <w:szCs w:val="17"/>
                <w:color w:val="auto"/>
              </w:rPr>
            </w:pPr>
          </w:p>
        </w:tc>
        <w:tc>
          <w:tcPr>
            <w:tcW w:w="104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8"/>
        </w:trPr>
        <w:tc>
          <w:tcPr>
            <w:tcW w:w="1900" w:type="dxa"/>
            <w:vAlign w:val="bottom"/>
          </w:tcPr>
          <w:p>
            <w:pPr>
              <w:spacing w:after="0"/>
              <w:rPr>
                <w:sz w:val="20"/>
                <w:szCs w:val="20"/>
                <w:color w:val="auto"/>
              </w:rPr>
            </w:pPr>
            <w:r>
              <w:rPr>
                <w:rFonts w:ascii="Arial" w:cs="Arial" w:eastAsia="Arial" w:hAnsi="Arial"/>
                <w:sz w:val="18"/>
                <w:szCs w:val="18"/>
                <w:color w:val="auto"/>
              </w:rPr>
              <w:t>loss</w:t>
            </w:r>
          </w:p>
        </w:tc>
        <w:tc>
          <w:tcPr>
            <w:tcW w:w="82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20" w:type="dxa"/>
            <w:vAlign w:val="bottom"/>
            <w:shd w:val="clear" w:color="auto" w:fill="D2EDF0"/>
          </w:tcPr>
          <w:p>
            <w:pPr>
              <w:spacing w:after="0"/>
              <w:rPr>
                <w:sz w:val="21"/>
                <w:szCs w:val="21"/>
                <w:color w:val="auto"/>
              </w:rPr>
            </w:pPr>
          </w:p>
        </w:tc>
        <w:tc>
          <w:tcPr>
            <w:tcW w:w="6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140" w:type="dxa"/>
            <w:vAlign w:val="bottom"/>
            <w:shd w:val="clear" w:color="auto" w:fill="D2EDF0"/>
          </w:tcPr>
          <w:p>
            <w:pPr>
              <w:spacing w:after="0"/>
              <w:rPr>
                <w:sz w:val="21"/>
                <w:szCs w:val="21"/>
                <w:color w:val="auto"/>
              </w:rPr>
            </w:pPr>
          </w:p>
        </w:tc>
        <w:tc>
          <w:tcPr>
            <w:tcW w:w="86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140" w:type="dxa"/>
            <w:vAlign w:val="bottom"/>
            <w:shd w:val="clear" w:color="auto" w:fill="D2EDF0"/>
          </w:tcPr>
          <w:p>
            <w:pPr>
              <w:spacing w:after="0"/>
              <w:rPr>
                <w:sz w:val="21"/>
                <w:szCs w:val="21"/>
                <w:color w:val="auto"/>
              </w:rPr>
            </w:pPr>
          </w:p>
        </w:tc>
        <w:tc>
          <w:tcPr>
            <w:tcW w:w="13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60" w:type="dxa"/>
            <w:vAlign w:val="bottom"/>
            <w:shd w:val="clear" w:color="auto" w:fill="D2EDF0"/>
          </w:tcPr>
          <w:p>
            <w:pPr>
              <w:spacing w:after="0"/>
              <w:rPr>
                <w:sz w:val="21"/>
                <w:szCs w:val="21"/>
                <w:color w:val="auto"/>
              </w:rPr>
            </w:pPr>
          </w:p>
        </w:tc>
        <w:tc>
          <w:tcPr>
            <w:tcW w:w="10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60" w:type="dxa"/>
            <w:vAlign w:val="bottom"/>
            <w:shd w:val="clear" w:color="auto" w:fill="D2EDF0"/>
          </w:tcPr>
          <w:p>
            <w:pPr>
              <w:spacing w:after="0"/>
              <w:rPr>
                <w:sz w:val="21"/>
                <w:szCs w:val="21"/>
                <w:color w:val="auto"/>
              </w:rPr>
            </w:pPr>
          </w:p>
        </w:tc>
        <w:tc>
          <w:tcPr>
            <w:tcW w:w="1040" w:type="dxa"/>
            <w:vAlign w:val="bottom"/>
            <w:vMerge w:val="continue"/>
            <w:shd w:val="clear" w:color="auto" w:fill="D2EDF0"/>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DF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DF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DF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DF0"/>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(42,731)</w:t>
            </w:r>
          </w:p>
        </w:tc>
        <w:tc>
          <w:tcPr>
            <w:tcW w:w="80" w:type="dxa"/>
            <w:vAlign w:val="bottom"/>
            <w:tcBorders>
              <w:bottom w:val="single" w:sz="8" w:color="D2EDF0"/>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(42,731)</w:t>
            </w:r>
          </w:p>
        </w:tc>
        <w:tc>
          <w:tcPr>
            <w:tcW w:w="0" w:type="dxa"/>
            <w:vAlign w:val="bottom"/>
          </w:tcPr>
          <w:p>
            <w:pPr>
              <w:spacing w:after="0"/>
              <w:rPr>
                <w:sz w:val="1"/>
                <w:szCs w:val="1"/>
                <w:color w:val="auto"/>
              </w:rPr>
            </w:pPr>
          </w:p>
        </w:tc>
      </w:tr>
      <w:tr>
        <w:trPr>
          <w:trHeight w:val="177"/>
        </w:trPr>
        <w:tc>
          <w:tcPr>
            <w:tcW w:w="1900" w:type="dxa"/>
            <w:vAlign w:val="bottom"/>
          </w:tcPr>
          <w:p>
            <w:pPr>
              <w:spacing w:after="0" w:line="177" w:lineRule="exact"/>
              <w:rPr>
                <w:sz w:val="20"/>
                <w:szCs w:val="20"/>
                <w:color w:val="auto"/>
              </w:rPr>
            </w:pPr>
            <w:r>
              <w:rPr>
                <w:rFonts w:ascii="Arial" w:cs="Arial" w:eastAsia="Arial" w:hAnsi="Arial"/>
                <w:sz w:val="18"/>
                <w:szCs w:val="18"/>
                <w:b w:val="1"/>
                <w:bCs w:val="1"/>
                <w:color w:val="auto"/>
              </w:rPr>
              <w:t>Balance at</w:t>
            </w:r>
          </w:p>
        </w:tc>
        <w:tc>
          <w:tcPr>
            <w:tcW w:w="82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103,715</w:t>
            </w:r>
          </w:p>
        </w:tc>
        <w:tc>
          <w:tcPr>
            <w:tcW w:w="80" w:type="dxa"/>
            <w:vAlign w:val="bottom"/>
            <w:shd w:val="clear" w:color="auto" w:fill="D2EDF0"/>
          </w:tcPr>
          <w:p>
            <w:pPr>
              <w:spacing w:after="0"/>
              <w:rPr>
                <w:sz w:val="15"/>
                <w:szCs w:val="15"/>
                <w:color w:val="auto"/>
              </w:rPr>
            </w:pPr>
          </w:p>
        </w:tc>
        <w:tc>
          <w:tcPr>
            <w:tcW w:w="220" w:type="dxa"/>
            <w:vAlign w:val="bottom"/>
            <w:shd w:val="clear" w:color="auto" w:fill="D2EDF0"/>
          </w:tcPr>
          <w:p>
            <w:pPr>
              <w:spacing w:after="0"/>
              <w:rPr>
                <w:sz w:val="15"/>
                <w:szCs w:val="15"/>
                <w:color w:val="auto"/>
              </w:rPr>
            </w:pPr>
          </w:p>
        </w:tc>
        <w:tc>
          <w:tcPr>
            <w:tcW w:w="6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1,037</w:t>
            </w:r>
          </w:p>
        </w:tc>
        <w:tc>
          <w:tcPr>
            <w:tcW w:w="80" w:type="dxa"/>
            <w:vAlign w:val="bottom"/>
            <w:shd w:val="clear" w:color="auto" w:fill="D2EDF0"/>
          </w:tcPr>
          <w:p>
            <w:pPr>
              <w:spacing w:after="0"/>
              <w:rPr>
                <w:sz w:val="15"/>
                <w:szCs w:val="15"/>
                <w:color w:val="auto"/>
              </w:rPr>
            </w:pPr>
          </w:p>
        </w:tc>
        <w:tc>
          <w:tcPr>
            <w:tcW w:w="140" w:type="dxa"/>
            <w:vAlign w:val="bottom"/>
            <w:shd w:val="clear" w:color="auto" w:fill="D2EDF0"/>
          </w:tcPr>
          <w:p>
            <w:pPr>
              <w:spacing w:after="0"/>
              <w:rPr>
                <w:sz w:val="15"/>
                <w:szCs w:val="15"/>
                <w:color w:val="auto"/>
              </w:rPr>
            </w:pPr>
          </w:p>
        </w:tc>
        <w:tc>
          <w:tcPr>
            <w:tcW w:w="86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757,470</w:t>
            </w:r>
          </w:p>
        </w:tc>
        <w:tc>
          <w:tcPr>
            <w:tcW w:w="80" w:type="dxa"/>
            <w:vAlign w:val="bottom"/>
            <w:shd w:val="clear" w:color="auto" w:fill="D2EDF0"/>
          </w:tcPr>
          <w:p>
            <w:pPr>
              <w:spacing w:after="0"/>
              <w:rPr>
                <w:sz w:val="15"/>
                <w:szCs w:val="15"/>
                <w:color w:val="auto"/>
              </w:rPr>
            </w:pPr>
          </w:p>
        </w:tc>
        <w:tc>
          <w:tcPr>
            <w:tcW w:w="140" w:type="dxa"/>
            <w:vAlign w:val="bottom"/>
            <w:shd w:val="clear" w:color="auto" w:fill="D2EDF0"/>
          </w:tcPr>
          <w:p>
            <w:pPr>
              <w:spacing w:after="0"/>
              <w:rPr>
                <w:sz w:val="15"/>
                <w:szCs w:val="15"/>
                <w:color w:val="auto"/>
              </w:rPr>
            </w:pPr>
          </w:p>
        </w:tc>
        <w:tc>
          <w:tcPr>
            <w:tcW w:w="13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D2EDF0"/>
          </w:tcPr>
          <w:p>
            <w:pPr>
              <w:spacing w:after="0"/>
              <w:rPr>
                <w:sz w:val="15"/>
                <w:szCs w:val="15"/>
                <w:color w:val="auto"/>
              </w:rPr>
            </w:pPr>
          </w:p>
        </w:tc>
        <w:tc>
          <w:tcPr>
            <w:tcW w:w="260" w:type="dxa"/>
            <w:vAlign w:val="bottom"/>
            <w:shd w:val="clear" w:color="auto" w:fill="D2EDF0"/>
          </w:tcPr>
          <w:p>
            <w:pPr>
              <w:spacing w:after="0"/>
              <w:rPr>
                <w:sz w:val="15"/>
                <w:szCs w:val="15"/>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(607,852)</w:t>
            </w:r>
          </w:p>
        </w:tc>
        <w:tc>
          <w:tcPr>
            <w:tcW w:w="80" w:type="dxa"/>
            <w:vAlign w:val="bottom"/>
            <w:shd w:val="clear" w:color="auto" w:fill="D2EDF0"/>
          </w:tcPr>
          <w:p>
            <w:pPr>
              <w:spacing w:after="0"/>
              <w:rPr>
                <w:sz w:val="15"/>
                <w:szCs w:val="15"/>
                <w:color w:val="auto"/>
              </w:rPr>
            </w:pPr>
          </w:p>
        </w:tc>
        <w:tc>
          <w:tcPr>
            <w:tcW w:w="260" w:type="dxa"/>
            <w:vAlign w:val="bottom"/>
            <w:shd w:val="clear" w:color="auto" w:fill="D2EDF0"/>
          </w:tcPr>
          <w:p>
            <w:pPr>
              <w:spacing w:after="0"/>
              <w:rPr>
                <w:sz w:val="15"/>
                <w:szCs w:val="15"/>
                <w:color w:val="auto"/>
              </w:rPr>
            </w:pPr>
          </w:p>
        </w:tc>
        <w:tc>
          <w:tcPr>
            <w:tcW w:w="104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150,665</w:t>
            </w:r>
          </w:p>
        </w:tc>
        <w:tc>
          <w:tcPr>
            <w:tcW w:w="0" w:type="dxa"/>
            <w:vAlign w:val="bottom"/>
          </w:tcPr>
          <w:p>
            <w:pPr>
              <w:spacing w:after="0"/>
              <w:rPr>
                <w:sz w:val="1"/>
                <w:szCs w:val="1"/>
                <w:color w:val="auto"/>
              </w:rPr>
            </w:pPr>
          </w:p>
        </w:tc>
      </w:tr>
      <w:tr>
        <w:trPr>
          <w:trHeight w:val="248"/>
        </w:trPr>
        <w:tc>
          <w:tcPr>
            <w:tcW w:w="190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82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20" w:type="dxa"/>
            <w:vAlign w:val="bottom"/>
            <w:shd w:val="clear" w:color="auto" w:fill="D2EDF0"/>
          </w:tcPr>
          <w:p>
            <w:pPr>
              <w:spacing w:after="0"/>
              <w:rPr>
                <w:sz w:val="21"/>
                <w:szCs w:val="21"/>
                <w:color w:val="auto"/>
              </w:rPr>
            </w:pPr>
          </w:p>
        </w:tc>
        <w:tc>
          <w:tcPr>
            <w:tcW w:w="6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140" w:type="dxa"/>
            <w:vAlign w:val="bottom"/>
            <w:shd w:val="clear" w:color="auto" w:fill="D2EDF0"/>
          </w:tcPr>
          <w:p>
            <w:pPr>
              <w:spacing w:after="0"/>
              <w:rPr>
                <w:sz w:val="21"/>
                <w:szCs w:val="21"/>
                <w:color w:val="auto"/>
              </w:rPr>
            </w:pPr>
          </w:p>
        </w:tc>
        <w:tc>
          <w:tcPr>
            <w:tcW w:w="86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140" w:type="dxa"/>
            <w:vAlign w:val="bottom"/>
            <w:shd w:val="clear" w:color="auto" w:fill="D2EDF0"/>
          </w:tcPr>
          <w:p>
            <w:pPr>
              <w:spacing w:after="0"/>
              <w:rPr>
                <w:sz w:val="21"/>
                <w:szCs w:val="21"/>
                <w:color w:val="auto"/>
              </w:rPr>
            </w:pPr>
          </w:p>
        </w:tc>
        <w:tc>
          <w:tcPr>
            <w:tcW w:w="13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60" w:type="dxa"/>
            <w:vAlign w:val="bottom"/>
            <w:shd w:val="clear" w:color="auto" w:fill="D2EDF0"/>
          </w:tcPr>
          <w:p>
            <w:pPr>
              <w:spacing w:after="0"/>
              <w:rPr>
                <w:sz w:val="21"/>
                <w:szCs w:val="21"/>
                <w:color w:val="auto"/>
              </w:rPr>
            </w:pPr>
          </w:p>
        </w:tc>
        <w:tc>
          <w:tcPr>
            <w:tcW w:w="10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60" w:type="dxa"/>
            <w:vAlign w:val="bottom"/>
            <w:shd w:val="clear" w:color="auto" w:fill="D2EDF0"/>
          </w:tcPr>
          <w:p>
            <w:pPr>
              <w:spacing w:after="0"/>
              <w:rPr>
                <w:sz w:val="21"/>
                <w:szCs w:val="21"/>
                <w:color w:val="auto"/>
              </w:rPr>
            </w:pPr>
          </w:p>
        </w:tc>
        <w:tc>
          <w:tcPr>
            <w:tcW w:w="1040" w:type="dxa"/>
            <w:vAlign w:val="bottom"/>
            <w:vMerge w:val="continue"/>
            <w:shd w:val="clear" w:color="auto" w:fill="D2EDF0"/>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900" w:type="dxa"/>
            <w:vAlign w:val="bottom"/>
          </w:tcPr>
          <w:p>
            <w:pPr>
              <w:spacing w:after="0" w:line="188" w:lineRule="exact"/>
              <w:rPr>
                <w:sz w:val="20"/>
                <w:szCs w:val="20"/>
                <w:color w:val="auto"/>
              </w:rPr>
            </w:pPr>
            <w:r>
              <w:rPr>
                <w:rFonts w:ascii="Arial" w:cs="Arial" w:eastAsia="Arial" w:hAnsi="Arial"/>
                <w:sz w:val="18"/>
                <w:szCs w:val="18"/>
                <w:color w:val="auto"/>
              </w:rPr>
              <w:t>Exercise of stock</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2,671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18,242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18,268</w:t>
            </w:r>
          </w:p>
        </w:tc>
        <w:tc>
          <w:tcPr>
            <w:tcW w:w="0" w:type="dxa"/>
            <w:vAlign w:val="bottom"/>
          </w:tcPr>
          <w:p>
            <w:pPr>
              <w:spacing w:after="0"/>
              <w:rPr>
                <w:sz w:val="1"/>
                <w:szCs w:val="1"/>
                <w:color w:val="auto"/>
              </w:rPr>
            </w:pPr>
          </w:p>
        </w:tc>
      </w:tr>
      <w:tr>
        <w:trPr>
          <w:trHeight w:val="239"/>
        </w:trPr>
        <w:tc>
          <w:tcPr>
            <w:tcW w:w="1900" w:type="dxa"/>
            <w:vAlign w:val="bottom"/>
          </w:tcPr>
          <w:p>
            <w:pPr>
              <w:spacing w:after="0"/>
              <w:rPr>
                <w:sz w:val="20"/>
                <w:szCs w:val="20"/>
                <w:color w:val="auto"/>
              </w:rPr>
            </w:pPr>
            <w:r>
              <w:rPr>
                <w:rFonts w:ascii="Arial" w:cs="Arial" w:eastAsia="Arial" w:hAnsi="Arial"/>
                <w:sz w:val="18"/>
                <w:szCs w:val="18"/>
                <w:color w:val="auto"/>
              </w:rPr>
              <w:t>options</w:t>
            </w: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Vesting of restricted</w:t>
            </w:r>
          </w:p>
        </w:tc>
        <w:tc>
          <w:tcPr>
            <w:tcW w:w="82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1,872</w:t>
            </w:r>
          </w:p>
        </w:tc>
        <w:tc>
          <w:tcPr>
            <w:tcW w:w="80" w:type="dxa"/>
            <w:vAlign w:val="bottom"/>
            <w:shd w:val="clear" w:color="auto" w:fill="D2EDF0"/>
          </w:tcPr>
          <w:p>
            <w:pPr>
              <w:spacing w:after="0"/>
              <w:rPr>
                <w:sz w:val="17"/>
                <w:szCs w:val="17"/>
                <w:color w:val="auto"/>
              </w:rPr>
            </w:pPr>
          </w:p>
        </w:tc>
        <w:tc>
          <w:tcPr>
            <w:tcW w:w="220" w:type="dxa"/>
            <w:vAlign w:val="bottom"/>
            <w:shd w:val="clear" w:color="auto" w:fill="D2EDF0"/>
          </w:tcPr>
          <w:p>
            <w:pPr>
              <w:spacing w:after="0"/>
              <w:rPr>
                <w:sz w:val="17"/>
                <w:szCs w:val="17"/>
                <w:color w:val="auto"/>
              </w:rPr>
            </w:pPr>
          </w:p>
        </w:tc>
        <w:tc>
          <w:tcPr>
            <w:tcW w:w="6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D2EDF0"/>
          </w:tcPr>
          <w:p>
            <w:pPr>
              <w:spacing w:after="0"/>
              <w:rPr>
                <w:sz w:val="17"/>
                <w:szCs w:val="17"/>
                <w:color w:val="auto"/>
              </w:rPr>
            </w:pPr>
          </w:p>
        </w:tc>
        <w:tc>
          <w:tcPr>
            <w:tcW w:w="140" w:type="dxa"/>
            <w:vAlign w:val="bottom"/>
            <w:shd w:val="clear" w:color="auto" w:fill="D2EDF0"/>
          </w:tcPr>
          <w:p>
            <w:pPr>
              <w:spacing w:after="0"/>
              <w:rPr>
                <w:sz w:val="17"/>
                <w:szCs w:val="17"/>
                <w:color w:val="auto"/>
              </w:rPr>
            </w:pPr>
          </w:p>
        </w:tc>
        <w:tc>
          <w:tcPr>
            <w:tcW w:w="86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D2EDF0"/>
          </w:tcPr>
          <w:p>
            <w:pPr>
              <w:spacing w:after="0"/>
              <w:rPr>
                <w:sz w:val="17"/>
                <w:szCs w:val="17"/>
                <w:color w:val="auto"/>
              </w:rPr>
            </w:pPr>
          </w:p>
        </w:tc>
        <w:tc>
          <w:tcPr>
            <w:tcW w:w="140" w:type="dxa"/>
            <w:vAlign w:val="bottom"/>
            <w:shd w:val="clear" w:color="auto" w:fill="D2EDF0"/>
          </w:tcPr>
          <w:p>
            <w:pPr>
              <w:spacing w:after="0"/>
              <w:rPr>
                <w:sz w:val="17"/>
                <w:szCs w:val="17"/>
                <w:color w:val="auto"/>
              </w:rPr>
            </w:pPr>
          </w:p>
        </w:tc>
        <w:tc>
          <w:tcPr>
            <w:tcW w:w="13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17"/>
                <w:szCs w:val="17"/>
                <w:color w:val="auto"/>
              </w:rPr>
            </w:pPr>
          </w:p>
        </w:tc>
        <w:tc>
          <w:tcPr>
            <w:tcW w:w="260" w:type="dxa"/>
            <w:vAlign w:val="bottom"/>
            <w:shd w:val="clear" w:color="auto" w:fill="D2EDF0"/>
          </w:tcPr>
          <w:p>
            <w:pPr>
              <w:spacing w:after="0"/>
              <w:rPr>
                <w:sz w:val="17"/>
                <w:szCs w:val="17"/>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17"/>
                <w:szCs w:val="17"/>
                <w:color w:val="auto"/>
              </w:rPr>
            </w:pPr>
          </w:p>
        </w:tc>
        <w:tc>
          <w:tcPr>
            <w:tcW w:w="260" w:type="dxa"/>
            <w:vAlign w:val="bottom"/>
            <w:shd w:val="clear" w:color="auto" w:fill="D2EDF0"/>
          </w:tcPr>
          <w:p>
            <w:pPr>
              <w:spacing w:after="0"/>
              <w:rPr>
                <w:sz w:val="17"/>
                <w:szCs w:val="17"/>
                <w:color w:val="auto"/>
              </w:rPr>
            </w:pPr>
          </w:p>
        </w:tc>
        <w:tc>
          <w:tcPr>
            <w:tcW w:w="104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1900" w:type="dxa"/>
            <w:vAlign w:val="bottom"/>
          </w:tcPr>
          <w:p>
            <w:pPr>
              <w:spacing w:after="0"/>
              <w:rPr>
                <w:sz w:val="20"/>
                <w:szCs w:val="20"/>
                <w:color w:val="auto"/>
              </w:rPr>
            </w:pPr>
            <w:r>
              <w:rPr>
                <w:rFonts w:ascii="Arial" w:cs="Arial" w:eastAsia="Arial" w:hAnsi="Arial"/>
                <w:sz w:val="18"/>
                <w:szCs w:val="18"/>
                <w:color w:val="auto"/>
              </w:rPr>
              <w:t>stock units</w:t>
            </w:r>
          </w:p>
        </w:tc>
        <w:tc>
          <w:tcPr>
            <w:tcW w:w="82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20" w:type="dxa"/>
            <w:vAlign w:val="bottom"/>
            <w:shd w:val="clear" w:color="auto" w:fill="D2EDF0"/>
          </w:tcPr>
          <w:p>
            <w:pPr>
              <w:spacing w:after="0"/>
              <w:rPr>
                <w:sz w:val="21"/>
                <w:szCs w:val="21"/>
                <w:color w:val="auto"/>
              </w:rPr>
            </w:pPr>
          </w:p>
        </w:tc>
        <w:tc>
          <w:tcPr>
            <w:tcW w:w="6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140" w:type="dxa"/>
            <w:vAlign w:val="bottom"/>
            <w:shd w:val="clear" w:color="auto" w:fill="D2EDF0"/>
          </w:tcPr>
          <w:p>
            <w:pPr>
              <w:spacing w:after="0"/>
              <w:rPr>
                <w:sz w:val="21"/>
                <w:szCs w:val="21"/>
                <w:color w:val="auto"/>
              </w:rPr>
            </w:pPr>
          </w:p>
        </w:tc>
        <w:tc>
          <w:tcPr>
            <w:tcW w:w="86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140" w:type="dxa"/>
            <w:vAlign w:val="bottom"/>
            <w:shd w:val="clear" w:color="auto" w:fill="D2EDF0"/>
          </w:tcPr>
          <w:p>
            <w:pPr>
              <w:spacing w:after="0"/>
              <w:rPr>
                <w:sz w:val="21"/>
                <w:szCs w:val="21"/>
                <w:color w:val="auto"/>
              </w:rPr>
            </w:pPr>
          </w:p>
        </w:tc>
        <w:tc>
          <w:tcPr>
            <w:tcW w:w="13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60" w:type="dxa"/>
            <w:vAlign w:val="bottom"/>
            <w:shd w:val="clear" w:color="auto" w:fill="D2EDF0"/>
          </w:tcPr>
          <w:p>
            <w:pPr>
              <w:spacing w:after="0"/>
              <w:rPr>
                <w:sz w:val="21"/>
                <w:szCs w:val="21"/>
                <w:color w:val="auto"/>
              </w:rPr>
            </w:pPr>
          </w:p>
        </w:tc>
        <w:tc>
          <w:tcPr>
            <w:tcW w:w="10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60" w:type="dxa"/>
            <w:vAlign w:val="bottom"/>
            <w:shd w:val="clear" w:color="auto" w:fill="D2EDF0"/>
          </w:tcPr>
          <w:p>
            <w:pPr>
              <w:spacing w:after="0"/>
              <w:rPr>
                <w:sz w:val="21"/>
                <w:szCs w:val="21"/>
                <w:color w:val="auto"/>
              </w:rPr>
            </w:pPr>
          </w:p>
        </w:tc>
        <w:tc>
          <w:tcPr>
            <w:tcW w:w="1040" w:type="dxa"/>
            <w:vAlign w:val="bottom"/>
            <w:vMerge w:val="continue"/>
            <w:shd w:val="clear" w:color="auto" w:fill="D2EDF0"/>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900" w:type="dxa"/>
            <w:vAlign w:val="bottom"/>
          </w:tcPr>
          <w:p>
            <w:pPr>
              <w:spacing w:after="0" w:line="188" w:lineRule="exact"/>
              <w:rPr>
                <w:sz w:val="20"/>
                <w:szCs w:val="20"/>
                <w:color w:val="auto"/>
              </w:rPr>
            </w:pPr>
            <w:r>
              <w:rPr>
                <w:rFonts w:ascii="Arial" w:cs="Arial" w:eastAsia="Arial" w:hAnsi="Arial"/>
                <w:sz w:val="18"/>
                <w:szCs w:val="18"/>
                <w:color w:val="auto"/>
              </w:rPr>
              <w:t>Issuance of common</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line="180" w:lineRule="exact"/>
              <w:rPr>
                <w:sz w:val="20"/>
                <w:szCs w:val="20"/>
                <w:color w:val="auto"/>
              </w:rPr>
            </w:pPr>
            <w:r>
              <w:rPr>
                <w:rFonts w:ascii="Arial" w:cs="Arial" w:eastAsia="Arial" w:hAnsi="Arial"/>
                <w:sz w:val="18"/>
                <w:szCs w:val="18"/>
                <w:color w:val="auto"/>
              </w:rPr>
              <w:t>stock under employee</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13,729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13,736</w:t>
            </w:r>
          </w:p>
        </w:tc>
        <w:tc>
          <w:tcPr>
            <w:tcW w:w="0" w:type="dxa"/>
            <w:vAlign w:val="bottom"/>
          </w:tcPr>
          <w:p>
            <w:pPr>
              <w:spacing w:after="0"/>
              <w:rPr>
                <w:sz w:val="1"/>
                <w:szCs w:val="1"/>
                <w:color w:val="auto"/>
              </w:rPr>
            </w:pPr>
          </w:p>
        </w:tc>
      </w:tr>
      <w:tr>
        <w:trPr>
          <w:trHeight w:val="239"/>
        </w:trPr>
        <w:tc>
          <w:tcPr>
            <w:tcW w:w="1900" w:type="dxa"/>
            <w:vAlign w:val="bottom"/>
          </w:tcPr>
          <w:p>
            <w:pPr>
              <w:spacing w:after="0"/>
              <w:rPr>
                <w:sz w:val="20"/>
                <w:szCs w:val="20"/>
                <w:color w:val="auto"/>
              </w:rPr>
            </w:pPr>
            <w:r>
              <w:rPr>
                <w:rFonts w:ascii="Arial" w:cs="Arial" w:eastAsia="Arial" w:hAnsi="Arial"/>
                <w:sz w:val="18"/>
                <w:szCs w:val="18"/>
                <w:color w:val="auto"/>
              </w:rPr>
              <w:t>stock purchase plan</w:t>
            </w: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Stock-based</w:t>
            </w:r>
          </w:p>
        </w:tc>
        <w:tc>
          <w:tcPr>
            <w:tcW w:w="82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17"/>
                <w:szCs w:val="17"/>
                <w:color w:val="auto"/>
              </w:rPr>
            </w:pPr>
          </w:p>
        </w:tc>
        <w:tc>
          <w:tcPr>
            <w:tcW w:w="220" w:type="dxa"/>
            <w:vAlign w:val="bottom"/>
            <w:shd w:val="clear" w:color="auto" w:fill="D2EDF0"/>
          </w:tcPr>
          <w:p>
            <w:pPr>
              <w:spacing w:after="0"/>
              <w:rPr>
                <w:sz w:val="17"/>
                <w:szCs w:val="17"/>
                <w:color w:val="auto"/>
              </w:rPr>
            </w:pPr>
          </w:p>
        </w:tc>
        <w:tc>
          <w:tcPr>
            <w:tcW w:w="6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17"/>
                <w:szCs w:val="17"/>
                <w:color w:val="auto"/>
              </w:rPr>
            </w:pPr>
          </w:p>
        </w:tc>
        <w:tc>
          <w:tcPr>
            <w:tcW w:w="140" w:type="dxa"/>
            <w:vAlign w:val="bottom"/>
            <w:shd w:val="clear" w:color="auto" w:fill="D2EDF0"/>
          </w:tcPr>
          <w:p>
            <w:pPr>
              <w:spacing w:after="0"/>
              <w:rPr>
                <w:sz w:val="17"/>
                <w:szCs w:val="17"/>
                <w:color w:val="auto"/>
              </w:rPr>
            </w:pPr>
          </w:p>
        </w:tc>
        <w:tc>
          <w:tcPr>
            <w:tcW w:w="86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79,637</w:t>
            </w:r>
          </w:p>
        </w:tc>
        <w:tc>
          <w:tcPr>
            <w:tcW w:w="80" w:type="dxa"/>
            <w:vAlign w:val="bottom"/>
            <w:shd w:val="clear" w:color="auto" w:fill="D2EDF0"/>
          </w:tcPr>
          <w:p>
            <w:pPr>
              <w:spacing w:after="0"/>
              <w:rPr>
                <w:sz w:val="17"/>
                <w:szCs w:val="17"/>
                <w:color w:val="auto"/>
              </w:rPr>
            </w:pPr>
          </w:p>
        </w:tc>
        <w:tc>
          <w:tcPr>
            <w:tcW w:w="140" w:type="dxa"/>
            <w:vAlign w:val="bottom"/>
            <w:shd w:val="clear" w:color="auto" w:fill="D2EDF0"/>
          </w:tcPr>
          <w:p>
            <w:pPr>
              <w:spacing w:after="0"/>
              <w:rPr>
                <w:sz w:val="17"/>
                <w:szCs w:val="17"/>
                <w:color w:val="auto"/>
              </w:rPr>
            </w:pPr>
          </w:p>
        </w:tc>
        <w:tc>
          <w:tcPr>
            <w:tcW w:w="13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17"/>
                <w:szCs w:val="17"/>
                <w:color w:val="auto"/>
              </w:rPr>
            </w:pPr>
          </w:p>
        </w:tc>
        <w:tc>
          <w:tcPr>
            <w:tcW w:w="260" w:type="dxa"/>
            <w:vAlign w:val="bottom"/>
            <w:shd w:val="clear" w:color="auto" w:fill="D2EDF0"/>
          </w:tcPr>
          <w:p>
            <w:pPr>
              <w:spacing w:after="0"/>
              <w:rPr>
                <w:sz w:val="17"/>
                <w:szCs w:val="17"/>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17"/>
                <w:szCs w:val="17"/>
                <w:color w:val="auto"/>
              </w:rPr>
            </w:pPr>
          </w:p>
        </w:tc>
        <w:tc>
          <w:tcPr>
            <w:tcW w:w="260" w:type="dxa"/>
            <w:vAlign w:val="bottom"/>
            <w:shd w:val="clear" w:color="auto" w:fill="D2EDF0"/>
          </w:tcPr>
          <w:p>
            <w:pPr>
              <w:spacing w:after="0"/>
              <w:rPr>
                <w:sz w:val="17"/>
                <w:szCs w:val="17"/>
                <w:color w:val="auto"/>
              </w:rPr>
            </w:pPr>
          </w:p>
        </w:tc>
        <w:tc>
          <w:tcPr>
            <w:tcW w:w="104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79,637</w:t>
            </w:r>
          </w:p>
        </w:tc>
        <w:tc>
          <w:tcPr>
            <w:tcW w:w="0" w:type="dxa"/>
            <w:vAlign w:val="bottom"/>
          </w:tcPr>
          <w:p>
            <w:pPr>
              <w:spacing w:after="0"/>
              <w:rPr>
                <w:sz w:val="1"/>
                <w:szCs w:val="1"/>
                <w:color w:val="auto"/>
              </w:rPr>
            </w:pPr>
          </w:p>
        </w:tc>
      </w:tr>
      <w:tr>
        <w:trPr>
          <w:trHeight w:val="248"/>
        </w:trPr>
        <w:tc>
          <w:tcPr>
            <w:tcW w:w="1900" w:type="dxa"/>
            <w:vAlign w:val="bottom"/>
          </w:tcPr>
          <w:p>
            <w:pPr>
              <w:spacing w:after="0"/>
              <w:rPr>
                <w:sz w:val="20"/>
                <w:szCs w:val="20"/>
                <w:color w:val="auto"/>
              </w:rPr>
            </w:pPr>
            <w:r>
              <w:rPr>
                <w:rFonts w:ascii="Arial" w:cs="Arial" w:eastAsia="Arial" w:hAnsi="Arial"/>
                <w:sz w:val="18"/>
                <w:szCs w:val="18"/>
                <w:color w:val="auto"/>
              </w:rPr>
              <w:t>compensation</w:t>
            </w:r>
          </w:p>
        </w:tc>
        <w:tc>
          <w:tcPr>
            <w:tcW w:w="82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20" w:type="dxa"/>
            <w:vAlign w:val="bottom"/>
            <w:shd w:val="clear" w:color="auto" w:fill="D2EDF0"/>
          </w:tcPr>
          <w:p>
            <w:pPr>
              <w:spacing w:after="0"/>
              <w:rPr>
                <w:sz w:val="21"/>
                <w:szCs w:val="21"/>
                <w:color w:val="auto"/>
              </w:rPr>
            </w:pPr>
          </w:p>
        </w:tc>
        <w:tc>
          <w:tcPr>
            <w:tcW w:w="6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140" w:type="dxa"/>
            <w:vAlign w:val="bottom"/>
            <w:shd w:val="clear" w:color="auto" w:fill="D2EDF0"/>
          </w:tcPr>
          <w:p>
            <w:pPr>
              <w:spacing w:after="0"/>
              <w:rPr>
                <w:sz w:val="21"/>
                <w:szCs w:val="21"/>
                <w:color w:val="auto"/>
              </w:rPr>
            </w:pPr>
          </w:p>
        </w:tc>
        <w:tc>
          <w:tcPr>
            <w:tcW w:w="86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140" w:type="dxa"/>
            <w:vAlign w:val="bottom"/>
            <w:shd w:val="clear" w:color="auto" w:fill="D2EDF0"/>
          </w:tcPr>
          <w:p>
            <w:pPr>
              <w:spacing w:after="0"/>
              <w:rPr>
                <w:sz w:val="21"/>
                <w:szCs w:val="21"/>
                <w:color w:val="auto"/>
              </w:rPr>
            </w:pPr>
          </w:p>
        </w:tc>
        <w:tc>
          <w:tcPr>
            <w:tcW w:w="13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60" w:type="dxa"/>
            <w:vAlign w:val="bottom"/>
            <w:shd w:val="clear" w:color="auto" w:fill="D2EDF0"/>
          </w:tcPr>
          <w:p>
            <w:pPr>
              <w:spacing w:after="0"/>
              <w:rPr>
                <w:sz w:val="21"/>
                <w:szCs w:val="21"/>
                <w:color w:val="auto"/>
              </w:rPr>
            </w:pPr>
          </w:p>
        </w:tc>
        <w:tc>
          <w:tcPr>
            <w:tcW w:w="10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60" w:type="dxa"/>
            <w:vAlign w:val="bottom"/>
            <w:shd w:val="clear" w:color="auto" w:fill="D2EDF0"/>
          </w:tcPr>
          <w:p>
            <w:pPr>
              <w:spacing w:after="0"/>
              <w:rPr>
                <w:sz w:val="21"/>
                <w:szCs w:val="21"/>
                <w:color w:val="auto"/>
              </w:rPr>
            </w:pPr>
          </w:p>
        </w:tc>
        <w:tc>
          <w:tcPr>
            <w:tcW w:w="1040" w:type="dxa"/>
            <w:vAlign w:val="bottom"/>
            <w:vMerge w:val="continue"/>
            <w:shd w:val="clear" w:color="auto" w:fill="D2EDF0"/>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900" w:type="dxa"/>
            <w:vAlign w:val="bottom"/>
          </w:tcPr>
          <w:p>
            <w:pPr>
              <w:spacing w:after="0" w:line="188" w:lineRule="exact"/>
              <w:rPr>
                <w:sz w:val="20"/>
                <w:szCs w:val="20"/>
                <w:color w:val="auto"/>
              </w:rPr>
            </w:pPr>
            <w:r>
              <w:rPr>
                <w:rFonts w:ascii="Arial" w:cs="Arial" w:eastAsia="Arial" w:hAnsi="Arial"/>
                <w:sz w:val="18"/>
                <w:szCs w:val="18"/>
                <w:color w:val="auto"/>
              </w:rPr>
              <w:t>Other comprehensive</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9"/>
        </w:trPr>
        <w:tc>
          <w:tcPr>
            <w:tcW w:w="1900" w:type="dxa"/>
            <w:vAlign w:val="bottom"/>
          </w:tcPr>
          <w:p>
            <w:pPr>
              <w:spacing w:after="0"/>
              <w:rPr>
                <w:sz w:val="20"/>
                <w:szCs w:val="20"/>
                <w:color w:val="auto"/>
              </w:rPr>
            </w:pPr>
            <w:r>
              <w:rPr>
                <w:rFonts w:ascii="Arial" w:cs="Arial" w:eastAsia="Arial" w:hAnsi="Arial"/>
                <w:sz w:val="18"/>
                <w:szCs w:val="18"/>
                <w:color w:val="auto"/>
              </w:rPr>
              <w:t>loss</w:t>
            </w: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90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DF0"/>
            </w:tcBorders>
            <w:shd w:val="clear" w:color="auto" w:fill="D2EDF0"/>
          </w:tcPr>
          <w:p>
            <w:pPr>
              <w:spacing w:after="0"/>
              <w:rPr>
                <w:sz w:val="22"/>
                <w:szCs w:val="22"/>
                <w:color w:val="auto"/>
              </w:rPr>
            </w:pPr>
          </w:p>
        </w:tc>
        <w:tc>
          <w:tcPr>
            <w:tcW w:w="220" w:type="dxa"/>
            <w:vAlign w:val="bottom"/>
            <w:tcBorders>
              <w:bottom w:val="single" w:sz="8" w:color="auto"/>
            </w:tcBorders>
            <w:shd w:val="clear" w:color="auto" w:fill="D2EDF0"/>
          </w:tcPr>
          <w:p>
            <w:pPr>
              <w:spacing w:after="0"/>
              <w:rPr>
                <w:sz w:val="22"/>
                <w:szCs w:val="22"/>
                <w:color w:val="auto"/>
              </w:rPr>
            </w:pPr>
          </w:p>
        </w:tc>
        <w:tc>
          <w:tcPr>
            <w:tcW w:w="6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DF0"/>
            </w:tcBorders>
            <w:shd w:val="clear" w:color="auto" w:fill="D2EDF0"/>
          </w:tcPr>
          <w:p>
            <w:pPr>
              <w:spacing w:after="0"/>
              <w:rPr>
                <w:sz w:val="22"/>
                <w:szCs w:val="22"/>
                <w:color w:val="auto"/>
              </w:rPr>
            </w:pPr>
          </w:p>
        </w:tc>
        <w:tc>
          <w:tcPr>
            <w:tcW w:w="140" w:type="dxa"/>
            <w:vAlign w:val="bottom"/>
            <w:tcBorders>
              <w:bottom w:val="single" w:sz="8" w:color="auto"/>
            </w:tcBorders>
            <w:shd w:val="clear" w:color="auto" w:fill="D2EDF0"/>
          </w:tcPr>
          <w:p>
            <w:pPr>
              <w:spacing w:after="0"/>
              <w:rPr>
                <w:sz w:val="22"/>
                <w:szCs w:val="22"/>
                <w:color w:val="auto"/>
              </w:rPr>
            </w:pPr>
          </w:p>
        </w:tc>
        <w:tc>
          <w:tcPr>
            <w:tcW w:w="86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DF0"/>
            </w:tcBorders>
            <w:shd w:val="clear" w:color="auto" w:fill="D2EDF0"/>
          </w:tcPr>
          <w:p>
            <w:pPr>
              <w:spacing w:after="0"/>
              <w:rPr>
                <w:sz w:val="22"/>
                <w:szCs w:val="22"/>
                <w:color w:val="auto"/>
              </w:rPr>
            </w:pPr>
          </w:p>
        </w:tc>
        <w:tc>
          <w:tcPr>
            <w:tcW w:w="140" w:type="dxa"/>
            <w:vAlign w:val="bottom"/>
            <w:tcBorders>
              <w:bottom w:val="single" w:sz="8" w:color="auto"/>
            </w:tcBorders>
            <w:shd w:val="clear" w:color="auto" w:fill="D2EDF0"/>
          </w:tcPr>
          <w:p>
            <w:pPr>
              <w:spacing w:after="0"/>
              <w:rPr>
                <w:sz w:val="22"/>
                <w:szCs w:val="22"/>
                <w:color w:val="auto"/>
              </w:rPr>
            </w:pPr>
          </w:p>
        </w:tc>
        <w:tc>
          <w:tcPr>
            <w:tcW w:w="13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D2EDF0"/>
            </w:tcBorders>
            <w:shd w:val="clear" w:color="auto" w:fill="D2EDF0"/>
          </w:tcPr>
          <w:p>
            <w:pPr>
              <w:spacing w:after="0"/>
              <w:rPr>
                <w:sz w:val="22"/>
                <w:szCs w:val="22"/>
                <w:color w:val="auto"/>
              </w:rPr>
            </w:pPr>
          </w:p>
        </w:tc>
        <w:tc>
          <w:tcPr>
            <w:tcW w:w="260" w:type="dxa"/>
            <w:vAlign w:val="bottom"/>
            <w:tcBorders>
              <w:bottom w:val="single" w:sz="8" w:color="auto"/>
            </w:tcBorders>
            <w:shd w:val="clear" w:color="auto" w:fill="D2EDF0"/>
          </w:tcPr>
          <w:p>
            <w:pPr>
              <w:spacing w:after="0"/>
              <w:rPr>
                <w:sz w:val="22"/>
                <w:szCs w:val="22"/>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18"/>
                <w:szCs w:val="18"/>
                <w:color w:val="auto"/>
              </w:rPr>
              <w:t>(46,677)</w:t>
            </w:r>
          </w:p>
        </w:tc>
        <w:tc>
          <w:tcPr>
            <w:tcW w:w="80" w:type="dxa"/>
            <w:vAlign w:val="bottom"/>
            <w:tcBorders>
              <w:bottom w:val="single" w:sz="8" w:color="D2EDF0"/>
            </w:tcBorders>
            <w:shd w:val="clear" w:color="auto" w:fill="D2EDF0"/>
          </w:tcPr>
          <w:p>
            <w:pPr>
              <w:spacing w:after="0"/>
              <w:rPr>
                <w:sz w:val="22"/>
                <w:szCs w:val="22"/>
                <w:color w:val="auto"/>
              </w:rPr>
            </w:pPr>
          </w:p>
        </w:tc>
        <w:tc>
          <w:tcPr>
            <w:tcW w:w="260" w:type="dxa"/>
            <w:vAlign w:val="bottom"/>
            <w:tcBorders>
              <w:bottom w:val="single" w:sz="8" w:color="auto"/>
            </w:tcBorders>
            <w:shd w:val="clear" w:color="auto" w:fill="D2EDF0"/>
          </w:tcPr>
          <w:p>
            <w:pPr>
              <w:spacing w:after="0"/>
              <w:rPr>
                <w:sz w:val="22"/>
                <w:szCs w:val="22"/>
                <w:color w:val="auto"/>
              </w:rPr>
            </w:pPr>
          </w:p>
        </w:tc>
        <w:tc>
          <w:tcPr>
            <w:tcW w:w="104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18"/>
                <w:szCs w:val="18"/>
                <w:color w:val="auto"/>
              </w:rPr>
              <w:t>(46,677)</w:t>
            </w:r>
          </w:p>
        </w:tc>
        <w:tc>
          <w:tcPr>
            <w:tcW w:w="0" w:type="dxa"/>
            <w:vAlign w:val="bottom"/>
          </w:tcPr>
          <w:p>
            <w:pPr>
              <w:spacing w:after="0"/>
              <w:rPr>
                <w:sz w:val="1"/>
                <w:szCs w:val="1"/>
                <w:color w:val="auto"/>
              </w:rPr>
            </w:pPr>
          </w:p>
        </w:tc>
      </w:tr>
      <w:tr>
        <w:trPr>
          <w:trHeight w:val="177"/>
        </w:trPr>
        <w:tc>
          <w:tcPr>
            <w:tcW w:w="1900" w:type="dxa"/>
            <w:vAlign w:val="bottom"/>
          </w:tcPr>
          <w:p>
            <w:pPr>
              <w:spacing w:after="0" w:line="177" w:lineRule="exact"/>
              <w:rPr>
                <w:sz w:val="20"/>
                <w:szCs w:val="20"/>
                <w:color w:val="auto"/>
              </w:rPr>
            </w:pPr>
            <w:r>
              <w:rPr>
                <w:rFonts w:ascii="Arial" w:cs="Arial" w:eastAsia="Arial" w:hAnsi="Arial"/>
                <w:sz w:val="18"/>
                <w:szCs w:val="18"/>
                <w:b w:val="1"/>
                <w:bCs w:val="1"/>
                <w:color w:val="auto"/>
              </w:rPr>
              <w:t>Balance at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108,929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1,089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869,059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(654,529)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215,313</w:t>
            </w:r>
          </w:p>
        </w:tc>
        <w:tc>
          <w:tcPr>
            <w:tcW w:w="0" w:type="dxa"/>
            <w:vAlign w:val="bottom"/>
          </w:tcPr>
          <w:p>
            <w:pPr>
              <w:spacing w:after="0"/>
              <w:rPr>
                <w:sz w:val="1"/>
                <w:szCs w:val="1"/>
                <w:color w:val="auto"/>
              </w:rPr>
            </w:pPr>
          </w:p>
        </w:tc>
      </w:tr>
      <w:tr>
        <w:trPr>
          <w:trHeight w:val="248"/>
        </w:trPr>
        <w:tc>
          <w:tcPr>
            <w:tcW w:w="190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8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900" w:type="dxa"/>
            <w:vAlign w:val="bottom"/>
          </w:tcPr>
          <w:p>
            <w:pPr>
              <w:spacing w:after="0" w:line="188" w:lineRule="exact"/>
              <w:rPr>
                <w:sz w:val="20"/>
                <w:szCs w:val="20"/>
                <w:color w:val="auto"/>
              </w:rPr>
            </w:pPr>
            <w:r>
              <w:rPr>
                <w:rFonts w:ascii="Arial" w:cs="Arial" w:eastAsia="Arial" w:hAnsi="Arial"/>
                <w:sz w:val="18"/>
                <w:szCs w:val="18"/>
                <w:color w:val="auto"/>
              </w:rPr>
              <w:t>Exercise of stock</w:t>
            </w:r>
          </w:p>
        </w:tc>
        <w:tc>
          <w:tcPr>
            <w:tcW w:w="82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1,174</w:t>
            </w:r>
          </w:p>
        </w:tc>
        <w:tc>
          <w:tcPr>
            <w:tcW w:w="80" w:type="dxa"/>
            <w:vAlign w:val="bottom"/>
            <w:shd w:val="clear" w:color="auto" w:fill="D2EDF0"/>
          </w:tcPr>
          <w:p>
            <w:pPr>
              <w:spacing w:after="0"/>
              <w:rPr>
                <w:sz w:val="16"/>
                <w:szCs w:val="16"/>
                <w:color w:val="auto"/>
              </w:rPr>
            </w:pPr>
          </w:p>
        </w:tc>
        <w:tc>
          <w:tcPr>
            <w:tcW w:w="220" w:type="dxa"/>
            <w:vAlign w:val="bottom"/>
            <w:shd w:val="clear" w:color="auto" w:fill="D2EDF0"/>
          </w:tcPr>
          <w:p>
            <w:pPr>
              <w:spacing w:after="0"/>
              <w:rPr>
                <w:sz w:val="16"/>
                <w:szCs w:val="16"/>
                <w:color w:val="auto"/>
              </w:rPr>
            </w:pPr>
          </w:p>
        </w:tc>
        <w:tc>
          <w:tcPr>
            <w:tcW w:w="6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D2EDF0"/>
          </w:tcPr>
          <w:p>
            <w:pPr>
              <w:spacing w:after="0"/>
              <w:rPr>
                <w:sz w:val="16"/>
                <w:szCs w:val="16"/>
                <w:color w:val="auto"/>
              </w:rPr>
            </w:pPr>
          </w:p>
        </w:tc>
        <w:tc>
          <w:tcPr>
            <w:tcW w:w="140" w:type="dxa"/>
            <w:vAlign w:val="bottom"/>
            <w:shd w:val="clear" w:color="auto" w:fill="D2EDF0"/>
          </w:tcPr>
          <w:p>
            <w:pPr>
              <w:spacing w:after="0"/>
              <w:rPr>
                <w:sz w:val="16"/>
                <w:szCs w:val="16"/>
                <w:color w:val="auto"/>
              </w:rPr>
            </w:pPr>
          </w:p>
        </w:tc>
        <w:tc>
          <w:tcPr>
            <w:tcW w:w="86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11,709</w:t>
            </w:r>
          </w:p>
        </w:tc>
        <w:tc>
          <w:tcPr>
            <w:tcW w:w="80" w:type="dxa"/>
            <w:vAlign w:val="bottom"/>
            <w:shd w:val="clear" w:color="auto" w:fill="D2EDF0"/>
          </w:tcPr>
          <w:p>
            <w:pPr>
              <w:spacing w:after="0"/>
              <w:rPr>
                <w:sz w:val="16"/>
                <w:szCs w:val="16"/>
                <w:color w:val="auto"/>
              </w:rPr>
            </w:pPr>
          </w:p>
        </w:tc>
        <w:tc>
          <w:tcPr>
            <w:tcW w:w="140" w:type="dxa"/>
            <w:vAlign w:val="bottom"/>
            <w:shd w:val="clear" w:color="auto" w:fill="D2EDF0"/>
          </w:tcPr>
          <w:p>
            <w:pPr>
              <w:spacing w:after="0"/>
              <w:rPr>
                <w:sz w:val="16"/>
                <w:szCs w:val="16"/>
                <w:color w:val="auto"/>
              </w:rPr>
            </w:pPr>
          </w:p>
        </w:tc>
        <w:tc>
          <w:tcPr>
            <w:tcW w:w="13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16"/>
                <w:szCs w:val="16"/>
                <w:color w:val="auto"/>
              </w:rPr>
            </w:pPr>
          </w:p>
        </w:tc>
        <w:tc>
          <w:tcPr>
            <w:tcW w:w="260" w:type="dxa"/>
            <w:vAlign w:val="bottom"/>
            <w:shd w:val="clear" w:color="auto" w:fill="D2EDF0"/>
          </w:tcPr>
          <w:p>
            <w:pPr>
              <w:spacing w:after="0"/>
              <w:rPr>
                <w:sz w:val="16"/>
                <w:szCs w:val="16"/>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16"/>
                <w:szCs w:val="16"/>
                <w:color w:val="auto"/>
              </w:rPr>
            </w:pPr>
          </w:p>
        </w:tc>
        <w:tc>
          <w:tcPr>
            <w:tcW w:w="260" w:type="dxa"/>
            <w:vAlign w:val="bottom"/>
            <w:shd w:val="clear" w:color="auto" w:fill="D2EDF0"/>
          </w:tcPr>
          <w:p>
            <w:pPr>
              <w:spacing w:after="0"/>
              <w:rPr>
                <w:sz w:val="16"/>
                <w:szCs w:val="16"/>
                <w:color w:val="auto"/>
              </w:rPr>
            </w:pPr>
          </w:p>
        </w:tc>
        <w:tc>
          <w:tcPr>
            <w:tcW w:w="104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11,721</w:t>
            </w:r>
          </w:p>
        </w:tc>
        <w:tc>
          <w:tcPr>
            <w:tcW w:w="0" w:type="dxa"/>
            <w:vAlign w:val="bottom"/>
          </w:tcPr>
          <w:p>
            <w:pPr>
              <w:spacing w:after="0"/>
              <w:rPr>
                <w:sz w:val="1"/>
                <w:szCs w:val="1"/>
                <w:color w:val="auto"/>
              </w:rPr>
            </w:pPr>
          </w:p>
        </w:tc>
      </w:tr>
      <w:tr>
        <w:trPr>
          <w:trHeight w:val="248"/>
        </w:trPr>
        <w:tc>
          <w:tcPr>
            <w:tcW w:w="1900" w:type="dxa"/>
            <w:vAlign w:val="bottom"/>
          </w:tcPr>
          <w:p>
            <w:pPr>
              <w:spacing w:after="0"/>
              <w:rPr>
                <w:sz w:val="20"/>
                <w:szCs w:val="20"/>
                <w:color w:val="auto"/>
              </w:rPr>
            </w:pPr>
            <w:r>
              <w:rPr>
                <w:rFonts w:ascii="Arial" w:cs="Arial" w:eastAsia="Arial" w:hAnsi="Arial"/>
                <w:sz w:val="18"/>
                <w:szCs w:val="18"/>
                <w:color w:val="auto"/>
              </w:rPr>
              <w:t>options</w:t>
            </w:r>
          </w:p>
        </w:tc>
        <w:tc>
          <w:tcPr>
            <w:tcW w:w="82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20" w:type="dxa"/>
            <w:vAlign w:val="bottom"/>
            <w:shd w:val="clear" w:color="auto" w:fill="D2EDF0"/>
          </w:tcPr>
          <w:p>
            <w:pPr>
              <w:spacing w:after="0"/>
              <w:rPr>
                <w:sz w:val="21"/>
                <w:szCs w:val="21"/>
                <w:color w:val="auto"/>
              </w:rPr>
            </w:pPr>
          </w:p>
        </w:tc>
        <w:tc>
          <w:tcPr>
            <w:tcW w:w="6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140" w:type="dxa"/>
            <w:vAlign w:val="bottom"/>
            <w:shd w:val="clear" w:color="auto" w:fill="D2EDF0"/>
          </w:tcPr>
          <w:p>
            <w:pPr>
              <w:spacing w:after="0"/>
              <w:rPr>
                <w:sz w:val="21"/>
                <w:szCs w:val="21"/>
                <w:color w:val="auto"/>
              </w:rPr>
            </w:pPr>
          </w:p>
        </w:tc>
        <w:tc>
          <w:tcPr>
            <w:tcW w:w="86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140" w:type="dxa"/>
            <w:vAlign w:val="bottom"/>
            <w:shd w:val="clear" w:color="auto" w:fill="D2EDF0"/>
          </w:tcPr>
          <w:p>
            <w:pPr>
              <w:spacing w:after="0"/>
              <w:rPr>
                <w:sz w:val="21"/>
                <w:szCs w:val="21"/>
                <w:color w:val="auto"/>
              </w:rPr>
            </w:pPr>
          </w:p>
        </w:tc>
        <w:tc>
          <w:tcPr>
            <w:tcW w:w="13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60" w:type="dxa"/>
            <w:vAlign w:val="bottom"/>
            <w:shd w:val="clear" w:color="auto" w:fill="D2EDF0"/>
          </w:tcPr>
          <w:p>
            <w:pPr>
              <w:spacing w:after="0"/>
              <w:rPr>
                <w:sz w:val="21"/>
                <w:szCs w:val="21"/>
                <w:color w:val="auto"/>
              </w:rPr>
            </w:pPr>
          </w:p>
        </w:tc>
        <w:tc>
          <w:tcPr>
            <w:tcW w:w="10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60" w:type="dxa"/>
            <w:vAlign w:val="bottom"/>
            <w:shd w:val="clear" w:color="auto" w:fill="D2EDF0"/>
          </w:tcPr>
          <w:p>
            <w:pPr>
              <w:spacing w:after="0"/>
              <w:rPr>
                <w:sz w:val="21"/>
                <w:szCs w:val="21"/>
                <w:color w:val="auto"/>
              </w:rPr>
            </w:pPr>
          </w:p>
        </w:tc>
        <w:tc>
          <w:tcPr>
            <w:tcW w:w="1040" w:type="dxa"/>
            <w:vAlign w:val="bottom"/>
            <w:vMerge w:val="continue"/>
            <w:shd w:val="clear" w:color="auto" w:fill="D2EDF0"/>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900" w:type="dxa"/>
            <w:vAlign w:val="bottom"/>
          </w:tcPr>
          <w:p>
            <w:pPr>
              <w:spacing w:after="0" w:line="188" w:lineRule="exact"/>
              <w:rPr>
                <w:sz w:val="20"/>
                <w:szCs w:val="20"/>
                <w:color w:val="auto"/>
              </w:rPr>
            </w:pPr>
            <w:r>
              <w:rPr>
                <w:rFonts w:ascii="Arial" w:cs="Arial" w:eastAsia="Arial" w:hAnsi="Arial"/>
                <w:sz w:val="18"/>
                <w:szCs w:val="18"/>
                <w:color w:val="auto"/>
              </w:rPr>
              <w:t>Vesting of restricted</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2,510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1900" w:type="dxa"/>
            <w:vAlign w:val="bottom"/>
          </w:tcPr>
          <w:p>
            <w:pPr>
              <w:spacing w:after="0"/>
              <w:rPr>
                <w:sz w:val="20"/>
                <w:szCs w:val="20"/>
                <w:color w:val="auto"/>
              </w:rPr>
            </w:pPr>
            <w:r>
              <w:rPr>
                <w:rFonts w:ascii="Arial" w:cs="Arial" w:eastAsia="Arial" w:hAnsi="Arial"/>
                <w:sz w:val="18"/>
                <w:szCs w:val="18"/>
                <w:color w:val="auto"/>
              </w:rPr>
              <w:t>stock units</w:t>
            </w: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Issuance of common</w:t>
            </w:r>
          </w:p>
        </w:tc>
        <w:tc>
          <w:tcPr>
            <w:tcW w:w="820" w:type="dxa"/>
            <w:vAlign w:val="bottom"/>
            <w:shd w:val="clear" w:color="auto" w:fill="D2EDF0"/>
          </w:tcPr>
          <w:p>
            <w:pPr>
              <w:spacing w:after="0"/>
              <w:rPr>
                <w:sz w:val="17"/>
                <w:szCs w:val="17"/>
                <w:color w:val="auto"/>
              </w:rPr>
            </w:pPr>
          </w:p>
        </w:tc>
        <w:tc>
          <w:tcPr>
            <w:tcW w:w="80" w:type="dxa"/>
            <w:vAlign w:val="bottom"/>
            <w:shd w:val="clear" w:color="auto" w:fill="D2EDF0"/>
          </w:tcPr>
          <w:p>
            <w:pPr>
              <w:spacing w:after="0"/>
              <w:rPr>
                <w:sz w:val="17"/>
                <w:szCs w:val="17"/>
                <w:color w:val="auto"/>
              </w:rPr>
            </w:pPr>
          </w:p>
        </w:tc>
        <w:tc>
          <w:tcPr>
            <w:tcW w:w="220" w:type="dxa"/>
            <w:vAlign w:val="bottom"/>
            <w:shd w:val="clear" w:color="auto" w:fill="D2EDF0"/>
          </w:tcPr>
          <w:p>
            <w:pPr>
              <w:spacing w:after="0"/>
              <w:rPr>
                <w:sz w:val="17"/>
                <w:szCs w:val="17"/>
                <w:color w:val="auto"/>
              </w:rPr>
            </w:pPr>
          </w:p>
        </w:tc>
        <w:tc>
          <w:tcPr>
            <w:tcW w:w="600" w:type="dxa"/>
            <w:vAlign w:val="bottom"/>
            <w:shd w:val="clear" w:color="auto" w:fill="D2EDF0"/>
          </w:tcPr>
          <w:p>
            <w:pPr>
              <w:spacing w:after="0"/>
              <w:rPr>
                <w:sz w:val="17"/>
                <w:szCs w:val="17"/>
                <w:color w:val="auto"/>
              </w:rPr>
            </w:pPr>
          </w:p>
        </w:tc>
        <w:tc>
          <w:tcPr>
            <w:tcW w:w="80" w:type="dxa"/>
            <w:vAlign w:val="bottom"/>
            <w:shd w:val="clear" w:color="auto" w:fill="D2EDF0"/>
          </w:tcPr>
          <w:p>
            <w:pPr>
              <w:spacing w:after="0"/>
              <w:rPr>
                <w:sz w:val="17"/>
                <w:szCs w:val="17"/>
                <w:color w:val="auto"/>
              </w:rPr>
            </w:pPr>
          </w:p>
        </w:tc>
        <w:tc>
          <w:tcPr>
            <w:tcW w:w="140" w:type="dxa"/>
            <w:vAlign w:val="bottom"/>
            <w:shd w:val="clear" w:color="auto" w:fill="D2EDF0"/>
          </w:tcPr>
          <w:p>
            <w:pPr>
              <w:spacing w:after="0"/>
              <w:rPr>
                <w:sz w:val="17"/>
                <w:szCs w:val="17"/>
                <w:color w:val="auto"/>
              </w:rPr>
            </w:pPr>
          </w:p>
        </w:tc>
        <w:tc>
          <w:tcPr>
            <w:tcW w:w="860" w:type="dxa"/>
            <w:vAlign w:val="bottom"/>
            <w:shd w:val="clear" w:color="auto" w:fill="D2EDF0"/>
          </w:tcPr>
          <w:p>
            <w:pPr>
              <w:spacing w:after="0"/>
              <w:rPr>
                <w:sz w:val="17"/>
                <w:szCs w:val="17"/>
                <w:color w:val="auto"/>
              </w:rPr>
            </w:pPr>
          </w:p>
        </w:tc>
        <w:tc>
          <w:tcPr>
            <w:tcW w:w="80" w:type="dxa"/>
            <w:vAlign w:val="bottom"/>
            <w:shd w:val="clear" w:color="auto" w:fill="D2EDF0"/>
          </w:tcPr>
          <w:p>
            <w:pPr>
              <w:spacing w:after="0"/>
              <w:rPr>
                <w:sz w:val="17"/>
                <w:szCs w:val="17"/>
                <w:color w:val="auto"/>
              </w:rPr>
            </w:pPr>
          </w:p>
        </w:tc>
        <w:tc>
          <w:tcPr>
            <w:tcW w:w="140" w:type="dxa"/>
            <w:vAlign w:val="bottom"/>
            <w:shd w:val="clear" w:color="auto" w:fill="D2EDF0"/>
          </w:tcPr>
          <w:p>
            <w:pPr>
              <w:spacing w:after="0"/>
              <w:rPr>
                <w:sz w:val="17"/>
                <w:szCs w:val="17"/>
                <w:color w:val="auto"/>
              </w:rPr>
            </w:pPr>
          </w:p>
        </w:tc>
        <w:tc>
          <w:tcPr>
            <w:tcW w:w="1300" w:type="dxa"/>
            <w:vAlign w:val="bottom"/>
            <w:shd w:val="clear" w:color="auto" w:fill="D2EDF0"/>
          </w:tcPr>
          <w:p>
            <w:pPr>
              <w:spacing w:after="0"/>
              <w:rPr>
                <w:sz w:val="17"/>
                <w:szCs w:val="17"/>
                <w:color w:val="auto"/>
              </w:rPr>
            </w:pPr>
          </w:p>
        </w:tc>
        <w:tc>
          <w:tcPr>
            <w:tcW w:w="80" w:type="dxa"/>
            <w:vAlign w:val="bottom"/>
            <w:shd w:val="clear" w:color="auto" w:fill="D2EDF0"/>
          </w:tcPr>
          <w:p>
            <w:pPr>
              <w:spacing w:after="0"/>
              <w:rPr>
                <w:sz w:val="17"/>
                <w:szCs w:val="17"/>
                <w:color w:val="auto"/>
              </w:rPr>
            </w:pPr>
          </w:p>
        </w:tc>
        <w:tc>
          <w:tcPr>
            <w:tcW w:w="260" w:type="dxa"/>
            <w:vAlign w:val="bottom"/>
            <w:shd w:val="clear" w:color="auto" w:fill="D2EDF0"/>
          </w:tcPr>
          <w:p>
            <w:pPr>
              <w:spacing w:after="0"/>
              <w:rPr>
                <w:sz w:val="17"/>
                <w:szCs w:val="17"/>
                <w:color w:val="auto"/>
              </w:rPr>
            </w:pPr>
          </w:p>
        </w:tc>
        <w:tc>
          <w:tcPr>
            <w:tcW w:w="1000" w:type="dxa"/>
            <w:vAlign w:val="bottom"/>
            <w:shd w:val="clear" w:color="auto" w:fill="D2EDF0"/>
          </w:tcPr>
          <w:p>
            <w:pPr>
              <w:spacing w:after="0"/>
              <w:rPr>
                <w:sz w:val="17"/>
                <w:szCs w:val="17"/>
                <w:color w:val="auto"/>
              </w:rPr>
            </w:pPr>
          </w:p>
        </w:tc>
        <w:tc>
          <w:tcPr>
            <w:tcW w:w="80" w:type="dxa"/>
            <w:vAlign w:val="bottom"/>
            <w:shd w:val="clear" w:color="auto" w:fill="D2EDF0"/>
          </w:tcPr>
          <w:p>
            <w:pPr>
              <w:spacing w:after="0"/>
              <w:rPr>
                <w:sz w:val="17"/>
                <w:szCs w:val="17"/>
                <w:color w:val="auto"/>
              </w:rPr>
            </w:pPr>
          </w:p>
        </w:tc>
        <w:tc>
          <w:tcPr>
            <w:tcW w:w="260" w:type="dxa"/>
            <w:vAlign w:val="bottom"/>
            <w:shd w:val="clear" w:color="auto" w:fill="D2EDF0"/>
          </w:tcPr>
          <w:p>
            <w:pPr>
              <w:spacing w:after="0"/>
              <w:rPr>
                <w:sz w:val="17"/>
                <w:szCs w:val="17"/>
                <w:color w:val="auto"/>
              </w:rPr>
            </w:pPr>
          </w:p>
        </w:tc>
        <w:tc>
          <w:tcPr>
            <w:tcW w:w="1040" w:type="dxa"/>
            <w:vAlign w:val="bottom"/>
            <w:shd w:val="clear" w:color="auto" w:fill="D2EDF0"/>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line="180" w:lineRule="exact"/>
              <w:rPr>
                <w:sz w:val="20"/>
                <w:szCs w:val="20"/>
                <w:color w:val="auto"/>
              </w:rPr>
            </w:pPr>
            <w:r>
              <w:rPr>
                <w:rFonts w:ascii="Arial" w:cs="Arial" w:eastAsia="Arial" w:hAnsi="Arial"/>
                <w:sz w:val="18"/>
                <w:szCs w:val="18"/>
                <w:color w:val="auto"/>
              </w:rPr>
              <w:t>stock under employee</w:t>
            </w:r>
          </w:p>
        </w:tc>
        <w:tc>
          <w:tcPr>
            <w:tcW w:w="82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443</w:t>
            </w:r>
          </w:p>
        </w:tc>
        <w:tc>
          <w:tcPr>
            <w:tcW w:w="80" w:type="dxa"/>
            <w:vAlign w:val="bottom"/>
            <w:shd w:val="clear" w:color="auto" w:fill="D2EDF0"/>
          </w:tcPr>
          <w:p>
            <w:pPr>
              <w:spacing w:after="0"/>
              <w:rPr>
                <w:sz w:val="15"/>
                <w:szCs w:val="15"/>
                <w:color w:val="auto"/>
              </w:rPr>
            </w:pPr>
          </w:p>
        </w:tc>
        <w:tc>
          <w:tcPr>
            <w:tcW w:w="220" w:type="dxa"/>
            <w:vAlign w:val="bottom"/>
            <w:shd w:val="clear" w:color="auto" w:fill="D2EDF0"/>
          </w:tcPr>
          <w:p>
            <w:pPr>
              <w:spacing w:after="0"/>
              <w:rPr>
                <w:sz w:val="15"/>
                <w:szCs w:val="15"/>
                <w:color w:val="auto"/>
              </w:rPr>
            </w:pPr>
          </w:p>
        </w:tc>
        <w:tc>
          <w:tcPr>
            <w:tcW w:w="6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D2EDF0"/>
          </w:tcPr>
          <w:p>
            <w:pPr>
              <w:spacing w:after="0"/>
              <w:rPr>
                <w:sz w:val="15"/>
                <w:szCs w:val="15"/>
                <w:color w:val="auto"/>
              </w:rPr>
            </w:pPr>
          </w:p>
        </w:tc>
        <w:tc>
          <w:tcPr>
            <w:tcW w:w="140" w:type="dxa"/>
            <w:vAlign w:val="bottom"/>
            <w:shd w:val="clear" w:color="auto" w:fill="D2EDF0"/>
          </w:tcPr>
          <w:p>
            <w:pPr>
              <w:spacing w:after="0"/>
              <w:rPr>
                <w:sz w:val="15"/>
                <w:szCs w:val="15"/>
                <w:color w:val="auto"/>
              </w:rPr>
            </w:pPr>
          </w:p>
        </w:tc>
        <w:tc>
          <w:tcPr>
            <w:tcW w:w="86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14,786</w:t>
            </w:r>
          </w:p>
        </w:tc>
        <w:tc>
          <w:tcPr>
            <w:tcW w:w="80" w:type="dxa"/>
            <w:vAlign w:val="bottom"/>
            <w:shd w:val="clear" w:color="auto" w:fill="D2EDF0"/>
          </w:tcPr>
          <w:p>
            <w:pPr>
              <w:spacing w:after="0"/>
              <w:rPr>
                <w:sz w:val="15"/>
                <w:szCs w:val="15"/>
                <w:color w:val="auto"/>
              </w:rPr>
            </w:pPr>
          </w:p>
        </w:tc>
        <w:tc>
          <w:tcPr>
            <w:tcW w:w="140" w:type="dxa"/>
            <w:vAlign w:val="bottom"/>
            <w:shd w:val="clear" w:color="auto" w:fill="D2EDF0"/>
          </w:tcPr>
          <w:p>
            <w:pPr>
              <w:spacing w:after="0"/>
              <w:rPr>
                <w:sz w:val="15"/>
                <w:szCs w:val="15"/>
                <w:color w:val="auto"/>
              </w:rPr>
            </w:pPr>
          </w:p>
        </w:tc>
        <w:tc>
          <w:tcPr>
            <w:tcW w:w="13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15"/>
                <w:szCs w:val="15"/>
                <w:color w:val="auto"/>
              </w:rPr>
            </w:pPr>
          </w:p>
        </w:tc>
        <w:tc>
          <w:tcPr>
            <w:tcW w:w="260" w:type="dxa"/>
            <w:vAlign w:val="bottom"/>
            <w:shd w:val="clear" w:color="auto" w:fill="D2EDF0"/>
          </w:tcPr>
          <w:p>
            <w:pPr>
              <w:spacing w:after="0"/>
              <w:rPr>
                <w:sz w:val="15"/>
                <w:szCs w:val="15"/>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15"/>
                <w:szCs w:val="15"/>
                <w:color w:val="auto"/>
              </w:rPr>
            </w:pPr>
          </w:p>
        </w:tc>
        <w:tc>
          <w:tcPr>
            <w:tcW w:w="260" w:type="dxa"/>
            <w:vAlign w:val="bottom"/>
            <w:shd w:val="clear" w:color="auto" w:fill="D2EDF0"/>
          </w:tcPr>
          <w:p>
            <w:pPr>
              <w:spacing w:after="0"/>
              <w:rPr>
                <w:sz w:val="15"/>
                <w:szCs w:val="15"/>
                <w:color w:val="auto"/>
              </w:rPr>
            </w:pPr>
          </w:p>
        </w:tc>
        <w:tc>
          <w:tcPr>
            <w:tcW w:w="104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14,791</w:t>
            </w:r>
          </w:p>
        </w:tc>
        <w:tc>
          <w:tcPr>
            <w:tcW w:w="0" w:type="dxa"/>
            <w:vAlign w:val="bottom"/>
          </w:tcPr>
          <w:p>
            <w:pPr>
              <w:spacing w:after="0"/>
              <w:rPr>
                <w:sz w:val="1"/>
                <w:szCs w:val="1"/>
                <w:color w:val="auto"/>
              </w:rPr>
            </w:pPr>
          </w:p>
        </w:tc>
      </w:tr>
      <w:tr>
        <w:trPr>
          <w:trHeight w:val="248"/>
        </w:trPr>
        <w:tc>
          <w:tcPr>
            <w:tcW w:w="1900" w:type="dxa"/>
            <w:vAlign w:val="bottom"/>
          </w:tcPr>
          <w:p>
            <w:pPr>
              <w:spacing w:after="0"/>
              <w:rPr>
                <w:sz w:val="20"/>
                <w:szCs w:val="20"/>
                <w:color w:val="auto"/>
              </w:rPr>
            </w:pPr>
            <w:r>
              <w:rPr>
                <w:rFonts w:ascii="Arial" w:cs="Arial" w:eastAsia="Arial" w:hAnsi="Arial"/>
                <w:sz w:val="18"/>
                <w:szCs w:val="18"/>
                <w:color w:val="auto"/>
              </w:rPr>
              <w:t>stock purchase plan</w:t>
            </w:r>
          </w:p>
        </w:tc>
        <w:tc>
          <w:tcPr>
            <w:tcW w:w="82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20" w:type="dxa"/>
            <w:vAlign w:val="bottom"/>
            <w:shd w:val="clear" w:color="auto" w:fill="D2EDF0"/>
          </w:tcPr>
          <w:p>
            <w:pPr>
              <w:spacing w:after="0"/>
              <w:rPr>
                <w:sz w:val="21"/>
                <w:szCs w:val="21"/>
                <w:color w:val="auto"/>
              </w:rPr>
            </w:pPr>
          </w:p>
        </w:tc>
        <w:tc>
          <w:tcPr>
            <w:tcW w:w="6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140" w:type="dxa"/>
            <w:vAlign w:val="bottom"/>
            <w:shd w:val="clear" w:color="auto" w:fill="D2EDF0"/>
          </w:tcPr>
          <w:p>
            <w:pPr>
              <w:spacing w:after="0"/>
              <w:rPr>
                <w:sz w:val="21"/>
                <w:szCs w:val="21"/>
                <w:color w:val="auto"/>
              </w:rPr>
            </w:pPr>
          </w:p>
        </w:tc>
        <w:tc>
          <w:tcPr>
            <w:tcW w:w="86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140" w:type="dxa"/>
            <w:vAlign w:val="bottom"/>
            <w:shd w:val="clear" w:color="auto" w:fill="D2EDF0"/>
          </w:tcPr>
          <w:p>
            <w:pPr>
              <w:spacing w:after="0"/>
              <w:rPr>
                <w:sz w:val="21"/>
                <w:szCs w:val="21"/>
                <w:color w:val="auto"/>
              </w:rPr>
            </w:pPr>
          </w:p>
        </w:tc>
        <w:tc>
          <w:tcPr>
            <w:tcW w:w="13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60" w:type="dxa"/>
            <w:vAlign w:val="bottom"/>
            <w:shd w:val="clear" w:color="auto" w:fill="D2EDF0"/>
          </w:tcPr>
          <w:p>
            <w:pPr>
              <w:spacing w:after="0"/>
              <w:rPr>
                <w:sz w:val="21"/>
                <w:szCs w:val="21"/>
                <w:color w:val="auto"/>
              </w:rPr>
            </w:pPr>
          </w:p>
        </w:tc>
        <w:tc>
          <w:tcPr>
            <w:tcW w:w="10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60" w:type="dxa"/>
            <w:vAlign w:val="bottom"/>
            <w:shd w:val="clear" w:color="auto" w:fill="D2EDF0"/>
          </w:tcPr>
          <w:p>
            <w:pPr>
              <w:spacing w:after="0"/>
              <w:rPr>
                <w:sz w:val="21"/>
                <w:szCs w:val="21"/>
                <w:color w:val="auto"/>
              </w:rPr>
            </w:pPr>
          </w:p>
        </w:tc>
        <w:tc>
          <w:tcPr>
            <w:tcW w:w="1040" w:type="dxa"/>
            <w:vAlign w:val="bottom"/>
            <w:vMerge w:val="continue"/>
            <w:shd w:val="clear" w:color="auto" w:fill="D2EDF0"/>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900" w:type="dxa"/>
            <w:vAlign w:val="bottom"/>
          </w:tcPr>
          <w:p>
            <w:pPr>
              <w:spacing w:after="0" w:line="188" w:lineRule="exact"/>
              <w:rPr>
                <w:sz w:val="20"/>
                <w:szCs w:val="20"/>
                <w:color w:val="auto"/>
              </w:rPr>
            </w:pPr>
            <w:r>
              <w:rPr>
                <w:rFonts w:ascii="Arial" w:cs="Arial" w:eastAsia="Arial" w:hAnsi="Arial"/>
                <w:sz w:val="18"/>
                <w:szCs w:val="18"/>
                <w:color w:val="auto"/>
              </w:rPr>
              <w:t>Stock-based</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122,308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122,308</w:t>
            </w:r>
          </w:p>
        </w:tc>
        <w:tc>
          <w:tcPr>
            <w:tcW w:w="0" w:type="dxa"/>
            <w:vAlign w:val="bottom"/>
          </w:tcPr>
          <w:p>
            <w:pPr>
              <w:spacing w:after="0"/>
              <w:rPr>
                <w:sz w:val="1"/>
                <w:szCs w:val="1"/>
                <w:color w:val="auto"/>
              </w:rPr>
            </w:pPr>
          </w:p>
        </w:tc>
      </w:tr>
      <w:tr>
        <w:trPr>
          <w:trHeight w:val="239"/>
        </w:trPr>
        <w:tc>
          <w:tcPr>
            <w:tcW w:w="1900" w:type="dxa"/>
            <w:vAlign w:val="bottom"/>
          </w:tcPr>
          <w:p>
            <w:pPr>
              <w:spacing w:after="0"/>
              <w:rPr>
                <w:sz w:val="20"/>
                <w:szCs w:val="20"/>
                <w:color w:val="auto"/>
              </w:rPr>
            </w:pPr>
            <w:r>
              <w:rPr>
                <w:rFonts w:ascii="Arial" w:cs="Arial" w:eastAsia="Arial" w:hAnsi="Arial"/>
                <w:sz w:val="18"/>
                <w:szCs w:val="18"/>
                <w:color w:val="auto"/>
              </w:rPr>
              <w:t>compensation</w:t>
            </w: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line="196" w:lineRule="exact"/>
              <w:rPr>
                <w:sz w:val="20"/>
                <w:szCs w:val="20"/>
                <w:color w:val="auto"/>
              </w:rPr>
            </w:pPr>
            <w:r>
              <w:rPr>
                <w:rFonts w:ascii="Arial" w:cs="Arial" w:eastAsia="Arial" w:hAnsi="Arial"/>
                <w:sz w:val="18"/>
                <w:szCs w:val="18"/>
                <w:color w:val="auto"/>
              </w:rPr>
              <w:t>Other comprehensive</w:t>
            </w:r>
          </w:p>
        </w:tc>
        <w:tc>
          <w:tcPr>
            <w:tcW w:w="82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17"/>
                <w:szCs w:val="17"/>
                <w:color w:val="auto"/>
              </w:rPr>
            </w:pPr>
          </w:p>
        </w:tc>
        <w:tc>
          <w:tcPr>
            <w:tcW w:w="220" w:type="dxa"/>
            <w:vAlign w:val="bottom"/>
            <w:shd w:val="clear" w:color="auto" w:fill="D2EDF0"/>
          </w:tcPr>
          <w:p>
            <w:pPr>
              <w:spacing w:after="0"/>
              <w:rPr>
                <w:sz w:val="17"/>
                <w:szCs w:val="17"/>
                <w:color w:val="auto"/>
              </w:rPr>
            </w:pPr>
          </w:p>
        </w:tc>
        <w:tc>
          <w:tcPr>
            <w:tcW w:w="6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17"/>
                <w:szCs w:val="17"/>
                <w:color w:val="auto"/>
              </w:rPr>
            </w:pPr>
          </w:p>
        </w:tc>
        <w:tc>
          <w:tcPr>
            <w:tcW w:w="140" w:type="dxa"/>
            <w:vAlign w:val="bottom"/>
            <w:shd w:val="clear" w:color="auto" w:fill="D2EDF0"/>
          </w:tcPr>
          <w:p>
            <w:pPr>
              <w:spacing w:after="0"/>
              <w:rPr>
                <w:sz w:val="17"/>
                <w:szCs w:val="17"/>
                <w:color w:val="auto"/>
              </w:rPr>
            </w:pPr>
          </w:p>
        </w:tc>
        <w:tc>
          <w:tcPr>
            <w:tcW w:w="86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17"/>
                <w:szCs w:val="17"/>
                <w:color w:val="auto"/>
              </w:rPr>
            </w:pPr>
          </w:p>
        </w:tc>
        <w:tc>
          <w:tcPr>
            <w:tcW w:w="140" w:type="dxa"/>
            <w:vAlign w:val="bottom"/>
            <w:shd w:val="clear" w:color="auto" w:fill="D2EDF0"/>
          </w:tcPr>
          <w:p>
            <w:pPr>
              <w:spacing w:after="0"/>
              <w:rPr>
                <w:sz w:val="17"/>
                <w:szCs w:val="17"/>
                <w:color w:val="auto"/>
              </w:rPr>
            </w:pPr>
          </w:p>
        </w:tc>
        <w:tc>
          <w:tcPr>
            <w:tcW w:w="13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(1,045)</w:t>
            </w:r>
          </w:p>
        </w:tc>
        <w:tc>
          <w:tcPr>
            <w:tcW w:w="80" w:type="dxa"/>
            <w:vAlign w:val="bottom"/>
            <w:shd w:val="clear" w:color="auto" w:fill="D2EDF0"/>
          </w:tcPr>
          <w:p>
            <w:pPr>
              <w:spacing w:after="0"/>
              <w:rPr>
                <w:sz w:val="17"/>
                <w:szCs w:val="17"/>
                <w:color w:val="auto"/>
              </w:rPr>
            </w:pPr>
          </w:p>
        </w:tc>
        <w:tc>
          <w:tcPr>
            <w:tcW w:w="260" w:type="dxa"/>
            <w:vAlign w:val="bottom"/>
            <w:shd w:val="clear" w:color="auto" w:fill="D2EDF0"/>
          </w:tcPr>
          <w:p>
            <w:pPr>
              <w:spacing w:after="0"/>
              <w:rPr>
                <w:sz w:val="17"/>
                <w:szCs w:val="17"/>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17"/>
                <w:szCs w:val="17"/>
                <w:color w:val="auto"/>
              </w:rPr>
            </w:pPr>
          </w:p>
        </w:tc>
        <w:tc>
          <w:tcPr>
            <w:tcW w:w="260" w:type="dxa"/>
            <w:vAlign w:val="bottom"/>
            <w:shd w:val="clear" w:color="auto" w:fill="D2EDF0"/>
          </w:tcPr>
          <w:p>
            <w:pPr>
              <w:spacing w:after="0"/>
              <w:rPr>
                <w:sz w:val="17"/>
                <w:szCs w:val="17"/>
                <w:color w:val="auto"/>
              </w:rPr>
            </w:pPr>
          </w:p>
        </w:tc>
        <w:tc>
          <w:tcPr>
            <w:tcW w:w="104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48"/>
        </w:trPr>
        <w:tc>
          <w:tcPr>
            <w:tcW w:w="1900" w:type="dxa"/>
            <w:vAlign w:val="bottom"/>
          </w:tcPr>
          <w:p>
            <w:pPr>
              <w:spacing w:after="0"/>
              <w:rPr>
                <w:sz w:val="20"/>
                <w:szCs w:val="20"/>
                <w:color w:val="auto"/>
              </w:rPr>
            </w:pPr>
            <w:r>
              <w:rPr>
                <w:rFonts w:ascii="Arial" w:cs="Arial" w:eastAsia="Arial" w:hAnsi="Arial"/>
                <w:sz w:val="18"/>
                <w:szCs w:val="18"/>
                <w:color w:val="auto"/>
              </w:rPr>
              <w:t>loss</w:t>
            </w:r>
          </w:p>
        </w:tc>
        <w:tc>
          <w:tcPr>
            <w:tcW w:w="82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20" w:type="dxa"/>
            <w:vAlign w:val="bottom"/>
            <w:shd w:val="clear" w:color="auto" w:fill="D2EDF0"/>
          </w:tcPr>
          <w:p>
            <w:pPr>
              <w:spacing w:after="0"/>
              <w:rPr>
                <w:sz w:val="21"/>
                <w:szCs w:val="21"/>
                <w:color w:val="auto"/>
              </w:rPr>
            </w:pPr>
          </w:p>
        </w:tc>
        <w:tc>
          <w:tcPr>
            <w:tcW w:w="6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140" w:type="dxa"/>
            <w:vAlign w:val="bottom"/>
            <w:shd w:val="clear" w:color="auto" w:fill="D2EDF0"/>
          </w:tcPr>
          <w:p>
            <w:pPr>
              <w:spacing w:after="0"/>
              <w:rPr>
                <w:sz w:val="21"/>
                <w:szCs w:val="21"/>
                <w:color w:val="auto"/>
              </w:rPr>
            </w:pPr>
          </w:p>
        </w:tc>
        <w:tc>
          <w:tcPr>
            <w:tcW w:w="86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140" w:type="dxa"/>
            <w:vAlign w:val="bottom"/>
            <w:shd w:val="clear" w:color="auto" w:fill="D2EDF0"/>
          </w:tcPr>
          <w:p>
            <w:pPr>
              <w:spacing w:after="0"/>
              <w:rPr>
                <w:sz w:val="21"/>
                <w:szCs w:val="21"/>
                <w:color w:val="auto"/>
              </w:rPr>
            </w:pPr>
          </w:p>
        </w:tc>
        <w:tc>
          <w:tcPr>
            <w:tcW w:w="13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60" w:type="dxa"/>
            <w:vAlign w:val="bottom"/>
            <w:shd w:val="clear" w:color="auto" w:fill="D2EDF0"/>
          </w:tcPr>
          <w:p>
            <w:pPr>
              <w:spacing w:after="0"/>
              <w:rPr>
                <w:sz w:val="21"/>
                <w:szCs w:val="21"/>
                <w:color w:val="auto"/>
              </w:rPr>
            </w:pPr>
          </w:p>
        </w:tc>
        <w:tc>
          <w:tcPr>
            <w:tcW w:w="10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260" w:type="dxa"/>
            <w:vAlign w:val="bottom"/>
            <w:shd w:val="clear" w:color="auto" w:fill="D2EDF0"/>
          </w:tcPr>
          <w:p>
            <w:pPr>
              <w:spacing w:after="0"/>
              <w:rPr>
                <w:sz w:val="21"/>
                <w:szCs w:val="21"/>
                <w:color w:val="auto"/>
              </w:rPr>
            </w:pPr>
          </w:p>
        </w:tc>
        <w:tc>
          <w:tcPr>
            <w:tcW w:w="1040" w:type="dxa"/>
            <w:vAlign w:val="bottom"/>
            <w:vMerge w:val="continue"/>
            <w:shd w:val="clear" w:color="auto" w:fill="D2EDF0"/>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(92,222)</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(92,222)</w:t>
            </w:r>
          </w:p>
        </w:tc>
        <w:tc>
          <w:tcPr>
            <w:tcW w:w="0" w:type="dxa"/>
            <w:vAlign w:val="bottom"/>
          </w:tcPr>
          <w:p>
            <w:pPr>
              <w:spacing w:after="0"/>
              <w:rPr>
                <w:sz w:val="1"/>
                <w:szCs w:val="1"/>
                <w:color w:val="auto"/>
              </w:rPr>
            </w:pPr>
          </w:p>
        </w:tc>
      </w:tr>
      <w:tr>
        <w:trPr>
          <w:trHeight w:val="177"/>
        </w:trPr>
        <w:tc>
          <w:tcPr>
            <w:tcW w:w="1900" w:type="dxa"/>
            <w:vAlign w:val="bottom"/>
          </w:tcPr>
          <w:p>
            <w:pPr>
              <w:spacing w:after="0" w:line="177" w:lineRule="exact"/>
              <w:rPr>
                <w:sz w:val="20"/>
                <w:szCs w:val="20"/>
                <w:color w:val="auto"/>
              </w:rPr>
            </w:pPr>
            <w:r>
              <w:rPr>
                <w:rFonts w:ascii="Arial" w:cs="Arial" w:eastAsia="Arial" w:hAnsi="Arial"/>
                <w:sz w:val="18"/>
                <w:szCs w:val="18"/>
                <w:b w:val="1"/>
                <w:bCs w:val="1"/>
                <w:color w:val="auto"/>
              </w:rPr>
              <w:t>Balance at December</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113,056</w:t>
            </w:r>
          </w:p>
        </w:tc>
        <w:tc>
          <w:tcPr>
            <w:tcW w:w="30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1,131</w:t>
            </w:r>
          </w:p>
        </w:tc>
        <w:tc>
          <w:tcPr>
            <w:tcW w:w="220" w:type="dxa"/>
            <w:vAlign w:val="bottom"/>
            <w:gridSpan w:val="2"/>
            <w:vMerge w:val="restart"/>
          </w:tcPr>
          <w:p>
            <w:pPr>
              <w:ind w:left="12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7"/>
              </w:rPr>
              <w:t>1,017,837</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(1,351)</w:t>
            </w:r>
          </w:p>
        </w:tc>
        <w:tc>
          <w:tcPr>
            <w:tcW w:w="34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(746,751)</w:t>
            </w:r>
          </w:p>
        </w:tc>
        <w:tc>
          <w:tcPr>
            <w:tcW w:w="34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270,866</w:t>
            </w:r>
          </w:p>
        </w:tc>
        <w:tc>
          <w:tcPr>
            <w:tcW w:w="0" w:type="dxa"/>
            <w:vAlign w:val="bottom"/>
          </w:tcPr>
          <w:p>
            <w:pPr>
              <w:spacing w:after="0"/>
              <w:rPr>
                <w:sz w:val="1"/>
                <w:szCs w:val="1"/>
                <w:color w:val="auto"/>
              </w:rPr>
            </w:pPr>
          </w:p>
        </w:tc>
      </w:tr>
      <w:tr>
        <w:trPr>
          <w:trHeight w:val="218"/>
        </w:trPr>
        <w:tc>
          <w:tcPr>
            <w:tcW w:w="1900" w:type="dxa"/>
            <w:vAlign w:val="bottom"/>
          </w:tcPr>
          <w:p>
            <w:pPr>
              <w:spacing w:after="0"/>
              <w:rPr>
                <w:sz w:val="20"/>
                <w:szCs w:val="20"/>
                <w:color w:val="auto"/>
              </w:rPr>
            </w:pPr>
            <w:r>
              <w:rPr>
                <w:rFonts w:ascii="Arial" w:cs="Arial" w:eastAsia="Arial" w:hAnsi="Arial"/>
                <w:sz w:val="18"/>
                <w:szCs w:val="18"/>
                <w:b w:val="1"/>
                <w:bCs w:val="1"/>
                <w:color w:val="auto"/>
              </w:rPr>
              <w:t>31, 2022</w:t>
            </w:r>
          </w:p>
        </w:tc>
        <w:tc>
          <w:tcPr>
            <w:tcW w:w="8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-5831840</wp:posOffset>
            </wp:positionV>
            <wp:extent cx="5740400" cy="58324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40400" cy="583247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1880" w:h="15480" w:orient="portrait"/>
          <w:cols w:equalWidth="0" w:num="1">
            <w:col w:w="9000"/>
          </w:cols>
          <w:pgMar w:left="1440" w:top="1203" w:right="1440" w:bottom="0" w:gutter="0" w:footer="0" w:header="0"/>
          <w:type w:val="continuous"/>
        </w:sectPr>
      </w:pPr>
    </w:p>
    <w:bookmarkStart w:id="180" w:name="page181"/>
    <w:bookmarkEnd w:id="180"/>
    <w:p>
      <w:pPr>
        <w:jc w:val="center"/>
        <w:spacing w:after="0"/>
        <w:rPr>
          <w:sz w:val="20"/>
          <w:szCs w:val="20"/>
          <w:color w:val="auto"/>
        </w:rPr>
      </w:pPr>
      <w:r>
        <w:rPr>
          <w:rFonts w:ascii="Arial" w:cs="Arial" w:eastAsia="Arial" w:hAnsi="Arial"/>
          <w:sz w:val="20"/>
          <w:szCs w:val="20"/>
          <w:b w:val="1"/>
          <w:bCs w:val="1"/>
          <w:color w:val="auto"/>
        </w:rPr>
        <w:t>TENABLE HOLDINGS,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940" w:type="dxa"/>
            <w:vAlign w:val="bottom"/>
            <w:tcBorders>
              <w:bottom w:val="single" w:sz="8" w:color="D2EDF0"/>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45"/>
        </w:trPr>
        <w:tc>
          <w:tcPr>
            <w:tcW w:w="4940" w:type="dxa"/>
            <w:vAlign w:val="bottom"/>
            <w:shd w:val="clear" w:color="auto" w:fill="D2EDF0"/>
          </w:tcPr>
          <w:p>
            <w:pPr>
              <w:ind w:left="6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D2EDF0"/>
          </w:tcPr>
          <w:p>
            <w:pPr>
              <w:spacing w:after="0"/>
              <w:rPr>
                <w:sz w:val="21"/>
                <w:szCs w:val="21"/>
                <w:color w:val="auto"/>
              </w:rPr>
            </w:pPr>
          </w:p>
        </w:tc>
        <w:tc>
          <w:tcPr>
            <w:tcW w:w="1000" w:type="dxa"/>
            <w:vAlign w:val="bottom"/>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300" w:type="dxa"/>
            <w:vAlign w:val="bottom"/>
            <w:shd w:val="clear" w:color="auto" w:fill="D2EDF0"/>
          </w:tcPr>
          <w:p>
            <w:pPr>
              <w:spacing w:after="0"/>
              <w:rPr>
                <w:sz w:val="21"/>
                <w:szCs w:val="21"/>
                <w:color w:val="auto"/>
              </w:rPr>
            </w:pPr>
          </w:p>
        </w:tc>
        <w:tc>
          <w:tcPr>
            <w:tcW w:w="1000" w:type="dxa"/>
            <w:vAlign w:val="bottom"/>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420" w:type="dxa"/>
            <w:vAlign w:val="bottom"/>
            <w:shd w:val="clear" w:color="auto" w:fill="D2EDF0"/>
          </w:tcPr>
          <w:p>
            <w:pPr>
              <w:spacing w:after="0"/>
              <w:rPr>
                <w:sz w:val="21"/>
                <w:szCs w:val="21"/>
                <w:color w:val="auto"/>
              </w:rPr>
            </w:pPr>
          </w:p>
        </w:tc>
        <w:tc>
          <w:tcPr>
            <w:tcW w:w="880" w:type="dxa"/>
            <w:vAlign w:val="bottom"/>
            <w:shd w:val="clear" w:color="auto" w:fill="D2EDF0"/>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940" w:type="dxa"/>
            <w:vAlign w:val="bottom"/>
          </w:tcPr>
          <w:p>
            <w:pPr>
              <w:ind w:left="6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(92,222)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(46,677)</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(42,731)</w:t>
            </w:r>
          </w:p>
        </w:tc>
        <w:tc>
          <w:tcPr>
            <w:tcW w:w="0" w:type="dxa"/>
            <w:vAlign w:val="bottom"/>
          </w:tcPr>
          <w:p>
            <w:pPr>
              <w:spacing w:after="0"/>
              <w:rPr>
                <w:sz w:val="1"/>
                <w:szCs w:val="1"/>
                <w:color w:val="auto"/>
              </w:rPr>
            </w:pPr>
          </w:p>
        </w:tc>
      </w:tr>
      <w:tr>
        <w:trPr>
          <w:trHeight w:val="188"/>
        </w:trPr>
        <w:tc>
          <w:tcPr>
            <w:tcW w:w="4940" w:type="dxa"/>
            <w:vAlign w:val="bottom"/>
            <w:shd w:val="clear" w:color="auto" w:fill="D2EDF0"/>
          </w:tcPr>
          <w:p>
            <w:pPr>
              <w:ind w:left="60"/>
              <w:spacing w:after="0" w:line="188" w:lineRule="exact"/>
              <w:rPr>
                <w:sz w:val="20"/>
                <w:szCs w:val="20"/>
                <w:color w:val="auto"/>
              </w:rPr>
            </w:pPr>
            <w:r>
              <w:rPr>
                <w:rFonts w:ascii="Arial" w:cs="Arial" w:eastAsia="Arial" w:hAnsi="Arial"/>
                <w:sz w:val="18"/>
                <w:szCs w:val="18"/>
                <w:color w:val="auto"/>
              </w:rPr>
              <w:t>Adjustments to reconcile net loss to net cash provided by</w:t>
            </w:r>
          </w:p>
        </w:tc>
        <w:tc>
          <w:tcPr>
            <w:tcW w:w="300" w:type="dxa"/>
            <w:vAlign w:val="bottom"/>
            <w:shd w:val="clear" w:color="auto" w:fill="D2EDF0"/>
          </w:tcPr>
          <w:p>
            <w:pPr>
              <w:spacing w:after="0"/>
              <w:rPr>
                <w:sz w:val="16"/>
                <w:szCs w:val="16"/>
                <w:color w:val="auto"/>
              </w:rPr>
            </w:pPr>
          </w:p>
        </w:tc>
        <w:tc>
          <w:tcPr>
            <w:tcW w:w="1000" w:type="dxa"/>
            <w:vAlign w:val="bottom"/>
            <w:shd w:val="clear" w:color="auto" w:fill="D2EDF0"/>
          </w:tcPr>
          <w:p>
            <w:pPr>
              <w:spacing w:after="0"/>
              <w:rPr>
                <w:sz w:val="16"/>
                <w:szCs w:val="16"/>
                <w:color w:val="auto"/>
              </w:rPr>
            </w:pPr>
          </w:p>
        </w:tc>
        <w:tc>
          <w:tcPr>
            <w:tcW w:w="80" w:type="dxa"/>
            <w:vAlign w:val="bottom"/>
            <w:shd w:val="clear" w:color="auto" w:fill="D2EDF0"/>
          </w:tcPr>
          <w:p>
            <w:pPr>
              <w:spacing w:after="0"/>
              <w:rPr>
                <w:sz w:val="16"/>
                <w:szCs w:val="16"/>
                <w:color w:val="auto"/>
              </w:rPr>
            </w:pPr>
          </w:p>
        </w:tc>
        <w:tc>
          <w:tcPr>
            <w:tcW w:w="300" w:type="dxa"/>
            <w:vAlign w:val="bottom"/>
            <w:shd w:val="clear" w:color="auto" w:fill="D2EDF0"/>
          </w:tcPr>
          <w:p>
            <w:pPr>
              <w:spacing w:after="0"/>
              <w:rPr>
                <w:sz w:val="16"/>
                <w:szCs w:val="16"/>
                <w:color w:val="auto"/>
              </w:rPr>
            </w:pPr>
          </w:p>
        </w:tc>
        <w:tc>
          <w:tcPr>
            <w:tcW w:w="1000" w:type="dxa"/>
            <w:vAlign w:val="bottom"/>
            <w:shd w:val="clear" w:color="auto" w:fill="D2EDF0"/>
          </w:tcPr>
          <w:p>
            <w:pPr>
              <w:spacing w:after="0"/>
              <w:rPr>
                <w:sz w:val="16"/>
                <w:szCs w:val="16"/>
                <w:color w:val="auto"/>
              </w:rPr>
            </w:pPr>
          </w:p>
        </w:tc>
        <w:tc>
          <w:tcPr>
            <w:tcW w:w="80" w:type="dxa"/>
            <w:vAlign w:val="bottom"/>
            <w:shd w:val="clear" w:color="auto" w:fill="D2EDF0"/>
          </w:tcPr>
          <w:p>
            <w:pPr>
              <w:spacing w:after="0"/>
              <w:rPr>
                <w:sz w:val="16"/>
                <w:szCs w:val="16"/>
                <w:color w:val="auto"/>
              </w:rPr>
            </w:pPr>
          </w:p>
        </w:tc>
        <w:tc>
          <w:tcPr>
            <w:tcW w:w="420" w:type="dxa"/>
            <w:vAlign w:val="bottom"/>
            <w:shd w:val="clear" w:color="auto" w:fill="D2EDF0"/>
          </w:tcPr>
          <w:p>
            <w:pPr>
              <w:spacing w:after="0"/>
              <w:rPr>
                <w:sz w:val="16"/>
                <w:szCs w:val="16"/>
                <w:color w:val="auto"/>
              </w:rPr>
            </w:pPr>
          </w:p>
        </w:tc>
        <w:tc>
          <w:tcPr>
            <w:tcW w:w="880" w:type="dxa"/>
            <w:vAlign w:val="bottom"/>
            <w:shd w:val="clear" w:color="auto" w:fill="D2EDF0"/>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940" w:type="dxa"/>
            <w:vAlign w:val="bottom"/>
            <w:shd w:val="clear" w:color="auto" w:fill="D2EDF0"/>
          </w:tcPr>
          <w:p>
            <w:pPr>
              <w:ind w:left="6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D2EDF0"/>
          </w:tcPr>
          <w:p>
            <w:pPr>
              <w:spacing w:after="0"/>
              <w:rPr>
                <w:sz w:val="21"/>
                <w:szCs w:val="21"/>
                <w:color w:val="auto"/>
              </w:rPr>
            </w:pPr>
          </w:p>
        </w:tc>
        <w:tc>
          <w:tcPr>
            <w:tcW w:w="1000" w:type="dxa"/>
            <w:vAlign w:val="bottom"/>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300" w:type="dxa"/>
            <w:vAlign w:val="bottom"/>
            <w:shd w:val="clear" w:color="auto" w:fill="D2EDF0"/>
          </w:tcPr>
          <w:p>
            <w:pPr>
              <w:spacing w:after="0"/>
              <w:rPr>
                <w:sz w:val="21"/>
                <w:szCs w:val="21"/>
                <w:color w:val="auto"/>
              </w:rPr>
            </w:pPr>
          </w:p>
        </w:tc>
        <w:tc>
          <w:tcPr>
            <w:tcW w:w="1000" w:type="dxa"/>
            <w:vAlign w:val="bottom"/>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420" w:type="dxa"/>
            <w:vAlign w:val="bottom"/>
            <w:shd w:val="clear" w:color="auto" w:fill="D2EDF0"/>
          </w:tcPr>
          <w:p>
            <w:pPr>
              <w:spacing w:after="0"/>
              <w:rPr>
                <w:sz w:val="21"/>
                <w:szCs w:val="21"/>
                <w:color w:val="auto"/>
              </w:rPr>
            </w:pPr>
          </w:p>
        </w:tc>
        <w:tc>
          <w:tcPr>
            <w:tcW w:w="880" w:type="dxa"/>
            <w:vAlign w:val="bottom"/>
            <w:shd w:val="clear" w:color="auto" w:fill="D2EDF0"/>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9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(10,468)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0"/>
        </w:trPr>
        <w:tc>
          <w:tcPr>
            <w:tcW w:w="4940" w:type="dxa"/>
            <w:vAlign w:val="bottom"/>
            <w:shd w:val="clear" w:color="auto" w:fill="D2EDF0"/>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D2EDF0"/>
          </w:tcPr>
          <w:p>
            <w:pPr>
              <w:spacing w:after="0"/>
              <w:rPr>
                <w:sz w:val="20"/>
                <w:szCs w:val="20"/>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22,194</w:t>
            </w:r>
          </w:p>
        </w:tc>
        <w:tc>
          <w:tcPr>
            <w:tcW w:w="80" w:type="dxa"/>
            <w:vAlign w:val="bottom"/>
            <w:shd w:val="clear" w:color="auto" w:fill="D2EDF0"/>
          </w:tcPr>
          <w:p>
            <w:pPr>
              <w:spacing w:after="0"/>
              <w:rPr>
                <w:sz w:val="20"/>
                <w:szCs w:val="20"/>
                <w:color w:val="auto"/>
              </w:rPr>
            </w:pPr>
          </w:p>
        </w:tc>
        <w:tc>
          <w:tcPr>
            <w:tcW w:w="300" w:type="dxa"/>
            <w:vAlign w:val="bottom"/>
            <w:shd w:val="clear" w:color="auto" w:fill="D2EDF0"/>
          </w:tcPr>
          <w:p>
            <w:pPr>
              <w:spacing w:after="0"/>
              <w:rPr>
                <w:sz w:val="20"/>
                <w:szCs w:val="20"/>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16,170</w:t>
            </w:r>
          </w:p>
        </w:tc>
        <w:tc>
          <w:tcPr>
            <w:tcW w:w="80" w:type="dxa"/>
            <w:vAlign w:val="bottom"/>
            <w:shd w:val="clear" w:color="auto" w:fill="D2EDF0"/>
          </w:tcPr>
          <w:p>
            <w:pPr>
              <w:spacing w:after="0"/>
              <w:rPr>
                <w:sz w:val="20"/>
                <w:szCs w:val="20"/>
                <w:color w:val="auto"/>
              </w:rPr>
            </w:pPr>
          </w:p>
        </w:tc>
        <w:tc>
          <w:tcPr>
            <w:tcW w:w="420" w:type="dxa"/>
            <w:vAlign w:val="bottom"/>
            <w:shd w:val="clear" w:color="auto" w:fill="D2EDF0"/>
          </w:tcPr>
          <w:p>
            <w:pPr>
              <w:spacing w:after="0"/>
              <w:rPr>
                <w:sz w:val="20"/>
                <w:szCs w:val="20"/>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18"/>
                <w:szCs w:val="18"/>
                <w:color w:val="auto"/>
              </w:rPr>
              <w:t>10,633</w:t>
            </w:r>
          </w:p>
        </w:tc>
        <w:tc>
          <w:tcPr>
            <w:tcW w:w="0" w:type="dxa"/>
            <w:vAlign w:val="bottom"/>
          </w:tcPr>
          <w:p>
            <w:pPr>
              <w:spacing w:after="0"/>
              <w:rPr>
                <w:sz w:val="1"/>
                <w:szCs w:val="1"/>
                <w:color w:val="auto"/>
              </w:rPr>
            </w:pPr>
          </w:p>
        </w:tc>
      </w:tr>
      <w:tr>
        <w:trPr>
          <w:trHeight w:val="240"/>
        </w:trPr>
        <w:tc>
          <w:tcPr>
            <w:tcW w:w="49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120,633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79,405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59,573</w:t>
            </w:r>
          </w:p>
        </w:tc>
        <w:tc>
          <w:tcPr>
            <w:tcW w:w="0" w:type="dxa"/>
            <w:vAlign w:val="bottom"/>
          </w:tcPr>
          <w:p>
            <w:pPr>
              <w:spacing w:after="0"/>
              <w:rPr>
                <w:sz w:val="1"/>
                <w:szCs w:val="1"/>
                <w:color w:val="auto"/>
              </w:rPr>
            </w:pPr>
          </w:p>
        </w:tc>
      </w:tr>
      <w:tr>
        <w:trPr>
          <w:trHeight w:val="240"/>
        </w:trPr>
        <w:tc>
          <w:tcPr>
            <w:tcW w:w="4940" w:type="dxa"/>
            <w:vAlign w:val="bottom"/>
            <w:shd w:val="clear" w:color="auto" w:fill="D2EDF0"/>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D2EDF0"/>
          </w:tcPr>
          <w:p>
            <w:pPr>
              <w:spacing w:after="0"/>
              <w:rPr>
                <w:sz w:val="20"/>
                <w:szCs w:val="20"/>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5,504</w:t>
            </w:r>
          </w:p>
        </w:tc>
        <w:tc>
          <w:tcPr>
            <w:tcW w:w="80" w:type="dxa"/>
            <w:vAlign w:val="bottom"/>
            <w:shd w:val="clear" w:color="auto" w:fill="D2EDF0"/>
          </w:tcPr>
          <w:p>
            <w:pPr>
              <w:spacing w:after="0"/>
              <w:rPr>
                <w:sz w:val="20"/>
                <w:szCs w:val="20"/>
                <w:color w:val="auto"/>
              </w:rPr>
            </w:pPr>
          </w:p>
        </w:tc>
        <w:tc>
          <w:tcPr>
            <w:tcW w:w="300" w:type="dxa"/>
            <w:vAlign w:val="bottom"/>
            <w:shd w:val="clear" w:color="auto" w:fill="D2EDF0"/>
          </w:tcPr>
          <w:p>
            <w:pPr>
              <w:spacing w:after="0"/>
              <w:rPr>
                <w:sz w:val="20"/>
                <w:szCs w:val="20"/>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3,915</w:t>
            </w:r>
          </w:p>
        </w:tc>
        <w:tc>
          <w:tcPr>
            <w:tcW w:w="80" w:type="dxa"/>
            <w:vAlign w:val="bottom"/>
            <w:shd w:val="clear" w:color="auto" w:fill="D2EDF0"/>
          </w:tcPr>
          <w:p>
            <w:pPr>
              <w:spacing w:after="0"/>
              <w:rPr>
                <w:sz w:val="20"/>
                <w:szCs w:val="20"/>
                <w:color w:val="auto"/>
              </w:rPr>
            </w:pPr>
          </w:p>
        </w:tc>
        <w:tc>
          <w:tcPr>
            <w:tcW w:w="420" w:type="dxa"/>
            <w:vAlign w:val="bottom"/>
            <w:shd w:val="clear" w:color="auto" w:fill="D2EDF0"/>
          </w:tcPr>
          <w:p>
            <w:pPr>
              <w:spacing w:after="0"/>
              <w:rPr>
                <w:sz w:val="20"/>
                <w:szCs w:val="20"/>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40"/>
        </w:trPr>
        <w:tc>
          <w:tcPr>
            <w:tcW w:w="49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940" w:type="dxa"/>
            <w:vAlign w:val="bottom"/>
            <w:shd w:val="clear" w:color="auto" w:fill="D2EDF0"/>
          </w:tcPr>
          <w:p>
            <w:pPr>
              <w:ind w:left="28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D2EDF0"/>
          </w:tcPr>
          <w:p>
            <w:pPr>
              <w:spacing w:after="0"/>
              <w:rPr>
                <w:sz w:val="20"/>
                <w:szCs w:val="20"/>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(51,256)</w:t>
            </w:r>
          </w:p>
        </w:tc>
        <w:tc>
          <w:tcPr>
            <w:tcW w:w="80" w:type="dxa"/>
            <w:vAlign w:val="bottom"/>
            <w:shd w:val="clear" w:color="auto" w:fill="D2EDF0"/>
          </w:tcPr>
          <w:p>
            <w:pPr>
              <w:spacing w:after="0"/>
              <w:rPr>
                <w:sz w:val="20"/>
                <w:szCs w:val="20"/>
                <w:color w:val="auto"/>
              </w:rPr>
            </w:pPr>
          </w:p>
        </w:tc>
        <w:tc>
          <w:tcPr>
            <w:tcW w:w="300" w:type="dxa"/>
            <w:vAlign w:val="bottom"/>
            <w:shd w:val="clear" w:color="auto" w:fill="D2EDF0"/>
          </w:tcPr>
          <w:p>
            <w:pPr>
              <w:spacing w:after="0"/>
              <w:rPr>
                <w:sz w:val="20"/>
                <w:szCs w:val="20"/>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(17,228)</w:t>
            </w:r>
          </w:p>
        </w:tc>
        <w:tc>
          <w:tcPr>
            <w:tcW w:w="80" w:type="dxa"/>
            <w:vAlign w:val="bottom"/>
            <w:shd w:val="clear" w:color="auto" w:fill="D2EDF0"/>
          </w:tcPr>
          <w:p>
            <w:pPr>
              <w:spacing w:after="0"/>
              <w:rPr>
                <w:sz w:val="20"/>
                <w:szCs w:val="20"/>
                <w:color w:val="auto"/>
              </w:rPr>
            </w:pPr>
          </w:p>
        </w:tc>
        <w:tc>
          <w:tcPr>
            <w:tcW w:w="420" w:type="dxa"/>
            <w:vAlign w:val="bottom"/>
            <w:shd w:val="clear" w:color="auto" w:fill="D2EDF0"/>
          </w:tcPr>
          <w:p>
            <w:pPr>
              <w:spacing w:after="0"/>
              <w:rPr>
                <w:sz w:val="20"/>
                <w:szCs w:val="20"/>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18"/>
                <w:szCs w:val="18"/>
                <w:color w:val="auto"/>
              </w:rPr>
              <w:t>(20,012)</w:t>
            </w:r>
          </w:p>
        </w:tc>
        <w:tc>
          <w:tcPr>
            <w:tcW w:w="0" w:type="dxa"/>
            <w:vAlign w:val="bottom"/>
          </w:tcPr>
          <w:p>
            <w:pPr>
              <w:spacing w:after="0"/>
              <w:rPr>
                <w:sz w:val="1"/>
                <w:szCs w:val="1"/>
                <w:color w:val="auto"/>
              </w:rPr>
            </w:pPr>
          </w:p>
        </w:tc>
      </w:tr>
      <w:tr>
        <w:trPr>
          <w:trHeight w:val="240"/>
        </w:trPr>
        <w:tc>
          <w:tcPr>
            <w:tcW w:w="494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(46,207)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(19,372)</w:t>
            </w:r>
          </w:p>
        </w:tc>
        <w:tc>
          <w:tcPr>
            <w:tcW w:w="0" w:type="dxa"/>
            <w:vAlign w:val="bottom"/>
          </w:tcPr>
          <w:p>
            <w:pPr>
              <w:spacing w:after="0"/>
              <w:rPr>
                <w:sz w:val="1"/>
                <w:szCs w:val="1"/>
                <w:color w:val="auto"/>
              </w:rPr>
            </w:pPr>
          </w:p>
        </w:tc>
      </w:tr>
      <w:tr>
        <w:trPr>
          <w:trHeight w:val="188"/>
        </w:trPr>
        <w:tc>
          <w:tcPr>
            <w:tcW w:w="4940" w:type="dxa"/>
            <w:vAlign w:val="bottom"/>
            <w:shd w:val="clear" w:color="auto" w:fill="D2EDF0"/>
          </w:tcPr>
          <w:p>
            <w:pPr>
              <w:ind w:left="280"/>
              <w:spacing w:after="0" w:line="188" w:lineRule="exact"/>
              <w:rPr>
                <w:sz w:val="20"/>
                <w:szCs w:val="20"/>
                <w:color w:val="auto"/>
              </w:rPr>
            </w:pPr>
            <w:r>
              <w:rPr>
                <w:rFonts w:ascii="Arial" w:cs="Arial" w:eastAsia="Arial" w:hAnsi="Arial"/>
                <w:sz w:val="18"/>
                <w:szCs w:val="18"/>
                <w:color w:val="auto"/>
              </w:rPr>
              <w:t>Accounts payable, accrued expenses and accrued</w:t>
            </w:r>
          </w:p>
        </w:tc>
        <w:tc>
          <w:tcPr>
            <w:tcW w:w="300" w:type="dxa"/>
            <w:vAlign w:val="bottom"/>
            <w:shd w:val="clear" w:color="auto" w:fill="D2EDF0"/>
          </w:tcPr>
          <w:p>
            <w:pPr>
              <w:spacing w:after="0"/>
              <w:rPr>
                <w:sz w:val="16"/>
                <w:szCs w:val="16"/>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409</w:t>
            </w:r>
          </w:p>
        </w:tc>
        <w:tc>
          <w:tcPr>
            <w:tcW w:w="80" w:type="dxa"/>
            <w:vAlign w:val="bottom"/>
            <w:shd w:val="clear" w:color="auto" w:fill="D2EDF0"/>
          </w:tcPr>
          <w:p>
            <w:pPr>
              <w:spacing w:after="0"/>
              <w:rPr>
                <w:sz w:val="16"/>
                <w:szCs w:val="16"/>
                <w:color w:val="auto"/>
              </w:rPr>
            </w:pPr>
          </w:p>
        </w:tc>
        <w:tc>
          <w:tcPr>
            <w:tcW w:w="300" w:type="dxa"/>
            <w:vAlign w:val="bottom"/>
            <w:shd w:val="clear" w:color="auto" w:fill="D2EDF0"/>
          </w:tcPr>
          <w:p>
            <w:pPr>
              <w:spacing w:after="0"/>
              <w:rPr>
                <w:sz w:val="16"/>
                <w:szCs w:val="16"/>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24,330</w:t>
            </w:r>
          </w:p>
        </w:tc>
        <w:tc>
          <w:tcPr>
            <w:tcW w:w="80" w:type="dxa"/>
            <w:vAlign w:val="bottom"/>
            <w:shd w:val="clear" w:color="auto" w:fill="D2EDF0"/>
          </w:tcPr>
          <w:p>
            <w:pPr>
              <w:spacing w:after="0"/>
              <w:rPr>
                <w:sz w:val="16"/>
                <w:szCs w:val="16"/>
                <w:color w:val="auto"/>
              </w:rPr>
            </w:pPr>
          </w:p>
        </w:tc>
        <w:tc>
          <w:tcPr>
            <w:tcW w:w="420" w:type="dxa"/>
            <w:vAlign w:val="bottom"/>
            <w:shd w:val="clear" w:color="auto" w:fill="D2EDF0"/>
          </w:tcPr>
          <w:p>
            <w:pPr>
              <w:spacing w:after="0"/>
              <w:rPr>
                <w:sz w:val="16"/>
                <w:szCs w:val="16"/>
                <w:color w:val="auto"/>
              </w:rPr>
            </w:pPr>
          </w:p>
        </w:tc>
        <w:tc>
          <w:tcPr>
            <w:tcW w:w="88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(5,282)</w:t>
            </w:r>
          </w:p>
        </w:tc>
        <w:tc>
          <w:tcPr>
            <w:tcW w:w="0" w:type="dxa"/>
            <w:vAlign w:val="bottom"/>
          </w:tcPr>
          <w:p>
            <w:pPr>
              <w:spacing w:after="0"/>
              <w:rPr>
                <w:sz w:val="1"/>
                <w:szCs w:val="1"/>
                <w:color w:val="auto"/>
              </w:rPr>
            </w:pPr>
          </w:p>
        </w:tc>
      </w:tr>
      <w:tr>
        <w:trPr>
          <w:trHeight w:val="248"/>
        </w:trPr>
        <w:tc>
          <w:tcPr>
            <w:tcW w:w="4940" w:type="dxa"/>
            <w:vAlign w:val="bottom"/>
            <w:shd w:val="clear" w:color="auto" w:fill="D2EDF0"/>
          </w:tcPr>
          <w:p>
            <w:pPr>
              <w:ind w:left="280"/>
              <w:spacing w:after="0"/>
              <w:rPr>
                <w:sz w:val="20"/>
                <w:szCs w:val="20"/>
                <w:color w:val="auto"/>
              </w:rPr>
            </w:pPr>
            <w:r>
              <w:rPr>
                <w:rFonts w:ascii="Arial" w:cs="Arial" w:eastAsia="Arial" w:hAnsi="Arial"/>
                <w:sz w:val="18"/>
                <w:szCs w:val="18"/>
                <w:color w:val="auto"/>
              </w:rPr>
              <w:t>compensation</w:t>
            </w:r>
          </w:p>
        </w:tc>
        <w:tc>
          <w:tcPr>
            <w:tcW w:w="300" w:type="dxa"/>
            <w:vAlign w:val="bottom"/>
            <w:shd w:val="clear" w:color="auto" w:fill="D2EDF0"/>
          </w:tcPr>
          <w:p>
            <w:pPr>
              <w:spacing w:after="0"/>
              <w:rPr>
                <w:sz w:val="21"/>
                <w:szCs w:val="21"/>
                <w:color w:val="auto"/>
              </w:rPr>
            </w:pPr>
          </w:p>
        </w:tc>
        <w:tc>
          <w:tcPr>
            <w:tcW w:w="10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300" w:type="dxa"/>
            <w:vAlign w:val="bottom"/>
            <w:shd w:val="clear" w:color="auto" w:fill="D2EDF0"/>
          </w:tcPr>
          <w:p>
            <w:pPr>
              <w:spacing w:after="0"/>
              <w:rPr>
                <w:sz w:val="21"/>
                <w:szCs w:val="21"/>
                <w:color w:val="auto"/>
              </w:rPr>
            </w:pPr>
          </w:p>
        </w:tc>
        <w:tc>
          <w:tcPr>
            <w:tcW w:w="10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420" w:type="dxa"/>
            <w:vAlign w:val="bottom"/>
            <w:shd w:val="clear" w:color="auto" w:fill="D2EDF0"/>
          </w:tcPr>
          <w:p>
            <w:pPr>
              <w:spacing w:after="0"/>
              <w:rPr>
                <w:sz w:val="21"/>
                <w:szCs w:val="21"/>
                <w:color w:val="auto"/>
              </w:rPr>
            </w:pPr>
          </w:p>
        </w:tc>
        <w:tc>
          <w:tcPr>
            <w:tcW w:w="880" w:type="dxa"/>
            <w:vAlign w:val="bottom"/>
            <w:vMerge w:val="continue"/>
            <w:shd w:val="clear" w:color="auto" w:fill="D2EDF0"/>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94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132,622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92,486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71,383</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D2EDF0"/>
            </w:tcBorders>
            <w:shd w:val="clear" w:color="auto" w:fill="D2EDF0"/>
          </w:tcPr>
          <w:p>
            <w:pPr>
              <w:ind w:left="280"/>
              <w:spacing w:after="0"/>
              <w:rPr>
                <w:sz w:val="20"/>
                <w:szCs w:val="20"/>
                <w:color w:val="auto"/>
              </w:rPr>
            </w:pPr>
            <w:r>
              <w:rPr>
                <w:rFonts w:ascii="Arial" w:cs="Arial" w:eastAsia="Arial" w:hAnsi="Arial"/>
                <w:sz w:val="18"/>
                <w:szCs w:val="18"/>
                <w:color w:val="auto"/>
              </w:rPr>
              <w:t>Other current and noncurrent liabilities</w:t>
            </w:r>
          </w:p>
        </w:tc>
        <w:tc>
          <w:tcPr>
            <w:tcW w:w="300" w:type="dxa"/>
            <w:vAlign w:val="bottom"/>
            <w:tcBorders>
              <w:bottom w:val="single" w:sz="8" w:color="auto"/>
            </w:tcBorders>
            <w:shd w:val="clear" w:color="auto" w:fill="D2EDF0"/>
          </w:tcPr>
          <w:p>
            <w:pPr>
              <w:spacing w:after="0"/>
              <w:rPr>
                <w:sz w:val="21"/>
                <w:szCs w:val="21"/>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18"/>
                <w:szCs w:val="18"/>
                <w:color w:val="auto"/>
              </w:rPr>
              <w:t>(1,023)</w:t>
            </w:r>
          </w:p>
        </w:tc>
        <w:tc>
          <w:tcPr>
            <w:tcW w:w="80" w:type="dxa"/>
            <w:vAlign w:val="bottom"/>
            <w:tcBorders>
              <w:bottom w:val="single" w:sz="8" w:color="D2EDF0"/>
            </w:tcBorders>
            <w:shd w:val="clear" w:color="auto" w:fill="D2EDF0"/>
          </w:tcPr>
          <w:p>
            <w:pPr>
              <w:spacing w:after="0"/>
              <w:rPr>
                <w:sz w:val="21"/>
                <w:szCs w:val="21"/>
                <w:color w:val="auto"/>
              </w:rPr>
            </w:pPr>
          </w:p>
        </w:tc>
        <w:tc>
          <w:tcPr>
            <w:tcW w:w="300" w:type="dxa"/>
            <w:vAlign w:val="bottom"/>
            <w:tcBorders>
              <w:bottom w:val="single" w:sz="8" w:color="auto"/>
            </w:tcBorders>
            <w:shd w:val="clear" w:color="auto" w:fill="D2EDF0"/>
          </w:tcPr>
          <w:p>
            <w:pPr>
              <w:spacing w:after="0"/>
              <w:rPr>
                <w:sz w:val="21"/>
                <w:szCs w:val="21"/>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18"/>
                <w:szCs w:val="18"/>
                <w:color w:val="auto"/>
              </w:rPr>
              <w:t>1,039</w:t>
            </w:r>
          </w:p>
        </w:tc>
        <w:tc>
          <w:tcPr>
            <w:tcW w:w="80" w:type="dxa"/>
            <w:vAlign w:val="bottom"/>
            <w:tcBorders>
              <w:bottom w:val="single" w:sz="8" w:color="D2EDF0"/>
            </w:tcBorders>
            <w:shd w:val="clear" w:color="auto" w:fill="D2EDF0"/>
          </w:tcPr>
          <w:p>
            <w:pPr>
              <w:spacing w:after="0"/>
              <w:rPr>
                <w:sz w:val="21"/>
                <w:szCs w:val="21"/>
                <w:color w:val="auto"/>
              </w:rPr>
            </w:pPr>
          </w:p>
        </w:tc>
        <w:tc>
          <w:tcPr>
            <w:tcW w:w="420" w:type="dxa"/>
            <w:vAlign w:val="bottom"/>
            <w:tcBorders>
              <w:bottom w:val="single" w:sz="8" w:color="auto"/>
            </w:tcBorders>
            <w:shd w:val="clear" w:color="auto" w:fill="D2EDF0"/>
          </w:tcPr>
          <w:p>
            <w:pPr>
              <w:spacing w:after="0"/>
              <w:rPr>
                <w:sz w:val="21"/>
                <w:szCs w:val="21"/>
                <w:color w:val="auto"/>
              </w:rPr>
            </w:pPr>
          </w:p>
        </w:tc>
        <w:tc>
          <w:tcPr>
            <w:tcW w:w="88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18"/>
                <w:szCs w:val="18"/>
                <w:color w:val="auto"/>
              </w:rPr>
              <w:t>8,808</w:t>
            </w:r>
          </w:p>
        </w:tc>
        <w:tc>
          <w:tcPr>
            <w:tcW w:w="0" w:type="dxa"/>
            <w:vAlign w:val="bottom"/>
          </w:tcPr>
          <w:p>
            <w:pPr>
              <w:spacing w:after="0"/>
              <w:rPr>
                <w:sz w:val="1"/>
                <w:szCs w:val="1"/>
                <w:color w:val="auto"/>
              </w:rPr>
            </w:pPr>
          </w:p>
        </w:tc>
      </w:tr>
      <w:tr>
        <w:trPr>
          <w:trHeight w:val="210"/>
        </w:trPr>
        <w:tc>
          <w:tcPr>
            <w:tcW w:w="4940" w:type="dxa"/>
            <w:vAlign w:val="bottom"/>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131,151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96,765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64,232</w:t>
            </w:r>
          </w:p>
        </w:tc>
        <w:tc>
          <w:tcPr>
            <w:tcW w:w="0" w:type="dxa"/>
            <w:vAlign w:val="bottom"/>
          </w:tcPr>
          <w:p>
            <w:pPr>
              <w:spacing w:after="0"/>
              <w:rPr>
                <w:sz w:val="1"/>
                <w:szCs w:val="1"/>
                <w:color w:val="auto"/>
              </w:rPr>
            </w:pPr>
          </w:p>
        </w:tc>
      </w:tr>
      <w:tr>
        <w:trPr>
          <w:trHeight w:val="195"/>
        </w:trPr>
        <w:tc>
          <w:tcPr>
            <w:tcW w:w="4940" w:type="dxa"/>
            <w:vAlign w:val="bottom"/>
            <w:shd w:val="clear" w:color="auto" w:fill="D2EDF0"/>
          </w:tcPr>
          <w:p>
            <w:pPr>
              <w:spacing w:after="0"/>
              <w:rPr>
                <w:sz w:val="16"/>
                <w:szCs w:val="16"/>
                <w:color w:val="auto"/>
              </w:rPr>
            </w:pPr>
          </w:p>
        </w:tc>
        <w:tc>
          <w:tcPr>
            <w:tcW w:w="300" w:type="dxa"/>
            <w:vAlign w:val="bottom"/>
            <w:shd w:val="clear" w:color="auto" w:fill="D2EDF0"/>
          </w:tcPr>
          <w:p>
            <w:pPr>
              <w:spacing w:after="0"/>
              <w:rPr>
                <w:sz w:val="16"/>
                <w:szCs w:val="16"/>
                <w:color w:val="auto"/>
              </w:rPr>
            </w:pPr>
          </w:p>
        </w:tc>
        <w:tc>
          <w:tcPr>
            <w:tcW w:w="1000" w:type="dxa"/>
            <w:vAlign w:val="bottom"/>
            <w:shd w:val="clear" w:color="auto" w:fill="D2EDF0"/>
          </w:tcPr>
          <w:p>
            <w:pPr>
              <w:spacing w:after="0"/>
              <w:rPr>
                <w:sz w:val="16"/>
                <w:szCs w:val="16"/>
                <w:color w:val="auto"/>
              </w:rPr>
            </w:pPr>
          </w:p>
        </w:tc>
        <w:tc>
          <w:tcPr>
            <w:tcW w:w="80" w:type="dxa"/>
            <w:vAlign w:val="bottom"/>
            <w:shd w:val="clear" w:color="auto" w:fill="D2EDF0"/>
          </w:tcPr>
          <w:p>
            <w:pPr>
              <w:spacing w:after="0"/>
              <w:rPr>
                <w:sz w:val="16"/>
                <w:szCs w:val="16"/>
                <w:color w:val="auto"/>
              </w:rPr>
            </w:pPr>
          </w:p>
        </w:tc>
        <w:tc>
          <w:tcPr>
            <w:tcW w:w="300" w:type="dxa"/>
            <w:vAlign w:val="bottom"/>
            <w:shd w:val="clear" w:color="auto" w:fill="D2EDF0"/>
          </w:tcPr>
          <w:p>
            <w:pPr>
              <w:spacing w:after="0"/>
              <w:rPr>
                <w:sz w:val="16"/>
                <w:szCs w:val="16"/>
                <w:color w:val="auto"/>
              </w:rPr>
            </w:pPr>
          </w:p>
        </w:tc>
        <w:tc>
          <w:tcPr>
            <w:tcW w:w="1000" w:type="dxa"/>
            <w:vAlign w:val="bottom"/>
            <w:shd w:val="clear" w:color="auto" w:fill="D2EDF0"/>
          </w:tcPr>
          <w:p>
            <w:pPr>
              <w:spacing w:after="0"/>
              <w:rPr>
                <w:sz w:val="16"/>
                <w:szCs w:val="16"/>
                <w:color w:val="auto"/>
              </w:rPr>
            </w:pPr>
          </w:p>
        </w:tc>
        <w:tc>
          <w:tcPr>
            <w:tcW w:w="80" w:type="dxa"/>
            <w:vAlign w:val="bottom"/>
            <w:shd w:val="clear" w:color="auto" w:fill="D2EDF0"/>
          </w:tcPr>
          <w:p>
            <w:pPr>
              <w:spacing w:after="0"/>
              <w:rPr>
                <w:sz w:val="16"/>
                <w:szCs w:val="16"/>
                <w:color w:val="auto"/>
              </w:rPr>
            </w:pPr>
          </w:p>
        </w:tc>
        <w:tc>
          <w:tcPr>
            <w:tcW w:w="420" w:type="dxa"/>
            <w:vAlign w:val="bottom"/>
            <w:shd w:val="clear" w:color="auto" w:fill="D2EDF0"/>
          </w:tcPr>
          <w:p>
            <w:pPr>
              <w:spacing w:after="0"/>
              <w:rPr>
                <w:sz w:val="16"/>
                <w:szCs w:val="16"/>
                <w:color w:val="auto"/>
              </w:rPr>
            </w:pPr>
          </w:p>
        </w:tc>
        <w:tc>
          <w:tcPr>
            <w:tcW w:w="880" w:type="dxa"/>
            <w:vAlign w:val="bottom"/>
            <w:shd w:val="clear" w:color="auto" w:fill="D2EDF0"/>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940" w:type="dxa"/>
            <w:vAlign w:val="bottom"/>
          </w:tcPr>
          <w:p>
            <w:pPr>
              <w:ind w:left="6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940" w:type="dxa"/>
            <w:vAlign w:val="bottom"/>
            <w:shd w:val="clear" w:color="auto" w:fill="D2EDF0"/>
          </w:tcPr>
          <w:p>
            <w:pPr>
              <w:ind w:left="6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shd w:val="clear" w:color="auto" w:fill="D2EDF0"/>
          </w:tcPr>
          <w:p>
            <w:pPr>
              <w:spacing w:after="0"/>
              <w:rPr>
                <w:sz w:val="20"/>
                <w:szCs w:val="20"/>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(9,359)</w:t>
            </w:r>
          </w:p>
        </w:tc>
        <w:tc>
          <w:tcPr>
            <w:tcW w:w="80" w:type="dxa"/>
            <w:vAlign w:val="bottom"/>
            <w:shd w:val="clear" w:color="auto" w:fill="D2EDF0"/>
          </w:tcPr>
          <w:p>
            <w:pPr>
              <w:spacing w:after="0"/>
              <w:rPr>
                <w:sz w:val="20"/>
                <w:szCs w:val="20"/>
                <w:color w:val="auto"/>
              </w:rPr>
            </w:pPr>
          </w:p>
        </w:tc>
        <w:tc>
          <w:tcPr>
            <w:tcW w:w="300" w:type="dxa"/>
            <w:vAlign w:val="bottom"/>
            <w:shd w:val="clear" w:color="auto" w:fill="D2EDF0"/>
          </w:tcPr>
          <w:p>
            <w:pPr>
              <w:spacing w:after="0"/>
              <w:rPr>
                <w:sz w:val="20"/>
                <w:szCs w:val="20"/>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(3,887)</w:t>
            </w:r>
          </w:p>
        </w:tc>
        <w:tc>
          <w:tcPr>
            <w:tcW w:w="80" w:type="dxa"/>
            <w:vAlign w:val="bottom"/>
            <w:shd w:val="clear" w:color="auto" w:fill="D2EDF0"/>
          </w:tcPr>
          <w:p>
            <w:pPr>
              <w:spacing w:after="0"/>
              <w:rPr>
                <w:sz w:val="20"/>
                <w:szCs w:val="20"/>
                <w:color w:val="auto"/>
              </w:rPr>
            </w:pPr>
          </w:p>
        </w:tc>
        <w:tc>
          <w:tcPr>
            <w:tcW w:w="420" w:type="dxa"/>
            <w:vAlign w:val="bottom"/>
            <w:shd w:val="clear" w:color="auto" w:fill="D2EDF0"/>
          </w:tcPr>
          <w:p>
            <w:pPr>
              <w:spacing w:after="0"/>
              <w:rPr>
                <w:sz w:val="20"/>
                <w:szCs w:val="20"/>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18"/>
                <w:szCs w:val="18"/>
                <w:color w:val="auto"/>
              </w:rPr>
              <w:t>(18,882)</w:t>
            </w:r>
          </w:p>
        </w:tc>
        <w:tc>
          <w:tcPr>
            <w:tcW w:w="0" w:type="dxa"/>
            <w:vAlign w:val="bottom"/>
          </w:tcPr>
          <w:p>
            <w:pPr>
              <w:spacing w:after="0"/>
              <w:rPr>
                <w:sz w:val="1"/>
                <w:szCs w:val="1"/>
                <w:color w:val="auto"/>
              </w:rPr>
            </w:pPr>
          </w:p>
        </w:tc>
      </w:tr>
      <w:tr>
        <w:trPr>
          <w:trHeight w:val="240"/>
        </w:trPr>
        <w:tc>
          <w:tcPr>
            <w:tcW w:w="4940" w:type="dxa"/>
            <w:vAlign w:val="bottom"/>
          </w:tcPr>
          <w:p>
            <w:pPr>
              <w:ind w:left="60"/>
              <w:spacing w:after="0"/>
              <w:rPr>
                <w:sz w:val="20"/>
                <w:szCs w:val="20"/>
                <w:color w:val="auto"/>
              </w:rPr>
            </w:pPr>
            <w:r>
              <w:rPr>
                <w:rFonts w:ascii="Arial" w:cs="Arial" w:eastAsia="Arial" w:hAnsi="Arial"/>
                <w:sz w:val="18"/>
                <w:szCs w:val="18"/>
                <w:color w:val="auto"/>
              </w:rPr>
              <w:t>Capitalized software development costs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(9,789)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40"/>
        </w:trPr>
        <w:tc>
          <w:tcPr>
            <w:tcW w:w="4940" w:type="dxa"/>
            <w:vAlign w:val="bottom"/>
            <w:shd w:val="clear" w:color="auto" w:fill="D2EDF0"/>
          </w:tcPr>
          <w:p>
            <w:pPr>
              <w:ind w:left="60"/>
              <w:spacing w:after="0"/>
              <w:rPr>
                <w:sz w:val="20"/>
                <w:szCs w:val="20"/>
                <w:color w:val="auto"/>
              </w:rPr>
            </w:pPr>
            <w:r>
              <w:rPr>
                <w:rFonts w:ascii="Arial" w:cs="Arial" w:eastAsia="Arial" w:hAnsi="Arial"/>
                <w:sz w:val="18"/>
                <w:szCs w:val="18"/>
                <w:color w:val="auto"/>
              </w:rPr>
              <w:t>Purchases of short-term investments</w:t>
            </w:r>
          </w:p>
        </w:tc>
        <w:tc>
          <w:tcPr>
            <w:tcW w:w="300" w:type="dxa"/>
            <w:vAlign w:val="bottom"/>
            <w:shd w:val="clear" w:color="auto" w:fill="D2EDF0"/>
          </w:tcPr>
          <w:p>
            <w:pPr>
              <w:spacing w:after="0"/>
              <w:rPr>
                <w:sz w:val="20"/>
                <w:szCs w:val="20"/>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(266,693)</w:t>
            </w:r>
          </w:p>
        </w:tc>
        <w:tc>
          <w:tcPr>
            <w:tcW w:w="80" w:type="dxa"/>
            <w:vAlign w:val="bottom"/>
            <w:shd w:val="clear" w:color="auto" w:fill="D2EDF0"/>
          </w:tcPr>
          <w:p>
            <w:pPr>
              <w:spacing w:after="0"/>
              <w:rPr>
                <w:sz w:val="20"/>
                <w:szCs w:val="20"/>
                <w:color w:val="auto"/>
              </w:rPr>
            </w:pPr>
          </w:p>
        </w:tc>
        <w:tc>
          <w:tcPr>
            <w:tcW w:w="300" w:type="dxa"/>
            <w:vAlign w:val="bottom"/>
            <w:shd w:val="clear" w:color="auto" w:fill="D2EDF0"/>
          </w:tcPr>
          <w:p>
            <w:pPr>
              <w:spacing w:after="0"/>
              <w:rPr>
                <w:sz w:val="20"/>
                <w:szCs w:val="20"/>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(282,438)</w:t>
            </w:r>
          </w:p>
        </w:tc>
        <w:tc>
          <w:tcPr>
            <w:tcW w:w="80" w:type="dxa"/>
            <w:vAlign w:val="bottom"/>
            <w:shd w:val="clear" w:color="auto" w:fill="D2EDF0"/>
          </w:tcPr>
          <w:p>
            <w:pPr>
              <w:spacing w:after="0"/>
              <w:rPr>
                <w:sz w:val="20"/>
                <w:szCs w:val="20"/>
                <w:color w:val="auto"/>
              </w:rPr>
            </w:pPr>
          </w:p>
        </w:tc>
        <w:tc>
          <w:tcPr>
            <w:tcW w:w="420" w:type="dxa"/>
            <w:vAlign w:val="bottom"/>
            <w:shd w:val="clear" w:color="auto" w:fill="D2EDF0"/>
          </w:tcPr>
          <w:p>
            <w:pPr>
              <w:spacing w:after="0"/>
              <w:rPr>
                <w:sz w:val="20"/>
                <w:szCs w:val="20"/>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18"/>
                <w:szCs w:val="18"/>
                <w:color w:val="auto"/>
              </w:rPr>
              <w:t>(184,516)</w:t>
            </w:r>
          </w:p>
        </w:tc>
        <w:tc>
          <w:tcPr>
            <w:tcW w:w="0" w:type="dxa"/>
            <w:vAlign w:val="bottom"/>
          </w:tcPr>
          <w:p>
            <w:pPr>
              <w:spacing w:after="0"/>
              <w:rPr>
                <w:sz w:val="1"/>
                <w:szCs w:val="1"/>
                <w:color w:val="auto"/>
              </w:rPr>
            </w:pPr>
          </w:p>
        </w:tc>
      </w:tr>
      <w:tr>
        <w:trPr>
          <w:trHeight w:val="240"/>
        </w:trPr>
        <w:tc>
          <w:tcPr>
            <w:tcW w:w="4940" w:type="dxa"/>
            <w:vAlign w:val="bottom"/>
          </w:tcPr>
          <w:p>
            <w:pPr>
              <w:ind w:left="60"/>
              <w:spacing w:after="0"/>
              <w:rPr>
                <w:sz w:val="20"/>
                <w:szCs w:val="20"/>
                <w:color w:val="auto"/>
              </w:rPr>
            </w:pPr>
            <w:r>
              <w:rPr>
                <w:rFonts w:ascii="Arial" w:cs="Arial" w:eastAsia="Arial" w:hAnsi="Arial"/>
                <w:sz w:val="18"/>
                <w:szCs w:val="18"/>
                <w:color w:val="auto"/>
              </w:rPr>
              <w:t>Sales and maturities of short-term investments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234,569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160,874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209,148</w:t>
            </w:r>
          </w:p>
        </w:tc>
        <w:tc>
          <w:tcPr>
            <w:tcW w:w="0" w:type="dxa"/>
            <w:vAlign w:val="bottom"/>
          </w:tcPr>
          <w:p>
            <w:pPr>
              <w:spacing w:after="0"/>
              <w:rPr>
                <w:sz w:val="1"/>
                <w:szCs w:val="1"/>
                <w:color w:val="auto"/>
              </w:rPr>
            </w:pPr>
          </w:p>
        </w:tc>
      </w:tr>
      <w:tr>
        <w:trPr>
          <w:trHeight w:val="240"/>
        </w:trPr>
        <w:tc>
          <w:tcPr>
            <w:tcW w:w="4940" w:type="dxa"/>
            <w:vAlign w:val="bottom"/>
            <w:shd w:val="clear" w:color="auto" w:fill="D2EDF0"/>
          </w:tcPr>
          <w:p>
            <w:pPr>
              <w:ind w:left="60"/>
              <w:spacing w:after="0"/>
              <w:rPr>
                <w:sz w:val="20"/>
                <w:szCs w:val="20"/>
                <w:color w:val="auto"/>
              </w:rPr>
            </w:pPr>
            <w:r>
              <w:rPr>
                <w:rFonts w:ascii="Arial" w:cs="Arial" w:eastAsia="Arial" w:hAnsi="Arial"/>
                <w:sz w:val="18"/>
                <w:szCs w:val="18"/>
                <w:color w:val="auto"/>
              </w:rPr>
              <w:t>Purchases of other investments</w:t>
            </w:r>
          </w:p>
        </w:tc>
        <w:tc>
          <w:tcPr>
            <w:tcW w:w="300" w:type="dxa"/>
            <w:vAlign w:val="bottom"/>
            <w:shd w:val="clear" w:color="auto" w:fill="D2EDF0"/>
          </w:tcPr>
          <w:p>
            <w:pPr>
              <w:spacing w:after="0"/>
              <w:rPr>
                <w:sz w:val="20"/>
                <w:szCs w:val="20"/>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D2EDF0"/>
          </w:tcPr>
          <w:p>
            <w:pPr>
              <w:spacing w:after="0"/>
              <w:rPr>
                <w:sz w:val="20"/>
                <w:szCs w:val="20"/>
                <w:color w:val="auto"/>
              </w:rPr>
            </w:pPr>
          </w:p>
        </w:tc>
        <w:tc>
          <w:tcPr>
            <w:tcW w:w="300" w:type="dxa"/>
            <w:vAlign w:val="bottom"/>
            <w:shd w:val="clear" w:color="auto" w:fill="D2EDF0"/>
          </w:tcPr>
          <w:p>
            <w:pPr>
              <w:spacing w:after="0"/>
              <w:rPr>
                <w:sz w:val="20"/>
                <w:szCs w:val="20"/>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D2EDF0"/>
          </w:tcPr>
          <w:p>
            <w:pPr>
              <w:spacing w:after="0"/>
              <w:rPr>
                <w:sz w:val="20"/>
                <w:szCs w:val="20"/>
                <w:color w:val="auto"/>
              </w:rPr>
            </w:pPr>
          </w:p>
        </w:tc>
        <w:tc>
          <w:tcPr>
            <w:tcW w:w="420" w:type="dxa"/>
            <w:vAlign w:val="bottom"/>
            <w:shd w:val="clear" w:color="auto" w:fill="D2EDF0"/>
          </w:tcPr>
          <w:p>
            <w:pPr>
              <w:spacing w:after="0"/>
              <w:rPr>
                <w:sz w:val="20"/>
                <w:szCs w:val="20"/>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18"/>
                <w:szCs w:val="18"/>
                <w:color w:val="auto"/>
              </w:rPr>
              <w:t>Business combinations, net of cash acquired</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(66,767)</w:t>
            </w:r>
          </w:p>
        </w:tc>
        <w:tc>
          <w:tcPr>
            <w:tcW w:w="80" w:type="dxa"/>
            <w:vAlign w:val="bottom"/>
            <w:tcBorders>
              <w:bottom w:val="single" w:sz="8" w:color="D2EDF0"/>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(258,465)</w:t>
            </w:r>
          </w:p>
        </w:tc>
        <w:tc>
          <w:tcPr>
            <w:tcW w:w="80" w:type="dxa"/>
            <w:vAlign w:val="bottom"/>
            <w:tcBorders>
              <w:bottom w:val="single" w:sz="8" w:color="D2EDF0"/>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4940" w:type="dxa"/>
            <w:vAlign w:val="bottom"/>
            <w:shd w:val="clear" w:color="auto" w:fill="D2EDF0"/>
          </w:tcPr>
          <w:p>
            <w:pPr>
              <w:ind w:left="540"/>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shd w:val="clear" w:color="auto" w:fill="D2EDF0"/>
          </w:tcPr>
          <w:p>
            <w:pPr>
              <w:spacing w:after="0"/>
              <w:rPr>
                <w:sz w:val="20"/>
                <w:szCs w:val="20"/>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(128,039)</w:t>
            </w:r>
          </w:p>
        </w:tc>
        <w:tc>
          <w:tcPr>
            <w:tcW w:w="80" w:type="dxa"/>
            <w:vAlign w:val="bottom"/>
            <w:shd w:val="clear" w:color="auto" w:fill="D2EDF0"/>
          </w:tcPr>
          <w:p>
            <w:pPr>
              <w:spacing w:after="0"/>
              <w:rPr>
                <w:sz w:val="20"/>
                <w:szCs w:val="20"/>
                <w:color w:val="auto"/>
              </w:rPr>
            </w:pPr>
          </w:p>
        </w:tc>
        <w:tc>
          <w:tcPr>
            <w:tcW w:w="300" w:type="dxa"/>
            <w:vAlign w:val="bottom"/>
            <w:shd w:val="clear" w:color="auto" w:fill="D2EDF0"/>
          </w:tcPr>
          <w:p>
            <w:pPr>
              <w:spacing w:after="0"/>
              <w:rPr>
                <w:sz w:val="20"/>
                <w:szCs w:val="20"/>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(391,590)</w:t>
            </w:r>
          </w:p>
        </w:tc>
        <w:tc>
          <w:tcPr>
            <w:tcW w:w="80" w:type="dxa"/>
            <w:vAlign w:val="bottom"/>
            <w:shd w:val="clear" w:color="auto" w:fill="D2EDF0"/>
          </w:tcPr>
          <w:p>
            <w:pPr>
              <w:spacing w:after="0"/>
              <w:rPr>
                <w:sz w:val="20"/>
                <w:szCs w:val="20"/>
                <w:color w:val="auto"/>
              </w:rPr>
            </w:pPr>
          </w:p>
        </w:tc>
        <w:tc>
          <w:tcPr>
            <w:tcW w:w="420" w:type="dxa"/>
            <w:vAlign w:val="bottom"/>
            <w:shd w:val="clear" w:color="auto" w:fill="D2EDF0"/>
          </w:tcPr>
          <w:p>
            <w:pPr>
              <w:spacing w:after="0"/>
              <w:rPr>
                <w:sz w:val="20"/>
                <w:szCs w:val="20"/>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195"/>
        </w:trPr>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940" w:type="dxa"/>
            <w:vAlign w:val="bottom"/>
            <w:shd w:val="clear" w:color="auto" w:fill="D2EDF0"/>
          </w:tcPr>
          <w:p>
            <w:pPr>
              <w:ind w:left="6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D2EDF0"/>
          </w:tcPr>
          <w:p>
            <w:pPr>
              <w:spacing w:after="0"/>
              <w:rPr>
                <w:sz w:val="20"/>
                <w:szCs w:val="20"/>
                <w:color w:val="auto"/>
              </w:rPr>
            </w:pPr>
          </w:p>
        </w:tc>
        <w:tc>
          <w:tcPr>
            <w:tcW w:w="1000" w:type="dxa"/>
            <w:vAlign w:val="bottom"/>
            <w:shd w:val="clear" w:color="auto" w:fill="D2EDF0"/>
          </w:tcPr>
          <w:p>
            <w:pPr>
              <w:spacing w:after="0"/>
              <w:rPr>
                <w:sz w:val="20"/>
                <w:szCs w:val="20"/>
                <w:color w:val="auto"/>
              </w:rPr>
            </w:pPr>
          </w:p>
        </w:tc>
        <w:tc>
          <w:tcPr>
            <w:tcW w:w="80" w:type="dxa"/>
            <w:vAlign w:val="bottom"/>
            <w:shd w:val="clear" w:color="auto" w:fill="D2EDF0"/>
          </w:tcPr>
          <w:p>
            <w:pPr>
              <w:spacing w:after="0"/>
              <w:rPr>
                <w:sz w:val="20"/>
                <w:szCs w:val="20"/>
                <w:color w:val="auto"/>
              </w:rPr>
            </w:pPr>
          </w:p>
        </w:tc>
        <w:tc>
          <w:tcPr>
            <w:tcW w:w="300" w:type="dxa"/>
            <w:vAlign w:val="bottom"/>
            <w:shd w:val="clear" w:color="auto" w:fill="D2EDF0"/>
          </w:tcPr>
          <w:p>
            <w:pPr>
              <w:spacing w:after="0"/>
              <w:rPr>
                <w:sz w:val="20"/>
                <w:szCs w:val="20"/>
                <w:color w:val="auto"/>
              </w:rPr>
            </w:pPr>
          </w:p>
        </w:tc>
        <w:tc>
          <w:tcPr>
            <w:tcW w:w="1000" w:type="dxa"/>
            <w:vAlign w:val="bottom"/>
            <w:shd w:val="clear" w:color="auto" w:fill="D2EDF0"/>
          </w:tcPr>
          <w:p>
            <w:pPr>
              <w:spacing w:after="0"/>
              <w:rPr>
                <w:sz w:val="20"/>
                <w:szCs w:val="20"/>
                <w:color w:val="auto"/>
              </w:rPr>
            </w:pPr>
          </w:p>
        </w:tc>
        <w:tc>
          <w:tcPr>
            <w:tcW w:w="80" w:type="dxa"/>
            <w:vAlign w:val="bottom"/>
            <w:shd w:val="clear" w:color="auto" w:fill="D2EDF0"/>
          </w:tcPr>
          <w:p>
            <w:pPr>
              <w:spacing w:after="0"/>
              <w:rPr>
                <w:sz w:val="20"/>
                <w:szCs w:val="20"/>
                <w:color w:val="auto"/>
              </w:rPr>
            </w:pPr>
          </w:p>
        </w:tc>
        <w:tc>
          <w:tcPr>
            <w:tcW w:w="420" w:type="dxa"/>
            <w:vAlign w:val="bottom"/>
            <w:shd w:val="clear" w:color="auto" w:fill="D2EDF0"/>
          </w:tcPr>
          <w:p>
            <w:pPr>
              <w:spacing w:after="0"/>
              <w:rPr>
                <w:sz w:val="20"/>
                <w:szCs w:val="20"/>
                <w:color w:val="auto"/>
              </w:rPr>
            </w:pPr>
          </w:p>
        </w:tc>
        <w:tc>
          <w:tcPr>
            <w:tcW w:w="880" w:type="dxa"/>
            <w:vAlign w:val="bottom"/>
            <w:shd w:val="clear" w:color="auto" w:fill="D2EDF0"/>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940" w:type="dxa"/>
            <w:vAlign w:val="bottom"/>
          </w:tcPr>
          <w:p>
            <w:pPr>
              <w:ind w:left="60"/>
              <w:spacing w:after="0"/>
              <w:rPr>
                <w:sz w:val="20"/>
                <w:szCs w:val="20"/>
                <w:color w:val="auto"/>
              </w:rPr>
            </w:pPr>
            <w:r>
              <w:rPr>
                <w:rFonts w:ascii="Arial" w:cs="Arial" w:eastAsia="Arial" w:hAnsi="Arial"/>
                <w:sz w:val="18"/>
                <w:szCs w:val="18"/>
                <w:color w:val="auto"/>
              </w:rPr>
              <w:t>Payments on term loan</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4940" w:type="dxa"/>
            <w:vAlign w:val="bottom"/>
            <w:shd w:val="clear" w:color="auto" w:fill="D2EDF0"/>
          </w:tcPr>
          <w:p>
            <w:pPr>
              <w:ind w:left="60"/>
              <w:spacing w:after="0"/>
              <w:rPr>
                <w:sz w:val="20"/>
                <w:szCs w:val="20"/>
                <w:color w:val="auto"/>
              </w:rPr>
            </w:pPr>
            <w:r>
              <w:rPr>
                <w:rFonts w:ascii="Arial" w:cs="Arial" w:eastAsia="Arial" w:hAnsi="Arial"/>
                <w:sz w:val="18"/>
                <w:szCs w:val="18"/>
                <w:color w:val="auto"/>
              </w:rPr>
              <w:t>Proceeds from term loan</w:t>
            </w:r>
          </w:p>
        </w:tc>
        <w:tc>
          <w:tcPr>
            <w:tcW w:w="300" w:type="dxa"/>
            <w:vAlign w:val="bottom"/>
            <w:shd w:val="clear" w:color="auto" w:fill="D2EDF0"/>
          </w:tcPr>
          <w:p>
            <w:pPr>
              <w:spacing w:after="0"/>
              <w:rPr>
                <w:sz w:val="20"/>
                <w:szCs w:val="20"/>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2EDF0"/>
          </w:tcPr>
          <w:p>
            <w:pPr>
              <w:spacing w:after="0"/>
              <w:rPr>
                <w:sz w:val="20"/>
                <w:szCs w:val="20"/>
                <w:color w:val="auto"/>
              </w:rPr>
            </w:pPr>
          </w:p>
        </w:tc>
        <w:tc>
          <w:tcPr>
            <w:tcW w:w="300" w:type="dxa"/>
            <w:vAlign w:val="bottom"/>
            <w:shd w:val="clear" w:color="auto" w:fill="D2EDF0"/>
          </w:tcPr>
          <w:p>
            <w:pPr>
              <w:spacing w:after="0"/>
              <w:rPr>
                <w:sz w:val="20"/>
                <w:szCs w:val="20"/>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shd w:val="clear" w:color="auto" w:fill="D2EDF0"/>
          </w:tcPr>
          <w:p>
            <w:pPr>
              <w:spacing w:after="0"/>
              <w:rPr>
                <w:sz w:val="20"/>
                <w:szCs w:val="20"/>
                <w:color w:val="auto"/>
              </w:rPr>
            </w:pPr>
          </w:p>
        </w:tc>
        <w:tc>
          <w:tcPr>
            <w:tcW w:w="420" w:type="dxa"/>
            <w:vAlign w:val="bottom"/>
            <w:shd w:val="clear" w:color="auto" w:fill="D2EDF0"/>
          </w:tcPr>
          <w:p>
            <w:pPr>
              <w:spacing w:after="0"/>
              <w:rPr>
                <w:sz w:val="20"/>
                <w:szCs w:val="20"/>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4940" w:type="dxa"/>
            <w:vAlign w:val="bottom"/>
          </w:tcPr>
          <w:p>
            <w:pPr>
              <w:ind w:left="60"/>
              <w:spacing w:after="0"/>
              <w:rPr>
                <w:sz w:val="20"/>
                <w:szCs w:val="20"/>
                <w:color w:val="auto"/>
              </w:rPr>
            </w:pPr>
            <w:r>
              <w:rPr>
                <w:rFonts w:ascii="Arial" w:cs="Arial" w:eastAsia="Arial" w:hAnsi="Arial"/>
                <w:sz w:val="18"/>
                <w:szCs w:val="18"/>
                <w:color w:val="auto"/>
              </w:rPr>
              <w:t>Credit facility issuance costs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(9,348)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188"/>
        </w:trPr>
        <w:tc>
          <w:tcPr>
            <w:tcW w:w="4940" w:type="dxa"/>
            <w:vAlign w:val="bottom"/>
            <w:shd w:val="clear" w:color="auto" w:fill="D2EDF0"/>
          </w:tcPr>
          <w:p>
            <w:pPr>
              <w:ind w:left="60"/>
              <w:spacing w:after="0" w:line="188" w:lineRule="exact"/>
              <w:rPr>
                <w:sz w:val="20"/>
                <w:szCs w:val="20"/>
                <w:color w:val="auto"/>
              </w:rPr>
            </w:pPr>
            <w:r>
              <w:rPr>
                <w:rFonts w:ascii="Arial" w:cs="Arial" w:eastAsia="Arial" w:hAnsi="Arial"/>
                <w:sz w:val="18"/>
                <w:szCs w:val="18"/>
                <w:color w:val="auto"/>
              </w:rPr>
              <w:t>Proceeds from stock issued in connection with the employee</w:t>
            </w:r>
          </w:p>
        </w:tc>
        <w:tc>
          <w:tcPr>
            <w:tcW w:w="300" w:type="dxa"/>
            <w:vAlign w:val="bottom"/>
            <w:shd w:val="clear" w:color="auto" w:fill="D2EDF0"/>
          </w:tcPr>
          <w:p>
            <w:pPr>
              <w:spacing w:after="0"/>
              <w:rPr>
                <w:sz w:val="16"/>
                <w:szCs w:val="16"/>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14,791</w:t>
            </w:r>
          </w:p>
        </w:tc>
        <w:tc>
          <w:tcPr>
            <w:tcW w:w="80" w:type="dxa"/>
            <w:vAlign w:val="bottom"/>
            <w:shd w:val="clear" w:color="auto" w:fill="D2EDF0"/>
          </w:tcPr>
          <w:p>
            <w:pPr>
              <w:spacing w:after="0"/>
              <w:rPr>
                <w:sz w:val="16"/>
                <w:szCs w:val="16"/>
                <w:color w:val="auto"/>
              </w:rPr>
            </w:pPr>
          </w:p>
        </w:tc>
        <w:tc>
          <w:tcPr>
            <w:tcW w:w="300" w:type="dxa"/>
            <w:vAlign w:val="bottom"/>
            <w:shd w:val="clear" w:color="auto" w:fill="D2EDF0"/>
          </w:tcPr>
          <w:p>
            <w:pPr>
              <w:spacing w:after="0"/>
              <w:rPr>
                <w:sz w:val="16"/>
                <w:szCs w:val="16"/>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13,736</w:t>
            </w:r>
          </w:p>
        </w:tc>
        <w:tc>
          <w:tcPr>
            <w:tcW w:w="80" w:type="dxa"/>
            <w:vAlign w:val="bottom"/>
            <w:shd w:val="clear" w:color="auto" w:fill="D2EDF0"/>
          </w:tcPr>
          <w:p>
            <w:pPr>
              <w:spacing w:after="0"/>
              <w:rPr>
                <w:sz w:val="16"/>
                <w:szCs w:val="16"/>
                <w:color w:val="auto"/>
              </w:rPr>
            </w:pPr>
          </w:p>
        </w:tc>
        <w:tc>
          <w:tcPr>
            <w:tcW w:w="420" w:type="dxa"/>
            <w:vAlign w:val="bottom"/>
            <w:shd w:val="clear" w:color="auto" w:fill="D2EDF0"/>
          </w:tcPr>
          <w:p>
            <w:pPr>
              <w:spacing w:after="0"/>
              <w:rPr>
                <w:sz w:val="16"/>
                <w:szCs w:val="16"/>
                <w:color w:val="auto"/>
              </w:rPr>
            </w:pPr>
          </w:p>
        </w:tc>
        <w:tc>
          <w:tcPr>
            <w:tcW w:w="88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13,040</w:t>
            </w:r>
          </w:p>
        </w:tc>
        <w:tc>
          <w:tcPr>
            <w:tcW w:w="0" w:type="dxa"/>
            <w:vAlign w:val="bottom"/>
          </w:tcPr>
          <w:p>
            <w:pPr>
              <w:spacing w:after="0"/>
              <w:rPr>
                <w:sz w:val="1"/>
                <w:szCs w:val="1"/>
                <w:color w:val="auto"/>
              </w:rPr>
            </w:pPr>
          </w:p>
        </w:tc>
      </w:tr>
      <w:tr>
        <w:trPr>
          <w:trHeight w:val="248"/>
        </w:trPr>
        <w:tc>
          <w:tcPr>
            <w:tcW w:w="4940" w:type="dxa"/>
            <w:vAlign w:val="bottom"/>
            <w:shd w:val="clear" w:color="auto" w:fill="D2EDF0"/>
          </w:tcPr>
          <w:p>
            <w:pPr>
              <w:ind w:left="60"/>
              <w:spacing w:after="0"/>
              <w:rPr>
                <w:sz w:val="20"/>
                <w:szCs w:val="20"/>
                <w:color w:val="auto"/>
              </w:rPr>
            </w:pPr>
            <w:r>
              <w:rPr>
                <w:rFonts w:ascii="Arial" w:cs="Arial" w:eastAsia="Arial" w:hAnsi="Arial"/>
                <w:sz w:val="18"/>
                <w:szCs w:val="18"/>
                <w:color w:val="auto"/>
              </w:rPr>
              <w:t>stock purchase plan</w:t>
            </w:r>
          </w:p>
        </w:tc>
        <w:tc>
          <w:tcPr>
            <w:tcW w:w="300" w:type="dxa"/>
            <w:vAlign w:val="bottom"/>
            <w:shd w:val="clear" w:color="auto" w:fill="D2EDF0"/>
          </w:tcPr>
          <w:p>
            <w:pPr>
              <w:spacing w:after="0"/>
              <w:rPr>
                <w:sz w:val="21"/>
                <w:szCs w:val="21"/>
                <w:color w:val="auto"/>
              </w:rPr>
            </w:pPr>
          </w:p>
        </w:tc>
        <w:tc>
          <w:tcPr>
            <w:tcW w:w="10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300" w:type="dxa"/>
            <w:vAlign w:val="bottom"/>
            <w:shd w:val="clear" w:color="auto" w:fill="D2EDF0"/>
          </w:tcPr>
          <w:p>
            <w:pPr>
              <w:spacing w:after="0"/>
              <w:rPr>
                <w:sz w:val="21"/>
                <w:szCs w:val="21"/>
                <w:color w:val="auto"/>
              </w:rPr>
            </w:pPr>
          </w:p>
        </w:tc>
        <w:tc>
          <w:tcPr>
            <w:tcW w:w="1000" w:type="dxa"/>
            <w:vAlign w:val="bottom"/>
            <w:vMerge w:val="continue"/>
            <w:shd w:val="clear" w:color="auto" w:fill="D2EDF0"/>
          </w:tcPr>
          <w:p>
            <w:pPr>
              <w:spacing w:after="0"/>
              <w:rPr>
                <w:sz w:val="21"/>
                <w:szCs w:val="21"/>
                <w:color w:val="auto"/>
              </w:rPr>
            </w:pPr>
          </w:p>
        </w:tc>
        <w:tc>
          <w:tcPr>
            <w:tcW w:w="80" w:type="dxa"/>
            <w:vAlign w:val="bottom"/>
            <w:shd w:val="clear" w:color="auto" w:fill="D2EDF0"/>
          </w:tcPr>
          <w:p>
            <w:pPr>
              <w:spacing w:after="0"/>
              <w:rPr>
                <w:sz w:val="21"/>
                <w:szCs w:val="21"/>
                <w:color w:val="auto"/>
              </w:rPr>
            </w:pPr>
          </w:p>
        </w:tc>
        <w:tc>
          <w:tcPr>
            <w:tcW w:w="420" w:type="dxa"/>
            <w:vAlign w:val="bottom"/>
            <w:shd w:val="clear" w:color="auto" w:fill="D2EDF0"/>
          </w:tcPr>
          <w:p>
            <w:pPr>
              <w:spacing w:after="0"/>
              <w:rPr>
                <w:sz w:val="21"/>
                <w:szCs w:val="21"/>
                <w:color w:val="auto"/>
              </w:rPr>
            </w:pPr>
          </w:p>
        </w:tc>
        <w:tc>
          <w:tcPr>
            <w:tcW w:w="880" w:type="dxa"/>
            <w:vAlign w:val="bottom"/>
            <w:vMerge w:val="continue"/>
            <w:shd w:val="clear" w:color="auto" w:fill="D2EDF0"/>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940" w:type="dxa"/>
            <w:vAlign w:val="bottom"/>
          </w:tcPr>
          <w:p>
            <w:pPr>
              <w:ind w:left="60"/>
              <w:spacing w:after="0"/>
              <w:rPr>
                <w:sz w:val="20"/>
                <w:szCs w:val="20"/>
                <w:color w:val="auto"/>
              </w:rPr>
            </w:pPr>
            <w:r>
              <w:rPr>
                <w:rFonts w:ascii="Arial" w:cs="Arial" w:eastAsia="Arial" w:hAnsi="Arial"/>
                <w:sz w:val="18"/>
                <w:szCs w:val="18"/>
                <w:color w:val="auto"/>
              </w:rPr>
              <w:t>Proceeds from the exercise of stock options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11,721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18,268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21,709</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18"/>
                <w:szCs w:val="18"/>
                <w:color w:val="auto"/>
              </w:rPr>
              <w:t>Other financing activities</w:t>
            </w:r>
          </w:p>
        </w:tc>
        <w:tc>
          <w:tcPr>
            <w:tcW w:w="300" w:type="dxa"/>
            <w:vAlign w:val="bottom"/>
            <w:tcBorders>
              <w:bottom w:val="single" w:sz="8" w:color="auto"/>
            </w:tcBorders>
            <w:shd w:val="clear" w:color="auto" w:fill="D2EDF0"/>
          </w:tcPr>
          <w:p>
            <w:pPr>
              <w:spacing w:after="0"/>
              <w:rPr>
                <w:sz w:val="21"/>
                <w:szCs w:val="21"/>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18"/>
                <w:szCs w:val="18"/>
                <w:color w:val="auto"/>
              </w:rPr>
              <w:t>556</w:t>
            </w:r>
          </w:p>
        </w:tc>
        <w:tc>
          <w:tcPr>
            <w:tcW w:w="80" w:type="dxa"/>
            <w:vAlign w:val="bottom"/>
            <w:tcBorders>
              <w:bottom w:val="single" w:sz="8" w:color="D2EDF0"/>
            </w:tcBorders>
            <w:shd w:val="clear" w:color="auto" w:fill="D2EDF0"/>
          </w:tcPr>
          <w:p>
            <w:pPr>
              <w:spacing w:after="0"/>
              <w:rPr>
                <w:sz w:val="21"/>
                <w:szCs w:val="21"/>
                <w:color w:val="auto"/>
              </w:rPr>
            </w:pPr>
          </w:p>
        </w:tc>
        <w:tc>
          <w:tcPr>
            <w:tcW w:w="300" w:type="dxa"/>
            <w:vAlign w:val="bottom"/>
            <w:tcBorders>
              <w:bottom w:val="single" w:sz="8" w:color="auto"/>
            </w:tcBorders>
            <w:shd w:val="clear" w:color="auto" w:fill="D2EDF0"/>
          </w:tcPr>
          <w:p>
            <w:pPr>
              <w:spacing w:after="0"/>
              <w:rPr>
                <w:sz w:val="21"/>
                <w:szCs w:val="21"/>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D2EDF0"/>
            </w:tcBorders>
            <w:shd w:val="clear" w:color="auto" w:fill="D2EDF0"/>
          </w:tcPr>
          <w:p>
            <w:pPr>
              <w:spacing w:after="0"/>
              <w:rPr>
                <w:sz w:val="21"/>
                <w:szCs w:val="21"/>
                <w:color w:val="auto"/>
              </w:rPr>
            </w:pPr>
          </w:p>
        </w:tc>
        <w:tc>
          <w:tcPr>
            <w:tcW w:w="420" w:type="dxa"/>
            <w:vAlign w:val="bottom"/>
            <w:tcBorders>
              <w:bottom w:val="single" w:sz="8" w:color="auto"/>
            </w:tcBorders>
            <w:shd w:val="clear" w:color="auto" w:fill="D2EDF0"/>
          </w:tcPr>
          <w:p>
            <w:pPr>
              <w:spacing w:after="0"/>
              <w:rPr>
                <w:sz w:val="21"/>
                <w:szCs w:val="21"/>
                <w:color w:val="auto"/>
              </w:rPr>
            </w:pPr>
          </w:p>
        </w:tc>
        <w:tc>
          <w:tcPr>
            <w:tcW w:w="88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0"/>
        </w:trPr>
        <w:tc>
          <w:tcPr>
            <w:tcW w:w="4940" w:type="dxa"/>
            <w:vAlign w:val="bottom"/>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397,646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36,403</w:t>
            </w:r>
          </w:p>
        </w:tc>
        <w:tc>
          <w:tcPr>
            <w:tcW w:w="0" w:type="dxa"/>
            <w:vAlign w:val="bottom"/>
          </w:tcPr>
          <w:p>
            <w:pPr>
              <w:spacing w:after="0"/>
              <w:rPr>
                <w:sz w:val="1"/>
                <w:szCs w:val="1"/>
                <w:color w:val="auto"/>
              </w:rPr>
            </w:pPr>
          </w:p>
        </w:tc>
      </w:tr>
      <w:tr>
        <w:trPr>
          <w:trHeight w:val="187"/>
        </w:trPr>
        <w:tc>
          <w:tcPr>
            <w:tcW w:w="4940" w:type="dxa"/>
            <w:vAlign w:val="bottom"/>
            <w:shd w:val="clear" w:color="auto" w:fill="D2EDF0"/>
          </w:tcPr>
          <w:p>
            <w:pPr>
              <w:ind w:left="60"/>
              <w:spacing w:after="0" w:line="188" w:lineRule="exact"/>
              <w:rPr>
                <w:sz w:val="20"/>
                <w:szCs w:val="20"/>
                <w:color w:val="auto"/>
              </w:rPr>
            </w:pPr>
            <w:r>
              <w:rPr>
                <w:rFonts w:ascii="Arial" w:cs="Arial" w:eastAsia="Arial" w:hAnsi="Arial"/>
                <w:sz w:val="18"/>
                <w:szCs w:val="18"/>
                <w:color w:val="auto"/>
              </w:rPr>
              <w:t>Effect of exchange rate changes on cash and cash</w:t>
            </w:r>
          </w:p>
        </w:tc>
        <w:tc>
          <w:tcPr>
            <w:tcW w:w="300" w:type="dxa"/>
            <w:vAlign w:val="bottom"/>
            <w:shd w:val="clear" w:color="auto" w:fill="D2EDF0"/>
          </w:tcPr>
          <w:p>
            <w:pPr>
              <w:spacing w:after="0"/>
              <w:rPr>
                <w:sz w:val="16"/>
                <w:szCs w:val="16"/>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(3,835)</w:t>
            </w:r>
          </w:p>
        </w:tc>
        <w:tc>
          <w:tcPr>
            <w:tcW w:w="80" w:type="dxa"/>
            <w:vAlign w:val="bottom"/>
            <w:shd w:val="clear" w:color="auto" w:fill="D2EDF0"/>
          </w:tcPr>
          <w:p>
            <w:pPr>
              <w:spacing w:after="0"/>
              <w:rPr>
                <w:sz w:val="16"/>
                <w:szCs w:val="16"/>
                <w:color w:val="auto"/>
              </w:rPr>
            </w:pPr>
          </w:p>
        </w:tc>
        <w:tc>
          <w:tcPr>
            <w:tcW w:w="300" w:type="dxa"/>
            <w:vAlign w:val="bottom"/>
            <w:shd w:val="clear" w:color="auto" w:fill="D2EDF0"/>
          </w:tcPr>
          <w:p>
            <w:pPr>
              <w:spacing w:after="0"/>
              <w:rPr>
                <w:sz w:val="16"/>
                <w:szCs w:val="16"/>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(3,013)</w:t>
            </w:r>
          </w:p>
        </w:tc>
        <w:tc>
          <w:tcPr>
            <w:tcW w:w="80" w:type="dxa"/>
            <w:vAlign w:val="bottom"/>
            <w:shd w:val="clear" w:color="auto" w:fill="D2EDF0"/>
          </w:tcPr>
          <w:p>
            <w:pPr>
              <w:spacing w:after="0"/>
              <w:rPr>
                <w:sz w:val="16"/>
                <w:szCs w:val="16"/>
                <w:color w:val="auto"/>
              </w:rPr>
            </w:pPr>
          </w:p>
        </w:tc>
        <w:tc>
          <w:tcPr>
            <w:tcW w:w="420" w:type="dxa"/>
            <w:vAlign w:val="bottom"/>
            <w:shd w:val="clear" w:color="auto" w:fill="D2EDF0"/>
          </w:tcPr>
          <w:p>
            <w:pPr>
              <w:spacing w:after="0"/>
              <w:rPr>
                <w:sz w:val="16"/>
                <w:szCs w:val="16"/>
                <w:color w:val="auto"/>
              </w:rPr>
            </w:pPr>
          </w:p>
        </w:tc>
        <w:tc>
          <w:tcPr>
            <w:tcW w:w="88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58"/>
        </w:trPr>
        <w:tc>
          <w:tcPr>
            <w:tcW w:w="4940" w:type="dxa"/>
            <w:vAlign w:val="bottom"/>
            <w:tcBorders>
              <w:bottom w:val="single" w:sz="8" w:color="D2EDF0"/>
            </w:tcBorders>
            <w:shd w:val="clear" w:color="auto" w:fill="D2EDF0"/>
          </w:tcPr>
          <w:p>
            <w:pPr>
              <w:ind w:left="140"/>
              <w:spacing w:after="0"/>
              <w:rPr>
                <w:sz w:val="20"/>
                <w:szCs w:val="20"/>
                <w:color w:val="auto"/>
              </w:rPr>
            </w:pPr>
            <w:r>
              <w:rPr>
                <w:rFonts w:ascii="Arial" w:cs="Arial" w:eastAsia="Arial" w:hAnsi="Arial"/>
                <w:sz w:val="18"/>
                <w:szCs w:val="18"/>
                <w:color w:val="auto"/>
              </w:rPr>
              <w:t>equivalents and restricted cash</w:t>
            </w:r>
          </w:p>
        </w:tc>
        <w:tc>
          <w:tcPr>
            <w:tcW w:w="300" w:type="dxa"/>
            <w:vAlign w:val="bottom"/>
            <w:tcBorders>
              <w:bottom w:val="single" w:sz="8" w:color="auto"/>
            </w:tcBorders>
            <w:shd w:val="clear" w:color="auto" w:fill="D2EDF0"/>
          </w:tcPr>
          <w:p>
            <w:pPr>
              <w:spacing w:after="0"/>
              <w:rPr>
                <w:sz w:val="22"/>
                <w:szCs w:val="22"/>
                <w:color w:val="auto"/>
              </w:rPr>
            </w:pPr>
          </w:p>
        </w:tc>
        <w:tc>
          <w:tcPr>
            <w:tcW w:w="1000" w:type="dxa"/>
            <w:vAlign w:val="bottom"/>
            <w:tcBorders>
              <w:bottom w:val="single" w:sz="8" w:color="auto"/>
            </w:tcBorders>
            <w:vMerge w:val="continue"/>
            <w:shd w:val="clear" w:color="auto" w:fill="D2EDF0"/>
          </w:tcPr>
          <w:p>
            <w:pPr>
              <w:spacing w:after="0"/>
              <w:rPr>
                <w:sz w:val="22"/>
                <w:szCs w:val="22"/>
                <w:color w:val="auto"/>
              </w:rPr>
            </w:pPr>
          </w:p>
        </w:tc>
        <w:tc>
          <w:tcPr>
            <w:tcW w:w="80" w:type="dxa"/>
            <w:vAlign w:val="bottom"/>
            <w:tcBorders>
              <w:bottom w:val="single" w:sz="8" w:color="D2EDF0"/>
            </w:tcBorders>
            <w:shd w:val="clear" w:color="auto" w:fill="D2EDF0"/>
          </w:tcPr>
          <w:p>
            <w:pPr>
              <w:spacing w:after="0"/>
              <w:rPr>
                <w:sz w:val="22"/>
                <w:szCs w:val="22"/>
                <w:color w:val="auto"/>
              </w:rPr>
            </w:pPr>
          </w:p>
        </w:tc>
        <w:tc>
          <w:tcPr>
            <w:tcW w:w="300" w:type="dxa"/>
            <w:vAlign w:val="bottom"/>
            <w:tcBorders>
              <w:bottom w:val="single" w:sz="8" w:color="auto"/>
            </w:tcBorders>
            <w:shd w:val="clear" w:color="auto" w:fill="D2EDF0"/>
          </w:tcPr>
          <w:p>
            <w:pPr>
              <w:spacing w:after="0"/>
              <w:rPr>
                <w:sz w:val="22"/>
                <w:szCs w:val="22"/>
                <w:color w:val="auto"/>
              </w:rPr>
            </w:pPr>
          </w:p>
        </w:tc>
        <w:tc>
          <w:tcPr>
            <w:tcW w:w="1000" w:type="dxa"/>
            <w:vAlign w:val="bottom"/>
            <w:tcBorders>
              <w:bottom w:val="single" w:sz="8" w:color="auto"/>
            </w:tcBorders>
            <w:vMerge w:val="continue"/>
            <w:shd w:val="clear" w:color="auto" w:fill="D2EDF0"/>
          </w:tcPr>
          <w:p>
            <w:pPr>
              <w:spacing w:after="0"/>
              <w:rPr>
                <w:sz w:val="22"/>
                <w:szCs w:val="22"/>
                <w:color w:val="auto"/>
              </w:rPr>
            </w:pPr>
          </w:p>
        </w:tc>
        <w:tc>
          <w:tcPr>
            <w:tcW w:w="80" w:type="dxa"/>
            <w:vAlign w:val="bottom"/>
            <w:tcBorders>
              <w:bottom w:val="single" w:sz="8" w:color="D2EDF0"/>
            </w:tcBorders>
            <w:shd w:val="clear" w:color="auto" w:fill="D2EDF0"/>
          </w:tcPr>
          <w:p>
            <w:pPr>
              <w:spacing w:after="0"/>
              <w:rPr>
                <w:sz w:val="22"/>
                <w:szCs w:val="22"/>
                <w:color w:val="auto"/>
              </w:rPr>
            </w:pPr>
          </w:p>
        </w:tc>
        <w:tc>
          <w:tcPr>
            <w:tcW w:w="420" w:type="dxa"/>
            <w:vAlign w:val="bottom"/>
            <w:tcBorders>
              <w:bottom w:val="single" w:sz="8" w:color="auto"/>
            </w:tcBorders>
            <w:shd w:val="clear" w:color="auto" w:fill="D2EDF0"/>
          </w:tcPr>
          <w:p>
            <w:pPr>
              <w:spacing w:after="0"/>
              <w:rPr>
                <w:sz w:val="22"/>
                <w:szCs w:val="22"/>
                <w:color w:val="auto"/>
              </w:rPr>
            </w:pPr>
          </w:p>
        </w:tc>
        <w:tc>
          <w:tcPr>
            <w:tcW w:w="880" w:type="dxa"/>
            <w:vAlign w:val="bottom"/>
            <w:tcBorders>
              <w:bottom w:val="single" w:sz="8" w:color="auto"/>
            </w:tcBorders>
            <w:vMerge w:val="continue"/>
            <w:shd w:val="clear" w:color="auto" w:fill="D2EDF0"/>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4940" w:type="dxa"/>
            <w:vAlign w:val="bottom"/>
          </w:tcPr>
          <w:p>
            <w:pPr>
              <w:ind w:left="60"/>
              <w:spacing w:after="0" w:line="157" w:lineRule="exact"/>
              <w:rPr>
                <w:sz w:val="20"/>
                <w:szCs w:val="20"/>
                <w:color w:val="auto"/>
              </w:rPr>
            </w:pPr>
            <w:r>
              <w:rPr>
                <w:rFonts w:ascii="Arial" w:cs="Arial" w:eastAsia="Arial" w:hAnsi="Arial"/>
                <w:sz w:val="18"/>
                <w:szCs w:val="18"/>
                <w:color w:val="auto"/>
              </w:rPr>
              <w:t>Net increase in cash and cash equivalents and restricted</w:t>
            </w: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22,595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99,808</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103,798</w:t>
            </w:r>
          </w:p>
        </w:tc>
        <w:tc>
          <w:tcPr>
            <w:tcW w:w="0" w:type="dxa"/>
            <w:vAlign w:val="bottom"/>
          </w:tcPr>
          <w:p>
            <w:pPr>
              <w:spacing w:after="0"/>
              <w:rPr>
                <w:sz w:val="1"/>
                <w:szCs w:val="1"/>
                <w:color w:val="auto"/>
              </w:rPr>
            </w:pPr>
          </w:p>
        </w:tc>
      </w:tr>
      <w:tr>
        <w:trPr>
          <w:trHeight w:val="243"/>
        </w:trPr>
        <w:tc>
          <w:tcPr>
            <w:tcW w:w="4940" w:type="dxa"/>
            <w:vAlign w:val="bottom"/>
          </w:tcPr>
          <w:p>
            <w:pPr>
              <w:ind w:left="60"/>
              <w:spacing w:after="0"/>
              <w:rPr>
                <w:sz w:val="20"/>
                <w:szCs w:val="20"/>
                <w:color w:val="auto"/>
              </w:rPr>
            </w:pPr>
            <w:r>
              <w:rPr>
                <w:rFonts w:ascii="Arial" w:cs="Arial" w:eastAsia="Arial" w:hAnsi="Arial"/>
                <w:sz w:val="18"/>
                <w:szCs w:val="18"/>
                <w:color w:val="auto"/>
              </w:rPr>
              <w:t>cash</w:t>
            </w:r>
          </w:p>
        </w:tc>
        <w:tc>
          <w:tcPr>
            <w:tcW w:w="30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4940" w:type="dxa"/>
            <w:vAlign w:val="bottom"/>
            <w:shd w:val="clear" w:color="auto" w:fill="D2EDF0"/>
          </w:tcPr>
          <w:p>
            <w:pPr>
              <w:ind w:left="60"/>
              <w:spacing w:after="0" w:line="192" w:lineRule="exact"/>
              <w:rPr>
                <w:sz w:val="20"/>
                <w:szCs w:val="20"/>
                <w:color w:val="auto"/>
              </w:rPr>
            </w:pPr>
            <w:r>
              <w:rPr>
                <w:rFonts w:ascii="Arial" w:cs="Arial" w:eastAsia="Arial" w:hAnsi="Arial"/>
                <w:sz w:val="18"/>
                <w:szCs w:val="18"/>
                <w:color w:val="auto"/>
              </w:rPr>
              <w:t>Cash and cash equivalents and restricted cash at beginning</w:t>
            </w:r>
          </w:p>
        </w:tc>
        <w:tc>
          <w:tcPr>
            <w:tcW w:w="300" w:type="dxa"/>
            <w:vAlign w:val="bottom"/>
            <w:shd w:val="clear" w:color="auto" w:fill="D2EDF0"/>
          </w:tcPr>
          <w:p>
            <w:pPr>
              <w:spacing w:after="0"/>
              <w:rPr>
                <w:sz w:val="16"/>
                <w:szCs w:val="16"/>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278,271</w:t>
            </w:r>
          </w:p>
        </w:tc>
        <w:tc>
          <w:tcPr>
            <w:tcW w:w="80" w:type="dxa"/>
            <w:vAlign w:val="bottom"/>
            <w:shd w:val="clear" w:color="auto" w:fill="D2EDF0"/>
          </w:tcPr>
          <w:p>
            <w:pPr>
              <w:spacing w:after="0"/>
              <w:rPr>
                <w:sz w:val="16"/>
                <w:szCs w:val="16"/>
                <w:color w:val="auto"/>
              </w:rPr>
            </w:pPr>
          </w:p>
        </w:tc>
        <w:tc>
          <w:tcPr>
            <w:tcW w:w="300" w:type="dxa"/>
            <w:vAlign w:val="bottom"/>
            <w:shd w:val="clear" w:color="auto" w:fill="D2EDF0"/>
          </w:tcPr>
          <w:p>
            <w:pPr>
              <w:spacing w:after="0"/>
              <w:rPr>
                <w:sz w:val="16"/>
                <w:szCs w:val="16"/>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178,463</w:t>
            </w:r>
          </w:p>
        </w:tc>
        <w:tc>
          <w:tcPr>
            <w:tcW w:w="80" w:type="dxa"/>
            <w:vAlign w:val="bottom"/>
            <w:shd w:val="clear" w:color="auto" w:fill="D2EDF0"/>
          </w:tcPr>
          <w:p>
            <w:pPr>
              <w:spacing w:after="0"/>
              <w:rPr>
                <w:sz w:val="16"/>
                <w:szCs w:val="16"/>
                <w:color w:val="auto"/>
              </w:rPr>
            </w:pPr>
          </w:p>
        </w:tc>
        <w:tc>
          <w:tcPr>
            <w:tcW w:w="420" w:type="dxa"/>
            <w:vAlign w:val="bottom"/>
            <w:shd w:val="clear" w:color="auto" w:fill="D2EDF0"/>
          </w:tcPr>
          <w:p>
            <w:pPr>
              <w:spacing w:after="0"/>
              <w:rPr>
                <w:sz w:val="16"/>
                <w:szCs w:val="16"/>
                <w:color w:val="auto"/>
              </w:rPr>
            </w:pPr>
          </w:p>
        </w:tc>
        <w:tc>
          <w:tcPr>
            <w:tcW w:w="880" w:type="dxa"/>
            <w:vAlign w:val="bottom"/>
            <w:vMerge w:val="restart"/>
            <w:shd w:val="clear" w:color="auto" w:fill="D2EDF0"/>
          </w:tcPr>
          <w:p>
            <w:pPr>
              <w:jc w:val="right"/>
              <w:spacing w:after="0"/>
              <w:rPr>
                <w:sz w:val="20"/>
                <w:szCs w:val="20"/>
                <w:color w:val="auto"/>
              </w:rPr>
            </w:pPr>
            <w:r>
              <w:rPr>
                <w:rFonts w:ascii="Arial" w:cs="Arial" w:eastAsia="Arial" w:hAnsi="Arial"/>
                <w:sz w:val="18"/>
                <w:szCs w:val="18"/>
                <w:color w:val="auto"/>
              </w:rPr>
              <w:t>74,665</w:t>
            </w:r>
          </w:p>
        </w:tc>
        <w:tc>
          <w:tcPr>
            <w:tcW w:w="0" w:type="dxa"/>
            <w:vAlign w:val="bottom"/>
          </w:tcPr>
          <w:p>
            <w:pPr>
              <w:spacing w:after="0"/>
              <w:rPr>
                <w:sz w:val="1"/>
                <w:szCs w:val="1"/>
                <w:color w:val="auto"/>
              </w:rPr>
            </w:pPr>
          </w:p>
        </w:tc>
      </w:tr>
      <w:tr>
        <w:trPr>
          <w:trHeight w:val="258"/>
        </w:trPr>
        <w:tc>
          <w:tcPr>
            <w:tcW w:w="494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18"/>
                <w:szCs w:val="18"/>
                <w:color w:val="auto"/>
              </w:rPr>
              <w:t>of year</w:t>
            </w:r>
          </w:p>
        </w:tc>
        <w:tc>
          <w:tcPr>
            <w:tcW w:w="300" w:type="dxa"/>
            <w:vAlign w:val="bottom"/>
            <w:tcBorders>
              <w:bottom w:val="single" w:sz="8" w:color="auto"/>
            </w:tcBorders>
            <w:shd w:val="clear" w:color="auto" w:fill="D2EDF0"/>
          </w:tcPr>
          <w:p>
            <w:pPr>
              <w:spacing w:after="0"/>
              <w:rPr>
                <w:sz w:val="22"/>
                <w:szCs w:val="22"/>
                <w:color w:val="auto"/>
              </w:rPr>
            </w:pPr>
          </w:p>
        </w:tc>
        <w:tc>
          <w:tcPr>
            <w:tcW w:w="1000" w:type="dxa"/>
            <w:vAlign w:val="bottom"/>
            <w:tcBorders>
              <w:bottom w:val="single" w:sz="8" w:color="auto"/>
            </w:tcBorders>
            <w:vMerge w:val="continue"/>
            <w:shd w:val="clear" w:color="auto" w:fill="D2EDF0"/>
          </w:tcPr>
          <w:p>
            <w:pPr>
              <w:spacing w:after="0"/>
              <w:rPr>
                <w:sz w:val="22"/>
                <w:szCs w:val="22"/>
                <w:color w:val="auto"/>
              </w:rPr>
            </w:pPr>
          </w:p>
        </w:tc>
        <w:tc>
          <w:tcPr>
            <w:tcW w:w="80" w:type="dxa"/>
            <w:vAlign w:val="bottom"/>
            <w:tcBorders>
              <w:bottom w:val="single" w:sz="8" w:color="D2EDF0"/>
            </w:tcBorders>
            <w:shd w:val="clear" w:color="auto" w:fill="D2EDF0"/>
          </w:tcPr>
          <w:p>
            <w:pPr>
              <w:spacing w:after="0"/>
              <w:rPr>
                <w:sz w:val="22"/>
                <w:szCs w:val="22"/>
                <w:color w:val="auto"/>
              </w:rPr>
            </w:pPr>
          </w:p>
        </w:tc>
        <w:tc>
          <w:tcPr>
            <w:tcW w:w="300" w:type="dxa"/>
            <w:vAlign w:val="bottom"/>
            <w:tcBorders>
              <w:bottom w:val="single" w:sz="8" w:color="auto"/>
            </w:tcBorders>
            <w:shd w:val="clear" w:color="auto" w:fill="D2EDF0"/>
          </w:tcPr>
          <w:p>
            <w:pPr>
              <w:spacing w:after="0"/>
              <w:rPr>
                <w:sz w:val="22"/>
                <w:szCs w:val="22"/>
                <w:color w:val="auto"/>
              </w:rPr>
            </w:pPr>
          </w:p>
        </w:tc>
        <w:tc>
          <w:tcPr>
            <w:tcW w:w="1000" w:type="dxa"/>
            <w:vAlign w:val="bottom"/>
            <w:tcBorders>
              <w:bottom w:val="single" w:sz="8" w:color="auto"/>
            </w:tcBorders>
            <w:vMerge w:val="continue"/>
            <w:shd w:val="clear" w:color="auto" w:fill="D2EDF0"/>
          </w:tcPr>
          <w:p>
            <w:pPr>
              <w:spacing w:after="0"/>
              <w:rPr>
                <w:sz w:val="22"/>
                <w:szCs w:val="22"/>
                <w:color w:val="auto"/>
              </w:rPr>
            </w:pPr>
          </w:p>
        </w:tc>
        <w:tc>
          <w:tcPr>
            <w:tcW w:w="80" w:type="dxa"/>
            <w:vAlign w:val="bottom"/>
            <w:tcBorders>
              <w:bottom w:val="single" w:sz="8" w:color="D2EDF0"/>
            </w:tcBorders>
            <w:shd w:val="clear" w:color="auto" w:fill="D2EDF0"/>
          </w:tcPr>
          <w:p>
            <w:pPr>
              <w:spacing w:after="0"/>
              <w:rPr>
                <w:sz w:val="22"/>
                <w:szCs w:val="22"/>
                <w:color w:val="auto"/>
              </w:rPr>
            </w:pPr>
          </w:p>
        </w:tc>
        <w:tc>
          <w:tcPr>
            <w:tcW w:w="420" w:type="dxa"/>
            <w:vAlign w:val="bottom"/>
            <w:tcBorders>
              <w:bottom w:val="single" w:sz="8" w:color="auto"/>
            </w:tcBorders>
            <w:shd w:val="clear" w:color="auto" w:fill="D2EDF0"/>
          </w:tcPr>
          <w:p>
            <w:pPr>
              <w:spacing w:after="0"/>
              <w:rPr>
                <w:sz w:val="22"/>
                <w:szCs w:val="22"/>
                <w:color w:val="auto"/>
              </w:rPr>
            </w:pPr>
          </w:p>
        </w:tc>
        <w:tc>
          <w:tcPr>
            <w:tcW w:w="880" w:type="dxa"/>
            <w:vAlign w:val="bottom"/>
            <w:tcBorders>
              <w:bottom w:val="single" w:sz="8" w:color="auto"/>
            </w:tcBorders>
            <w:vMerge w:val="continue"/>
            <w:shd w:val="clear" w:color="auto" w:fill="D2EDF0"/>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4940" w:type="dxa"/>
            <w:vAlign w:val="bottom"/>
          </w:tcPr>
          <w:p>
            <w:pPr>
              <w:ind w:left="60"/>
              <w:spacing w:after="0" w:line="157" w:lineRule="exact"/>
              <w:rPr>
                <w:sz w:val="20"/>
                <w:szCs w:val="20"/>
                <w:color w:val="auto"/>
              </w:rPr>
            </w:pPr>
            <w:r>
              <w:rPr>
                <w:rFonts w:ascii="Arial" w:cs="Arial" w:eastAsia="Arial" w:hAnsi="Arial"/>
                <w:sz w:val="18"/>
                <w:szCs w:val="18"/>
                <w:b w:val="1"/>
                <w:bCs w:val="1"/>
                <w:color w:val="auto"/>
              </w:rPr>
              <w:t>Cash and cash equivalents and restricted cash at end of</w:t>
            </w:r>
          </w:p>
        </w:tc>
        <w:tc>
          <w:tcPr>
            <w:tcW w:w="30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300,866</w:t>
            </w: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278,271</w:t>
            </w:r>
          </w:p>
        </w:tc>
        <w:tc>
          <w:tcPr>
            <w:tcW w:w="5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178,463</w:t>
            </w:r>
          </w:p>
        </w:tc>
        <w:tc>
          <w:tcPr>
            <w:tcW w:w="0" w:type="dxa"/>
            <w:vAlign w:val="bottom"/>
          </w:tcPr>
          <w:p>
            <w:pPr>
              <w:spacing w:after="0"/>
              <w:rPr>
                <w:sz w:val="1"/>
                <w:szCs w:val="1"/>
                <w:color w:val="auto"/>
              </w:rPr>
            </w:pPr>
          </w:p>
        </w:tc>
      </w:tr>
      <w:tr>
        <w:trPr>
          <w:trHeight w:val="218"/>
        </w:trPr>
        <w:tc>
          <w:tcPr>
            <w:tcW w:w="4940" w:type="dxa"/>
            <w:vAlign w:val="bottom"/>
          </w:tcPr>
          <w:p>
            <w:pPr>
              <w:ind w:left="60"/>
              <w:spacing w:after="0"/>
              <w:rPr>
                <w:sz w:val="20"/>
                <w:szCs w:val="20"/>
                <w:color w:val="auto"/>
              </w:rPr>
            </w:pPr>
            <w:r>
              <w:rPr>
                <w:rFonts w:ascii="Arial" w:cs="Arial" w:eastAsia="Arial" w:hAnsi="Arial"/>
                <w:sz w:val="18"/>
                <w:szCs w:val="18"/>
                <w:b w:val="1"/>
                <w:bCs w:val="1"/>
                <w:color w:val="auto"/>
              </w:rPr>
              <w:t>year</w:t>
            </w:r>
          </w:p>
        </w:tc>
        <w:tc>
          <w:tcPr>
            <w:tcW w:w="3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2EDF0"/>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940" w:type="dxa"/>
            <w:vAlign w:val="bottom"/>
            <w:shd w:val="clear" w:color="auto" w:fill="D2EDF0"/>
          </w:tcPr>
          <w:p>
            <w:pPr>
              <w:spacing w:after="0"/>
              <w:rPr>
                <w:sz w:val="14"/>
                <w:szCs w:val="14"/>
                <w:color w:val="auto"/>
              </w:rPr>
            </w:pPr>
          </w:p>
        </w:tc>
        <w:tc>
          <w:tcPr>
            <w:tcW w:w="300" w:type="dxa"/>
            <w:vAlign w:val="bottom"/>
            <w:shd w:val="clear" w:color="auto" w:fill="D2EDF0"/>
          </w:tcPr>
          <w:p>
            <w:pPr>
              <w:spacing w:after="0"/>
              <w:rPr>
                <w:sz w:val="14"/>
                <w:szCs w:val="14"/>
                <w:color w:val="auto"/>
              </w:rPr>
            </w:pPr>
          </w:p>
        </w:tc>
        <w:tc>
          <w:tcPr>
            <w:tcW w:w="1000" w:type="dxa"/>
            <w:vAlign w:val="bottom"/>
            <w:shd w:val="clear" w:color="auto" w:fill="D2EDF0"/>
          </w:tcPr>
          <w:p>
            <w:pPr>
              <w:spacing w:after="0"/>
              <w:rPr>
                <w:sz w:val="14"/>
                <w:szCs w:val="14"/>
                <w:color w:val="auto"/>
              </w:rPr>
            </w:pPr>
          </w:p>
        </w:tc>
        <w:tc>
          <w:tcPr>
            <w:tcW w:w="80" w:type="dxa"/>
            <w:vAlign w:val="bottom"/>
            <w:shd w:val="clear" w:color="auto" w:fill="D2EDF0"/>
          </w:tcPr>
          <w:p>
            <w:pPr>
              <w:spacing w:after="0"/>
              <w:rPr>
                <w:sz w:val="14"/>
                <w:szCs w:val="14"/>
                <w:color w:val="auto"/>
              </w:rPr>
            </w:pPr>
          </w:p>
        </w:tc>
        <w:tc>
          <w:tcPr>
            <w:tcW w:w="300" w:type="dxa"/>
            <w:vAlign w:val="bottom"/>
            <w:shd w:val="clear" w:color="auto" w:fill="D2EDF0"/>
          </w:tcPr>
          <w:p>
            <w:pPr>
              <w:spacing w:after="0"/>
              <w:rPr>
                <w:sz w:val="14"/>
                <w:szCs w:val="14"/>
                <w:color w:val="auto"/>
              </w:rPr>
            </w:pPr>
          </w:p>
        </w:tc>
        <w:tc>
          <w:tcPr>
            <w:tcW w:w="1000" w:type="dxa"/>
            <w:vAlign w:val="bottom"/>
            <w:shd w:val="clear" w:color="auto" w:fill="D2EDF0"/>
          </w:tcPr>
          <w:p>
            <w:pPr>
              <w:spacing w:after="0"/>
              <w:rPr>
                <w:sz w:val="14"/>
                <w:szCs w:val="14"/>
                <w:color w:val="auto"/>
              </w:rPr>
            </w:pPr>
          </w:p>
        </w:tc>
        <w:tc>
          <w:tcPr>
            <w:tcW w:w="80" w:type="dxa"/>
            <w:vAlign w:val="bottom"/>
            <w:shd w:val="clear" w:color="auto" w:fill="D2EDF0"/>
          </w:tcPr>
          <w:p>
            <w:pPr>
              <w:spacing w:after="0"/>
              <w:rPr>
                <w:sz w:val="14"/>
                <w:szCs w:val="14"/>
                <w:color w:val="auto"/>
              </w:rPr>
            </w:pPr>
          </w:p>
        </w:tc>
        <w:tc>
          <w:tcPr>
            <w:tcW w:w="420" w:type="dxa"/>
            <w:vAlign w:val="bottom"/>
            <w:shd w:val="clear" w:color="auto" w:fill="D2EDF0"/>
          </w:tcPr>
          <w:p>
            <w:pPr>
              <w:spacing w:after="0"/>
              <w:rPr>
                <w:sz w:val="14"/>
                <w:szCs w:val="14"/>
                <w:color w:val="auto"/>
              </w:rPr>
            </w:pPr>
          </w:p>
        </w:tc>
        <w:tc>
          <w:tcPr>
            <w:tcW w:w="880" w:type="dxa"/>
            <w:vAlign w:val="bottom"/>
            <w:shd w:val="clear" w:color="auto" w:fill="D2EDF0"/>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940" w:type="dxa"/>
            <w:vAlign w:val="bottom"/>
          </w:tcPr>
          <w:p>
            <w:pPr>
              <w:ind w:left="6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940" w:type="dxa"/>
            <w:vAlign w:val="bottom"/>
            <w:shd w:val="clear" w:color="auto" w:fill="D2EDF0"/>
          </w:tcPr>
          <w:p>
            <w:pPr>
              <w:ind w:left="60"/>
              <w:spacing w:after="0"/>
              <w:rPr>
                <w:sz w:val="20"/>
                <w:szCs w:val="20"/>
                <w:color w:val="auto"/>
              </w:rPr>
            </w:pPr>
            <w:r>
              <w:rPr>
                <w:rFonts w:ascii="Arial" w:cs="Arial" w:eastAsia="Arial" w:hAnsi="Arial"/>
                <w:sz w:val="18"/>
                <w:szCs w:val="18"/>
                <w:color w:val="auto"/>
              </w:rPr>
              <w:t>Cash paid for interest</w:t>
            </w:r>
          </w:p>
        </w:tc>
        <w:tc>
          <w:tcPr>
            <w:tcW w:w="300" w:type="dxa"/>
            <w:vAlign w:val="bottom"/>
            <w:shd w:val="clear" w:color="auto" w:fill="D2EDF0"/>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16,047</w:t>
            </w:r>
          </w:p>
        </w:tc>
        <w:tc>
          <w:tcPr>
            <w:tcW w:w="380" w:type="dxa"/>
            <w:vAlign w:val="bottom"/>
            <w:gridSpan w:val="2"/>
            <w:shd w:val="clear" w:color="auto" w:fill="D2EDF0"/>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18"/>
                <w:szCs w:val="18"/>
                <w:color w:val="auto"/>
              </w:rPr>
              <w:t>4,978</w:t>
            </w:r>
          </w:p>
        </w:tc>
        <w:tc>
          <w:tcPr>
            <w:tcW w:w="500" w:type="dxa"/>
            <w:vAlign w:val="bottom"/>
            <w:gridSpan w:val="2"/>
            <w:shd w:val="clear" w:color="auto" w:fill="D2EDF0"/>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D2EDF0"/>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40"/>
        </w:trPr>
        <w:tc>
          <w:tcPr>
            <w:tcW w:w="4940" w:type="dxa"/>
            <w:vAlign w:val="bottom"/>
          </w:tcPr>
          <w:p>
            <w:pPr>
              <w:ind w:left="60"/>
              <w:spacing w:after="0"/>
              <w:rPr>
                <w:sz w:val="20"/>
                <w:szCs w:val="20"/>
                <w:color w:val="auto"/>
              </w:rPr>
            </w:pPr>
            <w:r>
              <w:rPr>
                <w:rFonts w:ascii="Arial" w:cs="Arial" w:eastAsia="Arial" w:hAnsi="Arial"/>
                <w:sz w:val="18"/>
                <w:szCs w:val="18"/>
                <w:color w:val="auto"/>
              </w:rPr>
              <w:t>Cash paid for income taxes, net of refunds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10,582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6,481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5,729</w:t>
            </w:r>
          </w:p>
        </w:tc>
        <w:tc>
          <w:tcPr>
            <w:tcW w:w="0" w:type="dxa"/>
            <w:vAlign w:val="bottom"/>
          </w:tcPr>
          <w:p>
            <w:pPr>
              <w:spacing w:after="0"/>
              <w:rPr>
                <w:sz w:val="1"/>
                <w:szCs w:val="1"/>
                <w:color w:val="auto"/>
              </w:rPr>
            </w:pPr>
          </w:p>
        </w:tc>
      </w:tr>
      <w:tr>
        <w:trPr>
          <w:trHeight w:val="240"/>
        </w:trPr>
        <w:tc>
          <w:tcPr>
            <w:tcW w:w="4940" w:type="dxa"/>
            <w:vAlign w:val="bottom"/>
            <w:shd w:val="clear" w:color="auto" w:fill="D2EDF0"/>
          </w:tcPr>
          <w:p>
            <w:pPr>
              <w:ind w:left="60"/>
              <w:spacing w:after="0"/>
              <w:rPr>
                <w:sz w:val="20"/>
                <w:szCs w:val="20"/>
                <w:color w:val="auto"/>
              </w:rPr>
            </w:pPr>
            <w:r>
              <w:rPr>
                <w:rFonts w:ascii="Arial" w:cs="Arial" w:eastAsia="Arial" w:hAnsi="Arial"/>
                <w:sz w:val="18"/>
                <w:szCs w:val="18"/>
                <w:b w:val="1"/>
                <w:bCs w:val="1"/>
                <w:color w:val="auto"/>
              </w:rPr>
              <w:t>Supplemental cash flow information related to leases:</w:t>
            </w:r>
          </w:p>
        </w:tc>
        <w:tc>
          <w:tcPr>
            <w:tcW w:w="300" w:type="dxa"/>
            <w:vAlign w:val="bottom"/>
            <w:shd w:val="clear" w:color="auto" w:fill="D2EDF0"/>
          </w:tcPr>
          <w:p>
            <w:pPr>
              <w:spacing w:after="0"/>
              <w:rPr>
                <w:sz w:val="20"/>
                <w:szCs w:val="20"/>
                <w:color w:val="auto"/>
              </w:rPr>
            </w:pPr>
          </w:p>
        </w:tc>
        <w:tc>
          <w:tcPr>
            <w:tcW w:w="1000" w:type="dxa"/>
            <w:vAlign w:val="bottom"/>
            <w:shd w:val="clear" w:color="auto" w:fill="D2EDF0"/>
          </w:tcPr>
          <w:p>
            <w:pPr>
              <w:spacing w:after="0"/>
              <w:rPr>
                <w:sz w:val="20"/>
                <w:szCs w:val="20"/>
                <w:color w:val="auto"/>
              </w:rPr>
            </w:pPr>
          </w:p>
        </w:tc>
        <w:tc>
          <w:tcPr>
            <w:tcW w:w="80" w:type="dxa"/>
            <w:vAlign w:val="bottom"/>
            <w:shd w:val="clear" w:color="auto" w:fill="D2EDF0"/>
          </w:tcPr>
          <w:p>
            <w:pPr>
              <w:spacing w:after="0"/>
              <w:rPr>
                <w:sz w:val="20"/>
                <w:szCs w:val="20"/>
                <w:color w:val="auto"/>
              </w:rPr>
            </w:pPr>
          </w:p>
        </w:tc>
        <w:tc>
          <w:tcPr>
            <w:tcW w:w="300" w:type="dxa"/>
            <w:vAlign w:val="bottom"/>
            <w:shd w:val="clear" w:color="auto" w:fill="D2EDF0"/>
          </w:tcPr>
          <w:p>
            <w:pPr>
              <w:spacing w:after="0"/>
              <w:rPr>
                <w:sz w:val="20"/>
                <w:szCs w:val="20"/>
                <w:color w:val="auto"/>
              </w:rPr>
            </w:pPr>
          </w:p>
        </w:tc>
        <w:tc>
          <w:tcPr>
            <w:tcW w:w="1000" w:type="dxa"/>
            <w:vAlign w:val="bottom"/>
            <w:shd w:val="clear" w:color="auto" w:fill="D2EDF0"/>
          </w:tcPr>
          <w:p>
            <w:pPr>
              <w:spacing w:after="0"/>
              <w:rPr>
                <w:sz w:val="20"/>
                <w:szCs w:val="20"/>
                <w:color w:val="auto"/>
              </w:rPr>
            </w:pPr>
          </w:p>
        </w:tc>
        <w:tc>
          <w:tcPr>
            <w:tcW w:w="80" w:type="dxa"/>
            <w:vAlign w:val="bottom"/>
            <w:shd w:val="clear" w:color="auto" w:fill="D2EDF0"/>
          </w:tcPr>
          <w:p>
            <w:pPr>
              <w:spacing w:after="0"/>
              <w:rPr>
                <w:sz w:val="20"/>
                <w:szCs w:val="20"/>
                <w:color w:val="auto"/>
              </w:rPr>
            </w:pPr>
          </w:p>
        </w:tc>
        <w:tc>
          <w:tcPr>
            <w:tcW w:w="420" w:type="dxa"/>
            <w:vAlign w:val="bottom"/>
            <w:shd w:val="clear" w:color="auto" w:fill="D2EDF0"/>
          </w:tcPr>
          <w:p>
            <w:pPr>
              <w:spacing w:after="0"/>
              <w:rPr>
                <w:sz w:val="20"/>
                <w:szCs w:val="20"/>
                <w:color w:val="auto"/>
              </w:rPr>
            </w:pPr>
          </w:p>
        </w:tc>
        <w:tc>
          <w:tcPr>
            <w:tcW w:w="880" w:type="dxa"/>
            <w:vAlign w:val="bottom"/>
            <w:shd w:val="clear" w:color="auto" w:fill="D2EDF0"/>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40" w:type="dxa"/>
            <w:vAlign w:val="bottom"/>
          </w:tcPr>
          <w:p>
            <w:pPr>
              <w:ind w:left="60"/>
              <w:spacing w:after="0"/>
              <w:rPr>
                <w:sz w:val="20"/>
                <w:szCs w:val="20"/>
                <w:color w:val="auto"/>
              </w:rPr>
            </w:pPr>
            <w:r>
              <w:rPr>
                <w:rFonts w:ascii="Arial" w:cs="Arial" w:eastAsia="Arial" w:hAnsi="Arial"/>
                <w:sz w:val="18"/>
                <w:szCs w:val="18"/>
                <w:color w:val="auto"/>
              </w:rPr>
              <w:t>Cash payments for operating leases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6,113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7,657</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-903605</wp:posOffset>
            </wp:positionV>
            <wp:extent cx="258127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81275" cy="38100"/>
                    </a:xfrm>
                    <a:prstGeom prst="rect">
                      <a:avLst/>
                    </a:prstGeom>
                    <a:noFill/>
                  </pic:spPr>
                </pic:pic>
              </a:graphicData>
            </a:graphic>
          </wp:anchor>
        </w:drawing>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1880" w:h="15480" w:orient="portrait"/>
          <w:cols w:equalWidth="0" w:num="1">
            <w:col w:w="9000"/>
          </w:cols>
          <w:pgMar w:left="1440" w:top="1203" w:right="1440" w:bottom="0" w:gutter="0" w:footer="0" w:header="0"/>
          <w:type w:val="continuous"/>
        </w:sectPr>
      </w:pPr>
    </w:p>
    <w:bookmarkStart w:id="181" w:name="page182"/>
    <w:bookmarkEnd w:id="181"/>
    <w:p>
      <w:pPr>
        <w:jc w:val="center"/>
        <w:spacing w:after="0"/>
        <w:rPr>
          <w:sz w:val="20"/>
          <w:szCs w:val="20"/>
          <w:color w:val="auto"/>
        </w:rPr>
      </w:pPr>
      <w:r>
        <w:rPr>
          <w:rFonts w:ascii="Arial" w:cs="Arial" w:eastAsia="Arial" w:hAnsi="Arial"/>
          <w:sz w:val="20"/>
          <w:szCs w:val="20"/>
          <w:b w:val="1"/>
          <w:bCs w:val="1"/>
          <w:color w:val="auto"/>
        </w:rPr>
        <w:t>TENABLE HOLDINGS,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50" w:lineRule="exact"/>
        <w:rPr>
          <w:sz w:val="20"/>
          <w:szCs w:val="20"/>
          <w:color w:val="auto"/>
        </w:rPr>
      </w:pPr>
    </w:p>
    <w:p>
      <w:pPr>
        <w:ind w:left="360" w:right="2860"/>
        <w:spacing w:after="0" w:line="501" w:lineRule="auto"/>
        <w:rPr>
          <w:sz w:val="20"/>
          <w:szCs w:val="20"/>
          <w:color w:val="auto"/>
        </w:rPr>
      </w:pPr>
      <w:r>
        <w:rPr>
          <w:rFonts w:ascii="Arial" w:cs="Arial" w:eastAsia="Arial" w:hAnsi="Arial"/>
          <w:sz w:val="20"/>
          <w:szCs w:val="20"/>
          <w:b w:val="1"/>
          <w:bCs w:val="1"/>
          <w:color w:val="auto"/>
        </w:rPr>
        <w:t xml:space="preserve">1. Business and Summary of Significant Accounting Policies </w:t>
      </w:r>
      <w:r>
        <w:rPr>
          <w:rFonts w:ascii="Arial" w:cs="Arial" w:eastAsia="Arial" w:hAnsi="Arial"/>
          <w:sz w:val="20"/>
          <w:szCs w:val="20"/>
          <w:b w:val="1"/>
          <w:bCs w:val="1"/>
          <w:i w:val="1"/>
          <w:iCs w:val="1"/>
          <w:color w:val="auto"/>
        </w:rPr>
        <w:t>Business Description</w:t>
      </w:r>
    </w:p>
    <w:p>
      <w:pPr>
        <w:spacing w:after="0" w:line="1" w:lineRule="exact"/>
        <w:rPr>
          <w:sz w:val="20"/>
          <w:szCs w:val="20"/>
          <w:color w:val="auto"/>
        </w:rPr>
      </w:pPr>
    </w:p>
    <w:p>
      <w:pPr>
        <w:ind w:right="300" w:firstLine="360"/>
        <w:spacing w:after="0" w:line="256" w:lineRule="auto"/>
        <w:rPr>
          <w:sz w:val="20"/>
          <w:szCs w:val="20"/>
          <w:color w:val="auto"/>
        </w:rPr>
      </w:pPr>
      <w:r>
        <w:rPr>
          <w:rFonts w:ascii="Arial" w:cs="Arial" w:eastAsia="Arial" w:hAnsi="Arial"/>
          <w:sz w:val="20"/>
          <w:szCs w:val="20"/>
          <w:color w:val="auto"/>
        </w:rPr>
        <w:t>Tenable Holdings, Inc. (the “Company,” “we,” "us," or “our”) is a provider of exposure management solutions, which is an effective discipline for managing, measuring and comparing cybersecurity risk in today's complex IT environments. Our solutions provide broad visibility into security issues such as vulnerabilities, misconfigurations, internal and regulatory compliance violations and other indicators of the state of an organization’s security across IT infrastructure and applications, cloud environments, Active Directory and industrial internet of things and operational technology environments.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Basis of Presentation</w:t>
      </w:r>
    </w:p>
    <w:p>
      <w:pPr>
        <w:spacing w:after="0" w:line="249" w:lineRule="exact"/>
        <w:rPr>
          <w:sz w:val="20"/>
          <w:szCs w:val="20"/>
          <w:color w:val="auto"/>
        </w:rPr>
      </w:pPr>
    </w:p>
    <w:p>
      <w:pPr>
        <w:ind w:right="80" w:firstLine="360"/>
        <w:spacing w:after="0" w:line="262" w:lineRule="auto"/>
        <w:rPr>
          <w:sz w:val="20"/>
          <w:szCs w:val="20"/>
          <w:color w:val="auto"/>
        </w:rPr>
      </w:pPr>
      <w:r>
        <w:rPr>
          <w:rFonts w:ascii="Arial" w:cs="Arial" w:eastAsia="Arial" w:hAnsi="Arial"/>
          <w:sz w:val="20"/>
          <w:szCs w:val="20"/>
          <w:color w:val="auto"/>
        </w:rPr>
        <w:t>The accompanying consolidated financial statements include the accounts of Tenable Holdings, Inc. and our wholly owned subsidiaries and have been prepared in conformity with United States generally accepted accounting principles (“GAAP”). All intercompany accounts and transactions have been eliminated in consolidation.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Use of Estimates</w:t>
      </w:r>
    </w:p>
    <w:p>
      <w:pPr>
        <w:spacing w:after="0" w:line="249" w:lineRule="exact"/>
        <w:rPr>
          <w:sz w:val="20"/>
          <w:szCs w:val="20"/>
          <w:color w:val="auto"/>
        </w:rPr>
      </w:pPr>
    </w:p>
    <w:p>
      <w:pPr>
        <w:ind w:right="280" w:firstLine="360"/>
        <w:spacing w:after="0" w:line="255" w:lineRule="auto"/>
        <w:rPr>
          <w:sz w:val="20"/>
          <w:szCs w:val="20"/>
          <w:color w:val="auto"/>
        </w:rPr>
      </w:pPr>
      <w:r>
        <w:rPr>
          <w:rFonts w:ascii="Arial" w:cs="Arial" w:eastAsia="Arial" w:hAnsi="Arial"/>
          <w:sz w:val="20"/>
          <w:szCs w:val="20"/>
          <w:color w:val="auto"/>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determination of the estimated economic life of perpetual licenses for revenue recognition, the estimated period of benefit for deferred commissions, the useful lives of long-lived assets, the fair value of acquired intangible assets, the valuation of stock-based compensation, the incremental borrowing rate for operating leases and the valuation of deferred tax assets and investments. We base these estimates on historical experience and on various other assumptions that we believe to be reasonable. Actual results could differ significantly from these estimates.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Foreign Currency</w:t>
      </w:r>
    </w:p>
    <w:p>
      <w:pPr>
        <w:spacing w:after="0" w:line="249" w:lineRule="exact"/>
        <w:rPr>
          <w:sz w:val="20"/>
          <w:szCs w:val="20"/>
          <w:color w:val="auto"/>
        </w:rPr>
      </w:pPr>
    </w:p>
    <w:p>
      <w:pPr>
        <w:ind w:right="200" w:firstLine="360"/>
        <w:spacing w:after="0" w:line="255" w:lineRule="auto"/>
        <w:rPr>
          <w:sz w:val="20"/>
          <w:szCs w:val="20"/>
          <w:color w:val="auto"/>
        </w:rPr>
      </w:pPr>
      <w:r>
        <w:rPr>
          <w:rFonts w:ascii="Arial" w:cs="Arial" w:eastAsia="Arial" w:hAnsi="Arial"/>
          <w:sz w:val="20"/>
          <w:szCs w:val="20"/>
          <w:color w:val="auto"/>
        </w:rPr>
        <w:t>The functional currency for all of our foreign subsidiaries is the U.S. dollar. Assets and liabilities denominated in other currencies are remeasured into U.S. dollars at current exchange rates for monetary assets and liabilities and at historical exchange rates for non-monetary assets and liabilities. We bill our customers in U.S. dollars. Expenses incurred in non U.S. dollar currencies are remeasured into U.S. dollars when incurred. Remeasurement losses in currencies other than the functional currency were $4.8 million, $1.9 million and $1.7 million in 2022, 2021 and 2020, respectively, and are included as a component of other expense, net in the consolidated statements of operations.</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249" w:lineRule="exact"/>
        <w:rPr>
          <w:sz w:val="20"/>
          <w:szCs w:val="20"/>
          <w:color w:val="auto"/>
        </w:rPr>
      </w:pPr>
    </w:p>
    <w:p>
      <w:pPr>
        <w:ind w:right="120" w:firstLine="360"/>
        <w:spacing w:after="0" w:line="268" w:lineRule="auto"/>
        <w:rPr>
          <w:sz w:val="20"/>
          <w:szCs w:val="20"/>
          <w:color w:val="auto"/>
        </w:rPr>
      </w:pPr>
      <w:r>
        <w:rPr>
          <w:rFonts w:ascii="Arial" w:cs="Arial" w:eastAsia="Arial" w:hAnsi="Arial"/>
          <w:sz w:val="20"/>
          <w:szCs w:val="20"/>
          <w:color w:val="auto"/>
        </w:rPr>
        <w:t>We recognize revenue in order to depict the transfer of promised goods or services to customers in an amount that reflects the consideration we expect to be entitled in exchange for those goods or services. To achieve this, we apply the following steps:</w:t>
      </w:r>
    </w:p>
    <w:p>
      <w:pPr>
        <w:spacing w:after="0" w:line="10" w:lineRule="exact"/>
        <w:rPr>
          <w:sz w:val="20"/>
          <w:szCs w:val="20"/>
          <w:color w:val="auto"/>
        </w:rPr>
      </w:pPr>
    </w:p>
    <w:p>
      <w:pPr>
        <w:ind w:left="720" w:hanging="360"/>
        <w:spacing w:after="0"/>
        <w:tabs>
          <w:tab w:leader="none" w:pos="72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Identify the contract with a customer</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Identify the performance obligations in the contract</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1880" w:h="15480" w:orient="portrait"/>
          <w:cols w:equalWidth="0" w:num="1">
            <w:col w:w="9000"/>
          </w:cols>
          <w:pgMar w:left="1440" w:top="1203" w:right="1440" w:bottom="0" w:gutter="0" w:footer="0" w:header="0"/>
          <w:type w:val="continuous"/>
        </w:sectPr>
      </w:pPr>
    </w:p>
    <w:bookmarkStart w:id="182" w:name="page183"/>
    <w:bookmarkEnd w:id="182"/>
    <w:p>
      <w:pPr>
        <w:ind w:left="720" w:hanging="360"/>
        <w:spacing w:after="0"/>
        <w:tabs>
          <w:tab w:leader="none" w:pos="72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Determine the transaction price</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Allocate the transaction price to the performance obligations in the contract</w:t>
      </w:r>
    </w:p>
    <w:p>
      <w:pPr>
        <w:spacing w:after="0" w:line="70" w:lineRule="exact"/>
        <w:rPr>
          <w:rFonts w:ascii="Arial" w:cs="Arial" w:eastAsia="Arial" w:hAnsi="Arial"/>
          <w:sz w:val="20"/>
          <w:szCs w:val="20"/>
          <w:color w:val="auto"/>
        </w:rPr>
      </w:pPr>
    </w:p>
    <w:p>
      <w:pPr>
        <w:ind w:left="720" w:hanging="360"/>
        <w:spacing w:after="0"/>
        <w:tabs>
          <w:tab w:leader="none" w:pos="72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Recognize revenue when or as performance obligations are satisfied</w:t>
      </w:r>
    </w:p>
    <w:p>
      <w:pPr>
        <w:spacing w:after="0" w:line="250" w:lineRule="exact"/>
        <w:rPr>
          <w:sz w:val="20"/>
          <w:szCs w:val="20"/>
          <w:color w:val="auto"/>
        </w:rPr>
      </w:pPr>
    </w:p>
    <w:p>
      <w:pPr>
        <w:ind w:right="20" w:firstLine="360"/>
        <w:spacing w:after="0" w:line="262" w:lineRule="auto"/>
        <w:rPr>
          <w:sz w:val="20"/>
          <w:szCs w:val="20"/>
          <w:color w:val="auto"/>
        </w:rPr>
      </w:pPr>
      <w:r>
        <w:rPr>
          <w:rFonts w:ascii="Arial" w:cs="Arial" w:eastAsia="Arial" w:hAnsi="Arial"/>
          <w:sz w:val="20"/>
          <w:szCs w:val="20"/>
          <w:color w:val="auto"/>
        </w:rPr>
        <w:t>In situations where we enter into a contractual arrangement that includes non-standard terms and conditions, such as acceptance provisions or options to purchase additional products and services, as well as contract modifications, we apply judgment in identifying and assessing the impact on revenue recognition.</w:t>
      </w:r>
    </w:p>
    <w:p>
      <w:pPr>
        <w:spacing w:after="0" w:line="196" w:lineRule="exact"/>
        <w:rPr>
          <w:sz w:val="20"/>
          <w:szCs w:val="20"/>
          <w:color w:val="auto"/>
        </w:rPr>
      </w:pPr>
    </w:p>
    <w:p>
      <w:pPr>
        <w:ind w:right="80" w:firstLine="360"/>
        <w:spacing w:after="0" w:line="259" w:lineRule="auto"/>
        <w:rPr>
          <w:sz w:val="20"/>
          <w:szCs w:val="20"/>
          <w:color w:val="auto"/>
        </w:rPr>
      </w:pPr>
      <w:r>
        <w:rPr>
          <w:rFonts w:ascii="Arial" w:cs="Arial" w:eastAsia="Arial" w:hAnsi="Arial"/>
          <w:sz w:val="20"/>
          <w:szCs w:val="20"/>
          <w:color w:val="auto"/>
        </w:rPr>
        <w:t>We generate revenue from subscription arrangements for software and cloud-based solutions, perpetual licenses, maintenance associated with perpetual licenses, and professional services and other revenue. We begin to recognize revenue when control of our software or services is transferred to the customer, which for sales made through distributors is concurrent with the transfer to the end user.</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Subscription Revenue</w:t>
      </w:r>
    </w:p>
    <w:p>
      <w:pPr>
        <w:spacing w:after="0" w:line="248" w:lineRule="exact"/>
        <w:rPr>
          <w:sz w:val="20"/>
          <w:szCs w:val="20"/>
          <w:color w:val="auto"/>
        </w:rPr>
      </w:pPr>
    </w:p>
    <w:p>
      <w:pPr>
        <w:ind w:right="40" w:firstLine="360"/>
        <w:spacing w:after="0" w:line="272" w:lineRule="auto"/>
        <w:rPr>
          <w:sz w:val="20"/>
          <w:szCs w:val="20"/>
          <w:color w:val="auto"/>
        </w:rPr>
      </w:pPr>
      <w:r>
        <w:rPr>
          <w:rFonts w:ascii="Arial" w:cs="Arial" w:eastAsia="Arial" w:hAnsi="Arial"/>
          <w:sz w:val="19"/>
          <w:szCs w:val="19"/>
          <w:color w:val="auto"/>
        </w:rPr>
        <w:t>Subscription arrangements generally have annual or multi-year contractual terms and allow customers to use our software or cloud solutions. For our software subscriptions that are dependent on ongoing software updates and the ability to identify the latest cybersecurity vulnerabilities, revenue is recognized ratably over the subscription term given the critical utility provided by the ongoing updates that are released throughout the contract period. When the critical utility of our software does not depend on ongoing updates, we recognize revenue attributable to the license at the time of delivery and the revenue attributable to the maintenance and support ratably over the contract period.</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Perpetual License and Maintenance Revenue</w:t>
      </w:r>
    </w:p>
    <w:p>
      <w:pPr>
        <w:spacing w:after="0" w:line="248" w:lineRule="exact"/>
        <w:rPr>
          <w:sz w:val="20"/>
          <w:szCs w:val="20"/>
          <w:color w:val="auto"/>
        </w:rPr>
      </w:pPr>
    </w:p>
    <w:p>
      <w:pPr>
        <w:ind w:right="60" w:firstLine="360"/>
        <w:spacing w:after="0" w:line="252" w:lineRule="auto"/>
        <w:rPr>
          <w:sz w:val="20"/>
          <w:szCs w:val="20"/>
          <w:color w:val="auto"/>
        </w:rPr>
      </w:pPr>
      <w:r>
        <w:rPr>
          <w:rFonts w:ascii="Arial" w:cs="Arial" w:eastAsia="Arial" w:hAnsi="Arial"/>
          <w:sz w:val="20"/>
          <w:szCs w:val="20"/>
          <w:color w:val="auto"/>
        </w:rPr>
        <w:t>Our perpetual licenses are generally sold with one or more years of maintenance, which include ongoing software updates and the ongoing ability to identify the latest cybersecurity vulnerabilities.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the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the our technology and other factors. While we believe that the estimates we have made are reasonable and appropriate, different assumptions and estimates could materially impact our reported financial results.</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Professional Services and Other Revenue</w:t>
      </w:r>
    </w:p>
    <w:p>
      <w:pPr>
        <w:spacing w:after="0" w:line="248" w:lineRule="exact"/>
        <w:rPr>
          <w:sz w:val="20"/>
          <w:szCs w:val="20"/>
          <w:color w:val="auto"/>
        </w:rPr>
      </w:pPr>
    </w:p>
    <w:p>
      <w:pPr>
        <w:ind w:right="80" w:firstLine="360"/>
        <w:spacing w:after="0" w:line="314" w:lineRule="auto"/>
        <w:rPr>
          <w:sz w:val="20"/>
          <w:szCs w:val="20"/>
          <w:color w:val="auto"/>
        </w:rPr>
      </w:pPr>
      <w:r>
        <w:rPr>
          <w:rFonts w:ascii="Arial" w:cs="Arial" w:eastAsia="Arial" w:hAnsi="Arial"/>
          <w:sz w:val="19"/>
          <w:szCs w:val="19"/>
          <w:color w:val="auto"/>
        </w:rPr>
        <w:t>Professional services and other revenue is primarily comprised of advisory services and training related to the deployment and optimization of our products. These services do not result in significant</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1880" w:h="15480" w:orient="portrait"/>
          <w:cols w:equalWidth="0" w:num="1">
            <w:col w:w="9000"/>
          </w:cols>
          <w:pgMar w:left="1440" w:top="1204" w:right="1440" w:bottom="0" w:gutter="0" w:footer="0" w:header="0"/>
          <w:type w:val="continuous"/>
        </w:sectPr>
      </w:pPr>
    </w:p>
    <w:bookmarkStart w:id="183" w:name="page184"/>
    <w:bookmarkEnd w:id="183"/>
    <w:p>
      <w:pPr>
        <w:ind w:right="80"/>
        <w:spacing w:after="0" w:line="287" w:lineRule="auto"/>
        <w:rPr>
          <w:sz w:val="20"/>
          <w:szCs w:val="20"/>
          <w:color w:val="auto"/>
        </w:rPr>
      </w:pPr>
      <w:r>
        <w:rPr>
          <w:rFonts w:ascii="Arial" w:cs="Arial" w:eastAsia="Arial" w:hAnsi="Arial"/>
          <w:sz w:val="20"/>
          <w:szCs w:val="20"/>
          <w:color w:val="auto"/>
        </w:rPr>
        <w:t>customization of our products. Professional services and other revenue is recognized as the services are performed.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Contracts with Multiple Performance Obligations</w:t>
      </w:r>
    </w:p>
    <w:p>
      <w:pPr>
        <w:spacing w:after="0" w:line="248" w:lineRule="exact"/>
        <w:rPr>
          <w:sz w:val="20"/>
          <w:szCs w:val="20"/>
          <w:color w:val="auto"/>
        </w:rPr>
      </w:pPr>
    </w:p>
    <w:p>
      <w:pPr>
        <w:ind w:right="220" w:firstLine="360"/>
        <w:spacing w:after="0" w:line="289" w:lineRule="auto"/>
        <w:rPr>
          <w:sz w:val="20"/>
          <w:szCs w:val="20"/>
          <w:color w:val="auto"/>
        </w:rPr>
      </w:pPr>
      <w:r>
        <w:rPr>
          <w:rFonts w:ascii="Arial" w:cs="Arial" w:eastAsia="Arial" w:hAnsi="Arial"/>
          <w:sz w:val="19"/>
          <w:szCs w:val="19"/>
          <w:color w:val="auto"/>
        </w:rPr>
        <w:t>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Variable Consideration</w:t>
      </w:r>
    </w:p>
    <w:p>
      <w:pPr>
        <w:spacing w:after="0" w:line="248" w:lineRule="exact"/>
        <w:rPr>
          <w:sz w:val="20"/>
          <w:szCs w:val="20"/>
          <w:color w:val="auto"/>
        </w:rPr>
      </w:pPr>
    </w:p>
    <w:p>
      <w:pPr>
        <w:ind w:right="180" w:firstLine="360"/>
        <w:spacing w:after="0" w:line="259" w:lineRule="auto"/>
        <w:rPr>
          <w:sz w:val="20"/>
          <w:szCs w:val="20"/>
          <w:color w:val="auto"/>
        </w:rPr>
      </w:pPr>
      <w:r>
        <w:rPr>
          <w:rFonts w:ascii="Arial" w:cs="Arial" w:eastAsia="Arial" w:hAnsi="Arial"/>
          <w:sz w:val="20"/>
          <w:szCs w:val="20"/>
          <w:color w:val="auto"/>
        </w:rPr>
        <w:t>We record revenue from sales at the net sales price, which is the transaction price, including estimates of variable consideration when applicable. Certain of our customers may be entitled to receive credits and in limited circumstances, refunds, if service level commitments are not met. We have not historically experienced significant incidents affecting the ability to meet these service level commitments and any estimated refunds related to these agreements have not been material.</w:t>
      </w:r>
    </w:p>
    <w:p>
      <w:pPr>
        <w:spacing w:after="0" w:line="199" w:lineRule="exact"/>
        <w:rPr>
          <w:sz w:val="20"/>
          <w:szCs w:val="20"/>
          <w:color w:val="auto"/>
        </w:rPr>
      </w:pPr>
    </w:p>
    <w:p>
      <w:pPr>
        <w:jc w:val="both"/>
        <w:ind w:right="560" w:firstLine="360"/>
        <w:spacing w:after="0" w:line="268" w:lineRule="auto"/>
        <w:rPr>
          <w:sz w:val="20"/>
          <w:szCs w:val="20"/>
          <w:color w:val="auto"/>
        </w:rPr>
      </w:pPr>
      <w:r>
        <w:rPr>
          <w:rFonts w:ascii="Arial" w:cs="Arial" w:eastAsia="Arial" w:hAnsi="Arial"/>
          <w:sz w:val="20"/>
          <w:szCs w:val="20"/>
          <w:color w:val="auto"/>
        </w:rPr>
        <w:t>Sales through our channel network of distributors and resellers are generally discounted as compared to the price that we would sell to an end user. Revenue for sales through our channel network is recorded net of any distributor or reseller margin.</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Cash and Cash Equivalents</w:t>
      </w:r>
    </w:p>
    <w:p>
      <w:pPr>
        <w:spacing w:after="0" w:line="249" w:lineRule="exact"/>
        <w:rPr>
          <w:sz w:val="20"/>
          <w:szCs w:val="20"/>
          <w:color w:val="auto"/>
        </w:rPr>
      </w:pPr>
    </w:p>
    <w:p>
      <w:pPr>
        <w:ind w:right="60" w:firstLine="360"/>
        <w:spacing w:after="0" w:line="287" w:lineRule="auto"/>
        <w:rPr>
          <w:sz w:val="20"/>
          <w:szCs w:val="20"/>
          <w:color w:val="auto"/>
        </w:rPr>
      </w:pPr>
      <w:r>
        <w:rPr>
          <w:rFonts w:ascii="Arial" w:cs="Arial" w:eastAsia="Arial" w:hAnsi="Arial"/>
          <w:sz w:val="20"/>
          <w:szCs w:val="20"/>
          <w:color w:val="auto"/>
        </w:rPr>
        <w:t>We consider all highly liquid financial instruments with an original maturity of three months or less when purchased to be cash equivalents.</w:t>
      </w:r>
    </w:p>
    <w:p>
      <w:pPr>
        <w:spacing w:after="0" w:line="170" w:lineRule="exact"/>
        <w:rPr>
          <w:sz w:val="20"/>
          <w:szCs w:val="20"/>
          <w:color w:val="auto"/>
        </w:rPr>
      </w:pPr>
    </w:p>
    <w:p>
      <w:pPr>
        <w:ind w:right="160" w:firstLine="360"/>
        <w:spacing w:after="0" w:line="259" w:lineRule="auto"/>
        <w:rPr>
          <w:sz w:val="20"/>
          <w:szCs w:val="20"/>
          <w:color w:val="auto"/>
        </w:rPr>
      </w:pPr>
      <w:r>
        <w:rPr>
          <w:rFonts w:ascii="Arial" w:cs="Arial" w:eastAsia="Arial" w:hAnsi="Arial"/>
          <w:sz w:val="20"/>
          <w:szCs w:val="20"/>
          <w:color w:val="auto"/>
        </w:rPr>
        <w:t>At December 31, 2022 and 2021, cash and cash equivalents included $5.8 million of restricted cash primarily related to collateral for our outstanding letters of credit. At December 31, 2021, cash and cash equivalents excluded $0.3 million of restricted cash, which is related to an account established as collateral for a lease arrangement and is included in other assets on the consolidated balance sheets.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249" w:lineRule="exact"/>
        <w:rPr>
          <w:sz w:val="20"/>
          <w:szCs w:val="20"/>
          <w:color w:val="auto"/>
        </w:rPr>
      </w:pPr>
    </w:p>
    <w:p>
      <w:pPr>
        <w:ind w:right="20" w:firstLine="360"/>
        <w:spacing w:after="0" w:line="256" w:lineRule="auto"/>
        <w:rPr>
          <w:sz w:val="20"/>
          <w:szCs w:val="20"/>
          <w:color w:val="auto"/>
        </w:rPr>
      </w:pPr>
      <w:r>
        <w:rPr>
          <w:rFonts w:ascii="Arial" w:cs="Arial" w:eastAsia="Arial" w:hAnsi="Arial"/>
          <w:sz w:val="20"/>
          <w:szCs w:val="20"/>
          <w:color w:val="auto"/>
        </w:rPr>
        <w:t>Fair value is defined as the price that would be received from selling an asset, or paid to transfer a liability, in an orderly transaction between market participants at the measurement date. We apply fair value accounting for all financial assets and liabilities that are recognized or disclosed at fair value in the financial statements on a recurring basis. We measure cash and cash equivalents and short-term investments at fair value using a fair value hierarchy of inputs. We approximate fair value by using the carrying amounts for accounts receivable, accounts payable and accrued expenses due to their short-term nature.</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Investments</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Short-term Investments</w:t>
      </w:r>
    </w:p>
    <w:p>
      <w:pPr>
        <w:spacing w:after="0" w:line="248" w:lineRule="exact"/>
        <w:rPr>
          <w:sz w:val="20"/>
          <w:szCs w:val="20"/>
          <w:color w:val="auto"/>
        </w:rPr>
      </w:pPr>
    </w:p>
    <w:p>
      <w:pPr>
        <w:ind w:right="180" w:firstLine="360"/>
        <w:spacing w:after="0" w:line="262" w:lineRule="auto"/>
        <w:rPr>
          <w:sz w:val="20"/>
          <w:szCs w:val="20"/>
          <w:color w:val="auto"/>
        </w:rPr>
      </w:pPr>
      <w:r>
        <w:rPr>
          <w:rFonts w:ascii="Arial" w:cs="Arial" w:eastAsia="Arial" w:hAnsi="Arial"/>
          <w:sz w:val="20"/>
          <w:szCs w:val="20"/>
          <w:color w:val="auto"/>
        </w:rPr>
        <w:t>Our short-term investments include asset backed securities, certificates of deposit, commercial paper, corporate and supranational bonds, and U.S. treasury and agency obligations. Our investments are classified as available-for-sale and recorded at fair value, with unrealized gains and losses reported in accumulated other comprehensive (loss) income within stockholders’ equity.</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880" w:h="15480" w:orient="portrait"/>
          <w:cols w:equalWidth="0" w:num="1">
            <w:col w:w="9000"/>
          </w:cols>
          <w:pgMar w:left="1440" w:top="1204" w:right="1440" w:bottom="0" w:gutter="0" w:footer="0" w:header="0"/>
          <w:type w:val="continuous"/>
        </w:sectPr>
      </w:pPr>
    </w:p>
    <w:bookmarkStart w:id="184" w:name="page185"/>
    <w:bookmarkEnd w:id="184"/>
    <w:p>
      <w:pPr>
        <w:ind w:right="160" w:firstLine="360"/>
        <w:spacing w:after="0" w:line="262" w:lineRule="auto"/>
        <w:rPr>
          <w:sz w:val="20"/>
          <w:szCs w:val="20"/>
          <w:color w:val="auto"/>
        </w:rPr>
      </w:pPr>
      <w:r>
        <w:rPr>
          <w:rFonts w:ascii="Arial" w:cs="Arial" w:eastAsia="Arial" w:hAnsi="Arial"/>
          <w:sz w:val="20"/>
          <w:szCs w:val="20"/>
          <w:color w:val="auto"/>
        </w:rPr>
        <w:t>We classify investments with original maturities of less than 90 days as cash and cash equivalents. Investments with original maturities greater than 90 days, including those we do not currently intend on selling within the next twelve months, are classified as short-term investments as they are available for use in our operations.</w:t>
      </w:r>
    </w:p>
    <w:p>
      <w:pPr>
        <w:spacing w:after="0" w:line="196" w:lineRule="exact"/>
        <w:rPr>
          <w:sz w:val="20"/>
          <w:szCs w:val="20"/>
          <w:color w:val="auto"/>
        </w:rPr>
      </w:pPr>
    </w:p>
    <w:p>
      <w:pPr>
        <w:ind w:right="80" w:firstLine="360"/>
        <w:spacing w:after="0" w:line="262" w:lineRule="auto"/>
        <w:rPr>
          <w:sz w:val="20"/>
          <w:szCs w:val="20"/>
          <w:color w:val="auto"/>
        </w:rPr>
      </w:pPr>
      <w:r>
        <w:rPr>
          <w:rFonts w:ascii="Arial" w:cs="Arial" w:eastAsia="Arial" w:hAnsi="Arial"/>
          <w:sz w:val="20"/>
          <w:szCs w:val="20"/>
          <w:color w:val="auto"/>
        </w:rPr>
        <w:t>We evaluate potential impairments of available-for-sale debt securities due to credit-related and non-credit-related factors, including market risk, and if it is more-likely-than-not that we would have to sell the security before the recovery of the amortized cost basis. Identified credit-related impairments would be recognized as a charge in the statement of operations.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20"/>
          <w:szCs w:val="20"/>
          <w:i w:val="1"/>
          <w:iCs w:val="1"/>
          <w:color w:val="auto"/>
        </w:rPr>
        <w:t>Other Investments</w:t>
      </w:r>
    </w:p>
    <w:p>
      <w:pPr>
        <w:spacing w:after="0" w:line="248" w:lineRule="exact"/>
        <w:rPr>
          <w:sz w:val="20"/>
          <w:szCs w:val="20"/>
          <w:color w:val="auto"/>
        </w:rPr>
      </w:pPr>
    </w:p>
    <w:p>
      <w:pPr>
        <w:ind w:right="260" w:firstLine="360"/>
        <w:spacing w:after="0" w:line="254" w:lineRule="auto"/>
        <w:rPr>
          <w:sz w:val="20"/>
          <w:szCs w:val="20"/>
          <w:color w:val="auto"/>
        </w:rPr>
      </w:pPr>
      <w:r>
        <w:rPr>
          <w:rFonts w:ascii="Arial" w:cs="Arial" w:eastAsia="Arial" w:hAnsi="Arial"/>
          <w:sz w:val="20"/>
          <w:szCs w:val="20"/>
          <w:color w:val="auto"/>
        </w:rPr>
        <w:t>Our other investments consist of non-marketable simple agreements for future equity ("SAFE") investments with privately held companies. These SAFE investments convert our investment value into preferred stock of the issuer upon a future equity financing or give us the right to redeem the investments upon a dissolution or liquidity event in the form of cash or common stock, and include customary investor protections and incentives, including information rights, pro-rata rights to participate in subsequent equity financings, and a right of first notice in the event of a potential acquisition of the issuer. We have elected to apply the measurement alternative and record these SAFE investments at cost, less any impairment, plus or minus observable price changes for similar investments of the same issuer. At December 31, 2022 and 2021, we had $15.0 million and $5.0 million, respectively, which are included in other assets on our consolidated balance sheets. No material events impacted the carrying value of our SAFE investments in 2022 or 2021.</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Accounts Receivable</w:t>
      </w:r>
    </w:p>
    <w:p>
      <w:pPr>
        <w:spacing w:after="0" w:line="249" w:lineRule="exact"/>
        <w:rPr>
          <w:sz w:val="20"/>
          <w:szCs w:val="20"/>
          <w:color w:val="auto"/>
        </w:rPr>
      </w:pPr>
    </w:p>
    <w:p>
      <w:pPr>
        <w:ind w:right="320" w:firstLine="360"/>
        <w:spacing w:after="0" w:line="259" w:lineRule="auto"/>
        <w:rPr>
          <w:sz w:val="20"/>
          <w:szCs w:val="20"/>
          <w:color w:val="auto"/>
        </w:rPr>
      </w:pPr>
      <w:r>
        <w:rPr>
          <w:rFonts w:ascii="Arial" w:cs="Arial" w:eastAsia="Arial" w:hAnsi="Arial"/>
          <w:sz w:val="20"/>
          <w:szCs w:val="20"/>
          <w:color w:val="auto"/>
        </w:rPr>
        <w:t>Accounts receivable are recorded at the invoiced amount, less an allowance for doubtful accounts, and do not bear interest. We maintain an allowance for doubtful accounts at an amount estimated to be sufficient to cover the risk of collecting less than full payment of the receivables. At each balance sheet date, we evaluate our receivables and assess the allowance for doubtful accounts based on specific customer collection issues and historical write-off trends.</w:t>
      </w:r>
    </w:p>
    <w:p>
      <w:pPr>
        <w:spacing w:after="0" w:line="199" w:lineRule="exact"/>
        <w:rPr>
          <w:sz w:val="20"/>
          <w:szCs w:val="20"/>
          <w:color w:val="auto"/>
        </w:rPr>
      </w:pPr>
    </w:p>
    <w:p>
      <w:pPr>
        <w:ind w:right="280" w:firstLine="360"/>
        <w:spacing w:after="0" w:line="256" w:lineRule="auto"/>
        <w:rPr>
          <w:sz w:val="20"/>
          <w:szCs w:val="20"/>
          <w:color w:val="auto"/>
        </w:rPr>
      </w:pPr>
      <w:r>
        <w:rPr>
          <w:rFonts w:ascii="Arial" w:cs="Arial" w:eastAsia="Arial" w:hAnsi="Arial"/>
          <w:sz w:val="20"/>
          <w:szCs w:val="20"/>
          <w:color w:val="auto"/>
        </w:rPr>
        <w:t>Our allowance for doubtful accounts reflects our best estimate of expected future credit losses. We consider various factors that may impact our ability to collect on accounts receivable, including our historical collection experience, age of accounts receivable balances, current conditions, reasonable and supportable forecasts of future economic conditions, as well as other factors, however, these estimates may change and future credit losses may differ from our estimates. Expected credit losses from accounts receivable are recognized as expense in our statement of operations.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Deferred Commissions</w:t>
      </w:r>
    </w:p>
    <w:p>
      <w:pPr>
        <w:spacing w:after="0" w:line="249" w:lineRule="exact"/>
        <w:rPr>
          <w:sz w:val="20"/>
          <w:szCs w:val="20"/>
          <w:color w:val="auto"/>
        </w:rPr>
      </w:pPr>
    </w:p>
    <w:p>
      <w:pPr>
        <w:ind w:right="40" w:firstLine="360"/>
        <w:spacing w:after="0" w:line="255" w:lineRule="auto"/>
        <w:rPr>
          <w:sz w:val="20"/>
          <w:szCs w:val="20"/>
          <w:color w:val="auto"/>
        </w:rPr>
      </w:pPr>
      <w:r>
        <w:rPr>
          <w:rFonts w:ascii="Arial" w:cs="Arial" w:eastAsia="Arial" w:hAnsi="Arial"/>
          <w:sz w:val="20"/>
          <w:szCs w:val="20"/>
          <w:color w:val="auto"/>
        </w:rPr>
        <w:t>Sales commissions, including related fringe benefit costs, are considered to be incremental costs of obtaining a contract. Sales commissions on initial sales are not commensurate with sales commissions on contract renewals and therefore are recognized over an estimated period of benefit, which ranges between three and four years for subscription arrangements and five years for perpetual license arrangements. We estimated the period of benefit based on the expected contract term including renewal periods, the lifecycle of our technology, and other factors. Sales commissions on contract renewals are capitalized and amortized ratably over the contract term as part of sales and marketing expense, with the exception of contracts with renewal periods that are one year or less, in which case the incremental costs are expensed as incurred.</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1880" w:h="15480" w:orient="portrait"/>
          <w:cols w:equalWidth="0" w:num="1">
            <w:col w:w="9000"/>
          </w:cols>
          <w:pgMar w:left="1440" w:top="1204" w:right="1440" w:bottom="0" w:gutter="0" w:footer="0" w:header="0"/>
          <w:type w:val="continuous"/>
        </w:sectPr>
      </w:pPr>
    </w:p>
    <w:bookmarkStart w:id="185" w:name="page186"/>
    <w:bookmarkEnd w:id="185"/>
    <w:p>
      <w:pPr>
        <w:ind w:left="360"/>
        <w:spacing w:after="0"/>
        <w:rPr>
          <w:sz w:val="20"/>
          <w:szCs w:val="20"/>
          <w:color w:val="auto"/>
        </w:rPr>
      </w:pPr>
      <w:r>
        <w:rPr>
          <w:rFonts w:ascii="Arial" w:cs="Arial" w:eastAsia="Arial" w:hAnsi="Arial"/>
          <w:sz w:val="20"/>
          <w:szCs w:val="20"/>
          <w:b w:val="1"/>
          <w:bCs w:val="1"/>
          <w:i w:val="1"/>
          <w:iCs w:val="1"/>
          <w:color w:val="auto"/>
        </w:rPr>
        <w:t>Property and Equipment, net</w:t>
      </w:r>
    </w:p>
    <w:p>
      <w:pPr>
        <w:spacing w:after="0" w:line="249" w:lineRule="exact"/>
        <w:rPr>
          <w:sz w:val="20"/>
          <w:szCs w:val="20"/>
          <w:color w:val="auto"/>
        </w:rPr>
      </w:pPr>
    </w:p>
    <w:p>
      <w:pPr>
        <w:ind w:right="80" w:firstLine="360"/>
        <w:spacing w:after="0" w:line="272" w:lineRule="auto"/>
        <w:rPr>
          <w:sz w:val="20"/>
          <w:szCs w:val="20"/>
          <w:color w:val="auto"/>
        </w:rPr>
      </w:pPr>
      <w:r>
        <w:rPr>
          <w:rFonts w:ascii="Arial" w:cs="Arial" w:eastAsia="Arial" w:hAnsi="Arial"/>
          <w:sz w:val="19"/>
          <w:szCs w:val="19"/>
          <w:color w:val="auto"/>
        </w:rPr>
        <w:t>Property and equipment, net is stated at historical cost less accumulated depreciation. Depreciation is computed using the straight-line method over the estimated useful lives of the assets: three years for computer software and equipment and five years for furniture and fixtures. Leasehold improvements are amortized using the straight-line method over the shorter of the estimated useful lives of the assets or the terms of the respective leases. Property and equipment, net includes right-of-use assets acquired under finance leases. Amortization of assets acquired under finance leases is included in depreciation expense. Repairs and maintenance costs are expensed as incurred.</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Leases</w:t>
      </w:r>
    </w:p>
    <w:p>
      <w:pPr>
        <w:spacing w:after="0" w:line="249" w:lineRule="exact"/>
        <w:rPr>
          <w:sz w:val="20"/>
          <w:szCs w:val="20"/>
          <w:color w:val="auto"/>
        </w:rPr>
      </w:pPr>
    </w:p>
    <w:p>
      <w:pPr>
        <w:ind w:firstLine="360"/>
        <w:spacing w:after="0" w:line="269" w:lineRule="auto"/>
        <w:rPr>
          <w:sz w:val="20"/>
          <w:szCs w:val="20"/>
          <w:color w:val="auto"/>
        </w:rPr>
      </w:pPr>
      <w:r>
        <w:rPr>
          <w:rFonts w:ascii="Arial" w:cs="Arial" w:eastAsia="Arial" w:hAnsi="Arial"/>
          <w:sz w:val="19"/>
          <w:szCs w:val="19"/>
          <w:color w:val="auto"/>
        </w:rPr>
        <w:t>We determine if an arrangement contains a lease and the classification of that lease, if applicable, at inception. We have elected to not recognize a lease liability or right-of-use ("ROU") asset for short-term leases (leases with a term of twelve months or less). For contracts with lease and non-lease components, we have elected to not allocate the contract consideration, and account for the lease and non-lease components as a single lease component. Additionally, we enter into arrangements to use shared office spaces and other facilities, and have determined that these arrangements do not contain leases as we do not have the right to use an identified asset. Operating leases are included in operating lease ROU assets, operating lease liabilities and operating lease liabilities (net of current portion) in our consolidated balance sheets. Finance leases are included in property and equipment, other current liabilities and other liabilities in our consolidated balance sheets.</w:t>
      </w:r>
    </w:p>
    <w:p>
      <w:pPr>
        <w:spacing w:after="0" w:line="191" w:lineRule="exact"/>
        <w:rPr>
          <w:sz w:val="20"/>
          <w:szCs w:val="20"/>
          <w:color w:val="auto"/>
        </w:rPr>
      </w:pPr>
    </w:p>
    <w:p>
      <w:pPr>
        <w:ind w:right="140" w:firstLine="360"/>
        <w:spacing w:after="0" w:line="253" w:lineRule="auto"/>
        <w:rPr>
          <w:sz w:val="20"/>
          <w:szCs w:val="20"/>
          <w:color w:val="auto"/>
        </w:rPr>
      </w:pPr>
      <w:r>
        <w:rPr>
          <w:rFonts w:ascii="Arial" w:cs="Arial" w:eastAsia="Arial" w:hAnsi="Arial"/>
          <w:sz w:val="20"/>
          <w:szCs w:val="20"/>
          <w:color w:val="auto"/>
        </w:rPr>
        <w:t>ROU assets represent our right to use an underlying asset for the lease term and lease liabilities represent our obligation to make lease payments under the lease. Operating lease ROU assets and liabilities are recognized at the lease commencement date based on the present value of lease payments over the lease term. The implicit rate within our operating leases are generally not determinable and we use our incremental borrowing rate at the lease commencement date to determine the present value of lease payments. The determination of our incremental borrowing rate requires judgment. We determine our incremental borrowing rate for each lease using our current borrowing rate, adjusted for various factors including level of collateralization, term and currency to align with the terms of the lease. The operating lease ROU asset also includes any lease prepayments, offset by lease incentives. Certain of our leases include options to extend or terminate the lease. An option to extend the lease is considered in connection with determining the ROU asset and lease liability when it is reasonably certain we will exercise that option. An option to terminate is considered unless it is reasonably certain we will not exercise the option.</w:t>
      </w:r>
    </w:p>
    <w:p>
      <w:pPr>
        <w:spacing w:after="0" w:line="208" w:lineRule="exact"/>
        <w:rPr>
          <w:sz w:val="20"/>
          <w:szCs w:val="20"/>
          <w:color w:val="auto"/>
        </w:rPr>
      </w:pPr>
    </w:p>
    <w:p>
      <w:pPr>
        <w:ind w:right="460" w:firstLine="360"/>
        <w:spacing w:after="0" w:line="287" w:lineRule="auto"/>
        <w:rPr>
          <w:sz w:val="20"/>
          <w:szCs w:val="20"/>
          <w:color w:val="auto"/>
        </w:rPr>
      </w:pPr>
      <w:r>
        <w:rPr>
          <w:rFonts w:ascii="Arial" w:cs="Arial" w:eastAsia="Arial" w:hAnsi="Arial"/>
          <w:sz w:val="20"/>
          <w:szCs w:val="20"/>
          <w:color w:val="auto"/>
        </w:rPr>
        <w:t>Lease expense for lease payments is recognized on a straight-line basis over the term of the lease.</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Impairment of Long-Lived Assets</w:t>
      </w:r>
    </w:p>
    <w:p>
      <w:pPr>
        <w:spacing w:after="0" w:line="249" w:lineRule="exact"/>
        <w:rPr>
          <w:sz w:val="20"/>
          <w:szCs w:val="20"/>
          <w:color w:val="auto"/>
        </w:rPr>
      </w:pPr>
    </w:p>
    <w:p>
      <w:pPr>
        <w:ind w:right="80" w:firstLine="360"/>
        <w:spacing w:after="0" w:line="257" w:lineRule="auto"/>
        <w:rPr>
          <w:sz w:val="20"/>
          <w:szCs w:val="20"/>
          <w:color w:val="auto"/>
        </w:rPr>
      </w:pPr>
      <w:r>
        <w:rPr>
          <w:rFonts w:ascii="Arial" w:cs="Arial" w:eastAsia="Arial" w:hAnsi="Arial"/>
          <w:sz w:val="20"/>
          <w:szCs w:val="20"/>
          <w:color w:val="auto"/>
        </w:rPr>
        <w:t>We evaluate our long-lived assets for impairment whenever events or changes in circumstance indicate that the carrying amount may not be fully recoverable. Recoverability of the long-lived assets is measured by a comparison of the carrying amount of the assets to future undiscounted net cash flows expected to be generated by the assets. If such assets are considered to be impaired, the impairment to be recognized is measured as the excess of the carrying amount over the fair value. There was no impairment of long-lived assets in 2022, 2021 or 2020.</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Business Combinations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We account for business combinations by recognizing the fair value of acquired assets and</w:t>
      </w:r>
    </w:p>
    <w:p>
      <w:pPr>
        <w:sectPr>
          <w:pgSz w:w="11880" w:h="15480" w:orient="portrait"/>
          <w:cols w:equalWidth="0" w:num="1">
            <w:col w:w="9000"/>
          </w:cols>
          <w:pgMar w:left="1440" w:top="12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1880" w:h="15480" w:orient="portrait"/>
          <w:cols w:equalWidth="0" w:num="1">
            <w:col w:w="9000"/>
          </w:cols>
          <w:pgMar w:left="1440" w:top="1205" w:right="1440" w:bottom="0" w:gutter="0" w:footer="0" w:header="0"/>
          <w:type w:val="continuous"/>
        </w:sectPr>
      </w:pPr>
    </w:p>
    <w:bookmarkStart w:id="186" w:name="page187"/>
    <w:bookmarkEnd w:id="186"/>
    <w:p>
      <w:pPr>
        <w:ind w:right="180"/>
        <w:spacing w:after="0" w:line="253" w:lineRule="auto"/>
        <w:rPr>
          <w:sz w:val="20"/>
          <w:szCs w:val="20"/>
          <w:color w:val="auto"/>
        </w:rPr>
      </w:pPr>
      <w:r>
        <w:rPr>
          <w:rFonts w:ascii="Arial" w:cs="Arial" w:eastAsia="Arial" w:hAnsi="Arial"/>
          <w:sz w:val="20"/>
          <w:szCs w:val="20"/>
          <w:color w:val="auto"/>
        </w:rPr>
        <w:t>liabilities. The excess purchase consideration over the fair value of acquired assets and liabilities is recorded as goodwill. When determining the fair value of assets acquired and liabilities assumed, a non-recurring Level 3 fair value measurement, we make estimates and assumptions, especially with respect to intangible assets such as identified acquired technology and trade names. We determine the fair value of acquired technology using the multi-period excess earnings method, a form of the income approach. Estimates in valuing identifiable intangible assets include, but are not limited to, projected revenue growth rates, obsolescence projections and an appropriate discount rate. Our estimate of fair value is based upon assumptions we believe to be reasonable, but which are inherently uncertain and, as a result, actual results may differ from estimates. During the measurement period, we may make adjustments to the fair value of assets acquired and liabilities assumed, with offsetting adjustments to goodwill. Any adjustments made after the measurement period will be reflected in the consolidated statements of operations. Acquisition-related transaction costs are expensed as incurred.</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Goodwill</w:t>
      </w:r>
    </w:p>
    <w:p>
      <w:pPr>
        <w:spacing w:after="0" w:line="249" w:lineRule="exact"/>
        <w:rPr>
          <w:sz w:val="20"/>
          <w:szCs w:val="20"/>
          <w:color w:val="auto"/>
        </w:rPr>
      </w:pPr>
    </w:p>
    <w:p>
      <w:pPr>
        <w:ind w:right="20" w:firstLine="360"/>
        <w:spacing w:after="0" w:line="255" w:lineRule="auto"/>
        <w:rPr>
          <w:sz w:val="20"/>
          <w:szCs w:val="20"/>
          <w:color w:val="auto"/>
        </w:rPr>
      </w:pPr>
      <w:r>
        <w:rPr>
          <w:rFonts w:ascii="Arial" w:cs="Arial" w:eastAsia="Arial" w:hAnsi="Arial"/>
          <w:sz w:val="20"/>
          <w:szCs w:val="20"/>
          <w:color w:val="auto"/>
        </w:rPr>
        <w:t>The excess of the purchase consideration over the fair value of acquired assets and liabilities is recorded as goodwill. We perform our annual impairment assessment on October 1, or more frequently, when events or circumstances indicate impairment may have occurred. We operate as one reporting unit and have elected to first assess qualitative factors to determine whether it is more likely than not that the fair value of the Company as a whole is less than its carrying amount, including goodwill. The qualitative assessment includes an evaluation of relevant events and circumstances, including macroeconomic, industry and market conditions, our overall financial performance, and trends in the value of our common stock. During the periods presented, there were no indications of impairment and it was not more likely than not that goodwill was impaired.</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Common Stock</w:t>
      </w:r>
    </w:p>
    <w:p>
      <w:pPr>
        <w:spacing w:after="0" w:line="249" w:lineRule="exact"/>
        <w:rPr>
          <w:sz w:val="20"/>
          <w:szCs w:val="20"/>
          <w:color w:val="auto"/>
        </w:rPr>
      </w:pPr>
    </w:p>
    <w:p>
      <w:pPr>
        <w:ind w:right="200" w:firstLine="360"/>
        <w:spacing w:after="0" w:line="255" w:lineRule="auto"/>
        <w:rPr>
          <w:sz w:val="20"/>
          <w:szCs w:val="20"/>
          <w:color w:val="auto"/>
        </w:rPr>
      </w:pPr>
      <w:r>
        <w:rPr>
          <w:rFonts w:ascii="Arial" w:cs="Arial" w:eastAsia="Arial" w:hAnsi="Arial"/>
          <w:sz w:val="20"/>
          <w:szCs w:val="20"/>
          <w:color w:val="auto"/>
        </w:rPr>
        <w:t>Our Amended and Restated Certificate of Incorporation authorized 500,000,000 shares of common stock and 10,000,000 shares of preferred stock. There were no shares of preferred stock issued or outstanding at December 31, 2022 or 2021. The voting, dividend, and liquidation rights of common stockholders are subject to, and qualified by, the rights of preferred stockholders. The common stockholders are entitled to receive dividends when, as and if, declared by the Board of Directors, subject to preferential dividend rights of preferred stockholders. Upon dissolution or liquidation, our common stockholders will be entitled to receive all assets available for distribution to stockholders, subject to any preferential rights of preferred stockholders.</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Advertising</w:t>
      </w:r>
    </w:p>
    <w:p>
      <w:pPr>
        <w:spacing w:after="0" w:line="249" w:lineRule="exact"/>
        <w:rPr>
          <w:sz w:val="20"/>
          <w:szCs w:val="20"/>
          <w:color w:val="auto"/>
        </w:rPr>
      </w:pPr>
    </w:p>
    <w:p>
      <w:pPr>
        <w:ind w:right="40" w:firstLine="360"/>
        <w:spacing w:after="0" w:line="268" w:lineRule="auto"/>
        <w:rPr>
          <w:sz w:val="20"/>
          <w:szCs w:val="20"/>
          <w:color w:val="auto"/>
        </w:rPr>
      </w:pPr>
      <w:r>
        <w:rPr>
          <w:rFonts w:ascii="Arial" w:cs="Arial" w:eastAsia="Arial" w:hAnsi="Arial"/>
          <w:sz w:val="20"/>
          <w:szCs w:val="20"/>
          <w:color w:val="auto"/>
        </w:rPr>
        <w:t>Advertising costs are expensed as they are incurred. We incurred advertising costs of $13.6 million in 2022 and 2021 and $8.2 million in 2020, which are included in sales and marketing expense in the consolidated statements of operations.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Software Development Costs</w:t>
      </w:r>
    </w:p>
    <w:p>
      <w:pPr>
        <w:spacing w:after="0" w:line="249" w:lineRule="exact"/>
        <w:rPr>
          <w:sz w:val="20"/>
          <w:szCs w:val="20"/>
          <w:color w:val="auto"/>
        </w:rPr>
      </w:pPr>
    </w:p>
    <w:p>
      <w:pPr>
        <w:ind w:right="220" w:firstLine="360"/>
        <w:spacing w:after="0" w:line="257" w:lineRule="auto"/>
        <w:rPr>
          <w:sz w:val="20"/>
          <w:szCs w:val="20"/>
          <w:color w:val="auto"/>
        </w:rPr>
      </w:pPr>
      <w:r>
        <w:rPr>
          <w:rFonts w:ascii="Arial" w:cs="Arial" w:eastAsia="Arial" w:hAnsi="Arial"/>
          <w:sz w:val="20"/>
          <w:szCs w:val="20"/>
          <w:color w:val="auto"/>
        </w:rPr>
        <w:t>Research and development costs to develop software to be sold, leased or marketed are expensed as incurred up to the point of technological feasibility for the related software product. We have not capitalized development costs for software to be sold, leased or marketed to date, as the software development process is essentially completed concurrent with the establishment of technological feasibility. As such, these costs are expensed as incurred and recognized in research and development costs in the consolidated statements of operations.</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1880" w:h="15480" w:orient="portrait"/>
          <w:cols w:equalWidth="0" w:num="1">
            <w:col w:w="9000"/>
          </w:cols>
          <w:pgMar w:left="1440" w:top="1204" w:right="1440" w:bottom="0" w:gutter="0" w:footer="0" w:header="0"/>
          <w:type w:val="continuous"/>
        </w:sectPr>
      </w:pPr>
    </w:p>
    <w:bookmarkStart w:id="187" w:name="page188"/>
    <w:bookmarkEnd w:id="187"/>
    <w:p>
      <w:pPr>
        <w:ind w:right="120" w:firstLine="360"/>
        <w:spacing w:after="0" w:line="255" w:lineRule="auto"/>
        <w:rPr>
          <w:sz w:val="20"/>
          <w:szCs w:val="20"/>
          <w:color w:val="auto"/>
        </w:rPr>
      </w:pPr>
      <w:r>
        <w:rPr>
          <w:rFonts w:ascii="Arial" w:cs="Arial" w:eastAsia="Arial" w:hAnsi="Arial"/>
          <w:sz w:val="20"/>
          <w:szCs w:val="20"/>
          <w:color w:val="auto"/>
        </w:rPr>
        <w:t>Software developed for internal use, with no substantive plans to market such software at the time of development, are capitalized and included in property and equipment, net in the consolidated balance sheets. Costs incurred during the preliminary planning and evaluation and post implementation stages of the project are expensed as incurred. Costs incurred during the application development stage of the project are capitalized. In 2022, 2021 and 2020, we capitalized $11.5 million, $2.9 million and $1.6 million, respectively, of development costs related to internal use software, including capitalized stock-based compensation of $1.7 million in 2022 and $0.2 million in 2021 and 2020.</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249" w:lineRule="exact"/>
        <w:rPr>
          <w:sz w:val="20"/>
          <w:szCs w:val="20"/>
          <w:color w:val="auto"/>
        </w:rPr>
      </w:pPr>
    </w:p>
    <w:p>
      <w:pPr>
        <w:ind w:right="160" w:firstLine="360"/>
        <w:spacing w:after="0" w:line="256" w:lineRule="auto"/>
        <w:rPr>
          <w:sz w:val="20"/>
          <w:szCs w:val="20"/>
          <w:color w:val="auto"/>
        </w:rPr>
      </w:pPr>
      <w:r>
        <w:rPr>
          <w:rFonts w:ascii="Arial" w:cs="Arial" w:eastAsia="Arial" w:hAnsi="Arial"/>
          <w:sz w:val="20"/>
          <w:szCs w:val="20"/>
          <w:color w:val="auto"/>
        </w:rPr>
        <w:t>Stock-based compensation expense related to restricted stock units ("RSUs"), purchase rights issued under our 2018 Employee Stock Purchase Plan ("2018 ESPP"), stock options and restricted stock is calculated based on the fair value of the awards granted and is recognized on a straight-line basis over the requisite service period, which is generally two to four years. Our performance stock units ("PSUs") vest over a period of 4 years and are subject to defined performance and service conditions. Our PSUs and RSUs that include performance-based vesting conditions are expensed using the accelerated attribution method. We account for forfeitures as they occur.</w:t>
      </w:r>
    </w:p>
    <w:p>
      <w:pPr>
        <w:spacing w:after="0" w:line="203" w:lineRule="exact"/>
        <w:rPr>
          <w:sz w:val="20"/>
          <w:szCs w:val="20"/>
          <w:color w:val="auto"/>
        </w:rPr>
      </w:pPr>
    </w:p>
    <w:p>
      <w:pPr>
        <w:ind w:right="120" w:firstLine="360"/>
        <w:spacing w:after="0" w:line="257" w:lineRule="auto"/>
        <w:rPr>
          <w:sz w:val="20"/>
          <w:szCs w:val="20"/>
          <w:color w:val="auto"/>
        </w:rPr>
      </w:pPr>
      <w:r>
        <w:rPr>
          <w:rFonts w:ascii="Arial" w:cs="Arial" w:eastAsia="Arial" w:hAnsi="Arial"/>
          <w:sz w:val="20"/>
          <w:szCs w:val="20"/>
          <w:color w:val="auto"/>
        </w:rPr>
        <w:t>The fair value of RSUs and PSUs is based on the market price of our common stock on the date of grant. The fair value of stock options and 2018 ESPP purchase rights is estimated on the grant date using the Black-Scholes option pricing model, which requires us to make assumptions and judgments, including the expected term, expected volatility, and risk-free interest rates. Following our IPO, we use the market price of our common stock at the date of grant. Prior to our IPO, we estimated the fair value of our common stock at the date of grant.</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Net Loss per Share</w:t>
      </w:r>
    </w:p>
    <w:p>
      <w:pPr>
        <w:spacing w:after="0" w:line="249" w:lineRule="exact"/>
        <w:rPr>
          <w:sz w:val="20"/>
          <w:szCs w:val="20"/>
          <w:color w:val="auto"/>
        </w:rPr>
      </w:pPr>
    </w:p>
    <w:p>
      <w:pPr>
        <w:ind w:right="60" w:firstLine="360"/>
        <w:spacing w:after="0" w:line="287" w:lineRule="auto"/>
        <w:rPr>
          <w:sz w:val="20"/>
          <w:szCs w:val="20"/>
          <w:color w:val="auto"/>
        </w:rPr>
      </w:pPr>
      <w:r>
        <w:rPr>
          <w:rFonts w:ascii="Arial" w:cs="Arial" w:eastAsia="Arial" w:hAnsi="Arial"/>
          <w:sz w:val="20"/>
          <w:szCs w:val="20"/>
          <w:color w:val="auto"/>
        </w:rPr>
        <w:t>We calculate basic net loss per share by dividing the net loss by the weighted-average number of shares of common stock outstanding during the period.</w:t>
      </w:r>
    </w:p>
    <w:p>
      <w:pPr>
        <w:spacing w:after="0" w:line="170" w:lineRule="exact"/>
        <w:rPr>
          <w:sz w:val="20"/>
          <w:szCs w:val="20"/>
          <w:color w:val="auto"/>
        </w:rPr>
      </w:pPr>
    </w:p>
    <w:p>
      <w:pPr>
        <w:ind w:right="100" w:firstLine="360"/>
        <w:spacing w:after="0" w:line="259" w:lineRule="auto"/>
        <w:rPr>
          <w:sz w:val="20"/>
          <w:szCs w:val="20"/>
          <w:color w:val="auto"/>
        </w:rPr>
      </w:pPr>
      <w:r>
        <w:rPr>
          <w:rFonts w:ascii="Arial" w:cs="Arial" w:eastAsia="Arial" w:hAnsi="Arial"/>
          <w:sz w:val="20"/>
          <w:szCs w:val="20"/>
          <w:color w:val="auto"/>
        </w:rPr>
        <w:t>Diluted earnings per share is computed by giving effect to all potentially dilutive common stock equivalents in the period, including unvested RSUs, PSUs, stock options, unvested restricted shares and shares to be issued under our 2018 ESPP. As we have reported losses for all periods presented, all potentially dilutive securities have been excluded from the calculation of diluted net loss per share as their effect would be antidilutive.</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Segment Information</w:t>
      </w:r>
    </w:p>
    <w:p>
      <w:pPr>
        <w:spacing w:after="0" w:line="249" w:lineRule="exact"/>
        <w:rPr>
          <w:sz w:val="20"/>
          <w:szCs w:val="20"/>
          <w:color w:val="auto"/>
        </w:rPr>
      </w:pPr>
    </w:p>
    <w:p>
      <w:pPr>
        <w:ind w:right="280" w:firstLine="360"/>
        <w:spacing w:after="0" w:line="268" w:lineRule="auto"/>
        <w:rPr>
          <w:sz w:val="20"/>
          <w:szCs w:val="20"/>
          <w:color w:val="auto"/>
        </w:rPr>
      </w:pPr>
      <w:r>
        <w:rPr>
          <w:rFonts w:ascii="Arial" w:cs="Arial" w:eastAsia="Arial" w:hAnsi="Arial"/>
          <w:sz w:val="20"/>
          <w:szCs w:val="20"/>
          <w:color w:val="auto"/>
        </w:rPr>
        <w:t>We operate as one operating segment as our chief executive officer, who is our chief operating decision maker, reviews financial information on a consolidated basis for purposes of making operating decisions, allocating resources, and evaluating financial performance.</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Income Taxes</w:t>
      </w:r>
    </w:p>
    <w:p>
      <w:pPr>
        <w:spacing w:after="0" w:line="249" w:lineRule="exact"/>
        <w:rPr>
          <w:sz w:val="20"/>
          <w:szCs w:val="20"/>
          <w:color w:val="auto"/>
        </w:rPr>
      </w:pPr>
    </w:p>
    <w:p>
      <w:pPr>
        <w:ind w:right="100" w:firstLine="360"/>
        <w:spacing w:after="0" w:line="257" w:lineRule="auto"/>
        <w:rPr>
          <w:sz w:val="20"/>
          <w:szCs w:val="20"/>
          <w:color w:val="auto"/>
        </w:rPr>
      </w:pPr>
      <w:r>
        <w:rPr>
          <w:rFonts w:ascii="Arial" w:cs="Arial" w:eastAsia="Arial" w:hAnsi="Arial"/>
          <w:sz w:val="20"/>
          <w:szCs w:val="20"/>
          <w:color w:val="auto"/>
        </w:rPr>
        <w:t>Income taxes are accounted for under the asset and liability method. This method requires recognition of deferred tax assets and liabilities for the expected future tax consequences of temporary differences between the financial statement carrying amounts and the tax basis of existing assets and liabilities, net operating loss carryforwards, and tax credit carryforwards. A valuation allowance is provided if it is more likely than not that some or all of the deferred tax assets will not be realized.</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ectPr>
          <w:pgSz w:w="11880" w:h="15480" w:orient="portrait"/>
          <w:cols w:equalWidth="0" w:num="1">
            <w:col w:w="9000"/>
          </w:cols>
          <w:pgMar w:left="1440" w:top="1204" w:right="1440" w:bottom="0" w:gutter="0" w:footer="0" w:header="0"/>
          <w:type w:val="continuous"/>
        </w:sectPr>
      </w:pPr>
    </w:p>
    <w:bookmarkStart w:id="188" w:name="page189"/>
    <w:bookmarkEnd w:id="188"/>
    <w:p>
      <w:pPr>
        <w:ind w:right="480" w:firstLine="360"/>
        <w:spacing w:after="0" w:line="268" w:lineRule="auto"/>
        <w:rPr>
          <w:sz w:val="20"/>
          <w:szCs w:val="20"/>
          <w:color w:val="auto"/>
        </w:rPr>
      </w:pPr>
      <w:r>
        <w:rPr>
          <w:rFonts w:ascii="Arial" w:cs="Arial" w:eastAsia="Arial" w:hAnsi="Arial"/>
          <w:sz w:val="20"/>
          <w:szCs w:val="20"/>
          <w:color w:val="auto"/>
        </w:rPr>
        <w:t>We recognize tax benefits from an uncertain tax position if it is more likely than not to be sustained upon audit by the relevant taxing authority. Interest and penalties associated with such uncertain tax positions are classified as a component of income tax expense.</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2. Revenue</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Disaggregation of Revenue</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presents a summary of revenue: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r>
      <w:tr>
        <w:trPr>
          <w:trHeight w:val="280"/>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3"/>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w w:val="99"/>
              </w:rPr>
              <w:t>2020</w:t>
            </w:r>
          </w:p>
        </w:tc>
      </w:tr>
      <w:tr>
        <w:trPr>
          <w:trHeight w:val="29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Subscription revenue</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612,510</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476,023</w:t>
            </w:r>
          </w:p>
        </w:tc>
        <w:tc>
          <w:tcPr>
            <w:tcW w:w="500" w:type="dxa"/>
            <w:vAlign w:val="bottom"/>
            <w:gridSpan w:val="2"/>
            <w:shd w:val="clear" w:color="auto" w:fill="D2EDF0"/>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377,354</w:t>
            </w:r>
          </w:p>
        </w:tc>
      </w:tr>
      <w:tr>
        <w:trPr>
          <w:trHeight w:val="296"/>
        </w:trPr>
        <w:tc>
          <w:tcPr>
            <w:tcW w:w="4940" w:type="dxa"/>
            <w:vAlign w:val="bottom"/>
          </w:tcPr>
          <w:p>
            <w:pPr>
              <w:ind w:left="60"/>
              <w:spacing w:after="0"/>
              <w:rPr>
                <w:sz w:val="20"/>
                <w:szCs w:val="20"/>
                <w:color w:val="auto"/>
              </w:rPr>
            </w:pPr>
            <w:r>
              <w:rPr>
                <w:rFonts w:ascii="Arial" w:cs="Arial" w:eastAsia="Arial" w:hAnsi="Arial"/>
                <w:sz w:val="20"/>
                <w:szCs w:val="20"/>
                <w:color w:val="auto"/>
              </w:rPr>
              <w:t>Perpetual license and maintenance revenue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50,699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50,333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50,594</w:t>
            </w:r>
          </w:p>
        </w:tc>
      </w:tr>
      <w:tr>
        <w:trPr>
          <w:trHeight w:val="294"/>
        </w:trPr>
        <w:tc>
          <w:tcPr>
            <w:tcW w:w="494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20"/>
                <w:szCs w:val="20"/>
                <w:color w:val="auto"/>
              </w:rPr>
              <w:t>Professional services and other revenue</w:t>
            </w: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19,982</w:t>
            </w:r>
          </w:p>
        </w:tc>
        <w:tc>
          <w:tcPr>
            <w:tcW w:w="80" w:type="dxa"/>
            <w:vAlign w:val="bottom"/>
            <w:tcBorders>
              <w:bottom w:val="single" w:sz="8" w:color="D2EDF0"/>
            </w:tcBorders>
            <w:shd w:val="clear" w:color="auto" w:fill="D2EDF0"/>
          </w:tcPr>
          <w:p>
            <w:pPr>
              <w:spacing w:after="0"/>
              <w:rPr>
                <w:sz w:val="24"/>
                <w:szCs w:val="24"/>
                <w:color w:val="auto"/>
              </w:rPr>
            </w:pP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14,774</w:t>
            </w:r>
          </w:p>
        </w:tc>
        <w:tc>
          <w:tcPr>
            <w:tcW w:w="80" w:type="dxa"/>
            <w:vAlign w:val="bottom"/>
            <w:tcBorders>
              <w:bottom w:val="single" w:sz="8" w:color="D2EDF0"/>
            </w:tcBorders>
            <w:shd w:val="clear" w:color="auto" w:fill="D2EDF0"/>
          </w:tcPr>
          <w:p>
            <w:pPr>
              <w:spacing w:after="0"/>
              <w:rPr>
                <w:sz w:val="24"/>
                <w:szCs w:val="24"/>
                <w:color w:val="auto"/>
              </w:rPr>
            </w:pPr>
          </w:p>
        </w:tc>
        <w:tc>
          <w:tcPr>
            <w:tcW w:w="420" w:type="dxa"/>
            <w:vAlign w:val="bottom"/>
            <w:tcBorders>
              <w:bottom w:val="single" w:sz="8" w:color="auto"/>
            </w:tcBorders>
            <w:shd w:val="clear" w:color="auto" w:fill="D2EDF0"/>
          </w:tcPr>
          <w:p>
            <w:pPr>
              <w:spacing w:after="0"/>
              <w:rPr>
                <w:sz w:val="24"/>
                <w:szCs w:val="24"/>
                <w:color w:val="auto"/>
              </w:rPr>
            </w:pPr>
          </w:p>
        </w:tc>
        <w:tc>
          <w:tcPr>
            <w:tcW w:w="88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12,273</w:t>
            </w:r>
          </w:p>
        </w:tc>
      </w:tr>
      <w:tr>
        <w:trPr>
          <w:trHeight w:val="260"/>
        </w:trPr>
        <w:tc>
          <w:tcPr>
            <w:tcW w:w="4940" w:type="dxa"/>
            <w:vAlign w:val="bottom"/>
          </w:tcPr>
          <w:p>
            <w:pPr>
              <w:ind w:left="280"/>
              <w:spacing w:after="0"/>
              <w:rPr>
                <w:sz w:val="20"/>
                <w:szCs w:val="20"/>
                <w:color w:val="auto"/>
              </w:rPr>
            </w:pPr>
            <w:r>
              <w:rPr>
                <w:rFonts w:ascii="Arial" w:cs="Arial" w:eastAsia="Arial" w:hAnsi="Arial"/>
                <w:sz w:val="20"/>
                <w:szCs w:val="20"/>
                <w:color w:val="auto"/>
              </w:rPr>
              <w:t>Revenue</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683,191</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541,130</w:t>
            </w:r>
          </w:p>
        </w:tc>
        <w:tc>
          <w:tcPr>
            <w:tcW w:w="5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440,221</w:t>
            </w:r>
          </w:p>
        </w:tc>
      </w:tr>
      <w:tr>
        <w:trPr>
          <w:trHeight w:val="20"/>
        </w:trPr>
        <w:tc>
          <w:tcPr>
            <w:tcW w:w="4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-37465</wp:posOffset>
            </wp:positionV>
            <wp:extent cx="258127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81275" cy="38100"/>
                    </a:xfrm>
                    <a:prstGeom prst="rect">
                      <a:avLst/>
                    </a:prstGeom>
                    <a:noFill/>
                  </pic:spPr>
                </pic:pic>
              </a:graphicData>
            </a:graphic>
          </wp:anchor>
        </w:drawing>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Concentrations</w:t>
      </w:r>
    </w:p>
    <w:p>
      <w:pPr>
        <w:spacing w:after="0" w:line="249" w:lineRule="exact"/>
        <w:rPr>
          <w:sz w:val="20"/>
          <w:szCs w:val="20"/>
          <w:color w:val="auto"/>
        </w:rPr>
      </w:pPr>
    </w:p>
    <w:p>
      <w:pPr>
        <w:ind w:right="20" w:firstLine="360"/>
        <w:spacing w:after="0" w:line="255" w:lineRule="auto"/>
        <w:rPr>
          <w:sz w:val="20"/>
          <w:szCs w:val="20"/>
          <w:color w:val="auto"/>
        </w:rPr>
      </w:pPr>
      <w:r>
        <w:rPr>
          <w:rFonts w:ascii="Arial" w:cs="Arial" w:eastAsia="Arial" w:hAnsi="Arial"/>
          <w:sz w:val="20"/>
          <w:szCs w:val="20"/>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products and services to our distributors, which in turn sell to resellers, which then sell to end users. Revenue derived through our channel network comprised 92% of revenue in 2022 and 2021 and 91% of revenue in 2020. One of our distributors accounted for 38%, 39% and 43% of revenue in 2022, 2021 and 2020, respectively. That same distributor accounted for 36% and 32% of accounts receivable at December 31, 2022 and 2021, respectively.</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Contract Balances</w:t>
      </w:r>
    </w:p>
    <w:p>
      <w:pPr>
        <w:spacing w:after="0" w:line="249" w:lineRule="exact"/>
        <w:rPr>
          <w:sz w:val="20"/>
          <w:szCs w:val="20"/>
          <w:color w:val="auto"/>
        </w:rPr>
      </w:pPr>
    </w:p>
    <w:p>
      <w:pPr>
        <w:ind w:right="60" w:firstLine="360"/>
        <w:spacing w:after="0" w:line="276" w:lineRule="auto"/>
        <w:rPr>
          <w:sz w:val="20"/>
          <w:szCs w:val="20"/>
          <w:color w:val="auto"/>
        </w:rPr>
      </w:pPr>
      <w:r>
        <w:rPr>
          <w:rFonts w:ascii="Arial" w:cs="Arial" w:eastAsia="Arial" w:hAnsi="Arial"/>
          <w:sz w:val="19"/>
          <w:szCs w:val="19"/>
          <w:color w:val="auto"/>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2022, 2021 and 2020, we recognized revenue of $407.5 million, $329.0 million and $274.3 million, respectively, that was included in the deferred revenue balance at the beginning of each of the respective periods.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Remaining Performance Obligations</w:t>
      </w:r>
    </w:p>
    <w:p>
      <w:pPr>
        <w:spacing w:after="0" w:line="249" w:lineRule="exact"/>
        <w:rPr>
          <w:sz w:val="20"/>
          <w:szCs w:val="20"/>
          <w:color w:val="auto"/>
        </w:rPr>
      </w:pPr>
    </w:p>
    <w:p>
      <w:pPr>
        <w:ind w:right="100" w:firstLine="360"/>
        <w:spacing w:after="0" w:line="262" w:lineRule="auto"/>
        <w:rPr>
          <w:sz w:val="20"/>
          <w:szCs w:val="20"/>
          <w:color w:val="auto"/>
        </w:rPr>
      </w:pPr>
      <w:r>
        <w:rPr>
          <w:rFonts w:ascii="Arial" w:cs="Arial" w:eastAsia="Arial" w:hAnsi="Arial"/>
          <w:sz w:val="20"/>
          <w:szCs w:val="20"/>
          <w:color w:val="auto"/>
        </w:rPr>
        <w:t>At December 31, 2022, the future estimated revenue related to unsatisfied performance obligations was $680.4 million, of which approximately 75% is expected to be recognized as revenue over the succeeding twelve months, and the remainder is expected to be recognized over the four years thereafter.</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ectPr>
          <w:pgSz w:w="11880" w:h="15480" w:orient="portrait"/>
          <w:cols w:equalWidth="0" w:num="1">
            <w:col w:w="9000"/>
          </w:cols>
          <w:pgMar w:left="1440" w:top="1204" w:right="1440" w:bottom="0" w:gutter="0" w:footer="0" w:header="0"/>
          <w:type w:val="continuous"/>
        </w:sectPr>
      </w:pPr>
    </w:p>
    <w:bookmarkStart w:id="189" w:name="page190"/>
    <w:bookmarkEnd w:id="189"/>
    <w:p>
      <w:pPr>
        <w:ind w:left="380"/>
        <w:spacing w:after="0"/>
        <w:rPr>
          <w:sz w:val="20"/>
          <w:szCs w:val="20"/>
          <w:color w:val="auto"/>
        </w:rPr>
      </w:pPr>
      <w:r>
        <w:rPr>
          <w:rFonts w:ascii="Arial" w:cs="Arial" w:eastAsia="Arial" w:hAnsi="Arial"/>
          <w:sz w:val="20"/>
          <w:szCs w:val="20"/>
          <w:b w:val="1"/>
          <w:bCs w:val="1"/>
          <w:i w:val="1"/>
          <w:iCs w:val="1"/>
          <w:color w:val="auto"/>
        </w:rPr>
        <w:t>Deferred Commissions</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summarizes the activity of deferred incremental costs of obtaining a contract:</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40"/>
        </w:trPr>
        <w:tc>
          <w:tcPr>
            <w:tcW w:w="6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202"/>
              <w:spacing w:after="0"/>
              <w:rPr>
                <w:sz w:val="20"/>
                <w:szCs w:val="20"/>
                <w:color w:val="auto"/>
              </w:rPr>
            </w:pPr>
            <w:r>
              <w:rPr>
                <w:rFonts w:ascii="Arial" w:cs="Arial" w:eastAsia="Arial" w:hAnsi="Arial"/>
                <w:sz w:val="18"/>
                <w:szCs w:val="18"/>
                <w:b w:val="1"/>
                <w:bCs w:val="1"/>
                <w:color w:val="auto"/>
              </w:rPr>
              <w:t>Year Ended December 31,</w:t>
            </w:r>
          </w:p>
        </w:tc>
      </w:tr>
      <w:tr>
        <w:trPr>
          <w:trHeight w:val="280"/>
        </w:trPr>
        <w:tc>
          <w:tcPr>
            <w:tcW w:w="61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83"/>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8"/>
                <w:szCs w:val="18"/>
                <w:b w:val="1"/>
                <w:bCs w:val="1"/>
                <w:color w:val="auto"/>
              </w:rPr>
              <w:t>2021</w:t>
            </w:r>
          </w:p>
        </w:tc>
      </w:tr>
      <w:tr>
        <w:trPr>
          <w:trHeight w:val="290"/>
        </w:trPr>
        <w:tc>
          <w:tcPr>
            <w:tcW w:w="6140" w:type="dxa"/>
            <w:vAlign w:val="bottom"/>
          </w:tcPr>
          <w:p>
            <w:pPr>
              <w:spacing w:after="0"/>
              <w:rPr>
                <w:sz w:val="20"/>
                <w:szCs w:val="20"/>
                <w:color w:val="auto"/>
              </w:rPr>
            </w:pPr>
            <w:r>
              <w:rPr>
                <w:rFonts w:ascii="Arial" w:cs="Arial" w:eastAsia="Arial" w:hAnsi="Arial"/>
                <w:sz w:val="20"/>
                <w:szCs w:val="20"/>
                <w:color w:val="auto"/>
              </w:rPr>
              <w:t>Beginning balance</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99,949</w:t>
            </w:r>
          </w:p>
        </w:tc>
        <w:tc>
          <w:tcPr>
            <w:tcW w:w="80" w:type="dxa"/>
            <w:vAlign w:val="bottom"/>
            <w:shd w:val="clear" w:color="auto" w:fill="D2EDF0"/>
          </w:tcPr>
          <w:p>
            <w:pPr>
              <w:spacing w:after="0"/>
              <w:rPr>
                <w:sz w:val="24"/>
                <w:szCs w:val="24"/>
                <w:color w:val="auto"/>
              </w:rPr>
            </w:pPr>
          </w:p>
        </w:tc>
        <w:tc>
          <w:tcPr>
            <w:tcW w:w="32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78,876</w:t>
            </w:r>
          </w:p>
        </w:tc>
      </w:tr>
      <w:tr>
        <w:trPr>
          <w:trHeight w:val="296"/>
        </w:trPr>
        <w:tc>
          <w:tcPr>
            <w:tcW w:w="6140" w:type="dxa"/>
            <w:vAlign w:val="bottom"/>
          </w:tcPr>
          <w:p>
            <w:pPr>
              <w:spacing w:after="0"/>
              <w:rPr>
                <w:sz w:val="20"/>
                <w:szCs w:val="20"/>
                <w:color w:val="auto"/>
              </w:rPr>
            </w:pPr>
            <w:r>
              <w:rPr>
                <w:rFonts w:ascii="Arial" w:cs="Arial" w:eastAsia="Arial" w:hAnsi="Arial"/>
                <w:sz w:val="20"/>
                <w:szCs w:val="20"/>
                <w:color w:val="auto"/>
              </w:rPr>
              <w:t>Capitalization of contract acquisition costs</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57,214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58,196</w:t>
            </w:r>
          </w:p>
        </w:tc>
      </w:tr>
      <w:tr>
        <w:trPr>
          <w:trHeight w:val="294"/>
        </w:trPr>
        <w:tc>
          <w:tcPr>
            <w:tcW w:w="6140" w:type="dxa"/>
            <w:vAlign w:val="bottom"/>
          </w:tcPr>
          <w:p>
            <w:pPr>
              <w:spacing w:after="0"/>
              <w:rPr>
                <w:sz w:val="20"/>
                <w:szCs w:val="20"/>
                <w:color w:val="auto"/>
              </w:rPr>
            </w:pPr>
            <w:r>
              <w:rPr>
                <w:rFonts w:ascii="Arial" w:cs="Arial" w:eastAsia="Arial" w:hAnsi="Arial"/>
                <w:sz w:val="20"/>
                <w:szCs w:val="20"/>
                <w:color w:val="auto"/>
              </w:rPr>
              <w:t>Amortization of deferred contract acquisition costs</w:t>
            </w:r>
          </w:p>
        </w:tc>
        <w:tc>
          <w:tcPr>
            <w:tcW w:w="220" w:type="dxa"/>
            <w:vAlign w:val="bottom"/>
            <w:tcBorders>
              <w:bottom w:val="single" w:sz="8" w:color="auto"/>
            </w:tcBorders>
            <w:shd w:val="clear" w:color="auto" w:fill="D2EDF0"/>
          </w:tcPr>
          <w:p>
            <w:pPr>
              <w:spacing w:after="0"/>
              <w:rPr>
                <w:sz w:val="24"/>
                <w:szCs w:val="24"/>
                <w:color w:val="auto"/>
              </w:rPr>
            </w:pPr>
          </w:p>
        </w:tc>
        <w:tc>
          <w:tcPr>
            <w:tcW w:w="114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(45,655)</w:t>
            </w:r>
          </w:p>
        </w:tc>
        <w:tc>
          <w:tcPr>
            <w:tcW w:w="80" w:type="dxa"/>
            <w:vAlign w:val="bottom"/>
            <w:tcBorders>
              <w:bottom w:val="single" w:sz="8" w:color="D2EDF0"/>
            </w:tcBorders>
            <w:shd w:val="clear" w:color="auto" w:fill="D2EDF0"/>
          </w:tcPr>
          <w:p>
            <w:pPr>
              <w:spacing w:after="0"/>
              <w:rPr>
                <w:sz w:val="24"/>
                <w:szCs w:val="24"/>
                <w:color w:val="auto"/>
              </w:rPr>
            </w:pPr>
          </w:p>
        </w:tc>
        <w:tc>
          <w:tcPr>
            <w:tcW w:w="320" w:type="dxa"/>
            <w:vAlign w:val="bottom"/>
            <w:tcBorders>
              <w:bottom w:val="single" w:sz="8" w:color="auto"/>
            </w:tcBorders>
            <w:shd w:val="clear" w:color="auto" w:fill="D2EDF0"/>
          </w:tcPr>
          <w:p>
            <w:pPr>
              <w:spacing w:after="0"/>
              <w:rPr>
                <w:sz w:val="24"/>
                <w:szCs w:val="24"/>
                <w:color w:val="auto"/>
              </w:rPr>
            </w:pPr>
          </w:p>
        </w:tc>
        <w:tc>
          <w:tcPr>
            <w:tcW w:w="104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(37,123)</w:t>
            </w:r>
          </w:p>
        </w:tc>
      </w:tr>
      <w:tr>
        <w:trPr>
          <w:trHeight w:val="260"/>
        </w:trPr>
        <w:tc>
          <w:tcPr>
            <w:tcW w:w="6140" w:type="dxa"/>
            <w:vAlign w:val="bottom"/>
          </w:tcPr>
          <w:p>
            <w:pPr>
              <w:spacing w:after="0"/>
              <w:rPr>
                <w:sz w:val="20"/>
                <w:szCs w:val="20"/>
                <w:color w:val="auto"/>
              </w:rPr>
            </w:pPr>
            <w:r>
              <w:rPr>
                <w:rFonts w:ascii="Arial" w:cs="Arial" w:eastAsia="Arial" w:hAnsi="Arial"/>
                <w:sz w:val="20"/>
                <w:szCs w:val="20"/>
                <w:color w:val="auto"/>
              </w:rPr>
              <w:t>Ending balance</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111,508</w:t>
            </w:r>
          </w:p>
        </w:tc>
        <w:tc>
          <w:tcPr>
            <w:tcW w:w="4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99,949</w:t>
            </w:r>
          </w:p>
        </w:tc>
      </w:tr>
      <w:tr>
        <w:trPr>
          <w:trHeight w:val="20"/>
        </w:trPr>
        <w:tc>
          <w:tcPr>
            <w:tcW w:w="6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-793115</wp:posOffset>
            </wp:positionV>
            <wp:extent cx="5740400" cy="5969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40400" cy="596900"/>
                    </a:xfrm>
                    <a:prstGeom prst="rect">
                      <a:avLst/>
                    </a:prstGeom>
                    <a:noFill/>
                  </pic:spPr>
                </pic:pic>
              </a:graphicData>
            </a:graphic>
          </wp:anchor>
        </w:drawing>
        <w:drawing>
          <wp:anchor simplePos="0" relativeHeight="251657728" behindDoc="1" locked="0" layoutInCell="0" allowOverlap="1">
            <wp:simplePos x="0" y="0"/>
            <wp:positionH relativeFrom="column">
              <wp:posOffset>3946525</wp:posOffset>
            </wp:positionH>
            <wp:positionV relativeFrom="paragraph">
              <wp:posOffset>-37465</wp:posOffset>
            </wp:positionV>
            <wp:extent cx="178117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1175" cy="38100"/>
                    </a:xfrm>
                    <a:prstGeom prst="rect">
                      <a:avLst/>
                    </a:prstGeom>
                    <a:noFill/>
                  </pic:spPr>
                </pic:pic>
              </a:graphicData>
            </a:graphic>
          </wp:anchor>
        </w:drawing>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3. Cash Equivalents and Short-Term Investments</w:t>
      </w:r>
    </w:p>
    <w:p>
      <w:pPr>
        <w:spacing w:after="0" w:line="251" w:lineRule="exact"/>
        <w:rPr>
          <w:sz w:val="20"/>
          <w:szCs w:val="20"/>
          <w:color w:val="auto"/>
        </w:rPr>
      </w:pPr>
    </w:p>
    <w:p>
      <w:pPr>
        <w:ind w:left="20" w:right="260" w:firstLine="360"/>
        <w:spacing w:after="0" w:line="287" w:lineRule="auto"/>
        <w:rPr>
          <w:sz w:val="20"/>
          <w:szCs w:val="20"/>
          <w:color w:val="auto"/>
        </w:rPr>
      </w:pPr>
      <w:r>
        <w:rPr>
          <w:rFonts w:ascii="Arial" w:cs="Arial" w:eastAsia="Arial" w:hAnsi="Arial"/>
          <w:sz w:val="20"/>
          <w:szCs w:val="20"/>
          <w:color w:val="auto"/>
        </w:rPr>
        <w:t>The following tables summarize the amortized cost, unrealized gain and loss and estimated fair value of cash equivalents and short-term investments: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8"/>
                <w:szCs w:val="18"/>
                <w:b w:val="1"/>
                <w:bCs w:val="1"/>
                <w:color w:val="auto"/>
              </w:rPr>
              <w:t>December 31, 2022</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3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8"/>
                <w:szCs w:val="18"/>
                <w:color w:val="auto"/>
              </w:rPr>
            </w:pPr>
          </w:p>
        </w:tc>
        <w:tc>
          <w:tcPr>
            <w:tcW w:w="1140" w:type="dxa"/>
            <w:vAlign w:val="bottom"/>
          </w:tcPr>
          <w:p>
            <w:pPr>
              <w:jc w:val="right"/>
              <w:ind w:right="122"/>
              <w:spacing w:after="0"/>
              <w:rPr>
                <w:sz w:val="20"/>
                <w:szCs w:val="20"/>
                <w:color w:val="auto"/>
              </w:rPr>
            </w:pPr>
            <w:r>
              <w:rPr>
                <w:rFonts w:ascii="Arial" w:cs="Arial" w:eastAsia="Arial" w:hAnsi="Arial"/>
                <w:sz w:val="18"/>
                <w:szCs w:val="18"/>
                <w:b w:val="1"/>
                <w:bCs w:val="1"/>
                <w:color w:val="auto"/>
              </w:rPr>
              <w:t>Amortized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23"/>
              <w:spacing w:after="0"/>
              <w:rPr>
                <w:sz w:val="20"/>
                <w:szCs w:val="20"/>
                <w:color w:val="auto"/>
              </w:rPr>
            </w:pPr>
            <w:r>
              <w:rPr>
                <w:rFonts w:ascii="Arial" w:cs="Arial" w:eastAsia="Arial" w:hAnsi="Arial"/>
                <w:sz w:val="18"/>
                <w:szCs w:val="18"/>
                <w:b w:val="1"/>
                <w:bCs w:val="1"/>
                <w:color w:val="auto"/>
              </w:rPr>
              <w:t>Unrealized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Arial" w:cs="Arial" w:eastAsia="Arial" w:hAnsi="Arial"/>
                <w:sz w:val="18"/>
                <w:szCs w:val="18"/>
                <w:b w:val="1"/>
                <w:bCs w:val="1"/>
                <w:color w:val="auto"/>
              </w:rPr>
              <w:t>Unrealized</w:t>
            </w:r>
          </w:p>
        </w:tc>
        <w:tc>
          <w:tcPr>
            <w:tcW w:w="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3380" w:type="dxa"/>
            <w:vAlign w:val="bottom"/>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83"/>
              <w:spacing w:after="0"/>
              <w:rPr>
                <w:sz w:val="20"/>
                <w:szCs w:val="20"/>
                <w:color w:val="auto"/>
              </w:rPr>
            </w:pPr>
            <w:r>
              <w:rPr>
                <w:rFonts w:ascii="Arial" w:cs="Arial" w:eastAsia="Arial" w:hAnsi="Arial"/>
                <w:sz w:val="18"/>
                <w:szCs w:val="18"/>
                <w:b w:val="1"/>
                <w:bCs w:val="1"/>
                <w:color w:val="auto"/>
              </w:rPr>
              <w:t>Gain</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Loss</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90"/>
        </w:trPr>
        <w:tc>
          <w:tcPr>
            <w:tcW w:w="3380" w:type="dxa"/>
            <w:vAlign w:val="bottom"/>
          </w:tcPr>
          <w:p>
            <w:pPr>
              <w:ind w:left="60"/>
              <w:spacing w:after="0"/>
              <w:rPr>
                <w:sz w:val="20"/>
                <w:szCs w:val="20"/>
                <w:color w:val="auto"/>
              </w:rPr>
            </w:pPr>
            <w:r>
              <w:rPr>
                <w:rFonts w:ascii="Arial" w:cs="Arial" w:eastAsia="Arial" w:hAnsi="Arial"/>
                <w:sz w:val="20"/>
                <w:szCs w:val="20"/>
                <w:b w:val="1"/>
                <w:bCs w:val="1"/>
                <w:color w:val="auto"/>
              </w:rPr>
              <w:t>Cash equivalents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38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20"/>
                <w:szCs w:val="20"/>
                <w:color w:val="auto"/>
              </w:rPr>
              <w:t>Money market funds</w:t>
            </w:r>
          </w:p>
        </w:tc>
        <w:tc>
          <w:tcPr>
            <w:tcW w:w="2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201,476</w:t>
            </w:r>
          </w:p>
        </w:tc>
        <w:tc>
          <w:tcPr>
            <w:tcW w:w="80" w:type="dxa"/>
            <w:vAlign w:val="bottom"/>
            <w:tcBorders>
              <w:bottom w:val="single" w:sz="8" w:color="D2EDF0"/>
            </w:tcBorders>
            <w:shd w:val="clear" w:color="auto" w:fill="D2EDF0"/>
          </w:tcPr>
          <w:p>
            <w:pPr>
              <w:spacing w:after="0"/>
              <w:rPr>
                <w:sz w:val="24"/>
                <w:szCs w:val="24"/>
                <w:color w:val="auto"/>
              </w:rPr>
            </w:pPr>
          </w:p>
        </w:tc>
        <w:tc>
          <w:tcPr>
            <w:tcW w:w="2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D2EDF0"/>
            </w:tcBorders>
            <w:shd w:val="clear" w:color="auto" w:fill="D2EDF0"/>
          </w:tcPr>
          <w:p>
            <w:pPr>
              <w:spacing w:after="0"/>
              <w:rPr>
                <w:sz w:val="24"/>
                <w:szCs w:val="24"/>
                <w:color w:val="auto"/>
              </w:rPr>
            </w:pPr>
          </w:p>
        </w:tc>
        <w:tc>
          <w:tcPr>
            <w:tcW w:w="2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D2EDF0"/>
            </w:tcBorders>
            <w:shd w:val="clear" w:color="auto" w:fill="D2EDF0"/>
          </w:tcPr>
          <w:p>
            <w:pPr>
              <w:spacing w:after="0"/>
              <w:rPr>
                <w:sz w:val="24"/>
                <w:szCs w:val="24"/>
                <w:color w:val="auto"/>
              </w:rPr>
            </w:pPr>
          </w:p>
        </w:tc>
        <w:tc>
          <w:tcPr>
            <w:tcW w:w="300" w:type="dxa"/>
            <w:vAlign w:val="bottom"/>
            <w:tcBorders>
              <w:bottom w:val="single" w:sz="8" w:color="auto"/>
            </w:tcBorders>
            <w:shd w:val="clear" w:color="auto" w:fill="D2EDF0"/>
          </w:tcPr>
          <w:p>
            <w:pPr>
              <w:ind w:left="60"/>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201,476</w:t>
            </w:r>
          </w:p>
        </w:tc>
        <w:tc>
          <w:tcPr>
            <w:tcW w:w="0" w:type="dxa"/>
            <w:vAlign w:val="bottom"/>
          </w:tcPr>
          <w:p>
            <w:pPr>
              <w:spacing w:after="0"/>
              <w:rPr>
                <w:sz w:val="1"/>
                <w:szCs w:val="1"/>
                <w:color w:val="auto"/>
              </w:rPr>
            </w:pPr>
          </w:p>
        </w:tc>
      </w:tr>
      <w:tr>
        <w:trPr>
          <w:trHeight w:val="260"/>
        </w:trPr>
        <w:tc>
          <w:tcPr>
            <w:tcW w:w="3380" w:type="dxa"/>
            <w:vAlign w:val="bottom"/>
          </w:tcPr>
          <w:p>
            <w:pPr>
              <w:ind w:left="280"/>
              <w:spacing w:after="0"/>
              <w:rPr>
                <w:sz w:val="20"/>
                <w:szCs w:val="20"/>
                <w:color w:val="auto"/>
              </w:rPr>
            </w:pPr>
            <w:r>
              <w:rPr>
                <w:rFonts w:ascii="Arial" w:cs="Arial" w:eastAsia="Arial" w:hAnsi="Arial"/>
                <w:sz w:val="20"/>
                <w:szCs w:val="20"/>
                <w:color w:val="auto"/>
              </w:rPr>
              <w:t>Total cash equivalents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201,476</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38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201,476</w:t>
            </w:r>
          </w:p>
        </w:tc>
        <w:tc>
          <w:tcPr>
            <w:tcW w:w="0" w:type="dxa"/>
            <w:vAlign w:val="bottom"/>
          </w:tcPr>
          <w:p>
            <w:pPr>
              <w:spacing w:after="0"/>
              <w:rPr>
                <w:sz w:val="1"/>
                <w:szCs w:val="1"/>
                <w:color w:val="auto"/>
              </w:rPr>
            </w:pPr>
          </w:p>
        </w:tc>
      </w:tr>
      <w:tr>
        <w:trPr>
          <w:trHeight w:val="20"/>
        </w:trPr>
        <w:tc>
          <w:tcPr>
            <w:tcW w:w="3380" w:type="dxa"/>
            <w:vAlign w:val="bottom"/>
            <w:tcBorders>
              <w:bottom w:val="single" w:sz="8" w:color="D2EDF0"/>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2EDF0"/>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2EDF0"/>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shd w:val="clear" w:color="auto" w:fill="D2EDF0"/>
          </w:tcPr>
          <w:p>
            <w:pPr>
              <w:spacing w:after="0"/>
              <w:rPr>
                <w:sz w:val="23"/>
                <w:szCs w:val="23"/>
                <w:color w:val="auto"/>
              </w:rPr>
            </w:pPr>
          </w:p>
        </w:tc>
        <w:tc>
          <w:tcPr>
            <w:tcW w:w="200" w:type="dxa"/>
            <w:vAlign w:val="bottom"/>
            <w:shd w:val="clear" w:color="auto" w:fill="D2EDF0"/>
          </w:tcPr>
          <w:p>
            <w:pPr>
              <w:spacing w:after="0"/>
              <w:rPr>
                <w:sz w:val="23"/>
                <w:szCs w:val="23"/>
                <w:color w:val="auto"/>
              </w:rPr>
            </w:pPr>
          </w:p>
        </w:tc>
        <w:tc>
          <w:tcPr>
            <w:tcW w:w="1140" w:type="dxa"/>
            <w:vAlign w:val="bottom"/>
            <w:shd w:val="clear" w:color="auto" w:fill="D2EDF0"/>
          </w:tcPr>
          <w:p>
            <w:pPr>
              <w:spacing w:after="0"/>
              <w:rPr>
                <w:sz w:val="23"/>
                <w:szCs w:val="23"/>
                <w:color w:val="auto"/>
              </w:rPr>
            </w:pPr>
          </w:p>
        </w:tc>
        <w:tc>
          <w:tcPr>
            <w:tcW w:w="80" w:type="dxa"/>
            <w:vAlign w:val="bottom"/>
            <w:shd w:val="clear" w:color="auto" w:fill="D2EDF0"/>
          </w:tcPr>
          <w:p>
            <w:pPr>
              <w:spacing w:after="0"/>
              <w:rPr>
                <w:sz w:val="23"/>
                <w:szCs w:val="23"/>
                <w:color w:val="auto"/>
              </w:rPr>
            </w:pPr>
          </w:p>
        </w:tc>
        <w:tc>
          <w:tcPr>
            <w:tcW w:w="200" w:type="dxa"/>
            <w:vAlign w:val="bottom"/>
            <w:shd w:val="clear" w:color="auto" w:fill="D2EDF0"/>
          </w:tcPr>
          <w:p>
            <w:pPr>
              <w:spacing w:after="0"/>
              <w:rPr>
                <w:sz w:val="23"/>
                <w:szCs w:val="23"/>
                <w:color w:val="auto"/>
              </w:rPr>
            </w:pPr>
          </w:p>
        </w:tc>
        <w:tc>
          <w:tcPr>
            <w:tcW w:w="1160" w:type="dxa"/>
            <w:vAlign w:val="bottom"/>
            <w:shd w:val="clear" w:color="auto" w:fill="D2EDF0"/>
          </w:tcPr>
          <w:p>
            <w:pPr>
              <w:spacing w:after="0"/>
              <w:rPr>
                <w:sz w:val="23"/>
                <w:szCs w:val="23"/>
                <w:color w:val="auto"/>
              </w:rPr>
            </w:pPr>
          </w:p>
        </w:tc>
        <w:tc>
          <w:tcPr>
            <w:tcW w:w="80" w:type="dxa"/>
            <w:vAlign w:val="bottom"/>
            <w:shd w:val="clear" w:color="auto" w:fill="D2EDF0"/>
          </w:tcPr>
          <w:p>
            <w:pPr>
              <w:spacing w:after="0"/>
              <w:rPr>
                <w:sz w:val="23"/>
                <w:szCs w:val="23"/>
                <w:color w:val="auto"/>
              </w:rPr>
            </w:pPr>
          </w:p>
        </w:tc>
        <w:tc>
          <w:tcPr>
            <w:tcW w:w="200" w:type="dxa"/>
            <w:vAlign w:val="bottom"/>
            <w:shd w:val="clear" w:color="auto" w:fill="D2EDF0"/>
          </w:tcPr>
          <w:p>
            <w:pPr>
              <w:spacing w:after="0"/>
              <w:rPr>
                <w:sz w:val="23"/>
                <w:szCs w:val="23"/>
                <w:color w:val="auto"/>
              </w:rPr>
            </w:pPr>
          </w:p>
        </w:tc>
        <w:tc>
          <w:tcPr>
            <w:tcW w:w="1160" w:type="dxa"/>
            <w:vAlign w:val="bottom"/>
            <w:shd w:val="clear" w:color="auto" w:fill="D2EDF0"/>
          </w:tcPr>
          <w:p>
            <w:pPr>
              <w:spacing w:after="0"/>
              <w:rPr>
                <w:sz w:val="23"/>
                <w:szCs w:val="23"/>
                <w:color w:val="auto"/>
              </w:rPr>
            </w:pPr>
          </w:p>
        </w:tc>
        <w:tc>
          <w:tcPr>
            <w:tcW w:w="80" w:type="dxa"/>
            <w:vAlign w:val="bottom"/>
            <w:shd w:val="clear" w:color="auto" w:fill="D2EDF0"/>
          </w:tcPr>
          <w:p>
            <w:pPr>
              <w:spacing w:after="0"/>
              <w:rPr>
                <w:sz w:val="23"/>
                <w:szCs w:val="23"/>
                <w:color w:val="auto"/>
              </w:rPr>
            </w:pPr>
          </w:p>
        </w:tc>
        <w:tc>
          <w:tcPr>
            <w:tcW w:w="300" w:type="dxa"/>
            <w:vAlign w:val="bottom"/>
            <w:shd w:val="clear" w:color="auto" w:fill="D2EDF0"/>
          </w:tcPr>
          <w:p>
            <w:pPr>
              <w:spacing w:after="0"/>
              <w:rPr>
                <w:sz w:val="23"/>
                <w:szCs w:val="23"/>
                <w:color w:val="auto"/>
              </w:rPr>
            </w:pPr>
          </w:p>
        </w:tc>
        <w:tc>
          <w:tcPr>
            <w:tcW w:w="1060" w:type="dxa"/>
            <w:vAlign w:val="bottom"/>
            <w:shd w:val="clear" w:color="auto" w:fill="D2EDF0"/>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3380" w:type="dxa"/>
            <w:vAlign w:val="bottom"/>
          </w:tcPr>
          <w:p>
            <w:pPr>
              <w:ind w:left="60"/>
              <w:spacing w:after="0"/>
              <w:rPr>
                <w:sz w:val="20"/>
                <w:szCs w:val="20"/>
                <w:color w:val="auto"/>
              </w:rPr>
            </w:pPr>
            <w:r>
              <w:rPr>
                <w:rFonts w:ascii="Arial" w:cs="Arial" w:eastAsia="Arial" w:hAnsi="Arial"/>
                <w:sz w:val="20"/>
                <w:szCs w:val="20"/>
                <w:b w:val="1"/>
                <w:bCs w:val="1"/>
                <w:color w:val="auto"/>
              </w:rPr>
              <w:t>Short-term investments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380" w:type="dxa"/>
            <w:vAlign w:val="bottom"/>
            <w:shd w:val="clear" w:color="auto" w:fill="D2EDF0"/>
          </w:tcPr>
          <w:p>
            <w:pPr>
              <w:ind w:left="60"/>
              <w:spacing w:after="0"/>
              <w:rPr>
                <w:sz w:val="20"/>
                <w:szCs w:val="20"/>
                <w:color w:val="auto"/>
              </w:rPr>
            </w:pPr>
            <w:r>
              <w:rPr>
                <w:rFonts w:ascii="Arial" w:cs="Arial" w:eastAsia="Arial" w:hAnsi="Arial"/>
                <w:sz w:val="20"/>
                <w:szCs w:val="20"/>
                <w:color w:val="auto"/>
              </w:rPr>
              <w:t>Commercial paper</w:t>
            </w: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144,093</w:t>
            </w:r>
          </w:p>
        </w:tc>
        <w:tc>
          <w:tcPr>
            <w:tcW w:w="2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w:t>
            </w:r>
          </w:p>
        </w:tc>
        <w:tc>
          <w:tcPr>
            <w:tcW w:w="2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(377)</w:t>
            </w:r>
          </w:p>
        </w:tc>
        <w:tc>
          <w:tcPr>
            <w:tcW w:w="380" w:type="dxa"/>
            <w:vAlign w:val="bottom"/>
            <w:gridSpan w:val="2"/>
            <w:shd w:val="clear" w:color="auto" w:fill="D2EDF0"/>
          </w:tcPr>
          <w:p>
            <w:pPr>
              <w:ind w:left="140"/>
              <w:spacing w:after="0"/>
              <w:rPr>
                <w:sz w:val="20"/>
                <w:szCs w:val="20"/>
                <w:color w:val="auto"/>
              </w:rPr>
            </w:pPr>
            <w:r>
              <w:rPr>
                <w:rFonts w:ascii="Arial" w:cs="Arial" w:eastAsia="Arial" w:hAnsi="Arial"/>
                <w:sz w:val="20"/>
                <w:szCs w:val="20"/>
                <w:color w:val="auto"/>
              </w:rPr>
              <w:t>$</w:t>
            </w:r>
          </w:p>
        </w:tc>
        <w:tc>
          <w:tcPr>
            <w:tcW w:w="10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143,718</w:t>
            </w:r>
          </w:p>
        </w:tc>
        <w:tc>
          <w:tcPr>
            <w:tcW w:w="0" w:type="dxa"/>
            <w:vAlign w:val="bottom"/>
          </w:tcPr>
          <w:p>
            <w:pPr>
              <w:spacing w:after="0"/>
              <w:rPr>
                <w:sz w:val="1"/>
                <w:szCs w:val="1"/>
                <w:color w:val="auto"/>
              </w:rPr>
            </w:pPr>
          </w:p>
        </w:tc>
      </w:tr>
      <w:tr>
        <w:trPr>
          <w:trHeight w:val="296"/>
        </w:trPr>
        <w:tc>
          <w:tcPr>
            <w:tcW w:w="3380" w:type="dxa"/>
            <w:vAlign w:val="bottom"/>
          </w:tcPr>
          <w:p>
            <w:pPr>
              <w:ind w:left="60"/>
              <w:spacing w:after="0"/>
              <w:rPr>
                <w:sz w:val="20"/>
                <w:szCs w:val="20"/>
                <w:color w:val="auto"/>
              </w:rPr>
            </w:pPr>
            <w:r>
              <w:rPr>
                <w:rFonts w:ascii="Arial" w:cs="Arial" w:eastAsia="Arial" w:hAnsi="Arial"/>
                <w:sz w:val="20"/>
                <w:szCs w:val="20"/>
                <w:color w:val="auto"/>
              </w:rPr>
              <w:t>Corporate bonds</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37,778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(194)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37,584</w:t>
            </w:r>
          </w:p>
        </w:tc>
        <w:tc>
          <w:tcPr>
            <w:tcW w:w="0" w:type="dxa"/>
            <w:vAlign w:val="bottom"/>
          </w:tcPr>
          <w:p>
            <w:pPr>
              <w:spacing w:after="0"/>
              <w:rPr>
                <w:sz w:val="1"/>
                <w:szCs w:val="1"/>
                <w:color w:val="auto"/>
              </w:rPr>
            </w:pPr>
          </w:p>
        </w:tc>
      </w:tr>
      <w:tr>
        <w:trPr>
          <w:trHeight w:val="304"/>
        </w:trPr>
        <w:tc>
          <w:tcPr>
            <w:tcW w:w="3380" w:type="dxa"/>
            <w:vAlign w:val="bottom"/>
            <w:shd w:val="clear" w:color="auto" w:fill="D2EDF0"/>
          </w:tcPr>
          <w:p>
            <w:pPr>
              <w:ind w:left="60"/>
              <w:spacing w:after="0"/>
              <w:rPr>
                <w:sz w:val="20"/>
                <w:szCs w:val="20"/>
                <w:color w:val="auto"/>
              </w:rPr>
            </w:pPr>
            <w:r>
              <w:rPr>
                <w:rFonts w:ascii="Arial" w:cs="Arial" w:eastAsia="Arial" w:hAnsi="Arial"/>
                <w:sz w:val="20"/>
                <w:szCs w:val="20"/>
                <w:color w:val="auto"/>
              </w:rPr>
              <w:t>Asset backed securities</w:t>
            </w:r>
          </w:p>
        </w:tc>
        <w:tc>
          <w:tcPr>
            <w:tcW w:w="200" w:type="dxa"/>
            <w:vAlign w:val="bottom"/>
            <w:shd w:val="clear" w:color="auto" w:fill="D2EDF0"/>
          </w:tcPr>
          <w:p>
            <w:pPr>
              <w:spacing w:after="0"/>
              <w:rPr>
                <w:sz w:val="24"/>
                <w:szCs w:val="24"/>
                <w:color w:val="auto"/>
              </w:rPr>
            </w:pPr>
          </w:p>
        </w:tc>
        <w:tc>
          <w:tcPr>
            <w:tcW w:w="11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19,723</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11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11</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11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(161)</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19,573</w:t>
            </w:r>
          </w:p>
        </w:tc>
        <w:tc>
          <w:tcPr>
            <w:tcW w:w="0" w:type="dxa"/>
            <w:vAlign w:val="bottom"/>
          </w:tcPr>
          <w:p>
            <w:pPr>
              <w:spacing w:after="0"/>
              <w:rPr>
                <w:sz w:val="1"/>
                <w:szCs w:val="1"/>
                <w:color w:val="auto"/>
              </w:rPr>
            </w:pPr>
          </w:p>
        </w:tc>
      </w:tr>
      <w:tr>
        <w:trPr>
          <w:trHeight w:val="296"/>
        </w:trPr>
        <w:tc>
          <w:tcPr>
            <w:tcW w:w="3380" w:type="dxa"/>
            <w:vAlign w:val="bottom"/>
          </w:tcPr>
          <w:p>
            <w:pPr>
              <w:ind w:left="60"/>
              <w:spacing w:after="0"/>
              <w:rPr>
                <w:sz w:val="20"/>
                <w:szCs w:val="20"/>
                <w:color w:val="auto"/>
              </w:rPr>
            </w:pPr>
            <w:r>
              <w:rPr>
                <w:rFonts w:ascii="Arial" w:cs="Arial" w:eastAsia="Arial" w:hAnsi="Arial"/>
                <w:sz w:val="20"/>
                <w:szCs w:val="20"/>
                <w:color w:val="auto"/>
              </w:rPr>
              <w:t>Certificates of deposit</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10,000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10,000</w:t>
            </w:r>
          </w:p>
        </w:tc>
        <w:tc>
          <w:tcPr>
            <w:tcW w:w="0" w:type="dxa"/>
            <w:vAlign w:val="bottom"/>
          </w:tcPr>
          <w:p>
            <w:pPr>
              <w:spacing w:after="0"/>
              <w:rPr>
                <w:sz w:val="1"/>
                <w:szCs w:val="1"/>
                <w:color w:val="auto"/>
              </w:rPr>
            </w:pPr>
          </w:p>
        </w:tc>
      </w:tr>
      <w:tr>
        <w:trPr>
          <w:trHeight w:val="304"/>
        </w:trPr>
        <w:tc>
          <w:tcPr>
            <w:tcW w:w="3380" w:type="dxa"/>
            <w:vAlign w:val="bottom"/>
            <w:shd w:val="clear" w:color="auto" w:fill="D2EDF0"/>
          </w:tcPr>
          <w:p>
            <w:pPr>
              <w:ind w:left="60"/>
              <w:spacing w:after="0"/>
              <w:rPr>
                <w:sz w:val="20"/>
                <w:szCs w:val="20"/>
                <w:color w:val="auto"/>
              </w:rPr>
            </w:pPr>
            <w:r>
              <w:rPr>
                <w:rFonts w:ascii="Arial" w:cs="Arial" w:eastAsia="Arial" w:hAnsi="Arial"/>
                <w:sz w:val="20"/>
                <w:szCs w:val="20"/>
                <w:color w:val="auto"/>
              </w:rPr>
              <w:t>Supranational bonds</w:t>
            </w:r>
          </w:p>
        </w:tc>
        <w:tc>
          <w:tcPr>
            <w:tcW w:w="200" w:type="dxa"/>
            <w:vAlign w:val="bottom"/>
            <w:shd w:val="clear" w:color="auto" w:fill="D2EDF0"/>
          </w:tcPr>
          <w:p>
            <w:pPr>
              <w:spacing w:after="0"/>
              <w:rPr>
                <w:sz w:val="24"/>
                <w:szCs w:val="24"/>
                <w:color w:val="auto"/>
              </w:rPr>
            </w:pPr>
          </w:p>
        </w:tc>
        <w:tc>
          <w:tcPr>
            <w:tcW w:w="11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4,017</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11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11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(67)</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3,950</w:t>
            </w:r>
          </w:p>
        </w:tc>
        <w:tc>
          <w:tcPr>
            <w:tcW w:w="0" w:type="dxa"/>
            <w:vAlign w:val="bottom"/>
          </w:tcPr>
          <w:p>
            <w:pPr>
              <w:spacing w:after="0"/>
              <w:rPr>
                <w:sz w:val="1"/>
                <w:szCs w:val="1"/>
                <w:color w:val="auto"/>
              </w:rPr>
            </w:pPr>
          </w:p>
        </w:tc>
      </w:tr>
      <w:tr>
        <w:trPr>
          <w:trHeight w:val="208"/>
        </w:trPr>
        <w:tc>
          <w:tcPr>
            <w:tcW w:w="3380" w:type="dxa"/>
            <w:vAlign w:val="bottom"/>
          </w:tcPr>
          <w:p>
            <w:pPr>
              <w:ind w:left="60"/>
              <w:spacing w:after="0" w:line="208" w:lineRule="exact"/>
              <w:rPr>
                <w:sz w:val="20"/>
                <w:szCs w:val="20"/>
                <w:color w:val="auto"/>
              </w:rPr>
            </w:pPr>
            <w:r>
              <w:rPr>
                <w:rFonts w:ascii="Arial" w:cs="Arial" w:eastAsia="Arial" w:hAnsi="Arial"/>
                <w:sz w:val="20"/>
                <w:szCs w:val="20"/>
                <w:color w:val="auto"/>
              </w:rPr>
              <w:t>U.S. Treasury and agency</w:t>
            </w:r>
          </w:p>
        </w:tc>
        <w:tc>
          <w:tcPr>
            <w:tcW w:w="2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52,309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rPr>
              <w:t>(565)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51,744</w:t>
            </w:r>
          </w:p>
        </w:tc>
        <w:tc>
          <w:tcPr>
            <w:tcW w:w="0" w:type="dxa"/>
            <w:vAlign w:val="bottom"/>
          </w:tcPr>
          <w:p>
            <w:pPr>
              <w:spacing w:after="0"/>
              <w:rPr>
                <w:sz w:val="1"/>
                <w:szCs w:val="1"/>
                <w:color w:val="auto"/>
              </w:rPr>
            </w:pPr>
          </w:p>
        </w:tc>
      </w:tr>
      <w:tr>
        <w:trPr>
          <w:trHeight w:val="262"/>
        </w:trPr>
        <w:tc>
          <w:tcPr>
            <w:tcW w:w="3380" w:type="dxa"/>
            <w:vAlign w:val="bottom"/>
            <w:tcBorders>
              <w:bottom w:val="single" w:sz="8" w:color="D2EDF0"/>
            </w:tcBorders>
          </w:tcPr>
          <w:p>
            <w:pPr>
              <w:ind w:left="60"/>
              <w:spacing w:after="0"/>
              <w:rPr>
                <w:sz w:val="20"/>
                <w:szCs w:val="20"/>
                <w:color w:val="auto"/>
              </w:rPr>
            </w:pPr>
            <w:r>
              <w:rPr>
                <w:rFonts w:ascii="Arial" w:cs="Arial" w:eastAsia="Arial" w:hAnsi="Arial"/>
                <w:sz w:val="20"/>
                <w:szCs w:val="20"/>
                <w:color w:val="auto"/>
              </w:rPr>
              <w:t>obligations</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D2EDF0"/>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D2EDF0"/>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D2EDF0"/>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380" w:type="dxa"/>
            <w:vAlign w:val="bottom"/>
            <w:shd w:val="clear" w:color="auto" w:fill="D2EDF0"/>
          </w:tcPr>
          <w:p>
            <w:pPr>
              <w:ind w:left="280"/>
              <w:spacing w:after="0"/>
              <w:rPr>
                <w:sz w:val="20"/>
                <w:szCs w:val="20"/>
                <w:color w:val="auto"/>
              </w:rPr>
            </w:pPr>
            <w:r>
              <w:rPr>
                <w:rFonts w:ascii="Arial" w:cs="Arial" w:eastAsia="Arial" w:hAnsi="Arial"/>
                <w:sz w:val="20"/>
                <w:szCs w:val="20"/>
                <w:color w:val="auto"/>
              </w:rPr>
              <w:t>Total short-term investments</w:t>
            </w: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267,920</w:t>
            </w:r>
          </w:p>
        </w:tc>
        <w:tc>
          <w:tcPr>
            <w:tcW w:w="2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13</w:t>
            </w:r>
          </w:p>
        </w:tc>
        <w:tc>
          <w:tcPr>
            <w:tcW w:w="2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(1,364)</w:t>
            </w:r>
          </w:p>
        </w:tc>
        <w:tc>
          <w:tcPr>
            <w:tcW w:w="380" w:type="dxa"/>
            <w:vAlign w:val="bottom"/>
            <w:gridSpan w:val="2"/>
            <w:shd w:val="clear" w:color="auto" w:fill="D2EDF0"/>
          </w:tcPr>
          <w:p>
            <w:pPr>
              <w:ind w:left="140"/>
              <w:spacing w:after="0"/>
              <w:rPr>
                <w:sz w:val="20"/>
                <w:szCs w:val="20"/>
                <w:color w:val="auto"/>
              </w:rPr>
            </w:pPr>
            <w:r>
              <w:rPr>
                <w:rFonts w:ascii="Arial" w:cs="Arial" w:eastAsia="Arial" w:hAnsi="Arial"/>
                <w:sz w:val="20"/>
                <w:szCs w:val="20"/>
                <w:color w:val="auto"/>
              </w:rPr>
              <w:t>$</w:t>
            </w:r>
          </w:p>
        </w:tc>
        <w:tc>
          <w:tcPr>
            <w:tcW w:w="10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266,569</w:t>
            </w:r>
          </w:p>
        </w:tc>
        <w:tc>
          <w:tcPr>
            <w:tcW w:w="0" w:type="dxa"/>
            <w:vAlign w:val="bottom"/>
          </w:tcPr>
          <w:p>
            <w:pPr>
              <w:spacing w:after="0"/>
              <w:rPr>
                <w:sz w:val="1"/>
                <w:szCs w:val="1"/>
                <w:color w:val="auto"/>
              </w:rPr>
            </w:pPr>
          </w:p>
        </w:tc>
      </w:tr>
      <w:tr>
        <w:trPr>
          <w:trHeight w:val="20"/>
        </w:trPr>
        <w:tc>
          <w:tcPr>
            <w:tcW w:w="3380" w:type="dxa"/>
            <w:vAlign w:val="bottom"/>
            <w:tcBorders>
              <w:top w:val="single" w:sz="8" w:color="D2EDF0"/>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2151380</wp:posOffset>
            </wp:positionH>
            <wp:positionV relativeFrom="paragraph">
              <wp:posOffset>-1866265</wp:posOffset>
            </wp:positionV>
            <wp:extent cx="359092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90925" cy="38100"/>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-37465</wp:posOffset>
            </wp:positionV>
            <wp:extent cx="359092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90925" cy="38100"/>
                    </a:xfrm>
                    <a:prstGeom prst="rect">
                      <a:avLst/>
                    </a:prstGeom>
                    <a:noFill/>
                  </pic:spPr>
                </pic:pic>
              </a:graphicData>
            </a:graphic>
          </wp:anchor>
        </w:drawing>
      </w:r>
    </w:p>
    <w:p>
      <w:pPr>
        <w:sectPr>
          <w:pgSz w:w="11880" w:h="15480" w:orient="portrait"/>
          <w:cols w:equalWidth="0" w:num="1">
            <w:col w:w="9040"/>
          </w:cols>
          <w:pgMar w:left="1420" w:top="1205"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ectPr>
          <w:pgSz w:w="11880" w:h="15480" w:orient="portrait"/>
          <w:cols w:equalWidth="0" w:num="1">
            <w:col w:w="9040"/>
          </w:cols>
          <w:pgMar w:left="1420" w:top="1205" w:right="1420" w:bottom="0" w:gutter="0" w:footer="0" w:header="0"/>
          <w:type w:val="continuous"/>
        </w:sectPr>
      </w:pPr>
    </w:p>
    <w:bookmarkStart w:id="190" w:name="page191"/>
    <w:bookmarkEnd w:id="190"/>
    <w:tbl>
      <w:tblPr>
        <w:tblLayout w:type="fixed"/>
        <w:tblInd w:w="0" w:type="dxa"/>
        <w:tblCellMar>
          <w:top w:w="0" w:type="dxa"/>
          <w:left w:w="0" w:type="dxa"/>
          <w:bottom w:w="0" w:type="dxa"/>
          <w:right w:w="0" w:type="dxa"/>
        </w:tblCellMar>
      </w:tblPr>
      <w:tr>
        <w:trPr>
          <w:trHeight w:val="240"/>
        </w:trPr>
        <w:tc>
          <w:tcPr>
            <w:tcW w:w="3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8"/>
                <w:szCs w:val="18"/>
                <w:b w:val="1"/>
                <w:bCs w:val="1"/>
                <w:color w:val="auto"/>
              </w:rPr>
              <w:t>December 31, 2021</w:t>
            </w: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8"/>
                <w:szCs w:val="18"/>
                <w:color w:val="auto"/>
              </w:rPr>
            </w:pPr>
          </w:p>
        </w:tc>
        <w:tc>
          <w:tcPr>
            <w:tcW w:w="1180" w:type="dxa"/>
            <w:vAlign w:val="bottom"/>
          </w:tcPr>
          <w:p>
            <w:pPr>
              <w:jc w:val="right"/>
              <w:ind w:right="162"/>
              <w:spacing w:after="0"/>
              <w:rPr>
                <w:sz w:val="20"/>
                <w:szCs w:val="20"/>
                <w:color w:val="auto"/>
              </w:rPr>
            </w:pPr>
            <w:r>
              <w:rPr>
                <w:rFonts w:ascii="Arial" w:cs="Arial" w:eastAsia="Arial" w:hAnsi="Arial"/>
                <w:sz w:val="18"/>
                <w:szCs w:val="18"/>
                <w:b w:val="1"/>
                <w:bCs w:val="1"/>
                <w:color w:val="auto"/>
              </w:rPr>
              <w:t>Amortized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Unrealized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42"/>
              <w:spacing w:after="0"/>
              <w:rPr>
                <w:sz w:val="20"/>
                <w:szCs w:val="20"/>
                <w:color w:val="auto"/>
              </w:rPr>
            </w:pPr>
            <w:r>
              <w:rPr>
                <w:rFonts w:ascii="Arial" w:cs="Arial" w:eastAsia="Arial" w:hAnsi="Arial"/>
                <w:sz w:val="18"/>
                <w:szCs w:val="18"/>
                <w:b w:val="1"/>
                <w:bCs w:val="1"/>
                <w:color w:val="auto"/>
              </w:rPr>
              <w:t>Unrealized</w:t>
            </w:r>
          </w:p>
        </w:tc>
        <w:tc>
          <w:tcPr>
            <w:tcW w:w="6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3360" w:type="dxa"/>
            <w:vAlign w:val="bottom"/>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02"/>
              <w:spacing w:after="0"/>
              <w:rPr>
                <w:sz w:val="20"/>
                <w:szCs w:val="20"/>
                <w:color w:val="auto"/>
              </w:rPr>
            </w:pPr>
            <w:r>
              <w:rPr>
                <w:rFonts w:ascii="Arial" w:cs="Arial" w:eastAsia="Arial" w:hAnsi="Arial"/>
                <w:sz w:val="18"/>
                <w:szCs w:val="18"/>
                <w:b w:val="1"/>
                <w:bCs w:val="1"/>
                <w:color w:val="auto"/>
              </w:rPr>
              <w:t>Cost</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Gain</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82"/>
              <w:spacing w:after="0"/>
              <w:rPr>
                <w:sz w:val="20"/>
                <w:szCs w:val="20"/>
                <w:color w:val="auto"/>
              </w:rPr>
            </w:pPr>
            <w:r>
              <w:rPr>
                <w:rFonts w:ascii="Arial" w:cs="Arial" w:eastAsia="Arial" w:hAnsi="Arial"/>
                <w:sz w:val="18"/>
                <w:szCs w:val="18"/>
                <w:b w:val="1"/>
                <w:bCs w:val="1"/>
                <w:color w:val="auto"/>
              </w:rPr>
              <w:t>Loss</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90"/>
        </w:trPr>
        <w:tc>
          <w:tcPr>
            <w:tcW w:w="3360" w:type="dxa"/>
            <w:vAlign w:val="bottom"/>
          </w:tcPr>
          <w:p>
            <w:pPr>
              <w:ind w:left="40"/>
              <w:spacing w:after="0"/>
              <w:rPr>
                <w:sz w:val="20"/>
                <w:szCs w:val="20"/>
                <w:color w:val="auto"/>
              </w:rPr>
            </w:pPr>
            <w:r>
              <w:rPr>
                <w:rFonts w:ascii="Arial" w:cs="Arial" w:eastAsia="Arial" w:hAnsi="Arial"/>
                <w:sz w:val="20"/>
                <w:szCs w:val="20"/>
                <w:b w:val="1"/>
                <w:bCs w:val="1"/>
                <w:color w:val="auto"/>
              </w:rPr>
              <w:t>Cash equivalents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360" w:type="dxa"/>
            <w:vAlign w:val="bottom"/>
            <w:tcBorders>
              <w:bottom w:val="single" w:sz="8" w:color="D2EDF0"/>
            </w:tcBorders>
            <w:shd w:val="clear" w:color="auto" w:fill="D2EDF0"/>
          </w:tcPr>
          <w:p>
            <w:pPr>
              <w:ind w:left="40"/>
              <w:spacing w:after="0"/>
              <w:rPr>
                <w:sz w:val="20"/>
                <w:szCs w:val="20"/>
                <w:color w:val="auto"/>
              </w:rPr>
            </w:pPr>
            <w:r>
              <w:rPr>
                <w:rFonts w:ascii="Arial" w:cs="Arial" w:eastAsia="Arial" w:hAnsi="Arial"/>
                <w:sz w:val="20"/>
                <w:szCs w:val="20"/>
                <w:color w:val="auto"/>
              </w:rPr>
              <w:t>Money market funds</w:t>
            </w:r>
          </w:p>
        </w:tc>
        <w:tc>
          <w:tcPr>
            <w:tcW w:w="2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D2EDF0"/>
          </w:tcPr>
          <w:p>
            <w:pPr>
              <w:jc w:val="right"/>
              <w:ind w:right="2"/>
              <w:spacing w:after="0"/>
              <w:rPr>
                <w:sz w:val="20"/>
                <w:szCs w:val="20"/>
                <w:color w:val="auto"/>
              </w:rPr>
            </w:pPr>
            <w:r>
              <w:rPr>
                <w:rFonts w:ascii="Arial" w:cs="Arial" w:eastAsia="Arial" w:hAnsi="Arial"/>
                <w:sz w:val="20"/>
                <w:szCs w:val="20"/>
                <w:color w:val="auto"/>
              </w:rPr>
              <w:t>178,518</w:t>
            </w:r>
          </w:p>
        </w:tc>
        <w:tc>
          <w:tcPr>
            <w:tcW w:w="60" w:type="dxa"/>
            <w:vAlign w:val="bottom"/>
            <w:tcBorders>
              <w:bottom w:val="single" w:sz="8" w:color="D2EDF0"/>
            </w:tcBorders>
            <w:shd w:val="clear" w:color="auto" w:fill="D2EDF0"/>
          </w:tcPr>
          <w:p>
            <w:pPr>
              <w:spacing w:after="0"/>
              <w:rPr>
                <w:sz w:val="24"/>
                <w:szCs w:val="24"/>
                <w:color w:val="auto"/>
              </w:rPr>
            </w:pPr>
          </w:p>
        </w:tc>
        <w:tc>
          <w:tcPr>
            <w:tcW w:w="2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D2EDF0"/>
          </w:tcPr>
          <w:p>
            <w:pPr>
              <w:ind w:left="880"/>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D2EDF0"/>
            </w:tcBorders>
            <w:shd w:val="clear" w:color="auto" w:fill="D2EDF0"/>
          </w:tcPr>
          <w:p>
            <w:pPr>
              <w:spacing w:after="0"/>
              <w:rPr>
                <w:sz w:val="24"/>
                <w:szCs w:val="24"/>
                <w:color w:val="auto"/>
              </w:rPr>
            </w:pPr>
          </w:p>
        </w:tc>
        <w:tc>
          <w:tcPr>
            <w:tcW w:w="2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shd w:val="clear" w:color="auto" w:fill="D2EDF0"/>
          </w:tcPr>
          <w:p>
            <w:pPr>
              <w:jc w:val="right"/>
              <w:ind w:right="2"/>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D2EDF0"/>
            </w:tcBorders>
            <w:shd w:val="clear" w:color="auto" w:fill="D2EDF0"/>
          </w:tcPr>
          <w:p>
            <w:pPr>
              <w:spacing w:after="0"/>
              <w:rPr>
                <w:sz w:val="24"/>
                <w:szCs w:val="24"/>
                <w:color w:val="auto"/>
              </w:rPr>
            </w:pPr>
          </w:p>
        </w:tc>
        <w:tc>
          <w:tcPr>
            <w:tcW w:w="300" w:type="dxa"/>
            <w:vAlign w:val="bottom"/>
            <w:tcBorders>
              <w:bottom w:val="single" w:sz="8" w:color="auto"/>
            </w:tcBorders>
            <w:shd w:val="clear" w:color="auto" w:fill="D2EDF0"/>
          </w:tcPr>
          <w:p>
            <w:pPr>
              <w:ind w:left="6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D2EDF0"/>
          </w:tcPr>
          <w:p>
            <w:pPr>
              <w:jc w:val="right"/>
              <w:ind w:right="1"/>
              <w:spacing w:after="0"/>
              <w:rPr>
                <w:sz w:val="20"/>
                <w:szCs w:val="20"/>
                <w:color w:val="auto"/>
              </w:rPr>
            </w:pPr>
            <w:r>
              <w:rPr>
                <w:rFonts w:ascii="Arial" w:cs="Arial" w:eastAsia="Arial" w:hAnsi="Arial"/>
                <w:sz w:val="20"/>
                <w:szCs w:val="20"/>
                <w:color w:val="auto"/>
              </w:rPr>
              <w:t>178,518</w:t>
            </w:r>
          </w:p>
        </w:tc>
        <w:tc>
          <w:tcPr>
            <w:tcW w:w="0" w:type="dxa"/>
            <w:vAlign w:val="bottom"/>
          </w:tcPr>
          <w:p>
            <w:pPr>
              <w:spacing w:after="0"/>
              <w:rPr>
                <w:sz w:val="1"/>
                <w:szCs w:val="1"/>
                <w:color w:val="auto"/>
              </w:rPr>
            </w:pPr>
          </w:p>
        </w:tc>
      </w:tr>
      <w:tr>
        <w:trPr>
          <w:trHeight w:val="260"/>
        </w:trPr>
        <w:tc>
          <w:tcPr>
            <w:tcW w:w="3360" w:type="dxa"/>
            <w:vAlign w:val="bottom"/>
          </w:tcPr>
          <w:p>
            <w:pPr>
              <w:ind w:left="260"/>
              <w:spacing w:after="0"/>
              <w:rPr>
                <w:sz w:val="20"/>
                <w:szCs w:val="20"/>
                <w:color w:val="auto"/>
              </w:rPr>
            </w:pPr>
            <w:r>
              <w:rPr>
                <w:rFonts w:ascii="Arial" w:cs="Arial" w:eastAsia="Arial" w:hAnsi="Arial"/>
                <w:sz w:val="20"/>
                <w:szCs w:val="20"/>
                <w:color w:val="auto"/>
              </w:rPr>
              <w:t>Total cash equivalents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
              <w:spacing w:after="0"/>
              <w:rPr>
                <w:sz w:val="20"/>
                <w:szCs w:val="20"/>
                <w:color w:val="auto"/>
              </w:rPr>
            </w:pPr>
            <w:r>
              <w:rPr>
                <w:rFonts w:ascii="Arial" w:cs="Arial" w:eastAsia="Arial" w:hAnsi="Arial"/>
                <w:sz w:val="20"/>
                <w:szCs w:val="20"/>
                <w:color w:val="auto"/>
              </w:rPr>
              <w:t>178,518</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ind w:left="880"/>
              <w:spacing w:after="0"/>
              <w:rPr>
                <w:sz w:val="20"/>
                <w:szCs w:val="20"/>
                <w:color w:val="auto"/>
              </w:rPr>
            </w:pPr>
            <w:r>
              <w:rPr>
                <w:rFonts w:ascii="Arial" w:cs="Arial" w:eastAsia="Arial" w:hAnsi="Arial"/>
                <w:sz w:val="20"/>
                <w:szCs w:val="20"/>
                <w:color w:val="auto"/>
              </w:rPr>
              <w:t>—</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36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178,518</w:t>
            </w:r>
          </w:p>
        </w:tc>
        <w:tc>
          <w:tcPr>
            <w:tcW w:w="0" w:type="dxa"/>
            <w:vAlign w:val="bottom"/>
          </w:tcPr>
          <w:p>
            <w:pPr>
              <w:spacing w:after="0"/>
              <w:rPr>
                <w:sz w:val="1"/>
                <w:szCs w:val="1"/>
                <w:color w:val="auto"/>
              </w:rPr>
            </w:pPr>
          </w:p>
        </w:tc>
      </w:tr>
      <w:tr>
        <w:trPr>
          <w:trHeight w:val="20"/>
        </w:trPr>
        <w:tc>
          <w:tcPr>
            <w:tcW w:w="3360" w:type="dxa"/>
            <w:vAlign w:val="bottom"/>
            <w:tcBorders>
              <w:bottom w:val="single" w:sz="8" w:color="D2EDF0"/>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2EDF0"/>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2EDF0"/>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shd w:val="clear" w:color="auto" w:fill="D2EDF0"/>
          </w:tcPr>
          <w:p>
            <w:pPr>
              <w:spacing w:after="0"/>
              <w:rPr>
                <w:sz w:val="23"/>
                <w:szCs w:val="23"/>
                <w:color w:val="auto"/>
              </w:rPr>
            </w:pPr>
          </w:p>
        </w:tc>
        <w:tc>
          <w:tcPr>
            <w:tcW w:w="200" w:type="dxa"/>
            <w:vAlign w:val="bottom"/>
            <w:shd w:val="clear" w:color="auto" w:fill="D2EDF0"/>
          </w:tcPr>
          <w:p>
            <w:pPr>
              <w:spacing w:after="0"/>
              <w:rPr>
                <w:sz w:val="23"/>
                <w:szCs w:val="23"/>
                <w:color w:val="auto"/>
              </w:rPr>
            </w:pPr>
          </w:p>
        </w:tc>
        <w:tc>
          <w:tcPr>
            <w:tcW w:w="1180" w:type="dxa"/>
            <w:vAlign w:val="bottom"/>
            <w:shd w:val="clear" w:color="auto" w:fill="D2EDF0"/>
          </w:tcPr>
          <w:p>
            <w:pPr>
              <w:spacing w:after="0"/>
              <w:rPr>
                <w:sz w:val="23"/>
                <w:szCs w:val="23"/>
                <w:color w:val="auto"/>
              </w:rPr>
            </w:pPr>
          </w:p>
        </w:tc>
        <w:tc>
          <w:tcPr>
            <w:tcW w:w="60" w:type="dxa"/>
            <w:vAlign w:val="bottom"/>
            <w:shd w:val="clear" w:color="auto" w:fill="D2EDF0"/>
          </w:tcPr>
          <w:p>
            <w:pPr>
              <w:spacing w:after="0"/>
              <w:rPr>
                <w:sz w:val="23"/>
                <w:szCs w:val="23"/>
                <w:color w:val="auto"/>
              </w:rPr>
            </w:pPr>
          </w:p>
        </w:tc>
        <w:tc>
          <w:tcPr>
            <w:tcW w:w="200" w:type="dxa"/>
            <w:vAlign w:val="bottom"/>
            <w:shd w:val="clear" w:color="auto" w:fill="D2EDF0"/>
          </w:tcPr>
          <w:p>
            <w:pPr>
              <w:spacing w:after="0"/>
              <w:rPr>
                <w:sz w:val="23"/>
                <w:szCs w:val="23"/>
                <w:color w:val="auto"/>
              </w:rPr>
            </w:pPr>
          </w:p>
        </w:tc>
        <w:tc>
          <w:tcPr>
            <w:tcW w:w="1180" w:type="dxa"/>
            <w:vAlign w:val="bottom"/>
            <w:shd w:val="clear" w:color="auto" w:fill="D2EDF0"/>
          </w:tcPr>
          <w:p>
            <w:pPr>
              <w:spacing w:after="0"/>
              <w:rPr>
                <w:sz w:val="23"/>
                <w:szCs w:val="23"/>
                <w:color w:val="auto"/>
              </w:rPr>
            </w:pPr>
          </w:p>
        </w:tc>
        <w:tc>
          <w:tcPr>
            <w:tcW w:w="60" w:type="dxa"/>
            <w:vAlign w:val="bottom"/>
            <w:shd w:val="clear" w:color="auto" w:fill="D2EDF0"/>
          </w:tcPr>
          <w:p>
            <w:pPr>
              <w:spacing w:after="0"/>
              <w:rPr>
                <w:sz w:val="23"/>
                <w:szCs w:val="23"/>
                <w:color w:val="auto"/>
              </w:rPr>
            </w:pPr>
          </w:p>
        </w:tc>
        <w:tc>
          <w:tcPr>
            <w:tcW w:w="200" w:type="dxa"/>
            <w:vAlign w:val="bottom"/>
            <w:shd w:val="clear" w:color="auto" w:fill="D2EDF0"/>
          </w:tcPr>
          <w:p>
            <w:pPr>
              <w:spacing w:after="0"/>
              <w:rPr>
                <w:sz w:val="23"/>
                <w:szCs w:val="23"/>
                <w:color w:val="auto"/>
              </w:rPr>
            </w:pPr>
          </w:p>
        </w:tc>
        <w:tc>
          <w:tcPr>
            <w:tcW w:w="1180" w:type="dxa"/>
            <w:vAlign w:val="bottom"/>
            <w:shd w:val="clear" w:color="auto" w:fill="D2EDF0"/>
          </w:tcPr>
          <w:p>
            <w:pPr>
              <w:spacing w:after="0"/>
              <w:rPr>
                <w:sz w:val="23"/>
                <w:szCs w:val="23"/>
                <w:color w:val="auto"/>
              </w:rPr>
            </w:pPr>
          </w:p>
        </w:tc>
        <w:tc>
          <w:tcPr>
            <w:tcW w:w="60" w:type="dxa"/>
            <w:vAlign w:val="bottom"/>
            <w:shd w:val="clear" w:color="auto" w:fill="D2EDF0"/>
          </w:tcPr>
          <w:p>
            <w:pPr>
              <w:spacing w:after="0"/>
              <w:rPr>
                <w:sz w:val="23"/>
                <w:szCs w:val="23"/>
                <w:color w:val="auto"/>
              </w:rPr>
            </w:pPr>
          </w:p>
        </w:tc>
        <w:tc>
          <w:tcPr>
            <w:tcW w:w="300" w:type="dxa"/>
            <w:vAlign w:val="bottom"/>
            <w:shd w:val="clear" w:color="auto" w:fill="D2EDF0"/>
          </w:tcPr>
          <w:p>
            <w:pPr>
              <w:spacing w:after="0"/>
              <w:rPr>
                <w:sz w:val="23"/>
                <w:szCs w:val="23"/>
                <w:color w:val="auto"/>
              </w:rPr>
            </w:pPr>
          </w:p>
        </w:tc>
        <w:tc>
          <w:tcPr>
            <w:tcW w:w="1080" w:type="dxa"/>
            <w:vAlign w:val="bottom"/>
            <w:shd w:val="clear" w:color="auto" w:fill="D2EDF0"/>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3360" w:type="dxa"/>
            <w:vAlign w:val="bottom"/>
          </w:tcPr>
          <w:p>
            <w:pPr>
              <w:ind w:left="40"/>
              <w:spacing w:after="0"/>
              <w:rPr>
                <w:sz w:val="20"/>
                <w:szCs w:val="20"/>
                <w:color w:val="auto"/>
              </w:rPr>
            </w:pPr>
            <w:r>
              <w:rPr>
                <w:rFonts w:ascii="Arial" w:cs="Arial" w:eastAsia="Arial" w:hAnsi="Arial"/>
                <w:sz w:val="20"/>
                <w:szCs w:val="20"/>
                <w:b w:val="1"/>
                <w:bCs w:val="1"/>
                <w:color w:val="auto"/>
              </w:rPr>
              <w:t>Short-term investments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360" w:type="dxa"/>
            <w:vAlign w:val="bottom"/>
            <w:shd w:val="clear" w:color="auto" w:fill="D2EDF0"/>
          </w:tcPr>
          <w:p>
            <w:pPr>
              <w:ind w:left="40"/>
              <w:spacing w:after="0"/>
              <w:rPr>
                <w:sz w:val="20"/>
                <w:szCs w:val="20"/>
                <w:color w:val="auto"/>
              </w:rPr>
            </w:pPr>
            <w:r>
              <w:rPr>
                <w:rFonts w:ascii="Arial" w:cs="Arial" w:eastAsia="Arial" w:hAnsi="Arial"/>
                <w:sz w:val="20"/>
                <w:szCs w:val="20"/>
                <w:color w:val="auto"/>
              </w:rPr>
              <w:t>Commercial paper</w:t>
            </w: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80" w:type="dxa"/>
            <w:vAlign w:val="bottom"/>
            <w:shd w:val="clear" w:color="auto" w:fill="D2EDF0"/>
          </w:tcPr>
          <w:p>
            <w:pPr>
              <w:jc w:val="right"/>
              <w:ind w:right="2"/>
              <w:spacing w:after="0"/>
              <w:rPr>
                <w:sz w:val="20"/>
                <w:szCs w:val="20"/>
                <w:color w:val="auto"/>
              </w:rPr>
            </w:pPr>
            <w:r>
              <w:rPr>
                <w:rFonts w:ascii="Arial" w:cs="Arial" w:eastAsia="Arial" w:hAnsi="Arial"/>
                <w:sz w:val="20"/>
                <w:szCs w:val="20"/>
                <w:color w:val="auto"/>
              </w:rPr>
              <w:t>134,165</w:t>
            </w:r>
          </w:p>
        </w:tc>
        <w:tc>
          <w:tcPr>
            <w:tcW w:w="26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80" w:type="dxa"/>
            <w:vAlign w:val="bottom"/>
            <w:shd w:val="clear" w:color="auto" w:fill="D2EDF0"/>
          </w:tcPr>
          <w:p>
            <w:pPr>
              <w:ind w:left="880"/>
              <w:spacing w:after="0"/>
              <w:rPr>
                <w:sz w:val="20"/>
                <w:szCs w:val="20"/>
                <w:color w:val="auto"/>
              </w:rPr>
            </w:pPr>
            <w:r>
              <w:rPr>
                <w:rFonts w:ascii="Arial" w:cs="Arial" w:eastAsia="Arial" w:hAnsi="Arial"/>
                <w:sz w:val="20"/>
                <w:szCs w:val="20"/>
                <w:color w:val="auto"/>
              </w:rPr>
              <w:t>—</w:t>
            </w:r>
          </w:p>
        </w:tc>
        <w:tc>
          <w:tcPr>
            <w:tcW w:w="26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(47)</w:t>
            </w:r>
          </w:p>
        </w:tc>
        <w:tc>
          <w:tcPr>
            <w:tcW w:w="360" w:type="dxa"/>
            <w:vAlign w:val="bottom"/>
            <w:gridSpan w:val="2"/>
            <w:shd w:val="clear" w:color="auto" w:fill="D2EDF0"/>
          </w:tcPr>
          <w:p>
            <w:pPr>
              <w:ind w:left="120"/>
              <w:spacing w:after="0"/>
              <w:rPr>
                <w:sz w:val="20"/>
                <w:szCs w:val="20"/>
                <w:color w:val="auto"/>
              </w:rPr>
            </w:pPr>
            <w:r>
              <w:rPr>
                <w:rFonts w:ascii="Arial" w:cs="Arial" w:eastAsia="Arial" w:hAnsi="Arial"/>
                <w:sz w:val="20"/>
                <w:szCs w:val="20"/>
                <w:color w:val="auto"/>
              </w:rPr>
              <w:t>$</w:t>
            </w:r>
          </w:p>
        </w:tc>
        <w:tc>
          <w:tcPr>
            <w:tcW w:w="1080" w:type="dxa"/>
            <w:vAlign w:val="bottom"/>
            <w:shd w:val="clear" w:color="auto" w:fill="D2EDF0"/>
          </w:tcPr>
          <w:p>
            <w:pPr>
              <w:jc w:val="right"/>
              <w:ind w:right="1"/>
              <w:spacing w:after="0"/>
              <w:rPr>
                <w:sz w:val="20"/>
                <w:szCs w:val="20"/>
                <w:color w:val="auto"/>
              </w:rPr>
            </w:pPr>
            <w:r>
              <w:rPr>
                <w:rFonts w:ascii="Arial" w:cs="Arial" w:eastAsia="Arial" w:hAnsi="Arial"/>
                <w:sz w:val="20"/>
                <w:szCs w:val="20"/>
                <w:color w:val="auto"/>
              </w:rPr>
              <w:t>134,118</w:t>
            </w:r>
          </w:p>
        </w:tc>
        <w:tc>
          <w:tcPr>
            <w:tcW w:w="0" w:type="dxa"/>
            <w:vAlign w:val="bottom"/>
          </w:tcPr>
          <w:p>
            <w:pPr>
              <w:spacing w:after="0"/>
              <w:rPr>
                <w:sz w:val="1"/>
                <w:szCs w:val="1"/>
                <w:color w:val="auto"/>
              </w:rPr>
            </w:pPr>
          </w:p>
        </w:tc>
      </w:tr>
      <w:tr>
        <w:trPr>
          <w:trHeight w:val="296"/>
        </w:trPr>
        <w:tc>
          <w:tcPr>
            <w:tcW w:w="3360" w:type="dxa"/>
            <w:vAlign w:val="bottom"/>
          </w:tcPr>
          <w:p>
            <w:pPr>
              <w:ind w:left="40"/>
              <w:spacing w:after="0"/>
              <w:rPr>
                <w:sz w:val="20"/>
                <w:szCs w:val="20"/>
                <w:color w:val="auto"/>
              </w:rPr>
            </w:pPr>
            <w:r>
              <w:rPr>
                <w:rFonts w:ascii="Arial" w:cs="Arial" w:eastAsia="Arial" w:hAnsi="Arial"/>
                <w:sz w:val="20"/>
                <w:szCs w:val="20"/>
                <w:color w:val="auto"/>
              </w:rPr>
              <w:t>Corporate bonds</w:t>
            </w:r>
          </w:p>
        </w:tc>
        <w:tc>
          <w:tcPr>
            <w:tcW w:w="200" w:type="dxa"/>
            <w:vAlign w:val="bottom"/>
          </w:tcPr>
          <w:p>
            <w:pPr>
              <w:spacing w:after="0"/>
              <w:rPr>
                <w:sz w:val="24"/>
                <w:szCs w:val="24"/>
                <w:color w:val="auto"/>
              </w:rPr>
            </w:pPr>
          </w:p>
        </w:tc>
        <w:tc>
          <w:tcPr>
            <w:tcW w:w="1180" w:type="dxa"/>
            <w:vAlign w:val="bottom"/>
          </w:tcPr>
          <w:p>
            <w:pPr>
              <w:jc w:val="right"/>
              <w:ind w:right="2"/>
              <w:spacing w:after="0"/>
              <w:rPr>
                <w:sz w:val="20"/>
                <w:szCs w:val="20"/>
                <w:color w:val="auto"/>
              </w:rPr>
            </w:pPr>
            <w:r>
              <w:rPr>
                <w:rFonts w:ascii="Arial" w:cs="Arial" w:eastAsia="Arial" w:hAnsi="Arial"/>
                <w:sz w:val="20"/>
                <w:szCs w:val="20"/>
                <w:color w:val="auto"/>
              </w:rPr>
              <w:t>27,169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ind w:left="88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27,128</w:t>
            </w:r>
          </w:p>
        </w:tc>
        <w:tc>
          <w:tcPr>
            <w:tcW w:w="0" w:type="dxa"/>
            <w:vAlign w:val="bottom"/>
          </w:tcPr>
          <w:p>
            <w:pPr>
              <w:spacing w:after="0"/>
              <w:rPr>
                <w:sz w:val="1"/>
                <w:szCs w:val="1"/>
                <w:color w:val="auto"/>
              </w:rPr>
            </w:pPr>
          </w:p>
        </w:tc>
      </w:tr>
      <w:tr>
        <w:trPr>
          <w:trHeight w:val="304"/>
        </w:trPr>
        <w:tc>
          <w:tcPr>
            <w:tcW w:w="3360" w:type="dxa"/>
            <w:vAlign w:val="bottom"/>
            <w:shd w:val="clear" w:color="auto" w:fill="D2EDF0"/>
          </w:tcPr>
          <w:p>
            <w:pPr>
              <w:ind w:left="40"/>
              <w:spacing w:after="0"/>
              <w:rPr>
                <w:sz w:val="20"/>
                <w:szCs w:val="20"/>
                <w:color w:val="auto"/>
              </w:rPr>
            </w:pPr>
            <w:r>
              <w:rPr>
                <w:rFonts w:ascii="Arial" w:cs="Arial" w:eastAsia="Arial" w:hAnsi="Arial"/>
                <w:sz w:val="20"/>
                <w:szCs w:val="20"/>
                <w:color w:val="auto"/>
              </w:rPr>
              <w:t>Asset backed securities</w:t>
            </w:r>
          </w:p>
        </w:tc>
        <w:tc>
          <w:tcPr>
            <w:tcW w:w="200" w:type="dxa"/>
            <w:vAlign w:val="bottom"/>
            <w:shd w:val="clear" w:color="auto" w:fill="D2EDF0"/>
          </w:tcPr>
          <w:p>
            <w:pPr>
              <w:spacing w:after="0"/>
              <w:rPr>
                <w:sz w:val="24"/>
                <w:szCs w:val="24"/>
                <w:color w:val="auto"/>
              </w:rPr>
            </w:pPr>
          </w:p>
        </w:tc>
        <w:tc>
          <w:tcPr>
            <w:tcW w:w="1180" w:type="dxa"/>
            <w:vAlign w:val="bottom"/>
            <w:shd w:val="clear" w:color="auto" w:fill="D2EDF0"/>
          </w:tcPr>
          <w:p>
            <w:pPr>
              <w:jc w:val="right"/>
              <w:ind w:right="2"/>
              <w:spacing w:after="0"/>
              <w:rPr>
                <w:sz w:val="20"/>
                <w:szCs w:val="20"/>
                <w:color w:val="auto"/>
              </w:rPr>
            </w:pPr>
            <w:r>
              <w:rPr>
                <w:rFonts w:ascii="Arial" w:cs="Arial" w:eastAsia="Arial" w:hAnsi="Arial"/>
                <w:sz w:val="20"/>
                <w:szCs w:val="20"/>
                <w:color w:val="auto"/>
              </w:rPr>
              <w:t>27,464</w:t>
            </w:r>
          </w:p>
        </w:tc>
        <w:tc>
          <w:tcPr>
            <w:tcW w:w="6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1180" w:type="dxa"/>
            <w:vAlign w:val="bottom"/>
            <w:shd w:val="clear" w:color="auto" w:fill="D2EDF0"/>
          </w:tcPr>
          <w:p>
            <w:pPr>
              <w:ind w:left="880"/>
              <w:spacing w:after="0"/>
              <w:rPr>
                <w:sz w:val="20"/>
                <w:szCs w:val="20"/>
                <w:color w:val="auto"/>
              </w:rPr>
            </w:pPr>
            <w:r>
              <w:rPr>
                <w:rFonts w:ascii="Arial" w:cs="Arial" w:eastAsia="Arial" w:hAnsi="Arial"/>
                <w:sz w:val="20"/>
                <w:szCs w:val="20"/>
                <w:color w:val="auto"/>
              </w:rPr>
              <w:t>—</w:t>
            </w:r>
          </w:p>
        </w:tc>
        <w:tc>
          <w:tcPr>
            <w:tcW w:w="6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11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(53)</w:t>
            </w:r>
          </w:p>
        </w:tc>
        <w:tc>
          <w:tcPr>
            <w:tcW w:w="6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80" w:type="dxa"/>
            <w:vAlign w:val="bottom"/>
            <w:shd w:val="clear" w:color="auto" w:fill="D2EDF0"/>
          </w:tcPr>
          <w:p>
            <w:pPr>
              <w:jc w:val="right"/>
              <w:ind w:right="1"/>
              <w:spacing w:after="0"/>
              <w:rPr>
                <w:sz w:val="20"/>
                <w:szCs w:val="20"/>
                <w:color w:val="auto"/>
              </w:rPr>
            </w:pPr>
            <w:r>
              <w:rPr>
                <w:rFonts w:ascii="Arial" w:cs="Arial" w:eastAsia="Arial" w:hAnsi="Arial"/>
                <w:sz w:val="20"/>
                <w:szCs w:val="20"/>
                <w:color w:val="auto"/>
              </w:rPr>
              <w:t>27,411</w:t>
            </w:r>
          </w:p>
        </w:tc>
        <w:tc>
          <w:tcPr>
            <w:tcW w:w="0" w:type="dxa"/>
            <w:vAlign w:val="bottom"/>
          </w:tcPr>
          <w:p>
            <w:pPr>
              <w:spacing w:after="0"/>
              <w:rPr>
                <w:sz w:val="1"/>
                <w:szCs w:val="1"/>
                <w:color w:val="auto"/>
              </w:rPr>
            </w:pPr>
          </w:p>
        </w:tc>
      </w:tr>
      <w:tr>
        <w:trPr>
          <w:trHeight w:val="296"/>
        </w:trPr>
        <w:tc>
          <w:tcPr>
            <w:tcW w:w="3360" w:type="dxa"/>
            <w:vAlign w:val="bottom"/>
          </w:tcPr>
          <w:p>
            <w:pPr>
              <w:ind w:left="40"/>
              <w:spacing w:after="0"/>
              <w:rPr>
                <w:sz w:val="20"/>
                <w:szCs w:val="20"/>
                <w:color w:val="auto"/>
              </w:rPr>
            </w:pPr>
            <w:r>
              <w:rPr>
                <w:rFonts w:ascii="Arial" w:cs="Arial" w:eastAsia="Arial" w:hAnsi="Arial"/>
                <w:sz w:val="20"/>
                <w:szCs w:val="20"/>
                <w:color w:val="auto"/>
              </w:rPr>
              <w:t>Certificates of deposit</w:t>
            </w:r>
          </w:p>
        </w:tc>
        <w:tc>
          <w:tcPr>
            <w:tcW w:w="200" w:type="dxa"/>
            <w:vAlign w:val="bottom"/>
          </w:tcPr>
          <w:p>
            <w:pPr>
              <w:spacing w:after="0"/>
              <w:rPr>
                <w:sz w:val="24"/>
                <w:szCs w:val="24"/>
                <w:color w:val="auto"/>
              </w:rPr>
            </w:pPr>
          </w:p>
        </w:tc>
        <w:tc>
          <w:tcPr>
            <w:tcW w:w="1180" w:type="dxa"/>
            <w:vAlign w:val="bottom"/>
          </w:tcPr>
          <w:p>
            <w:pPr>
              <w:jc w:val="right"/>
              <w:ind w:right="2"/>
              <w:spacing w:after="0"/>
              <w:rPr>
                <w:sz w:val="20"/>
                <w:szCs w:val="20"/>
                <w:color w:val="auto"/>
              </w:rPr>
            </w:pPr>
            <w:r>
              <w:rPr>
                <w:rFonts w:ascii="Arial" w:cs="Arial" w:eastAsia="Arial" w:hAnsi="Arial"/>
                <w:sz w:val="20"/>
                <w:szCs w:val="20"/>
                <w:color w:val="auto"/>
              </w:rPr>
              <w:t>10,000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ind w:left="88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9,992</w:t>
            </w:r>
          </w:p>
        </w:tc>
        <w:tc>
          <w:tcPr>
            <w:tcW w:w="0" w:type="dxa"/>
            <w:vAlign w:val="bottom"/>
          </w:tcPr>
          <w:p>
            <w:pPr>
              <w:spacing w:after="0"/>
              <w:rPr>
                <w:sz w:val="1"/>
                <w:szCs w:val="1"/>
                <w:color w:val="auto"/>
              </w:rPr>
            </w:pPr>
          </w:p>
        </w:tc>
      </w:tr>
      <w:tr>
        <w:trPr>
          <w:trHeight w:val="304"/>
        </w:trPr>
        <w:tc>
          <w:tcPr>
            <w:tcW w:w="3360" w:type="dxa"/>
            <w:vAlign w:val="bottom"/>
            <w:shd w:val="clear" w:color="auto" w:fill="D2EDF0"/>
          </w:tcPr>
          <w:p>
            <w:pPr>
              <w:ind w:left="40"/>
              <w:spacing w:after="0"/>
              <w:rPr>
                <w:sz w:val="20"/>
                <w:szCs w:val="20"/>
                <w:color w:val="auto"/>
              </w:rPr>
            </w:pPr>
            <w:r>
              <w:rPr>
                <w:rFonts w:ascii="Arial" w:cs="Arial" w:eastAsia="Arial" w:hAnsi="Arial"/>
                <w:sz w:val="20"/>
                <w:szCs w:val="20"/>
                <w:color w:val="auto"/>
              </w:rPr>
              <w:t>Supranational bonds</w:t>
            </w:r>
          </w:p>
        </w:tc>
        <w:tc>
          <w:tcPr>
            <w:tcW w:w="200" w:type="dxa"/>
            <w:vAlign w:val="bottom"/>
            <w:shd w:val="clear" w:color="auto" w:fill="D2EDF0"/>
          </w:tcPr>
          <w:p>
            <w:pPr>
              <w:spacing w:after="0"/>
              <w:rPr>
                <w:sz w:val="24"/>
                <w:szCs w:val="24"/>
                <w:color w:val="auto"/>
              </w:rPr>
            </w:pPr>
          </w:p>
        </w:tc>
        <w:tc>
          <w:tcPr>
            <w:tcW w:w="1180" w:type="dxa"/>
            <w:vAlign w:val="bottom"/>
            <w:shd w:val="clear" w:color="auto" w:fill="D2EDF0"/>
          </w:tcPr>
          <w:p>
            <w:pPr>
              <w:jc w:val="right"/>
              <w:ind w:right="2"/>
              <w:spacing w:after="0"/>
              <w:rPr>
                <w:sz w:val="20"/>
                <w:szCs w:val="20"/>
                <w:color w:val="auto"/>
              </w:rPr>
            </w:pPr>
            <w:r>
              <w:rPr>
                <w:rFonts w:ascii="Arial" w:cs="Arial" w:eastAsia="Arial" w:hAnsi="Arial"/>
                <w:sz w:val="20"/>
                <w:szCs w:val="20"/>
                <w:color w:val="auto"/>
              </w:rPr>
              <w:t>8,632</w:t>
            </w:r>
          </w:p>
        </w:tc>
        <w:tc>
          <w:tcPr>
            <w:tcW w:w="6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1180" w:type="dxa"/>
            <w:vAlign w:val="bottom"/>
            <w:shd w:val="clear" w:color="auto" w:fill="D2EDF0"/>
          </w:tcPr>
          <w:p>
            <w:pPr>
              <w:ind w:left="880"/>
              <w:spacing w:after="0"/>
              <w:rPr>
                <w:sz w:val="20"/>
                <w:szCs w:val="20"/>
                <w:color w:val="auto"/>
              </w:rPr>
            </w:pPr>
            <w:r>
              <w:rPr>
                <w:rFonts w:ascii="Arial" w:cs="Arial" w:eastAsia="Arial" w:hAnsi="Arial"/>
                <w:sz w:val="20"/>
                <w:szCs w:val="20"/>
                <w:color w:val="auto"/>
              </w:rPr>
              <w:t>—</w:t>
            </w:r>
          </w:p>
        </w:tc>
        <w:tc>
          <w:tcPr>
            <w:tcW w:w="6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11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(33)</w:t>
            </w:r>
          </w:p>
        </w:tc>
        <w:tc>
          <w:tcPr>
            <w:tcW w:w="6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80" w:type="dxa"/>
            <w:vAlign w:val="bottom"/>
            <w:shd w:val="clear" w:color="auto" w:fill="D2EDF0"/>
          </w:tcPr>
          <w:p>
            <w:pPr>
              <w:jc w:val="right"/>
              <w:ind w:right="1"/>
              <w:spacing w:after="0"/>
              <w:rPr>
                <w:sz w:val="20"/>
                <w:szCs w:val="20"/>
                <w:color w:val="auto"/>
              </w:rPr>
            </w:pPr>
            <w:r>
              <w:rPr>
                <w:rFonts w:ascii="Arial" w:cs="Arial" w:eastAsia="Arial" w:hAnsi="Arial"/>
                <w:sz w:val="20"/>
                <w:szCs w:val="20"/>
                <w:color w:val="auto"/>
              </w:rPr>
              <w:t>8,599</w:t>
            </w:r>
          </w:p>
        </w:tc>
        <w:tc>
          <w:tcPr>
            <w:tcW w:w="0" w:type="dxa"/>
            <w:vAlign w:val="bottom"/>
          </w:tcPr>
          <w:p>
            <w:pPr>
              <w:spacing w:after="0"/>
              <w:rPr>
                <w:sz w:val="1"/>
                <w:szCs w:val="1"/>
                <w:color w:val="auto"/>
              </w:rPr>
            </w:pPr>
          </w:p>
        </w:tc>
      </w:tr>
      <w:tr>
        <w:trPr>
          <w:trHeight w:val="208"/>
        </w:trPr>
        <w:tc>
          <w:tcPr>
            <w:tcW w:w="3360" w:type="dxa"/>
            <w:vAlign w:val="bottom"/>
          </w:tcPr>
          <w:p>
            <w:pPr>
              <w:ind w:left="40"/>
              <w:spacing w:after="0" w:line="208" w:lineRule="exact"/>
              <w:rPr>
                <w:sz w:val="20"/>
                <w:szCs w:val="20"/>
                <w:color w:val="auto"/>
              </w:rPr>
            </w:pPr>
            <w:r>
              <w:rPr>
                <w:rFonts w:ascii="Arial" w:cs="Arial" w:eastAsia="Arial" w:hAnsi="Arial"/>
                <w:sz w:val="20"/>
                <w:szCs w:val="20"/>
                <w:color w:val="auto"/>
              </w:rPr>
              <w:t>U.S. Treasury and agency</w:t>
            </w:r>
          </w:p>
        </w:tc>
        <w:tc>
          <w:tcPr>
            <w:tcW w:w="200" w:type="dxa"/>
            <w:vAlign w:val="bottom"/>
          </w:tcPr>
          <w:p>
            <w:pPr>
              <w:spacing w:after="0"/>
              <w:rPr>
                <w:sz w:val="18"/>
                <w:szCs w:val="18"/>
                <w:color w:val="auto"/>
              </w:rPr>
            </w:pPr>
          </w:p>
        </w:tc>
        <w:tc>
          <w:tcPr>
            <w:tcW w:w="1180" w:type="dxa"/>
            <w:vAlign w:val="bottom"/>
            <w:vMerge w:val="restart"/>
          </w:tcPr>
          <w:p>
            <w:pPr>
              <w:jc w:val="right"/>
              <w:ind w:right="2"/>
              <w:spacing w:after="0"/>
              <w:rPr>
                <w:sz w:val="20"/>
                <w:szCs w:val="20"/>
                <w:color w:val="auto"/>
              </w:rPr>
            </w:pPr>
            <w:r>
              <w:rPr>
                <w:rFonts w:ascii="Arial" w:cs="Arial" w:eastAsia="Arial" w:hAnsi="Arial"/>
                <w:sz w:val="20"/>
                <w:szCs w:val="20"/>
                <w:color w:val="auto"/>
              </w:rPr>
              <w:t>27,168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restart"/>
          </w:tcPr>
          <w:p>
            <w:pPr>
              <w:ind w:left="880"/>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20"/>
                <w:szCs w:val="20"/>
                <w:color w:val="auto"/>
              </w:rPr>
              <w:t>(124)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restart"/>
          </w:tcPr>
          <w:p>
            <w:pPr>
              <w:jc w:val="right"/>
              <w:ind w:right="1"/>
              <w:spacing w:after="0"/>
              <w:rPr>
                <w:sz w:val="20"/>
                <w:szCs w:val="20"/>
                <w:color w:val="auto"/>
              </w:rPr>
            </w:pPr>
            <w:r>
              <w:rPr>
                <w:rFonts w:ascii="Arial" w:cs="Arial" w:eastAsia="Arial" w:hAnsi="Arial"/>
                <w:sz w:val="20"/>
                <w:szCs w:val="20"/>
                <w:color w:val="auto"/>
              </w:rPr>
              <w:t>27,044</w:t>
            </w:r>
          </w:p>
        </w:tc>
        <w:tc>
          <w:tcPr>
            <w:tcW w:w="0" w:type="dxa"/>
            <w:vAlign w:val="bottom"/>
          </w:tcPr>
          <w:p>
            <w:pPr>
              <w:spacing w:after="0"/>
              <w:rPr>
                <w:sz w:val="1"/>
                <w:szCs w:val="1"/>
                <w:color w:val="auto"/>
              </w:rPr>
            </w:pPr>
          </w:p>
        </w:tc>
      </w:tr>
      <w:tr>
        <w:trPr>
          <w:trHeight w:val="262"/>
        </w:trPr>
        <w:tc>
          <w:tcPr>
            <w:tcW w:w="3360" w:type="dxa"/>
            <w:vAlign w:val="bottom"/>
            <w:tcBorders>
              <w:bottom w:val="single" w:sz="8" w:color="D2EDF0"/>
            </w:tcBorders>
          </w:tcPr>
          <w:p>
            <w:pPr>
              <w:ind w:left="40"/>
              <w:spacing w:after="0"/>
              <w:rPr>
                <w:sz w:val="20"/>
                <w:szCs w:val="20"/>
                <w:color w:val="auto"/>
              </w:rPr>
            </w:pPr>
            <w:r>
              <w:rPr>
                <w:rFonts w:ascii="Arial" w:cs="Arial" w:eastAsia="Arial" w:hAnsi="Arial"/>
                <w:sz w:val="20"/>
                <w:szCs w:val="20"/>
                <w:color w:val="auto"/>
              </w:rPr>
              <w:t>obligations</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D2EDF0"/>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D2EDF0"/>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D2EDF0"/>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360" w:type="dxa"/>
            <w:vAlign w:val="bottom"/>
            <w:shd w:val="clear" w:color="auto" w:fill="D2EDF0"/>
          </w:tcPr>
          <w:p>
            <w:pPr>
              <w:ind w:left="260"/>
              <w:spacing w:after="0"/>
              <w:rPr>
                <w:sz w:val="20"/>
                <w:szCs w:val="20"/>
                <w:color w:val="auto"/>
              </w:rPr>
            </w:pPr>
            <w:r>
              <w:rPr>
                <w:rFonts w:ascii="Arial" w:cs="Arial" w:eastAsia="Arial" w:hAnsi="Arial"/>
                <w:sz w:val="20"/>
                <w:szCs w:val="20"/>
                <w:color w:val="auto"/>
              </w:rPr>
              <w:t>Total short-term investments</w:t>
            </w: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80" w:type="dxa"/>
            <w:vAlign w:val="bottom"/>
            <w:shd w:val="clear" w:color="auto" w:fill="D2EDF0"/>
          </w:tcPr>
          <w:p>
            <w:pPr>
              <w:jc w:val="right"/>
              <w:ind w:right="2"/>
              <w:spacing w:after="0"/>
              <w:rPr>
                <w:sz w:val="20"/>
                <w:szCs w:val="20"/>
                <w:color w:val="auto"/>
              </w:rPr>
            </w:pPr>
            <w:r>
              <w:rPr>
                <w:rFonts w:ascii="Arial" w:cs="Arial" w:eastAsia="Arial" w:hAnsi="Arial"/>
                <w:sz w:val="20"/>
                <w:szCs w:val="20"/>
                <w:color w:val="auto"/>
              </w:rPr>
              <w:t>234,598</w:t>
            </w:r>
          </w:p>
        </w:tc>
        <w:tc>
          <w:tcPr>
            <w:tcW w:w="26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80" w:type="dxa"/>
            <w:vAlign w:val="bottom"/>
            <w:shd w:val="clear" w:color="auto" w:fill="D2EDF0"/>
          </w:tcPr>
          <w:p>
            <w:pPr>
              <w:ind w:left="880"/>
              <w:spacing w:after="0"/>
              <w:rPr>
                <w:sz w:val="20"/>
                <w:szCs w:val="20"/>
                <w:color w:val="auto"/>
              </w:rPr>
            </w:pPr>
            <w:r>
              <w:rPr>
                <w:rFonts w:ascii="Arial" w:cs="Arial" w:eastAsia="Arial" w:hAnsi="Arial"/>
                <w:sz w:val="20"/>
                <w:szCs w:val="20"/>
                <w:color w:val="auto"/>
              </w:rPr>
              <w:t>—</w:t>
            </w:r>
          </w:p>
        </w:tc>
        <w:tc>
          <w:tcPr>
            <w:tcW w:w="26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(306)</w:t>
            </w:r>
          </w:p>
        </w:tc>
        <w:tc>
          <w:tcPr>
            <w:tcW w:w="360" w:type="dxa"/>
            <w:vAlign w:val="bottom"/>
            <w:gridSpan w:val="2"/>
            <w:shd w:val="clear" w:color="auto" w:fill="D2EDF0"/>
          </w:tcPr>
          <w:p>
            <w:pPr>
              <w:ind w:left="120"/>
              <w:spacing w:after="0"/>
              <w:rPr>
                <w:sz w:val="20"/>
                <w:szCs w:val="20"/>
                <w:color w:val="auto"/>
              </w:rPr>
            </w:pPr>
            <w:r>
              <w:rPr>
                <w:rFonts w:ascii="Arial" w:cs="Arial" w:eastAsia="Arial" w:hAnsi="Arial"/>
                <w:sz w:val="20"/>
                <w:szCs w:val="20"/>
                <w:color w:val="auto"/>
              </w:rPr>
              <w:t>$</w:t>
            </w:r>
          </w:p>
        </w:tc>
        <w:tc>
          <w:tcPr>
            <w:tcW w:w="1080" w:type="dxa"/>
            <w:vAlign w:val="bottom"/>
            <w:shd w:val="clear" w:color="auto" w:fill="D2EDF0"/>
          </w:tcPr>
          <w:p>
            <w:pPr>
              <w:jc w:val="right"/>
              <w:ind w:right="1"/>
              <w:spacing w:after="0"/>
              <w:rPr>
                <w:sz w:val="20"/>
                <w:szCs w:val="20"/>
                <w:color w:val="auto"/>
              </w:rPr>
            </w:pPr>
            <w:r>
              <w:rPr>
                <w:rFonts w:ascii="Arial" w:cs="Arial" w:eastAsia="Arial" w:hAnsi="Arial"/>
                <w:sz w:val="20"/>
                <w:szCs w:val="20"/>
                <w:color w:val="auto"/>
              </w:rPr>
              <w:t>234,292</w:t>
            </w:r>
          </w:p>
        </w:tc>
        <w:tc>
          <w:tcPr>
            <w:tcW w:w="0" w:type="dxa"/>
            <w:vAlign w:val="bottom"/>
          </w:tcPr>
          <w:p>
            <w:pPr>
              <w:spacing w:after="0"/>
              <w:rPr>
                <w:sz w:val="1"/>
                <w:szCs w:val="1"/>
                <w:color w:val="auto"/>
              </w:rPr>
            </w:pPr>
          </w:p>
        </w:tc>
      </w:tr>
      <w:tr>
        <w:trPr>
          <w:trHeight w:val="20"/>
        </w:trPr>
        <w:tc>
          <w:tcPr>
            <w:tcW w:w="3360" w:type="dxa"/>
            <w:vAlign w:val="bottom"/>
            <w:tcBorders>
              <w:top w:val="single" w:sz="8" w:color="D2EDF0"/>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EDF0"/>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EDF0"/>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2136775</wp:posOffset>
            </wp:positionH>
            <wp:positionV relativeFrom="paragraph">
              <wp:posOffset>-1866265</wp:posOffset>
            </wp:positionV>
            <wp:extent cx="360997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09975" cy="38100"/>
                    </a:xfrm>
                    <a:prstGeom prst="rect">
                      <a:avLst/>
                    </a:prstGeom>
                    <a:noFill/>
                  </pic:spPr>
                </pic:pic>
              </a:graphicData>
            </a:graphic>
          </wp:anchor>
        </w:drawing>
        <w:drawing>
          <wp:anchor simplePos="0" relativeHeight="251657728" behindDoc="1" locked="0" layoutInCell="0" allowOverlap="1">
            <wp:simplePos x="0" y="0"/>
            <wp:positionH relativeFrom="column">
              <wp:posOffset>2136775</wp:posOffset>
            </wp:positionH>
            <wp:positionV relativeFrom="paragraph">
              <wp:posOffset>-37465</wp:posOffset>
            </wp:positionV>
            <wp:extent cx="360997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09975" cy="38100"/>
                    </a:xfrm>
                    <a:prstGeom prst="rect">
                      <a:avLst/>
                    </a:prstGeom>
                    <a:noFill/>
                  </pic:spPr>
                </pic:pic>
              </a:graphicData>
            </a:graphic>
          </wp:anchor>
        </w:drawing>
      </w:r>
    </w:p>
    <w:p>
      <w:pPr>
        <w:spacing w:after="0" w:line="234" w:lineRule="exact"/>
        <w:rPr>
          <w:sz w:val="20"/>
          <w:szCs w:val="20"/>
          <w:color w:val="auto"/>
        </w:rPr>
      </w:pPr>
    </w:p>
    <w:p>
      <w:pPr>
        <w:ind w:left="20" w:right="60" w:firstLine="360"/>
        <w:spacing w:after="0" w:line="257" w:lineRule="auto"/>
        <w:rPr>
          <w:sz w:val="20"/>
          <w:szCs w:val="20"/>
          <w:color w:val="auto"/>
        </w:rPr>
      </w:pPr>
      <w:r>
        <w:rPr>
          <w:rFonts w:ascii="Arial" w:cs="Arial" w:eastAsia="Arial" w:hAnsi="Arial"/>
          <w:sz w:val="20"/>
          <w:szCs w:val="20"/>
          <w:color w:val="auto"/>
        </w:rPr>
        <w:t>We considered the extent to which any unrealized losses on our short-term investments were driven by credit risk and other factors, including market risk, and if it is more-likely-than-not that we would have to sell the security before the recovery of the amortized cost basis. At December 31, 2022 and 2021, our unrealized losses were due to rising market interest rates compared to when the investments were initiated. We do not believe any unrealized losses represent credit losses, and it is unlikely we would sell the investments before we would recover their amortized cost basis.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contractual maturities of our short-term investments are as follows:</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2022</w:t>
            </w:r>
          </w:p>
        </w:tc>
        <w:tc>
          <w:tcPr>
            <w:tcW w:w="200" w:type="dxa"/>
            <w:vAlign w:val="bottom"/>
          </w:tcPr>
          <w:p>
            <w:pPr>
              <w:spacing w:after="0"/>
              <w:rPr>
                <w:sz w:val="20"/>
                <w:szCs w:val="20"/>
                <w:color w:val="auto"/>
              </w:rPr>
            </w:pPr>
          </w:p>
        </w:tc>
        <w:tc>
          <w:tcPr>
            <w:tcW w:w="2600" w:type="dxa"/>
            <w:vAlign w:val="bottom"/>
            <w:gridSpan w:val="4"/>
          </w:tcPr>
          <w:p>
            <w:pPr>
              <w:jc w:val="right"/>
              <w:ind w:right="503"/>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177"/>
        </w:trPr>
        <w:tc>
          <w:tcPr>
            <w:tcW w:w="33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145"/>
              <w:spacing w:after="0" w:line="177" w:lineRule="exact"/>
              <w:rPr>
                <w:sz w:val="20"/>
                <w:szCs w:val="20"/>
                <w:color w:val="auto"/>
              </w:rPr>
            </w:pPr>
            <w:r>
              <w:rPr>
                <w:rFonts w:ascii="Arial" w:cs="Arial" w:eastAsia="Arial" w:hAnsi="Arial"/>
                <w:sz w:val="18"/>
                <w:szCs w:val="18"/>
                <w:b w:val="1"/>
                <w:bCs w:val="1"/>
                <w:color w:val="auto"/>
              </w:rPr>
              <w:t>Amortized</w:t>
            </w:r>
          </w:p>
        </w:tc>
        <w:tc>
          <w:tcPr>
            <w:tcW w:w="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60"/>
              <w:spacing w:after="0" w:line="177" w:lineRule="exact"/>
              <w:rPr>
                <w:sz w:val="20"/>
                <w:szCs w:val="20"/>
                <w:color w:val="auto"/>
              </w:rPr>
            </w:pPr>
            <w:r>
              <w:rPr>
                <w:rFonts w:ascii="Arial" w:cs="Arial" w:eastAsia="Arial" w:hAnsi="Arial"/>
                <w:sz w:val="18"/>
                <w:szCs w:val="18"/>
                <w:b w:val="1"/>
                <w:bCs w:val="1"/>
                <w:color w:val="auto"/>
              </w:rPr>
              <w:t>Estimated Fair</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145"/>
              <w:spacing w:after="0" w:line="177" w:lineRule="exact"/>
              <w:rPr>
                <w:sz w:val="20"/>
                <w:szCs w:val="20"/>
                <w:color w:val="auto"/>
              </w:rPr>
            </w:pPr>
            <w:r>
              <w:rPr>
                <w:rFonts w:ascii="Arial" w:cs="Arial" w:eastAsia="Arial" w:hAnsi="Arial"/>
                <w:sz w:val="18"/>
                <w:szCs w:val="18"/>
                <w:b w:val="1"/>
                <w:bCs w:val="1"/>
                <w:color w:val="auto"/>
              </w:rPr>
              <w:t>Amortized</w:t>
            </w:r>
          </w:p>
        </w:tc>
        <w:tc>
          <w:tcPr>
            <w:tcW w:w="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60"/>
              <w:spacing w:after="0" w:line="177" w:lineRule="exact"/>
              <w:rPr>
                <w:sz w:val="20"/>
                <w:szCs w:val="20"/>
                <w:color w:val="auto"/>
              </w:rPr>
            </w:pPr>
            <w:r>
              <w:rPr>
                <w:rFonts w:ascii="Arial" w:cs="Arial" w:eastAsia="Arial" w:hAnsi="Arial"/>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3320" w:type="dxa"/>
            <w:vAlign w:val="bottom"/>
            <w:tcBorders>
              <w:bottom w:val="single" w:sz="8" w:color="D2EDF0"/>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85"/>
              <w:spacing w:after="0"/>
              <w:rPr>
                <w:sz w:val="20"/>
                <w:szCs w:val="20"/>
                <w:color w:val="auto"/>
              </w:rPr>
            </w:pPr>
            <w:r>
              <w:rPr>
                <w:rFonts w:ascii="Arial" w:cs="Arial" w:eastAsia="Arial" w:hAnsi="Arial"/>
                <w:sz w:val="18"/>
                <w:szCs w:val="18"/>
                <w:b w:val="1"/>
                <w:bCs w:val="1"/>
                <w:color w:val="auto"/>
              </w:rPr>
              <w:t>Cost</w:t>
            </w:r>
          </w:p>
        </w:tc>
        <w:tc>
          <w:tcPr>
            <w:tcW w:w="80" w:type="dxa"/>
            <w:vAlign w:val="bottom"/>
            <w:tcBorders>
              <w:bottom w:val="single" w:sz="8" w:color="D2EDF0"/>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43"/>
              <w:spacing w:after="0"/>
              <w:rPr>
                <w:sz w:val="20"/>
                <w:szCs w:val="20"/>
                <w:color w:val="auto"/>
              </w:rPr>
            </w:pPr>
            <w:r>
              <w:rPr>
                <w:rFonts w:ascii="Arial" w:cs="Arial" w:eastAsia="Arial" w:hAnsi="Arial"/>
                <w:sz w:val="18"/>
                <w:szCs w:val="18"/>
                <w:b w:val="1"/>
                <w:bCs w:val="1"/>
                <w:color w:val="auto"/>
              </w:rPr>
              <w:t>Value</w:t>
            </w:r>
          </w:p>
        </w:tc>
        <w:tc>
          <w:tcPr>
            <w:tcW w:w="80" w:type="dxa"/>
            <w:vAlign w:val="bottom"/>
            <w:tcBorders>
              <w:bottom w:val="single" w:sz="8" w:color="D2EDF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85"/>
              <w:spacing w:after="0"/>
              <w:rPr>
                <w:sz w:val="20"/>
                <w:szCs w:val="20"/>
                <w:color w:val="auto"/>
              </w:rPr>
            </w:pPr>
            <w:r>
              <w:rPr>
                <w:rFonts w:ascii="Arial" w:cs="Arial" w:eastAsia="Arial" w:hAnsi="Arial"/>
                <w:sz w:val="18"/>
                <w:szCs w:val="18"/>
                <w:b w:val="1"/>
                <w:bCs w:val="1"/>
                <w:color w:val="auto"/>
              </w:rPr>
              <w:t>Cost</w:t>
            </w:r>
          </w:p>
        </w:tc>
        <w:tc>
          <w:tcPr>
            <w:tcW w:w="80" w:type="dxa"/>
            <w:vAlign w:val="bottom"/>
            <w:tcBorders>
              <w:bottom w:val="single" w:sz="8" w:color="D2EDF0"/>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43"/>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90"/>
        </w:trPr>
        <w:tc>
          <w:tcPr>
            <w:tcW w:w="3320" w:type="dxa"/>
            <w:vAlign w:val="bottom"/>
            <w:shd w:val="clear" w:color="auto" w:fill="D2EDF0"/>
          </w:tcPr>
          <w:p>
            <w:pPr>
              <w:ind w:left="60"/>
              <w:spacing w:after="0"/>
              <w:rPr>
                <w:sz w:val="20"/>
                <w:szCs w:val="20"/>
                <w:color w:val="auto"/>
              </w:rPr>
            </w:pPr>
            <w:r>
              <w:rPr>
                <w:rFonts w:ascii="Arial" w:cs="Arial" w:eastAsia="Arial" w:hAnsi="Arial"/>
                <w:sz w:val="20"/>
                <w:szCs w:val="20"/>
                <w:color w:val="auto"/>
              </w:rPr>
              <w:t>Due within one year</w:t>
            </w: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243,430</w:t>
            </w:r>
          </w:p>
        </w:tc>
        <w:tc>
          <w:tcPr>
            <w:tcW w:w="380" w:type="dxa"/>
            <w:vAlign w:val="bottom"/>
            <w:gridSpan w:val="2"/>
            <w:shd w:val="clear" w:color="auto" w:fill="D2EDF0"/>
          </w:tcPr>
          <w:p>
            <w:pPr>
              <w:ind w:left="120"/>
              <w:spacing w:after="0"/>
              <w:rPr>
                <w:sz w:val="20"/>
                <w:szCs w:val="20"/>
                <w:color w:val="auto"/>
              </w:rPr>
            </w:pPr>
            <w:r>
              <w:rPr>
                <w:rFonts w:ascii="Arial" w:cs="Arial" w:eastAsia="Arial" w:hAnsi="Arial"/>
                <w:sz w:val="20"/>
                <w:szCs w:val="20"/>
                <w:color w:val="auto"/>
              </w:rPr>
              <w:t>$</w:t>
            </w:r>
          </w:p>
        </w:tc>
        <w:tc>
          <w:tcPr>
            <w:tcW w:w="10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242,129</w:t>
            </w:r>
          </w:p>
        </w:tc>
        <w:tc>
          <w:tcPr>
            <w:tcW w:w="80" w:type="dxa"/>
            <w:vAlign w:val="bottom"/>
            <w:shd w:val="clear" w:color="auto" w:fill="D2EDF0"/>
          </w:tcPr>
          <w:p>
            <w:pPr>
              <w:spacing w:after="0"/>
              <w:rPr>
                <w:sz w:val="24"/>
                <w:szCs w:val="24"/>
                <w:color w:val="auto"/>
              </w:rPr>
            </w:pPr>
          </w:p>
        </w:tc>
        <w:tc>
          <w:tcPr>
            <w:tcW w:w="2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195,579</w:t>
            </w:r>
          </w:p>
        </w:tc>
        <w:tc>
          <w:tcPr>
            <w:tcW w:w="380" w:type="dxa"/>
            <w:vAlign w:val="bottom"/>
            <w:gridSpan w:val="2"/>
            <w:shd w:val="clear" w:color="auto" w:fill="D2EDF0"/>
          </w:tcPr>
          <w:p>
            <w:pPr>
              <w:ind w:left="120"/>
              <w:spacing w:after="0"/>
              <w:rPr>
                <w:sz w:val="20"/>
                <w:szCs w:val="20"/>
                <w:color w:val="auto"/>
              </w:rPr>
            </w:pPr>
            <w:r>
              <w:rPr>
                <w:rFonts w:ascii="Arial" w:cs="Arial" w:eastAsia="Arial" w:hAnsi="Arial"/>
                <w:sz w:val="20"/>
                <w:szCs w:val="20"/>
                <w:color w:val="auto"/>
              </w:rPr>
              <w:t>$</w:t>
            </w:r>
          </w:p>
        </w:tc>
        <w:tc>
          <w:tcPr>
            <w:tcW w:w="10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195,453</w:t>
            </w:r>
          </w:p>
        </w:tc>
        <w:tc>
          <w:tcPr>
            <w:tcW w:w="0" w:type="dxa"/>
            <w:vAlign w:val="bottom"/>
          </w:tcPr>
          <w:p>
            <w:pPr>
              <w:spacing w:after="0"/>
              <w:rPr>
                <w:sz w:val="1"/>
                <w:szCs w:val="1"/>
                <w:color w:val="auto"/>
              </w:rPr>
            </w:pPr>
          </w:p>
        </w:tc>
      </w:tr>
      <w:tr>
        <w:trPr>
          <w:trHeight w:val="290"/>
        </w:trPr>
        <w:tc>
          <w:tcPr>
            <w:tcW w:w="3320" w:type="dxa"/>
            <w:vAlign w:val="bottom"/>
          </w:tcPr>
          <w:p>
            <w:pPr>
              <w:ind w:left="60"/>
              <w:spacing w:after="0"/>
              <w:rPr>
                <w:sz w:val="20"/>
                <w:szCs w:val="20"/>
                <w:color w:val="auto"/>
              </w:rPr>
            </w:pPr>
            <w:r>
              <w:rPr>
                <w:rFonts w:ascii="Arial" w:cs="Arial" w:eastAsia="Arial" w:hAnsi="Arial"/>
                <w:sz w:val="20"/>
                <w:szCs w:val="20"/>
                <w:color w:val="auto"/>
              </w:rPr>
              <w:t>Due between one and four years</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24,490</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24,440</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39,019</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38,839</w:t>
            </w:r>
          </w:p>
        </w:tc>
        <w:tc>
          <w:tcPr>
            <w:tcW w:w="0" w:type="dxa"/>
            <w:vAlign w:val="bottom"/>
          </w:tcPr>
          <w:p>
            <w:pPr>
              <w:spacing w:after="0"/>
              <w:rPr>
                <w:sz w:val="1"/>
                <w:szCs w:val="1"/>
                <w:color w:val="auto"/>
              </w:rPr>
            </w:pPr>
          </w:p>
        </w:tc>
      </w:tr>
      <w:tr>
        <w:trPr>
          <w:trHeight w:val="260"/>
        </w:trPr>
        <w:tc>
          <w:tcPr>
            <w:tcW w:w="3320" w:type="dxa"/>
            <w:vAlign w:val="bottom"/>
          </w:tcPr>
          <w:p>
            <w:pPr>
              <w:ind w:left="300"/>
              <w:spacing w:after="0"/>
              <w:rPr>
                <w:sz w:val="20"/>
                <w:szCs w:val="20"/>
                <w:color w:val="auto"/>
              </w:rPr>
            </w:pPr>
            <w:r>
              <w:rPr>
                <w:rFonts w:ascii="Arial" w:cs="Arial" w:eastAsia="Arial" w:hAnsi="Arial"/>
                <w:sz w:val="20"/>
                <w:szCs w:val="20"/>
                <w:color w:val="auto"/>
              </w:rPr>
              <w:t>Total short-term investments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267,920</w:t>
            </w:r>
          </w:p>
        </w:tc>
        <w:tc>
          <w:tcPr>
            <w:tcW w:w="38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266,569</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234,598</w:t>
            </w:r>
          </w:p>
        </w:tc>
        <w:tc>
          <w:tcPr>
            <w:tcW w:w="38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234,292</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-602615</wp:posOffset>
            </wp:positionV>
            <wp:extent cx="5740400" cy="6032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40400" cy="603250"/>
                    </a:xfrm>
                    <a:prstGeom prst="rect">
                      <a:avLst/>
                    </a:prstGeom>
                    <a:noFill/>
                  </pic:spPr>
                </pic:pic>
              </a:graphicData>
            </a:graphic>
          </wp:anchor>
        </w:drawing>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4. Fair Value Measurements</w:t>
      </w:r>
    </w:p>
    <w:p>
      <w:pPr>
        <w:spacing w:after="0" w:line="251" w:lineRule="exact"/>
        <w:rPr>
          <w:sz w:val="20"/>
          <w:szCs w:val="20"/>
          <w:color w:val="auto"/>
        </w:rPr>
      </w:pPr>
    </w:p>
    <w:p>
      <w:pPr>
        <w:ind w:left="20" w:right="340" w:firstLine="360"/>
        <w:spacing w:after="0" w:line="268" w:lineRule="auto"/>
        <w:rPr>
          <w:sz w:val="20"/>
          <w:szCs w:val="20"/>
          <w:color w:val="auto"/>
        </w:rPr>
      </w:pPr>
      <w:r>
        <w:rPr>
          <w:rFonts w:ascii="Arial" w:cs="Arial" w:eastAsia="Arial" w:hAnsi="Arial"/>
          <w:sz w:val="20"/>
          <w:szCs w:val="20"/>
          <w:color w:val="auto"/>
        </w:rPr>
        <w:t>We measure certain financial instruments at fair value using a fair value hierarchy. In the hierarchy, assets are classified based on the lowest level inputs used in valuation into the following categories:</w:t>
      </w:r>
    </w:p>
    <w:p>
      <w:pPr>
        <w:spacing w:after="0" w:line="70" w:lineRule="exact"/>
        <w:rPr>
          <w:sz w:val="20"/>
          <w:szCs w:val="20"/>
          <w:color w:val="auto"/>
        </w:rPr>
      </w:pPr>
    </w:p>
    <w:p>
      <w:pPr>
        <w:ind w:left="740" w:hanging="360"/>
        <w:spacing w:after="0"/>
        <w:tabs>
          <w:tab w:leader="none" w:pos="740" w:val="left"/>
        </w:tabs>
        <w:numPr>
          <w:ilvl w:val="0"/>
          <w:numId w:val="135"/>
        </w:numPr>
        <w:rPr>
          <w:rFonts w:ascii="Arial" w:cs="Arial" w:eastAsia="Arial" w:hAnsi="Arial"/>
          <w:sz w:val="20"/>
          <w:szCs w:val="20"/>
          <w:color w:val="auto"/>
        </w:rPr>
      </w:pPr>
      <w:r>
        <w:rPr>
          <w:rFonts w:ascii="Arial" w:cs="Arial" w:eastAsia="Arial" w:hAnsi="Arial"/>
          <w:sz w:val="20"/>
          <w:szCs w:val="20"/>
          <w:i w:val="1"/>
          <w:iCs w:val="1"/>
          <w:color w:val="auto"/>
        </w:rPr>
        <w:t xml:space="preserve">Level 1 </w:t>
      </w:r>
      <w:r>
        <w:rPr>
          <w:rFonts w:ascii="Arial" w:cs="Arial" w:eastAsia="Arial" w:hAnsi="Arial"/>
          <w:sz w:val="20"/>
          <w:szCs w:val="20"/>
          <w:color w:val="auto"/>
        </w:rPr>
        <w:t>— Quoted prices in active markets for identical assets and liabilities;</w:t>
      </w:r>
    </w:p>
    <w:p>
      <w:pPr>
        <w:spacing w:after="0" w:line="70" w:lineRule="exact"/>
        <w:rPr>
          <w:rFonts w:ascii="Arial" w:cs="Arial" w:eastAsia="Arial" w:hAnsi="Arial"/>
          <w:sz w:val="20"/>
          <w:szCs w:val="20"/>
          <w:color w:val="auto"/>
        </w:rPr>
      </w:pPr>
    </w:p>
    <w:p>
      <w:pPr>
        <w:ind w:left="740" w:right="240" w:hanging="360"/>
        <w:spacing w:after="0" w:line="268" w:lineRule="auto"/>
        <w:tabs>
          <w:tab w:leader="none" w:pos="740" w:val="left"/>
        </w:tabs>
        <w:numPr>
          <w:ilvl w:val="0"/>
          <w:numId w:val="135"/>
        </w:numPr>
        <w:rPr>
          <w:rFonts w:ascii="Arial" w:cs="Arial" w:eastAsia="Arial" w:hAnsi="Arial"/>
          <w:sz w:val="20"/>
          <w:szCs w:val="20"/>
          <w:color w:val="auto"/>
        </w:rPr>
      </w:pPr>
      <w:r>
        <w:rPr>
          <w:rFonts w:ascii="Arial" w:cs="Arial" w:eastAsia="Arial" w:hAnsi="Arial"/>
          <w:sz w:val="20"/>
          <w:szCs w:val="20"/>
          <w:i w:val="1"/>
          <w:iCs w:val="1"/>
          <w:color w:val="auto"/>
        </w:rPr>
        <w:t xml:space="preserve">Level 2 </w:t>
      </w:r>
      <w:r>
        <w:rPr>
          <w:rFonts w:ascii="Arial" w:cs="Arial" w:eastAsia="Arial" w:hAnsi="Arial"/>
          <w:sz w:val="20"/>
          <w:szCs w:val="20"/>
          <w:color w:val="auto"/>
        </w:rPr>
        <w:t>— Observable inputs including quoted market prices for similar assets and liabilities</w:t>
      </w:r>
      <w:r>
        <w:rPr>
          <w:rFonts w:ascii="Arial" w:cs="Arial" w:eastAsia="Arial" w:hAnsi="Arial"/>
          <w:sz w:val="20"/>
          <w:szCs w:val="20"/>
          <w:i w:val="1"/>
          <w:iCs w:val="1"/>
          <w:color w:val="auto"/>
        </w:rPr>
        <w:t xml:space="preserve"> </w:t>
      </w:r>
      <w:r>
        <w:rPr>
          <w:rFonts w:ascii="Arial" w:cs="Arial" w:eastAsia="Arial" w:hAnsi="Arial"/>
          <w:sz w:val="20"/>
          <w:szCs w:val="20"/>
          <w:color w:val="auto"/>
        </w:rPr>
        <w:t>in active markets, quoted prices for identical assets and liabilities in inactive markets, or inputs that are corroborated by observable market data; and</w:t>
      </w:r>
    </w:p>
    <w:p>
      <w:pPr>
        <w:spacing w:after="0" w:line="9" w:lineRule="exact"/>
        <w:rPr>
          <w:rFonts w:ascii="Arial" w:cs="Arial" w:eastAsia="Arial" w:hAnsi="Arial"/>
          <w:sz w:val="20"/>
          <w:szCs w:val="20"/>
          <w:color w:val="auto"/>
        </w:rPr>
      </w:pPr>
    </w:p>
    <w:p>
      <w:pPr>
        <w:ind w:left="740" w:hanging="360"/>
        <w:spacing w:after="0"/>
        <w:tabs>
          <w:tab w:leader="none" w:pos="740" w:val="left"/>
        </w:tabs>
        <w:numPr>
          <w:ilvl w:val="0"/>
          <w:numId w:val="135"/>
        </w:numPr>
        <w:rPr>
          <w:rFonts w:ascii="Arial" w:cs="Arial" w:eastAsia="Arial" w:hAnsi="Arial"/>
          <w:sz w:val="20"/>
          <w:szCs w:val="20"/>
          <w:color w:val="auto"/>
        </w:rPr>
      </w:pPr>
      <w:r>
        <w:rPr>
          <w:rFonts w:ascii="Arial" w:cs="Arial" w:eastAsia="Arial" w:hAnsi="Arial"/>
          <w:sz w:val="20"/>
          <w:szCs w:val="20"/>
          <w:i w:val="1"/>
          <w:iCs w:val="1"/>
          <w:color w:val="auto"/>
        </w:rPr>
        <w:t xml:space="preserve">Level 3 </w:t>
      </w:r>
      <w:r>
        <w:rPr>
          <w:rFonts w:ascii="Arial" w:cs="Arial" w:eastAsia="Arial" w:hAnsi="Arial"/>
          <w:sz w:val="20"/>
          <w:szCs w:val="20"/>
          <w:color w:val="auto"/>
        </w:rPr>
        <w:t>— Unobservable inputs.</w:t>
      </w:r>
    </w:p>
    <w:p>
      <w:pPr>
        <w:sectPr>
          <w:pgSz w:w="11880" w:h="15480" w:orient="portrait"/>
          <w:cols w:equalWidth="0" w:num="1">
            <w:col w:w="9060"/>
          </w:cols>
          <w:pgMar w:left="1420" w:top="1295"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99</w:t>
      </w:r>
    </w:p>
    <w:p>
      <w:pPr>
        <w:sectPr>
          <w:pgSz w:w="11880" w:h="15480" w:orient="portrait"/>
          <w:cols w:equalWidth="0" w:num="1">
            <w:col w:w="9060"/>
          </w:cols>
          <w:pgMar w:left="1420" w:top="1295" w:right="1400" w:bottom="0" w:gutter="0" w:footer="0" w:header="0"/>
          <w:type w:val="continuous"/>
        </w:sectPr>
      </w:pPr>
    </w:p>
    <w:bookmarkStart w:id="191" w:name="page192"/>
    <w:bookmarkEnd w:id="191"/>
    <w:p>
      <w:pPr>
        <w:ind w:left="380"/>
        <w:spacing w:after="0"/>
        <w:rPr>
          <w:sz w:val="20"/>
          <w:szCs w:val="20"/>
          <w:color w:val="auto"/>
        </w:rPr>
      </w:pPr>
      <w:r>
        <w:rPr>
          <w:rFonts w:ascii="Arial" w:cs="Arial" w:eastAsia="Arial" w:hAnsi="Arial"/>
          <w:sz w:val="20"/>
          <w:szCs w:val="20"/>
          <w:color w:val="auto"/>
        </w:rPr>
        <w:t>The following tables summarize assets that are measured at fair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right"/>
              <w:ind w:right="187"/>
              <w:spacing w:after="0"/>
              <w:rPr>
                <w:sz w:val="20"/>
                <w:szCs w:val="20"/>
                <w:color w:val="auto"/>
              </w:rPr>
            </w:pPr>
            <w:r>
              <w:rPr>
                <w:rFonts w:ascii="Arial" w:cs="Arial" w:eastAsia="Arial" w:hAnsi="Arial"/>
                <w:sz w:val="18"/>
                <w:szCs w:val="18"/>
                <w:b w:val="1"/>
                <w:bCs w:val="1"/>
                <w:color w:val="auto"/>
              </w:rPr>
              <w:t>December 31, 2022</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3300" w:type="dxa"/>
            <w:vAlign w:val="bottom"/>
          </w:tcPr>
          <w:p>
            <w:pPr>
              <w:ind w:left="60"/>
              <w:spacing w:after="0"/>
              <w:rPr>
                <w:sz w:val="20"/>
                <w:szCs w:val="20"/>
                <w:color w:val="auto"/>
              </w:rPr>
            </w:pPr>
            <w:r>
              <w:rPr>
                <w:rFonts w:ascii="Arial" w:cs="Arial" w:eastAsia="Arial" w:hAnsi="Arial"/>
                <w:sz w:val="18"/>
                <w:szCs w:val="18"/>
                <w:b w:val="1"/>
                <w:bCs w:val="1"/>
                <w:color w:val="auto"/>
              </w:rPr>
              <w:t>(in thousands)</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1"/>
              <w:spacing w:after="0"/>
              <w:rPr>
                <w:sz w:val="20"/>
                <w:szCs w:val="20"/>
                <w:color w:val="auto"/>
              </w:rPr>
            </w:pPr>
            <w:r>
              <w:rPr>
                <w:rFonts w:ascii="Arial" w:cs="Arial" w:eastAsia="Arial" w:hAnsi="Arial"/>
                <w:sz w:val="18"/>
                <w:szCs w:val="18"/>
                <w:b w:val="1"/>
                <w:bCs w:val="1"/>
                <w:color w:val="auto"/>
              </w:rPr>
              <w:t>Level 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2"/>
              <w:spacing w:after="0"/>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300" w:type="dxa"/>
            <w:vAlign w:val="bottom"/>
          </w:tcPr>
          <w:p>
            <w:pPr>
              <w:ind w:left="60"/>
              <w:spacing w:after="0"/>
              <w:rPr>
                <w:sz w:val="20"/>
                <w:szCs w:val="20"/>
                <w:color w:val="auto"/>
              </w:rPr>
            </w:pPr>
            <w:r>
              <w:rPr>
                <w:rFonts w:ascii="Arial" w:cs="Arial" w:eastAsia="Arial" w:hAnsi="Arial"/>
                <w:sz w:val="20"/>
                <w:szCs w:val="20"/>
                <w:b w:val="1"/>
                <w:bCs w:val="1"/>
                <w:color w:val="auto"/>
              </w:rPr>
              <w:t>Cash equivalents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30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20"/>
                <w:szCs w:val="20"/>
                <w:color w:val="auto"/>
              </w:rPr>
              <w:t>Money market funds</w:t>
            </w:r>
          </w:p>
        </w:tc>
        <w:tc>
          <w:tcPr>
            <w:tcW w:w="280" w:type="dxa"/>
            <w:vAlign w:val="bottom"/>
            <w:tcBorders>
              <w:bottom w:val="single" w:sz="8" w:color="auto"/>
            </w:tcBorders>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201,476</w:t>
            </w:r>
          </w:p>
        </w:tc>
        <w:tc>
          <w:tcPr>
            <w:tcW w:w="60" w:type="dxa"/>
            <w:vAlign w:val="bottom"/>
            <w:tcBorders>
              <w:bottom w:val="single" w:sz="8" w:color="D2EDF0"/>
            </w:tcBorders>
            <w:gridSpan w:val="2"/>
            <w:shd w:val="clear" w:color="auto" w:fill="D2EDF0"/>
          </w:tcPr>
          <w:p>
            <w:pPr>
              <w:spacing w:after="0"/>
              <w:rPr>
                <w:sz w:val="24"/>
                <w:szCs w:val="24"/>
                <w:color w:val="auto"/>
              </w:rPr>
            </w:pPr>
          </w:p>
        </w:tc>
        <w:tc>
          <w:tcPr>
            <w:tcW w:w="280" w:type="dxa"/>
            <w:vAlign w:val="bottom"/>
            <w:tcBorders>
              <w:bottom w:val="single" w:sz="8" w:color="auto"/>
            </w:tcBorders>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D2EDF0"/>
            </w:tcBorders>
            <w:gridSpan w:val="2"/>
            <w:shd w:val="clear" w:color="auto" w:fill="D2EDF0"/>
          </w:tcPr>
          <w:p>
            <w:pPr>
              <w:spacing w:after="0"/>
              <w:rPr>
                <w:sz w:val="24"/>
                <w:szCs w:val="24"/>
                <w:color w:val="auto"/>
              </w:rPr>
            </w:pPr>
          </w:p>
        </w:tc>
        <w:tc>
          <w:tcPr>
            <w:tcW w:w="1060" w:type="dxa"/>
            <w:vAlign w:val="bottom"/>
            <w:tcBorders>
              <w:bottom w:val="single" w:sz="8" w:color="auto"/>
            </w:tcBorders>
            <w:gridSpan w:val="2"/>
            <w:shd w:val="clear" w:color="auto" w:fill="D2EDF0"/>
          </w:tcPr>
          <w:p>
            <w:pPr>
              <w:jc w:val="right"/>
              <w:ind w:right="787"/>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auto"/>
            </w:tcBorders>
            <w:shd w:val="clear" w:color="auto" w:fill="D2EDF0"/>
          </w:tcPr>
          <w:p>
            <w:pPr>
              <w:ind w:left="40"/>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D2EDF0"/>
            </w:tcBorders>
            <w:gridSpan w:val="2"/>
            <w:shd w:val="clear" w:color="auto" w:fill="D2EDF0"/>
          </w:tcPr>
          <w:p>
            <w:pPr>
              <w:spacing w:after="0"/>
              <w:rPr>
                <w:sz w:val="24"/>
                <w:szCs w:val="24"/>
                <w:color w:val="auto"/>
              </w:rPr>
            </w:pPr>
          </w:p>
        </w:tc>
        <w:tc>
          <w:tcPr>
            <w:tcW w:w="340" w:type="dxa"/>
            <w:vAlign w:val="bottom"/>
            <w:tcBorders>
              <w:bottom w:val="single" w:sz="8" w:color="auto"/>
            </w:tcBorders>
            <w:gridSpan w:val="2"/>
            <w:shd w:val="clear" w:color="auto" w:fill="D2EDF0"/>
          </w:tcPr>
          <w:p>
            <w:pPr>
              <w:jc w:val="right"/>
              <w:ind w:right="6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201,476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300" w:type="dxa"/>
            <w:vAlign w:val="bottom"/>
          </w:tcPr>
          <w:p>
            <w:pPr>
              <w:ind w:left="300"/>
              <w:spacing w:after="0"/>
              <w:rPr>
                <w:sz w:val="20"/>
                <w:szCs w:val="20"/>
                <w:color w:val="auto"/>
              </w:rPr>
            </w:pPr>
            <w:r>
              <w:rPr>
                <w:rFonts w:ascii="Arial" w:cs="Arial" w:eastAsia="Arial" w:hAnsi="Arial"/>
                <w:sz w:val="20"/>
                <w:szCs w:val="20"/>
                <w:color w:val="auto"/>
              </w:rPr>
              <w:t>Total cash equivalents</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201,476</w:t>
            </w:r>
          </w:p>
        </w:tc>
        <w:tc>
          <w:tcPr>
            <w:tcW w:w="34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gridSpan w:val="4"/>
          </w:tcPr>
          <w:p>
            <w:pPr>
              <w:jc w:val="right"/>
              <w:ind w:right="787"/>
              <w:spacing w:after="0"/>
              <w:rPr>
                <w:sz w:val="20"/>
                <w:szCs w:val="20"/>
                <w:color w:val="auto"/>
              </w:rPr>
            </w:pPr>
            <w:r>
              <w:rPr>
                <w:rFonts w:ascii="Arial" w:cs="Arial" w:eastAsia="Arial" w:hAnsi="Arial"/>
                <w:sz w:val="20"/>
                <w:szCs w:val="20"/>
                <w:color w:val="auto"/>
              </w:rPr>
              <w:t>$</w:t>
            </w:r>
          </w:p>
        </w:tc>
        <w:tc>
          <w:tcPr>
            <w:tcW w:w="320" w:type="dxa"/>
            <w:vAlign w:val="bottom"/>
          </w:tcPr>
          <w:p>
            <w:pPr>
              <w:ind w:left="40"/>
              <w:spacing w:after="0"/>
              <w:rPr>
                <w:sz w:val="20"/>
                <w:szCs w:val="20"/>
                <w:color w:val="auto"/>
              </w:rPr>
            </w:pPr>
            <w:r>
              <w:rPr>
                <w:rFonts w:ascii="Arial" w:cs="Arial" w:eastAsia="Arial" w:hAnsi="Arial"/>
                <w:sz w:val="20"/>
                <w:szCs w:val="20"/>
                <w:color w:val="auto"/>
              </w:rPr>
              <w:t>—</w:t>
            </w:r>
          </w:p>
        </w:tc>
        <w:tc>
          <w:tcPr>
            <w:tcW w:w="400" w:type="dxa"/>
            <w:vAlign w:val="bottom"/>
            <w:gridSpan w:val="4"/>
          </w:tcPr>
          <w:p>
            <w:pPr>
              <w:jc w:val="right"/>
              <w:ind w:right="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201,476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bottom w:val="single" w:sz="8" w:color="D2EDF0"/>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D2EDF0"/>
            </w:tcBorders>
          </w:tcPr>
          <w:p>
            <w:pPr>
              <w:spacing w:after="0" w:line="20" w:lineRule="exact"/>
              <w:rPr>
                <w:sz w:val="1"/>
                <w:szCs w:val="1"/>
                <w:color w:val="auto"/>
              </w:rPr>
            </w:pPr>
          </w:p>
        </w:tc>
        <w:tc>
          <w:tcPr>
            <w:tcW w:w="40" w:type="dxa"/>
            <w:vAlign w:val="bottom"/>
            <w:tcBorders>
              <w:bottom w:val="single" w:sz="8" w:color="D2EDF0"/>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D2EDF0"/>
            </w:tcBorders>
          </w:tcPr>
          <w:p>
            <w:pPr>
              <w:spacing w:after="0" w:line="20" w:lineRule="exact"/>
              <w:rPr>
                <w:sz w:val="1"/>
                <w:szCs w:val="1"/>
                <w:color w:val="auto"/>
              </w:rPr>
            </w:pPr>
          </w:p>
        </w:tc>
        <w:tc>
          <w:tcPr>
            <w:tcW w:w="40" w:type="dxa"/>
            <w:vAlign w:val="bottom"/>
            <w:tcBorders>
              <w:bottom w:val="single" w:sz="8" w:color="D2EDF0"/>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D2EDF0"/>
            </w:tcBorders>
          </w:tcPr>
          <w:p>
            <w:pPr>
              <w:spacing w:after="0" w:line="20" w:lineRule="exact"/>
              <w:rPr>
                <w:sz w:val="1"/>
                <w:szCs w:val="1"/>
                <w:color w:val="auto"/>
              </w:rPr>
            </w:pPr>
          </w:p>
        </w:tc>
        <w:tc>
          <w:tcPr>
            <w:tcW w:w="40" w:type="dxa"/>
            <w:vAlign w:val="bottom"/>
            <w:tcBorders>
              <w:bottom w:val="single" w:sz="8" w:color="D2EDF0"/>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300" w:type="dxa"/>
            <w:vAlign w:val="bottom"/>
            <w:shd w:val="clear" w:color="auto" w:fill="D2EDF0"/>
          </w:tcPr>
          <w:p>
            <w:pPr>
              <w:spacing w:after="0"/>
              <w:rPr>
                <w:sz w:val="23"/>
                <w:szCs w:val="23"/>
                <w:color w:val="auto"/>
              </w:rPr>
            </w:pPr>
          </w:p>
        </w:tc>
        <w:tc>
          <w:tcPr>
            <w:tcW w:w="40" w:type="dxa"/>
            <w:vAlign w:val="bottom"/>
            <w:shd w:val="clear" w:color="auto" w:fill="D2EDF0"/>
          </w:tcPr>
          <w:p>
            <w:pPr>
              <w:spacing w:after="0"/>
              <w:rPr>
                <w:sz w:val="23"/>
                <w:szCs w:val="23"/>
                <w:color w:val="auto"/>
              </w:rPr>
            </w:pPr>
          </w:p>
        </w:tc>
        <w:tc>
          <w:tcPr>
            <w:tcW w:w="240" w:type="dxa"/>
            <w:vAlign w:val="bottom"/>
            <w:shd w:val="clear" w:color="auto" w:fill="D2EDF0"/>
          </w:tcPr>
          <w:p>
            <w:pPr>
              <w:spacing w:after="0"/>
              <w:rPr>
                <w:sz w:val="23"/>
                <w:szCs w:val="23"/>
                <w:color w:val="auto"/>
              </w:rPr>
            </w:pPr>
          </w:p>
        </w:tc>
        <w:tc>
          <w:tcPr>
            <w:tcW w:w="1100" w:type="dxa"/>
            <w:vAlign w:val="bottom"/>
            <w:shd w:val="clear" w:color="auto" w:fill="D2EDF0"/>
          </w:tcPr>
          <w:p>
            <w:pPr>
              <w:spacing w:after="0"/>
              <w:rPr>
                <w:sz w:val="23"/>
                <w:szCs w:val="23"/>
                <w:color w:val="auto"/>
              </w:rPr>
            </w:pPr>
          </w:p>
        </w:tc>
        <w:tc>
          <w:tcPr>
            <w:tcW w:w="20" w:type="dxa"/>
            <w:vAlign w:val="bottom"/>
            <w:shd w:val="clear" w:color="auto" w:fill="D2EDF0"/>
          </w:tcPr>
          <w:p>
            <w:pPr>
              <w:spacing w:after="0"/>
              <w:rPr>
                <w:sz w:val="23"/>
                <w:szCs w:val="23"/>
                <w:color w:val="auto"/>
              </w:rPr>
            </w:pPr>
          </w:p>
        </w:tc>
        <w:tc>
          <w:tcPr>
            <w:tcW w:w="40" w:type="dxa"/>
            <w:vAlign w:val="bottom"/>
            <w:shd w:val="clear" w:color="auto" w:fill="D2EDF0"/>
          </w:tcPr>
          <w:p>
            <w:pPr>
              <w:spacing w:after="0"/>
              <w:rPr>
                <w:sz w:val="23"/>
                <w:szCs w:val="23"/>
                <w:color w:val="auto"/>
              </w:rPr>
            </w:pPr>
          </w:p>
        </w:tc>
        <w:tc>
          <w:tcPr>
            <w:tcW w:w="40" w:type="dxa"/>
            <w:vAlign w:val="bottom"/>
            <w:shd w:val="clear" w:color="auto" w:fill="D2EDF0"/>
          </w:tcPr>
          <w:p>
            <w:pPr>
              <w:spacing w:after="0"/>
              <w:rPr>
                <w:sz w:val="23"/>
                <w:szCs w:val="23"/>
                <w:color w:val="auto"/>
              </w:rPr>
            </w:pPr>
          </w:p>
        </w:tc>
        <w:tc>
          <w:tcPr>
            <w:tcW w:w="240" w:type="dxa"/>
            <w:vAlign w:val="bottom"/>
            <w:shd w:val="clear" w:color="auto" w:fill="D2EDF0"/>
          </w:tcPr>
          <w:p>
            <w:pPr>
              <w:spacing w:after="0"/>
              <w:rPr>
                <w:sz w:val="23"/>
                <w:szCs w:val="23"/>
                <w:color w:val="auto"/>
              </w:rPr>
            </w:pPr>
          </w:p>
        </w:tc>
        <w:tc>
          <w:tcPr>
            <w:tcW w:w="1100" w:type="dxa"/>
            <w:vAlign w:val="bottom"/>
            <w:shd w:val="clear" w:color="auto" w:fill="D2EDF0"/>
          </w:tcPr>
          <w:p>
            <w:pPr>
              <w:spacing w:after="0"/>
              <w:rPr>
                <w:sz w:val="23"/>
                <w:szCs w:val="23"/>
                <w:color w:val="auto"/>
              </w:rPr>
            </w:pPr>
          </w:p>
        </w:tc>
        <w:tc>
          <w:tcPr>
            <w:tcW w:w="20" w:type="dxa"/>
            <w:vAlign w:val="bottom"/>
            <w:shd w:val="clear" w:color="auto" w:fill="D2EDF0"/>
          </w:tcPr>
          <w:p>
            <w:pPr>
              <w:spacing w:after="0"/>
              <w:rPr>
                <w:sz w:val="23"/>
                <w:szCs w:val="23"/>
                <w:color w:val="auto"/>
              </w:rPr>
            </w:pPr>
          </w:p>
        </w:tc>
        <w:tc>
          <w:tcPr>
            <w:tcW w:w="40" w:type="dxa"/>
            <w:vAlign w:val="bottom"/>
            <w:shd w:val="clear" w:color="auto" w:fill="D2EDF0"/>
          </w:tcPr>
          <w:p>
            <w:pPr>
              <w:spacing w:after="0"/>
              <w:rPr>
                <w:sz w:val="23"/>
                <w:szCs w:val="23"/>
                <w:color w:val="auto"/>
              </w:rPr>
            </w:pPr>
          </w:p>
        </w:tc>
        <w:tc>
          <w:tcPr>
            <w:tcW w:w="40" w:type="dxa"/>
            <w:vAlign w:val="bottom"/>
            <w:shd w:val="clear" w:color="auto" w:fill="D2EDF0"/>
          </w:tcPr>
          <w:p>
            <w:pPr>
              <w:spacing w:after="0"/>
              <w:rPr>
                <w:sz w:val="23"/>
                <w:szCs w:val="23"/>
                <w:color w:val="auto"/>
              </w:rPr>
            </w:pPr>
          </w:p>
        </w:tc>
        <w:tc>
          <w:tcPr>
            <w:tcW w:w="1020" w:type="dxa"/>
            <w:vAlign w:val="bottom"/>
            <w:shd w:val="clear" w:color="auto" w:fill="D2EDF0"/>
          </w:tcPr>
          <w:p>
            <w:pPr>
              <w:spacing w:after="0"/>
              <w:rPr>
                <w:sz w:val="23"/>
                <w:szCs w:val="23"/>
                <w:color w:val="auto"/>
              </w:rPr>
            </w:pPr>
          </w:p>
        </w:tc>
        <w:tc>
          <w:tcPr>
            <w:tcW w:w="320" w:type="dxa"/>
            <w:vAlign w:val="bottom"/>
            <w:shd w:val="clear" w:color="auto" w:fill="D2EDF0"/>
          </w:tcPr>
          <w:p>
            <w:pPr>
              <w:spacing w:after="0"/>
              <w:rPr>
                <w:sz w:val="23"/>
                <w:szCs w:val="23"/>
                <w:color w:val="auto"/>
              </w:rPr>
            </w:pPr>
          </w:p>
        </w:tc>
        <w:tc>
          <w:tcPr>
            <w:tcW w:w="20" w:type="dxa"/>
            <w:vAlign w:val="bottom"/>
            <w:shd w:val="clear" w:color="auto" w:fill="D2EDF0"/>
          </w:tcPr>
          <w:p>
            <w:pPr>
              <w:spacing w:after="0"/>
              <w:rPr>
                <w:sz w:val="23"/>
                <w:szCs w:val="23"/>
                <w:color w:val="auto"/>
              </w:rPr>
            </w:pPr>
          </w:p>
        </w:tc>
        <w:tc>
          <w:tcPr>
            <w:tcW w:w="40" w:type="dxa"/>
            <w:vAlign w:val="bottom"/>
            <w:shd w:val="clear" w:color="auto" w:fill="D2EDF0"/>
          </w:tcPr>
          <w:p>
            <w:pPr>
              <w:spacing w:after="0"/>
              <w:rPr>
                <w:sz w:val="23"/>
                <w:szCs w:val="23"/>
                <w:color w:val="auto"/>
              </w:rPr>
            </w:pPr>
          </w:p>
        </w:tc>
        <w:tc>
          <w:tcPr>
            <w:tcW w:w="40" w:type="dxa"/>
            <w:vAlign w:val="bottom"/>
            <w:shd w:val="clear" w:color="auto" w:fill="D2EDF0"/>
          </w:tcPr>
          <w:p>
            <w:pPr>
              <w:spacing w:after="0"/>
              <w:rPr>
                <w:sz w:val="23"/>
                <w:szCs w:val="23"/>
                <w:color w:val="auto"/>
              </w:rPr>
            </w:pPr>
          </w:p>
        </w:tc>
        <w:tc>
          <w:tcPr>
            <w:tcW w:w="300" w:type="dxa"/>
            <w:vAlign w:val="bottom"/>
            <w:shd w:val="clear" w:color="auto" w:fill="D2EDF0"/>
          </w:tcPr>
          <w:p>
            <w:pPr>
              <w:spacing w:after="0"/>
              <w:rPr>
                <w:sz w:val="23"/>
                <w:szCs w:val="23"/>
                <w:color w:val="auto"/>
              </w:rPr>
            </w:pPr>
          </w:p>
        </w:tc>
        <w:tc>
          <w:tcPr>
            <w:tcW w:w="1040" w:type="dxa"/>
            <w:vAlign w:val="bottom"/>
            <w:shd w:val="clear" w:color="auto" w:fill="D2EDF0"/>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3300" w:type="dxa"/>
            <w:vAlign w:val="bottom"/>
          </w:tcPr>
          <w:p>
            <w:pPr>
              <w:ind w:left="60"/>
              <w:spacing w:after="0"/>
              <w:rPr>
                <w:sz w:val="20"/>
                <w:szCs w:val="20"/>
                <w:color w:val="auto"/>
              </w:rPr>
            </w:pPr>
            <w:r>
              <w:rPr>
                <w:rFonts w:ascii="Arial" w:cs="Arial" w:eastAsia="Arial" w:hAnsi="Arial"/>
                <w:sz w:val="20"/>
                <w:szCs w:val="20"/>
                <w:b w:val="1"/>
                <w:bCs w:val="1"/>
                <w:color w:val="auto"/>
              </w:rPr>
              <w:t>Short-term investments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3300" w:type="dxa"/>
            <w:vAlign w:val="bottom"/>
            <w:shd w:val="clear" w:color="auto" w:fill="D2EDF0"/>
          </w:tcPr>
          <w:p>
            <w:pPr>
              <w:ind w:left="60"/>
              <w:spacing w:after="0"/>
              <w:rPr>
                <w:sz w:val="20"/>
                <w:szCs w:val="20"/>
                <w:color w:val="auto"/>
              </w:rPr>
            </w:pPr>
            <w:r>
              <w:rPr>
                <w:rFonts w:ascii="Arial" w:cs="Arial" w:eastAsia="Arial" w:hAnsi="Arial"/>
                <w:sz w:val="20"/>
                <w:szCs w:val="20"/>
                <w:color w:val="auto"/>
              </w:rPr>
              <w:t>Commercial paper</w:t>
            </w:r>
          </w:p>
        </w:tc>
        <w:tc>
          <w:tcPr>
            <w:tcW w:w="2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340" w:type="dxa"/>
            <w:vAlign w:val="bottom"/>
            <w:gridSpan w:val="4"/>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143,718</w:t>
            </w:r>
          </w:p>
        </w:tc>
        <w:tc>
          <w:tcPr>
            <w:tcW w:w="1120" w:type="dxa"/>
            <w:vAlign w:val="bottom"/>
            <w:gridSpan w:val="4"/>
            <w:shd w:val="clear" w:color="auto" w:fill="D2EDF0"/>
          </w:tcPr>
          <w:p>
            <w:pPr>
              <w:jc w:val="right"/>
              <w:ind w:right="787"/>
              <w:spacing w:after="0"/>
              <w:rPr>
                <w:sz w:val="20"/>
                <w:szCs w:val="20"/>
                <w:color w:val="auto"/>
              </w:rPr>
            </w:pPr>
            <w:r>
              <w:rPr>
                <w:rFonts w:ascii="Arial" w:cs="Arial" w:eastAsia="Arial" w:hAnsi="Arial"/>
                <w:sz w:val="20"/>
                <w:szCs w:val="20"/>
                <w:color w:val="auto"/>
              </w:rPr>
              <w:t>$</w:t>
            </w:r>
          </w:p>
        </w:tc>
        <w:tc>
          <w:tcPr>
            <w:tcW w:w="320" w:type="dxa"/>
            <w:vAlign w:val="bottom"/>
            <w:shd w:val="clear" w:color="auto" w:fill="D2EDF0"/>
          </w:tcPr>
          <w:p>
            <w:pPr>
              <w:ind w:left="40"/>
              <w:spacing w:after="0"/>
              <w:rPr>
                <w:sz w:val="20"/>
                <w:szCs w:val="20"/>
                <w:color w:val="auto"/>
              </w:rPr>
            </w:pPr>
            <w:r>
              <w:rPr>
                <w:rFonts w:ascii="Arial" w:cs="Arial" w:eastAsia="Arial" w:hAnsi="Arial"/>
                <w:sz w:val="20"/>
                <w:szCs w:val="20"/>
                <w:color w:val="auto"/>
              </w:rPr>
              <w:t>—</w:t>
            </w:r>
          </w:p>
        </w:tc>
        <w:tc>
          <w:tcPr>
            <w:tcW w:w="400" w:type="dxa"/>
            <w:vAlign w:val="bottom"/>
            <w:gridSpan w:val="4"/>
            <w:shd w:val="clear" w:color="auto" w:fill="D2EDF0"/>
          </w:tcPr>
          <w:p>
            <w:pPr>
              <w:jc w:val="right"/>
              <w:ind w:right="60"/>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143,718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3300" w:type="dxa"/>
            <w:vAlign w:val="bottom"/>
          </w:tcPr>
          <w:p>
            <w:pPr>
              <w:ind w:left="60"/>
              <w:spacing w:after="0"/>
              <w:rPr>
                <w:sz w:val="20"/>
                <w:szCs w:val="20"/>
                <w:color w:val="auto"/>
              </w:rPr>
            </w:pPr>
            <w:r>
              <w:rPr>
                <w:rFonts w:ascii="Arial" w:cs="Arial" w:eastAsia="Arial" w:hAnsi="Arial"/>
                <w:sz w:val="20"/>
                <w:szCs w:val="20"/>
                <w:color w:val="auto"/>
              </w:rPr>
              <w:t>Corporate bonds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37,584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37,584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300" w:type="dxa"/>
            <w:vAlign w:val="bottom"/>
            <w:shd w:val="clear" w:color="auto" w:fill="D2EDF0"/>
          </w:tcPr>
          <w:p>
            <w:pPr>
              <w:ind w:left="60"/>
              <w:spacing w:after="0"/>
              <w:rPr>
                <w:sz w:val="20"/>
                <w:szCs w:val="20"/>
                <w:color w:val="auto"/>
              </w:rPr>
            </w:pPr>
            <w:r>
              <w:rPr>
                <w:rFonts w:ascii="Arial" w:cs="Arial" w:eastAsia="Arial" w:hAnsi="Arial"/>
                <w:sz w:val="20"/>
                <w:szCs w:val="20"/>
                <w:color w:val="auto"/>
              </w:rPr>
              <w:t>Asset backed securities</w:t>
            </w:r>
          </w:p>
        </w:tc>
        <w:tc>
          <w:tcPr>
            <w:tcW w:w="40" w:type="dxa"/>
            <w:vAlign w:val="bottom"/>
            <w:shd w:val="clear" w:color="auto" w:fill="D2EDF0"/>
          </w:tcPr>
          <w:p>
            <w:pPr>
              <w:spacing w:after="0"/>
              <w:rPr>
                <w:sz w:val="24"/>
                <w:szCs w:val="24"/>
                <w:color w:val="auto"/>
              </w:rPr>
            </w:pPr>
          </w:p>
        </w:tc>
        <w:tc>
          <w:tcPr>
            <w:tcW w:w="240" w:type="dxa"/>
            <w:vAlign w:val="bottom"/>
            <w:shd w:val="clear" w:color="auto" w:fill="D2EDF0"/>
          </w:tcPr>
          <w:p>
            <w:pPr>
              <w:spacing w:after="0"/>
              <w:rPr>
                <w:sz w:val="24"/>
                <w:szCs w:val="24"/>
                <w:color w:val="auto"/>
              </w:rPr>
            </w:pP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2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240" w:type="dxa"/>
            <w:vAlign w:val="bottom"/>
            <w:shd w:val="clear" w:color="auto" w:fill="D2EDF0"/>
          </w:tcPr>
          <w:p>
            <w:pPr>
              <w:spacing w:after="0"/>
              <w:rPr>
                <w:sz w:val="24"/>
                <w:szCs w:val="24"/>
                <w:color w:val="auto"/>
              </w:rPr>
            </w:pP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19,573</w:t>
            </w:r>
          </w:p>
        </w:tc>
        <w:tc>
          <w:tcPr>
            <w:tcW w:w="2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1020" w:type="dxa"/>
            <w:vAlign w:val="bottom"/>
            <w:shd w:val="clear" w:color="auto" w:fill="D2EDF0"/>
          </w:tcPr>
          <w:p>
            <w:pPr>
              <w:spacing w:after="0"/>
              <w:rPr>
                <w:sz w:val="24"/>
                <w:szCs w:val="24"/>
                <w:color w:val="auto"/>
              </w:rPr>
            </w:pPr>
          </w:p>
        </w:tc>
        <w:tc>
          <w:tcPr>
            <w:tcW w:w="320" w:type="dxa"/>
            <w:vAlign w:val="bottom"/>
            <w:shd w:val="clear" w:color="auto" w:fill="D2EDF0"/>
          </w:tcPr>
          <w:p>
            <w:pPr>
              <w:ind w:left="40"/>
              <w:spacing w:after="0"/>
              <w:rPr>
                <w:sz w:val="20"/>
                <w:szCs w:val="20"/>
                <w:color w:val="auto"/>
              </w:rPr>
            </w:pPr>
            <w:r>
              <w:rPr>
                <w:rFonts w:ascii="Arial" w:cs="Arial" w:eastAsia="Arial" w:hAnsi="Arial"/>
                <w:sz w:val="20"/>
                <w:szCs w:val="20"/>
                <w:color w:val="auto"/>
              </w:rPr>
              <w:t>—</w:t>
            </w:r>
          </w:p>
        </w:tc>
        <w:tc>
          <w:tcPr>
            <w:tcW w:w="2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19,573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3300" w:type="dxa"/>
            <w:vAlign w:val="bottom"/>
          </w:tcPr>
          <w:p>
            <w:pPr>
              <w:ind w:left="60"/>
              <w:spacing w:after="0"/>
              <w:rPr>
                <w:sz w:val="20"/>
                <w:szCs w:val="20"/>
                <w:color w:val="auto"/>
              </w:rPr>
            </w:pPr>
            <w:r>
              <w:rPr>
                <w:rFonts w:ascii="Arial" w:cs="Arial" w:eastAsia="Arial" w:hAnsi="Arial"/>
                <w:sz w:val="20"/>
                <w:szCs w:val="20"/>
                <w:color w:val="auto"/>
              </w:rPr>
              <w:t>Certificates of deposit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10,000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300" w:type="dxa"/>
            <w:vAlign w:val="bottom"/>
            <w:shd w:val="clear" w:color="auto" w:fill="D2EDF0"/>
          </w:tcPr>
          <w:p>
            <w:pPr>
              <w:ind w:left="60"/>
              <w:spacing w:after="0"/>
              <w:rPr>
                <w:sz w:val="20"/>
                <w:szCs w:val="20"/>
                <w:color w:val="auto"/>
              </w:rPr>
            </w:pPr>
            <w:r>
              <w:rPr>
                <w:rFonts w:ascii="Arial" w:cs="Arial" w:eastAsia="Arial" w:hAnsi="Arial"/>
                <w:sz w:val="20"/>
                <w:szCs w:val="20"/>
                <w:color w:val="auto"/>
              </w:rPr>
              <w:t>Supranational bonds</w:t>
            </w:r>
          </w:p>
        </w:tc>
        <w:tc>
          <w:tcPr>
            <w:tcW w:w="40" w:type="dxa"/>
            <w:vAlign w:val="bottom"/>
            <w:shd w:val="clear" w:color="auto" w:fill="D2EDF0"/>
          </w:tcPr>
          <w:p>
            <w:pPr>
              <w:spacing w:after="0"/>
              <w:rPr>
                <w:sz w:val="24"/>
                <w:szCs w:val="24"/>
                <w:color w:val="auto"/>
              </w:rPr>
            </w:pPr>
          </w:p>
        </w:tc>
        <w:tc>
          <w:tcPr>
            <w:tcW w:w="240" w:type="dxa"/>
            <w:vAlign w:val="bottom"/>
            <w:shd w:val="clear" w:color="auto" w:fill="D2EDF0"/>
          </w:tcPr>
          <w:p>
            <w:pPr>
              <w:spacing w:after="0"/>
              <w:rPr>
                <w:sz w:val="24"/>
                <w:szCs w:val="24"/>
                <w:color w:val="auto"/>
              </w:rPr>
            </w:pP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2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240" w:type="dxa"/>
            <w:vAlign w:val="bottom"/>
            <w:shd w:val="clear" w:color="auto" w:fill="D2EDF0"/>
          </w:tcPr>
          <w:p>
            <w:pPr>
              <w:spacing w:after="0"/>
              <w:rPr>
                <w:sz w:val="24"/>
                <w:szCs w:val="24"/>
                <w:color w:val="auto"/>
              </w:rPr>
            </w:pP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3,950</w:t>
            </w:r>
          </w:p>
        </w:tc>
        <w:tc>
          <w:tcPr>
            <w:tcW w:w="2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1020" w:type="dxa"/>
            <w:vAlign w:val="bottom"/>
            <w:shd w:val="clear" w:color="auto" w:fill="D2EDF0"/>
          </w:tcPr>
          <w:p>
            <w:pPr>
              <w:spacing w:after="0"/>
              <w:rPr>
                <w:sz w:val="24"/>
                <w:szCs w:val="24"/>
                <w:color w:val="auto"/>
              </w:rPr>
            </w:pPr>
          </w:p>
        </w:tc>
        <w:tc>
          <w:tcPr>
            <w:tcW w:w="320" w:type="dxa"/>
            <w:vAlign w:val="bottom"/>
            <w:shd w:val="clear" w:color="auto" w:fill="D2EDF0"/>
          </w:tcPr>
          <w:p>
            <w:pPr>
              <w:ind w:left="40"/>
              <w:spacing w:after="0"/>
              <w:rPr>
                <w:sz w:val="20"/>
                <w:szCs w:val="20"/>
                <w:color w:val="auto"/>
              </w:rPr>
            </w:pPr>
            <w:r>
              <w:rPr>
                <w:rFonts w:ascii="Arial" w:cs="Arial" w:eastAsia="Arial" w:hAnsi="Arial"/>
                <w:sz w:val="20"/>
                <w:szCs w:val="20"/>
                <w:color w:val="auto"/>
              </w:rPr>
              <w:t>—</w:t>
            </w:r>
          </w:p>
        </w:tc>
        <w:tc>
          <w:tcPr>
            <w:tcW w:w="2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3,950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ind w:left="60"/>
              <w:spacing w:after="0" w:line="208" w:lineRule="exact"/>
              <w:rPr>
                <w:sz w:val="20"/>
                <w:szCs w:val="20"/>
                <w:color w:val="auto"/>
              </w:rPr>
            </w:pPr>
            <w:r>
              <w:rPr>
                <w:rFonts w:ascii="Arial" w:cs="Arial" w:eastAsia="Arial" w:hAnsi="Arial"/>
                <w:sz w:val="20"/>
                <w:szCs w:val="20"/>
                <w:color w:val="auto"/>
              </w:rPr>
              <w:t>U.S. Treasury and agency</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51,744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vMerge w:val="restart"/>
          </w:tcPr>
          <w:p>
            <w:pPr>
              <w:ind w:left="4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51,744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00" w:type="dxa"/>
            <w:vAlign w:val="bottom"/>
            <w:tcBorders>
              <w:bottom w:val="single" w:sz="8" w:color="D2EDF0"/>
            </w:tcBorders>
          </w:tcPr>
          <w:p>
            <w:pPr>
              <w:ind w:left="60"/>
              <w:spacing w:after="0"/>
              <w:rPr>
                <w:sz w:val="20"/>
                <w:szCs w:val="20"/>
                <w:color w:val="auto"/>
              </w:rPr>
            </w:pPr>
            <w:r>
              <w:rPr>
                <w:rFonts w:ascii="Arial" w:cs="Arial" w:eastAsia="Arial" w:hAnsi="Arial"/>
                <w:sz w:val="20"/>
                <w:szCs w:val="20"/>
                <w:color w:val="auto"/>
              </w:rPr>
              <w:t>obligations</w:t>
            </w: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40" w:type="dxa"/>
            <w:vAlign w:val="bottom"/>
            <w:tcBorders>
              <w:bottom w:val="single" w:sz="8" w:color="D2EDF0"/>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40" w:type="dxa"/>
            <w:vAlign w:val="bottom"/>
            <w:tcBorders>
              <w:bottom w:val="single" w:sz="8" w:color="D2EDF0"/>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D2EDF0"/>
            </w:tcBorders>
          </w:tcPr>
          <w:p>
            <w:pPr>
              <w:spacing w:after="0"/>
              <w:rPr>
                <w:sz w:val="22"/>
                <w:szCs w:val="22"/>
                <w:color w:val="auto"/>
              </w:rPr>
            </w:pPr>
          </w:p>
        </w:tc>
        <w:tc>
          <w:tcPr>
            <w:tcW w:w="40" w:type="dxa"/>
            <w:vAlign w:val="bottom"/>
            <w:tcBorders>
              <w:bottom w:val="single" w:sz="8" w:color="D2EDF0"/>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3300" w:type="dxa"/>
            <w:vAlign w:val="bottom"/>
            <w:tcBorders>
              <w:bottom w:val="single" w:sz="8" w:color="D2EDF0"/>
            </w:tcBorders>
            <w:shd w:val="clear" w:color="auto" w:fill="D2EDF0"/>
          </w:tcPr>
          <w:p>
            <w:pPr>
              <w:ind w:left="200"/>
              <w:spacing w:after="0"/>
              <w:rPr>
                <w:sz w:val="20"/>
                <w:szCs w:val="20"/>
                <w:color w:val="auto"/>
              </w:rPr>
            </w:pPr>
            <w:r>
              <w:rPr>
                <w:rFonts w:ascii="Arial" w:cs="Arial" w:eastAsia="Arial" w:hAnsi="Arial"/>
                <w:sz w:val="20"/>
                <w:szCs w:val="20"/>
                <w:color w:val="auto"/>
              </w:rPr>
              <w:t>Total short-term investments</w:t>
            </w:r>
          </w:p>
        </w:tc>
        <w:tc>
          <w:tcPr>
            <w:tcW w:w="280" w:type="dxa"/>
            <w:vAlign w:val="bottom"/>
            <w:tcBorders>
              <w:bottom w:val="single" w:sz="8" w:color="auto"/>
            </w:tcBorders>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D2EDF0"/>
            </w:tcBorders>
            <w:gridSpan w:val="2"/>
            <w:shd w:val="clear" w:color="auto" w:fill="D2EDF0"/>
          </w:tcPr>
          <w:p>
            <w:pPr>
              <w:spacing w:after="0"/>
              <w:rPr>
                <w:sz w:val="24"/>
                <w:szCs w:val="24"/>
                <w:color w:val="auto"/>
              </w:rPr>
            </w:pPr>
          </w:p>
        </w:tc>
        <w:tc>
          <w:tcPr>
            <w:tcW w:w="280" w:type="dxa"/>
            <w:vAlign w:val="bottom"/>
            <w:tcBorders>
              <w:bottom w:val="single" w:sz="8" w:color="auto"/>
            </w:tcBorders>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266,569</w:t>
            </w:r>
          </w:p>
        </w:tc>
        <w:tc>
          <w:tcPr>
            <w:tcW w:w="60" w:type="dxa"/>
            <w:vAlign w:val="bottom"/>
            <w:tcBorders>
              <w:bottom w:val="single" w:sz="8" w:color="D2EDF0"/>
            </w:tcBorders>
            <w:gridSpan w:val="2"/>
            <w:shd w:val="clear" w:color="auto" w:fill="D2EDF0"/>
          </w:tcPr>
          <w:p>
            <w:pPr>
              <w:spacing w:after="0"/>
              <w:rPr>
                <w:sz w:val="24"/>
                <w:szCs w:val="24"/>
                <w:color w:val="auto"/>
              </w:rPr>
            </w:pPr>
          </w:p>
        </w:tc>
        <w:tc>
          <w:tcPr>
            <w:tcW w:w="1060" w:type="dxa"/>
            <w:vAlign w:val="bottom"/>
            <w:tcBorders>
              <w:bottom w:val="single" w:sz="8" w:color="auto"/>
            </w:tcBorders>
            <w:gridSpan w:val="2"/>
            <w:shd w:val="clear" w:color="auto" w:fill="D2EDF0"/>
          </w:tcPr>
          <w:p>
            <w:pPr>
              <w:jc w:val="right"/>
              <w:ind w:right="787"/>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auto"/>
            </w:tcBorders>
            <w:shd w:val="clear" w:color="auto" w:fill="D2EDF0"/>
          </w:tcPr>
          <w:p>
            <w:pPr>
              <w:ind w:left="40"/>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D2EDF0"/>
            </w:tcBorders>
            <w:gridSpan w:val="2"/>
            <w:shd w:val="clear" w:color="auto" w:fill="D2EDF0"/>
          </w:tcPr>
          <w:p>
            <w:pPr>
              <w:spacing w:after="0"/>
              <w:rPr>
                <w:sz w:val="24"/>
                <w:szCs w:val="24"/>
                <w:color w:val="auto"/>
              </w:rPr>
            </w:pPr>
          </w:p>
        </w:tc>
        <w:tc>
          <w:tcPr>
            <w:tcW w:w="340" w:type="dxa"/>
            <w:vAlign w:val="bottom"/>
            <w:tcBorders>
              <w:bottom w:val="single" w:sz="8" w:color="auto"/>
            </w:tcBorders>
            <w:gridSpan w:val="2"/>
            <w:shd w:val="clear" w:color="auto" w:fill="D2EDF0"/>
          </w:tcPr>
          <w:p>
            <w:pPr>
              <w:jc w:val="right"/>
              <w:ind w:right="6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266,569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0"/>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right"/>
              <w:ind w:right="167"/>
              <w:spacing w:after="0"/>
              <w:rPr>
                <w:sz w:val="20"/>
                <w:szCs w:val="20"/>
                <w:color w:val="auto"/>
              </w:rPr>
            </w:pPr>
            <w:r>
              <w:rPr>
                <w:rFonts w:ascii="Arial" w:cs="Arial" w:eastAsia="Arial" w:hAnsi="Arial"/>
                <w:sz w:val="18"/>
                <w:szCs w:val="18"/>
                <w:b w:val="1"/>
                <w:bCs w:val="1"/>
                <w:color w:val="auto"/>
              </w:rPr>
              <w:t>December 31, 2021</w:t>
            </w: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61"/>
              <w:spacing w:after="0"/>
              <w:rPr>
                <w:sz w:val="20"/>
                <w:szCs w:val="20"/>
                <w:color w:val="auto"/>
              </w:rPr>
            </w:pPr>
            <w:r>
              <w:rPr>
                <w:rFonts w:ascii="Arial" w:cs="Arial" w:eastAsia="Arial" w:hAnsi="Arial"/>
                <w:sz w:val="18"/>
                <w:szCs w:val="18"/>
                <w:b w:val="1"/>
                <w:bCs w:val="1"/>
                <w:color w:val="auto"/>
              </w:rPr>
              <w:t>Level 1</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62"/>
              <w:spacing w:after="0"/>
              <w:rPr>
                <w:sz w:val="20"/>
                <w:szCs w:val="20"/>
                <w:color w:val="auto"/>
              </w:rPr>
            </w:pPr>
            <w:r>
              <w:rPr>
                <w:rFonts w:ascii="Arial" w:cs="Arial" w:eastAsia="Arial" w:hAnsi="Arial"/>
                <w:sz w:val="18"/>
                <w:szCs w:val="18"/>
                <w:b w:val="1"/>
                <w:bCs w:val="1"/>
                <w:color w:val="auto"/>
              </w:rPr>
              <w:t>Level 2</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61"/>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300" w:type="dxa"/>
            <w:vAlign w:val="bottom"/>
          </w:tcPr>
          <w:p>
            <w:pPr>
              <w:ind w:left="40"/>
              <w:spacing w:after="0"/>
              <w:rPr>
                <w:sz w:val="20"/>
                <w:szCs w:val="20"/>
                <w:color w:val="auto"/>
              </w:rPr>
            </w:pPr>
            <w:r>
              <w:rPr>
                <w:rFonts w:ascii="Arial" w:cs="Arial" w:eastAsia="Arial" w:hAnsi="Arial"/>
                <w:sz w:val="20"/>
                <w:szCs w:val="20"/>
                <w:b w:val="1"/>
                <w:bCs w:val="1"/>
                <w:color w:val="auto"/>
              </w:rPr>
              <w:t>Cash equivalents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Borders>
              <w:bottom w:val="single" w:sz="8" w:color="D2EDF0"/>
            </w:tcBorders>
            <w:shd w:val="clear" w:color="auto" w:fill="D2EDF0"/>
          </w:tcPr>
          <w:p>
            <w:pPr>
              <w:spacing w:after="0"/>
              <w:rPr>
                <w:sz w:val="24"/>
                <w:szCs w:val="24"/>
                <w:color w:val="auto"/>
              </w:rPr>
            </w:pPr>
          </w:p>
        </w:tc>
        <w:tc>
          <w:tcPr>
            <w:tcW w:w="3300" w:type="dxa"/>
            <w:vAlign w:val="bottom"/>
            <w:tcBorders>
              <w:bottom w:val="single" w:sz="8" w:color="D2EDF0"/>
            </w:tcBorders>
            <w:shd w:val="clear" w:color="auto" w:fill="D2EDF0"/>
          </w:tcPr>
          <w:p>
            <w:pPr>
              <w:ind w:left="40"/>
              <w:spacing w:after="0"/>
              <w:rPr>
                <w:sz w:val="20"/>
                <w:szCs w:val="20"/>
                <w:color w:val="auto"/>
              </w:rPr>
            </w:pPr>
            <w:r>
              <w:rPr>
                <w:rFonts w:ascii="Arial" w:cs="Arial" w:eastAsia="Arial" w:hAnsi="Arial"/>
                <w:sz w:val="20"/>
                <w:szCs w:val="20"/>
                <w:color w:val="auto"/>
              </w:rPr>
              <w:t>Money market funds</w:t>
            </w:r>
          </w:p>
        </w:tc>
        <w:tc>
          <w:tcPr>
            <w:tcW w:w="40" w:type="dxa"/>
            <w:vAlign w:val="bottom"/>
            <w:tcBorders>
              <w:bottom w:val="single" w:sz="8" w:color="D2EDF0"/>
            </w:tcBorders>
            <w:shd w:val="clear" w:color="auto" w:fill="D2EDF0"/>
          </w:tcPr>
          <w:p>
            <w:pPr>
              <w:spacing w:after="0"/>
              <w:rPr>
                <w:sz w:val="24"/>
                <w:szCs w:val="24"/>
                <w:color w:val="auto"/>
              </w:rPr>
            </w:pPr>
          </w:p>
        </w:tc>
        <w:tc>
          <w:tcPr>
            <w:tcW w:w="24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178,518</w:t>
            </w:r>
          </w:p>
        </w:tc>
        <w:tc>
          <w:tcPr>
            <w:tcW w:w="20" w:type="dxa"/>
            <w:vAlign w:val="bottom"/>
            <w:tcBorders>
              <w:bottom w:val="single" w:sz="8" w:color="auto"/>
            </w:tcBorders>
            <w:shd w:val="clear" w:color="auto" w:fill="D2EDF0"/>
          </w:tcPr>
          <w:p>
            <w:pPr>
              <w:spacing w:after="0"/>
              <w:rPr>
                <w:sz w:val="24"/>
                <w:szCs w:val="24"/>
                <w:color w:val="auto"/>
              </w:rPr>
            </w:pPr>
          </w:p>
        </w:tc>
        <w:tc>
          <w:tcPr>
            <w:tcW w:w="80" w:type="dxa"/>
            <w:vAlign w:val="bottom"/>
            <w:tcBorders>
              <w:bottom w:val="single" w:sz="8" w:color="D2EDF0"/>
            </w:tcBorders>
            <w:gridSpan w:val="2"/>
            <w:shd w:val="clear" w:color="auto" w:fill="D2EDF0"/>
          </w:tcPr>
          <w:p>
            <w:pPr>
              <w:spacing w:after="0"/>
              <w:rPr>
                <w:sz w:val="24"/>
                <w:szCs w:val="24"/>
                <w:color w:val="auto"/>
              </w:rPr>
            </w:pPr>
          </w:p>
        </w:tc>
        <w:tc>
          <w:tcPr>
            <w:tcW w:w="24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shd w:val="clear" w:color="auto" w:fill="D2EDF0"/>
          </w:tcPr>
          <w:p>
            <w:pPr>
              <w:spacing w:after="0"/>
              <w:rPr>
                <w:sz w:val="24"/>
                <w:szCs w:val="24"/>
                <w:color w:val="auto"/>
              </w:rPr>
            </w:pPr>
          </w:p>
        </w:tc>
        <w:tc>
          <w:tcPr>
            <w:tcW w:w="80" w:type="dxa"/>
            <w:vAlign w:val="bottom"/>
            <w:tcBorders>
              <w:bottom w:val="single" w:sz="8" w:color="D2EDF0"/>
            </w:tcBorders>
            <w:gridSpan w:val="2"/>
            <w:shd w:val="clear" w:color="auto" w:fill="D2EDF0"/>
          </w:tcPr>
          <w:p>
            <w:pPr>
              <w:spacing w:after="0"/>
              <w:rPr>
                <w:sz w:val="24"/>
                <w:szCs w:val="24"/>
                <w:color w:val="auto"/>
              </w:rPr>
            </w:pPr>
          </w:p>
        </w:tc>
        <w:tc>
          <w:tcPr>
            <w:tcW w:w="1020" w:type="dxa"/>
            <w:vAlign w:val="bottom"/>
            <w:tcBorders>
              <w:bottom w:val="single" w:sz="8" w:color="auto"/>
            </w:tcBorders>
            <w:shd w:val="clear" w:color="auto" w:fill="D2EDF0"/>
          </w:tcPr>
          <w:p>
            <w:pPr>
              <w:jc w:val="right"/>
              <w:ind w:right="767"/>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auto"/>
            </w:tcBorders>
            <w:shd w:val="clear" w:color="auto" w:fill="D2EDF0"/>
          </w:tcPr>
          <w:p>
            <w:pPr>
              <w:ind w:left="60"/>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shd w:val="clear" w:color="auto" w:fill="D2EDF0"/>
          </w:tcPr>
          <w:p>
            <w:pPr>
              <w:spacing w:after="0"/>
              <w:rPr>
                <w:sz w:val="24"/>
                <w:szCs w:val="24"/>
                <w:color w:val="auto"/>
              </w:rPr>
            </w:pPr>
          </w:p>
        </w:tc>
        <w:tc>
          <w:tcPr>
            <w:tcW w:w="80" w:type="dxa"/>
            <w:vAlign w:val="bottom"/>
            <w:tcBorders>
              <w:bottom w:val="single" w:sz="8" w:color="D2EDF0"/>
            </w:tcBorders>
            <w:gridSpan w:val="2"/>
            <w:shd w:val="clear" w:color="auto" w:fill="D2EDF0"/>
          </w:tcPr>
          <w:p>
            <w:pPr>
              <w:spacing w:after="0"/>
              <w:rPr>
                <w:sz w:val="24"/>
                <w:szCs w:val="24"/>
                <w:color w:val="auto"/>
              </w:rPr>
            </w:pPr>
          </w:p>
        </w:tc>
        <w:tc>
          <w:tcPr>
            <w:tcW w:w="300" w:type="dxa"/>
            <w:vAlign w:val="bottom"/>
            <w:tcBorders>
              <w:bottom w:val="single" w:sz="8" w:color="auto"/>
            </w:tcBorders>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178,518</w:t>
            </w:r>
          </w:p>
        </w:tc>
        <w:tc>
          <w:tcPr>
            <w:tcW w:w="20" w:type="dxa"/>
            <w:vAlign w:val="bottom"/>
            <w:tcBorders>
              <w:bottom w:val="single" w:sz="8" w:color="auto"/>
            </w:tcBorders>
            <w:shd w:val="clear" w:color="auto" w:fill="D2EDF0"/>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300" w:type="dxa"/>
            <w:vAlign w:val="bottom"/>
          </w:tcPr>
          <w:p>
            <w:pPr>
              <w:ind w:left="280"/>
              <w:spacing w:after="0"/>
              <w:rPr>
                <w:sz w:val="20"/>
                <w:szCs w:val="20"/>
                <w:color w:val="auto"/>
              </w:rPr>
            </w:pPr>
            <w:r>
              <w:rPr>
                <w:rFonts w:ascii="Arial" w:cs="Arial" w:eastAsia="Arial" w:hAnsi="Arial"/>
                <w:sz w:val="20"/>
                <w:szCs w:val="20"/>
                <w:color w:val="auto"/>
              </w:rPr>
              <w:t>Total cash equivalents</w:t>
            </w:r>
          </w:p>
        </w:tc>
        <w:tc>
          <w:tcPr>
            <w:tcW w:w="2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178,518</w:t>
            </w:r>
          </w:p>
        </w:tc>
        <w:tc>
          <w:tcPr>
            <w:tcW w:w="340" w:type="dxa"/>
            <w:vAlign w:val="bottom"/>
            <w:gridSpan w:val="4"/>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gridSpan w:val="4"/>
          </w:tcPr>
          <w:p>
            <w:pPr>
              <w:jc w:val="right"/>
              <w:ind w:right="767"/>
              <w:spacing w:after="0"/>
              <w:rPr>
                <w:sz w:val="20"/>
                <w:szCs w:val="20"/>
                <w:color w:val="auto"/>
              </w:rPr>
            </w:pPr>
            <w:r>
              <w:rPr>
                <w:rFonts w:ascii="Arial" w:cs="Arial" w:eastAsia="Arial" w:hAnsi="Arial"/>
                <w:sz w:val="20"/>
                <w:szCs w:val="20"/>
                <w:color w:val="auto"/>
              </w:rPr>
              <w:t>$</w:t>
            </w:r>
          </w:p>
        </w:tc>
        <w:tc>
          <w:tcPr>
            <w:tcW w:w="320" w:type="dxa"/>
            <w:vAlign w:val="bottom"/>
          </w:tcPr>
          <w:p>
            <w:pPr>
              <w:ind w:left="60"/>
              <w:spacing w:after="0"/>
              <w:rPr>
                <w:sz w:val="20"/>
                <w:szCs w:val="20"/>
                <w:color w:val="auto"/>
              </w:rPr>
            </w:pPr>
            <w:r>
              <w:rPr>
                <w:rFonts w:ascii="Arial" w:cs="Arial" w:eastAsia="Arial" w:hAnsi="Arial"/>
                <w:sz w:val="20"/>
                <w:szCs w:val="20"/>
                <w:color w:val="auto"/>
              </w:rPr>
              <w:t>—</w:t>
            </w:r>
          </w:p>
        </w:tc>
        <w:tc>
          <w:tcPr>
            <w:tcW w:w="400" w:type="dxa"/>
            <w:vAlign w:val="bottom"/>
            <w:gridSpan w:val="4"/>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178,518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2EDF0"/>
            </w:tcBorders>
          </w:tcPr>
          <w:p>
            <w:pPr>
              <w:spacing w:after="0" w:line="20" w:lineRule="exact"/>
              <w:rPr>
                <w:sz w:val="1"/>
                <w:szCs w:val="1"/>
                <w:color w:val="auto"/>
              </w:rPr>
            </w:pPr>
          </w:p>
        </w:tc>
        <w:tc>
          <w:tcPr>
            <w:tcW w:w="3300" w:type="dxa"/>
            <w:vAlign w:val="bottom"/>
            <w:tcBorders>
              <w:bottom w:val="single" w:sz="8" w:color="D2EDF0"/>
            </w:tcBorders>
          </w:tcPr>
          <w:p>
            <w:pPr>
              <w:spacing w:after="0" w:line="20" w:lineRule="exact"/>
              <w:rPr>
                <w:sz w:val="1"/>
                <w:szCs w:val="1"/>
                <w:color w:val="auto"/>
              </w:rPr>
            </w:pPr>
          </w:p>
        </w:tc>
        <w:tc>
          <w:tcPr>
            <w:tcW w:w="40" w:type="dxa"/>
            <w:vAlign w:val="bottom"/>
            <w:tcBorders>
              <w:bottom w:val="single" w:sz="8" w:color="D2EDF0"/>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D2EDF0"/>
            </w:tcBorders>
          </w:tcPr>
          <w:p>
            <w:pPr>
              <w:spacing w:after="0" w:line="20" w:lineRule="exact"/>
              <w:rPr>
                <w:sz w:val="1"/>
                <w:szCs w:val="1"/>
                <w:color w:val="auto"/>
              </w:rPr>
            </w:pPr>
          </w:p>
        </w:tc>
        <w:tc>
          <w:tcPr>
            <w:tcW w:w="40" w:type="dxa"/>
            <w:vAlign w:val="bottom"/>
            <w:tcBorders>
              <w:bottom w:val="single" w:sz="8" w:color="D2EDF0"/>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D2EDF0"/>
            </w:tcBorders>
          </w:tcPr>
          <w:p>
            <w:pPr>
              <w:spacing w:after="0" w:line="20" w:lineRule="exact"/>
              <w:rPr>
                <w:sz w:val="1"/>
                <w:szCs w:val="1"/>
                <w:color w:val="auto"/>
              </w:rPr>
            </w:pPr>
          </w:p>
        </w:tc>
        <w:tc>
          <w:tcPr>
            <w:tcW w:w="40" w:type="dxa"/>
            <w:vAlign w:val="bottom"/>
            <w:tcBorders>
              <w:bottom w:val="single" w:sz="8" w:color="D2EDF0"/>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D2EDF0"/>
            </w:tcBorders>
          </w:tcPr>
          <w:p>
            <w:pPr>
              <w:spacing w:after="0" w:line="20" w:lineRule="exact"/>
              <w:rPr>
                <w:sz w:val="1"/>
                <w:szCs w:val="1"/>
                <w:color w:val="auto"/>
              </w:rPr>
            </w:pPr>
          </w:p>
        </w:tc>
        <w:tc>
          <w:tcPr>
            <w:tcW w:w="40" w:type="dxa"/>
            <w:vAlign w:val="bottom"/>
            <w:tcBorders>
              <w:bottom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D2EDF0"/>
          </w:tcPr>
          <w:p>
            <w:pPr>
              <w:spacing w:after="0"/>
              <w:rPr>
                <w:sz w:val="23"/>
                <w:szCs w:val="23"/>
                <w:color w:val="auto"/>
              </w:rPr>
            </w:pPr>
          </w:p>
        </w:tc>
        <w:tc>
          <w:tcPr>
            <w:tcW w:w="3300" w:type="dxa"/>
            <w:vAlign w:val="bottom"/>
            <w:shd w:val="clear" w:color="auto" w:fill="D2EDF0"/>
          </w:tcPr>
          <w:p>
            <w:pPr>
              <w:spacing w:after="0"/>
              <w:rPr>
                <w:sz w:val="23"/>
                <w:szCs w:val="23"/>
                <w:color w:val="auto"/>
              </w:rPr>
            </w:pPr>
          </w:p>
        </w:tc>
        <w:tc>
          <w:tcPr>
            <w:tcW w:w="40" w:type="dxa"/>
            <w:vAlign w:val="bottom"/>
            <w:shd w:val="clear" w:color="auto" w:fill="D2EDF0"/>
          </w:tcPr>
          <w:p>
            <w:pPr>
              <w:spacing w:after="0"/>
              <w:rPr>
                <w:sz w:val="23"/>
                <w:szCs w:val="23"/>
                <w:color w:val="auto"/>
              </w:rPr>
            </w:pPr>
          </w:p>
        </w:tc>
        <w:tc>
          <w:tcPr>
            <w:tcW w:w="240" w:type="dxa"/>
            <w:vAlign w:val="bottom"/>
            <w:shd w:val="clear" w:color="auto" w:fill="D2EDF0"/>
          </w:tcPr>
          <w:p>
            <w:pPr>
              <w:spacing w:after="0"/>
              <w:rPr>
                <w:sz w:val="23"/>
                <w:szCs w:val="23"/>
                <w:color w:val="auto"/>
              </w:rPr>
            </w:pPr>
          </w:p>
        </w:tc>
        <w:tc>
          <w:tcPr>
            <w:tcW w:w="1100" w:type="dxa"/>
            <w:vAlign w:val="bottom"/>
            <w:shd w:val="clear" w:color="auto" w:fill="D2EDF0"/>
          </w:tcPr>
          <w:p>
            <w:pPr>
              <w:spacing w:after="0"/>
              <w:rPr>
                <w:sz w:val="23"/>
                <w:szCs w:val="23"/>
                <w:color w:val="auto"/>
              </w:rPr>
            </w:pPr>
          </w:p>
        </w:tc>
        <w:tc>
          <w:tcPr>
            <w:tcW w:w="20" w:type="dxa"/>
            <w:vAlign w:val="bottom"/>
            <w:shd w:val="clear" w:color="auto" w:fill="D2EDF0"/>
          </w:tcPr>
          <w:p>
            <w:pPr>
              <w:spacing w:after="0"/>
              <w:rPr>
                <w:sz w:val="23"/>
                <w:szCs w:val="23"/>
                <w:color w:val="auto"/>
              </w:rPr>
            </w:pPr>
          </w:p>
        </w:tc>
        <w:tc>
          <w:tcPr>
            <w:tcW w:w="40" w:type="dxa"/>
            <w:vAlign w:val="bottom"/>
            <w:shd w:val="clear" w:color="auto" w:fill="D2EDF0"/>
          </w:tcPr>
          <w:p>
            <w:pPr>
              <w:spacing w:after="0"/>
              <w:rPr>
                <w:sz w:val="23"/>
                <w:szCs w:val="23"/>
                <w:color w:val="auto"/>
              </w:rPr>
            </w:pPr>
          </w:p>
        </w:tc>
        <w:tc>
          <w:tcPr>
            <w:tcW w:w="40" w:type="dxa"/>
            <w:vAlign w:val="bottom"/>
            <w:shd w:val="clear" w:color="auto" w:fill="D2EDF0"/>
          </w:tcPr>
          <w:p>
            <w:pPr>
              <w:spacing w:after="0"/>
              <w:rPr>
                <w:sz w:val="23"/>
                <w:szCs w:val="23"/>
                <w:color w:val="auto"/>
              </w:rPr>
            </w:pPr>
          </w:p>
        </w:tc>
        <w:tc>
          <w:tcPr>
            <w:tcW w:w="240" w:type="dxa"/>
            <w:vAlign w:val="bottom"/>
            <w:shd w:val="clear" w:color="auto" w:fill="D2EDF0"/>
          </w:tcPr>
          <w:p>
            <w:pPr>
              <w:spacing w:after="0"/>
              <w:rPr>
                <w:sz w:val="23"/>
                <w:szCs w:val="23"/>
                <w:color w:val="auto"/>
              </w:rPr>
            </w:pPr>
          </w:p>
        </w:tc>
        <w:tc>
          <w:tcPr>
            <w:tcW w:w="1100" w:type="dxa"/>
            <w:vAlign w:val="bottom"/>
            <w:shd w:val="clear" w:color="auto" w:fill="D2EDF0"/>
          </w:tcPr>
          <w:p>
            <w:pPr>
              <w:spacing w:after="0"/>
              <w:rPr>
                <w:sz w:val="23"/>
                <w:szCs w:val="23"/>
                <w:color w:val="auto"/>
              </w:rPr>
            </w:pPr>
          </w:p>
        </w:tc>
        <w:tc>
          <w:tcPr>
            <w:tcW w:w="20" w:type="dxa"/>
            <w:vAlign w:val="bottom"/>
            <w:shd w:val="clear" w:color="auto" w:fill="D2EDF0"/>
          </w:tcPr>
          <w:p>
            <w:pPr>
              <w:spacing w:after="0"/>
              <w:rPr>
                <w:sz w:val="23"/>
                <w:szCs w:val="23"/>
                <w:color w:val="auto"/>
              </w:rPr>
            </w:pPr>
          </w:p>
        </w:tc>
        <w:tc>
          <w:tcPr>
            <w:tcW w:w="40" w:type="dxa"/>
            <w:vAlign w:val="bottom"/>
            <w:shd w:val="clear" w:color="auto" w:fill="D2EDF0"/>
          </w:tcPr>
          <w:p>
            <w:pPr>
              <w:spacing w:after="0"/>
              <w:rPr>
                <w:sz w:val="23"/>
                <w:szCs w:val="23"/>
                <w:color w:val="auto"/>
              </w:rPr>
            </w:pPr>
          </w:p>
        </w:tc>
        <w:tc>
          <w:tcPr>
            <w:tcW w:w="40" w:type="dxa"/>
            <w:vAlign w:val="bottom"/>
            <w:shd w:val="clear" w:color="auto" w:fill="D2EDF0"/>
          </w:tcPr>
          <w:p>
            <w:pPr>
              <w:spacing w:after="0"/>
              <w:rPr>
                <w:sz w:val="23"/>
                <w:szCs w:val="23"/>
                <w:color w:val="auto"/>
              </w:rPr>
            </w:pPr>
          </w:p>
        </w:tc>
        <w:tc>
          <w:tcPr>
            <w:tcW w:w="1020" w:type="dxa"/>
            <w:vAlign w:val="bottom"/>
            <w:shd w:val="clear" w:color="auto" w:fill="D2EDF0"/>
          </w:tcPr>
          <w:p>
            <w:pPr>
              <w:spacing w:after="0"/>
              <w:rPr>
                <w:sz w:val="23"/>
                <w:szCs w:val="23"/>
                <w:color w:val="auto"/>
              </w:rPr>
            </w:pPr>
          </w:p>
        </w:tc>
        <w:tc>
          <w:tcPr>
            <w:tcW w:w="320" w:type="dxa"/>
            <w:vAlign w:val="bottom"/>
            <w:shd w:val="clear" w:color="auto" w:fill="D2EDF0"/>
          </w:tcPr>
          <w:p>
            <w:pPr>
              <w:spacing w:after="0"/>
              <w:rPr>
                <w:sz w:val="23"/>
                <w:szCs w:val="23"/>
                <w:color w:val="auto"/>
              </w:rPr>
            </w:pPr>
          </w:p>
        </w:tc>
        <w:tc>
          <w:tcPr>
            <w:tcW w:w="20" w:type="dxa"/>
            <w:vAlign w:val="bottom"/>
            <w:shd w:val="clear" w:color="auto" w:fill="D2EDF0"/>
          </w:tcPr>
          <w:p>
            <w:pPr>
              <w:spacing w:after="0"/>
              <w:rPr>
                <w:sz w:val="23"/>
                <w:szCs w:val="23"/>
                <w:color w:val="auto"/>
              </w:rPr>
            </w:pPr>
          </w:p>
        </w:tc>
        <w:tc>
          <w:tcPr>
            <w:tcW w:w="40" w:type="dxa"/>
            <w:vAlign w:val="bottom"/>
            <w:shd w:val="clear" w:color="auto" w:fill="D2EDF0"/>
          </w:tcPr>
          <w:p>
            <w:pPr>
              <w:spacing w:after="0"/>
              <w:rPr>
                <w:sz w:val="23"/>
                <w:szCs w:val="23"/>
                <w:color w:val="auto"/>
              </w:rPr>
            </w:pPr>
          </w:p>
        </w:tc>
        <w:tc>
          <w:tcPr>
            <w:tcW w:w="40" w:type="dxa"/>
            <w:vAlign w:val="bottom"/>
            <w:shd w:val="clear" w:color="auto" w:fill="D2EDF0"/>
          </w:tcPr>
          <w:p>
            <w:pPr>
              <w:spacing w:after="0"/>
              <w:rPr>
                <w:sz w:val="23"/>
                <w:szCs w:val="23"/>
                <w:color w:val="auto"/>
              </w:rPr>
            </w:pPr>
          </w:p>
        </w:tc>
        <w:tc>
          <w:tcPr>
            <w:tcW w:w="300" w:type="dxa"/>
            <w:vAlign w:val="bottom"/>
            <w:shd w:val="clear" w:color="auto" w:fill="D2EDF0"/>
          </w:tcPr>
          <w:p>
            <w:pPr>
              <w:spacing w:after="0"/>
              <w:rPr>
                <w:sz w:val="23"/>
                <w:szCs w:val="23"/>
                <w:color w:val="auto"/>
              </w:rPr>
            </w:pPr>
          </w:p>
        </w:tc>
        <w:tc>
          <w:tcPr>
            <w:tcW w:w="1040" w:type="dxa"/>
            <w:vAlign w:val="bottom"/>
            <w:shd w:val="clear" w:color="auto" w:fill="D2EDF0"/>
          </w:tcPr>
          <w:p>
            <w:pPr>
              <w:spacing w:after="0"/>
              <w:rPr>
                <w:sz w:val="23"/>
                <w:szCs w:val="23"/>
                <w:color w:val="auto"/>
              </w:rPr>
            </w:pPr>
          </w:p>
        </w:tc>
        <w:tc>
          <w:tcPr>
            <w:tcW w:w="20" w:type="dxa"/>
            <w:vAlign w:val="bottom"/>
            <w:shd w:val="clear" w:color="auto" w:fill="D2EDF0"/>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3300" w:type="dxa"/>
            <w:vAlign w:val="bottom"/>
          </w:tcPr>
          <w:p>
            <w:pPr>
              <w:ind w:left="40"/>
              <w:spacing w:after="0"/>
              <w:rPr>
                <w:sz w:val="20"/>
                <w:szCs w:val="20"/>
                <w:color w:val="auto"/>
              </w:rPr>
            </w:pPr>
            <w:r>
              <w:rPr>
                <w:rFonts w:ascii="Arial" w:cs="Arial" w:eastAsia="Arial" w:hAnsi="Arial"/>
                <w:sz w:val="20"/>
                <w:szCs w:val="20"/>
                <w:b w:val="1"/>
                <w:bCs w:val="1"/>
                <w:color w:val="auto"/>
              </w:rPr>
              <w:t>Short-term investments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shd w:val="clear" w:color="auto" w:fill="D2EDF0"/>
          </w:tcPr>
          <w:p>
            <w:pPr>
              <w:spacing w:after="0"/>
              <w:rPr>
                <w:sz w:val="24"/>
                <w:szCs w:val="24"/>
                <w:color w:val="auto"/>
              </w:rPr>
            </w:pPr>
          </w:p>
        </w:tc>
        <w:tc>
          <w:tcPr>
            <w:tcW w:w="3300" w:type="dxa"/>
            <w:vAlign w:val="bottom"/>
            <w:shd w:val="clear" w:color="auto" w:fill="D2EDF0"/>
          </w:tcPr>
          <w:p>
            <w:pPr>
              <w:ind w:left="40"/>
              <w:spacing w:after="0"/>
              <w:rPr>
                <w:sz w:val="20"/>
                <w:szCs w:val="20"/>
                <w:color w:val="auto"/>
              </w:rPr>
            </w:pPr>
            <w:r>
              <w:rPr>
                <w:rFonts w:ascii="Arial" w:cs="Arial" w:eastAsia="Arial" w:hAnsi="Arial"/>
                <w:sz w:val="20"/>
                <w:szCs w:val="20"/>
                <w:color w:val="auto"/>
              </w:rPr>
              <w:t>Commercial paper</w:t>
            </w:r>
          </w:p>
        </w:tc>
        <w:tc>
          <w:tcPr>
            <w:tcW w:w="2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340" w:type="dxa"/>
            <w:vAlign w:val="bottom"/>
            <w:gridSpan w:val="4"/>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134,118</w:t>
            </w:r>
          </w:p>
        </w:tc>
        <w:tc>
          <w:tcPr>
            <w:tcW w:w="1120" w:type="dxa"/>
            <w:vAlign w:val="bottom"/>
            <w:gridSpan w:val="4"/>
            <w:shd w:val="clear" w:color="auto" w:fill="D2EDF0"/>
          </w:tcPr>
          <w:p>
            <w:pPr>
              <w:jc w:val="right"/>
              <w:ind w:right="767"/>
              <w:spacing w:after="0"/>
              <w:rPr>
                <w:sz w:val="20"/>
                <w:szCs w:val="20"/>
                <w:color w:val="auto"/>
              </w:rPr>
            </w:pPr>
            <w:r>
              <w:rPr>
                <w:rFonts w:ascii="Arial" w:cs="Arial" w:eastAsia="Arial" w:hAnsi="Arial"/>
                <w:sz w:val="20"/>
                <w:szCs w:val="20"/>
                <w:color w:val="auto"/>
              </w:rPr>
              <w:t>$</w:t>
            </w:r>
          </w:p>
        </w:tc>
        <w:tc>
          <w:tcPr>
            <w:tcW w:w="320" w:type="dxa"/>
            <w:vAlign w:val="bottom"/>
            <w:shd w:val="clear" w:color="auto" w:fill="D2EDF0"/>
          </w:tcPr>
          <w:p>
            <w:pPr>
              <w:ind w:left="60"/>
              <w:spacing w:after="0"/>
              <w:rPr>
                <w:sz w:val="20"/>
                <w:szCs w:val="20"/>
                <w:color w:val="auto"/>
              </w:rPr>
            </w:pPr>
            <w:r>
              <w:rPr>
                <w:rFonts w:ascii="Arial" w:cs="Arial" w:eastAsia="Arial" w:hAnsi="Arial"/>
                <w:sz w:val="20"/>
                <w:szCs w:val="20"/>
                <w:color w:val="auto"/>
              </w:rPr>
              <w:t>—</w:t>
            </w:r>
          </w:p>
        </w:tc>
        <w:tc>
          <w:tcPr>
            <w:tcW w:w="400" w:type="dxa"/>
            <w:vAlign w:val="bottom"/>
            <w:gridSpan w:val="4"/>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134,118</w:t>
            </w:r>
          </w:p>
        </w:tc>
        <w:tc>
          <w:tcPr>
            <w:tcW w:w="20" w:type="dxa"/>
            <w:vAlign w:val="bottom"/>
            <w:shd w:val="clear" w:color="auto" w:fill="D2EDF0"/>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3300" w:type="dxa"/>
            <w:vAlign w:val="bottom"/>
          </w:tcPr>
          <w:p>
            <w:pPr>
              <w:ind w:left="40"/>
              <w:spacing w:after="0"/>
              <w:rPr>
                <w:sz w:val="20"/>
                <w:szCs w:val="20"/>
                <w:color w:val="auto"/>
              </w:rPr>
            </w:pPr>
            <w:r>
              <w:rPr>
                <w:rFonts w:ascii="Arial" w:cs="Arial" w:eastAsia="Arial" w:hAnsi="Arial"/>
                <w:sz w:val="20"/>
                <w:szCs w:val="20"/>
                <w:color w:val="auto"/>
              </w:rPr>
              <w:t>Corporate bonds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27,128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27,128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shd w:val="clear" w:color="auto" w:fill="D2EDF0"/>
          </w:tcPr>
          <w:p>
            <w:pPr>
              <w:spacing w:after="0"/>
              <w:rPr>
                <w:sz w:val="24"/>
                <w:szCs w:val="24"/>
                <w:color w:val="auto"/>
              </w:rPr>
            </w:pPr>
          </w:p>
        </w:tc>
        <w:tc>
          <w:tcPr>
            <w:tcW w:w="3300" w:type="dxa"/>
            <w:vAlign w:val="bottom"/>
            <w:shd w:val="clear" w:color="auto" w:fill="D2EDF0"/>
          </w:tcPr>
          <w:p>
            <w:pPr>
              <w:ind w:left="40"/>
              <w:spacing w:after="0"/>
              <w:rPr>
                <w:sz w:val="20"/>
                <w:szCs w:val="20"/>
                <w:color w:val="auto"/>
              </w:rPr>
            </w:pPr>
            <w:r>
              <w:rPr>
                <w:rFonts w:ascii="Arial" w:cs="Arial" w:eastAsia="Arial" w:hAnsi="Arial"/>
                <w:sz w:val="20"/>
                <w:szCs w:val="20"/>
                <w:color w:val="auto"/>
              </w:rPr>
              <w:t>Asset backed securities</w:t>
            </w:r>
          </w:p>
        </w:tc>
        <w:tc>
          <w:tcPr>
            <w:tcW w:w="40" w:type="dxa"/>
            <w:vAlign w:val="bottom"/>
            <w:shd w:val="clear" w:color="auto" w:fill="D2EDF0"/>
          </w:tcPr>
          <w:p>
            <w:pPr>
              <w:spacing w:after="0"/>
              <w:rPr>
                <w:sz w:val="24"/>
                <w:szCs w:val="24"/>
                <w:color w:val="auto"/>
              </w:rPr>
            </w:pPr>
          </w:p>
        </w:tc>
        <w:tc>
          <w:tcPr>
            <w:tcW w:w="240" w:type="dxa"/>
            <w:vAlign w:val="bottom"/>
            <w:shd w:val="clear" w:color="auto" w:fill="D2EDF0"/>
          </w:tcPr>
          <w:p>
            <w:pPr>
              <w:spacing w:after="0"/>
              <w:rPr>
                <w:sz w:val="24"/>
                <w:szCs w:val="24"/>
                <w:color w:val="auto"/>
              </w:rPr>
            </w:pP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2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240" w:type="dxa"/>
            <w:vAlign w:val="bottom"/>
            <w:shd w:val="clear" w:color="auto" w:fill="D2EDF0"/>
          </w:tcPr>
          <w:p>
            <w:pPr>
              <w:spacing w:after="0"/>
              <w:rPr>
                <w:sz w:val="24"/>
                <w:szCs w:val="24"/>
                <w:color w:val="auto"/>
              </w:rPr>
            </w:pP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27,411</w:t>
            </w:r>
          </w:p>
        </w:tc>
        <w:tc>
          <w:tcPr>
            <w:tcW w:w="2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1020" w:type="dxa"/>
            <w:vAlign w:val="bottom"/>
            <w:shd w:val="clear" w:color="auto" w:fill="D2EDF0"/>
          </w:tcPr>
          <w:p>
            <w:pPr>
              <w:spacing w:after="0"/>
              <w:rPr>
                <w:sz w:val="24"/>
                <w:szCs w:val="24"/>
                <w:color w:val="auto"/>
              </w:rPr>
            </w:pPr>
          </w:p>
        </w:tc>
        <w:tc>
          <w:tcPr>
            <w:tcW w:w="320" w:type="dxa"/>
            <w:vAlign w:val="bottom"/>
            <w:shd w:val="clear" w:color="auto" w:fill="D2EDF0"/>
          </w:tcPr>
          <w:p>
            <w:pPr>
              <w:ind w:left="60"/>
              <w:spacing w:after="0"/>
              <w:rPr>
                <w:sz w:val="20"/>
                <w:szCs w:val="20"/>
                <w:color w:val="auto"/>
              </w:rPr>
            </w:pPr>
            <w:r>
              <w:rPr>
                <w:rFonts w:ascii="Arial" w:cs="Arial" w:eastAsia="Arial" w:hAnsi="Arial"/>
                <w:sz w:val="20"/>
                <w:szCs w:val="20"/>
                <w:color w:val="auto"/>
              </w:rPr>
              <w:t>—</w:t>
            </w:r>
          </w:p>
        </w:tc>
        <w:tc>
          <w:tcPr>
            <w:tcW w:w="2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27,411</w:t>
            </w:r>
          </w:p>
        </w:tc>
        <w:tc>
          <w:tcPr>
            <w:tcW w:w="20" w:type="dxa"/>
            <w:vAlign w:val="bottom"/>
            <w:shd w:val="clear" w:color="auto" w:fill="D2EDF0"/>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3300" w:type="dxa"/>
            <w:vAlign w:val="bottom"/>
          </w:tcPr>
          <w:p>
            <w:pPr>
              <w:ind w:left="40"/>
              <w:spacing w:after="0"/>
              <w:rPr>
                <w:sz w:val="20"/>
                <w:szCs w:val="20"/>
                <w:color w:val="auto"/>
              </w:rPr>
            </w:pPr>
            <w:r>
              <w:rPr>
                <w:rFonts w:ascii="Arial" w:cs="Arial" w:eastAsia="Arial" w:hAnsi="Arial"/>
                <w:sz w:val="20"/>
                <w:szCs w:val="20"/>
                <w:color w:val="auto"/>
              </w:rPr>
              <w:t>Certificates of deposit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9,992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9,992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shd w:val="clear" w:color="auto" w:fill="D2EDF0"/>
          </w:tcPr>
          <w:p>
            <w:pPr>
              <w:spacing w:after="0"/>
              <w:rPr>
                <w:sz w:val="24"/>
                <w:szCs w:val="24"/>
                <w:color w:val="auto"/>
              </w:rPr>
            </w:pPr>
          </w:p>
        </w:tc>
        <w:tc>
          <w:tcPr>
            <w:tcW w:w="3300" w:type="dxa"/>
            <w:vAlign w:val="bottom"/>
            <w:shd w:val="clear" w:color="auto" w:fill="D2EDF0"/>
          </w:tcPr>
          <w:p>
            <w:pPr>
              <w:ind w:left="40"/>
              <w:spacing w:after="0"/>
              <w:rPr>
                <w:sz w:val="20"/>
                <w:szCs w:val="20"/>
                <w:color w:val="auto"/>
              </w:rPr>
            </w:pPr>
            <w:r>
              <w:rPr>
                <w:rFonts w:ascii="Arial" w:cs="Arial" w:eastAsia="Arial" w:hAnsi="Arial"/>
                <w:sz w:val="20"/>
                <w:szCs w:val="20"/>
                <w:color w:val="auto"/>
              </w:rPr>
              <w:t>Supranational bonds</w:t>
            </w:r>
          </w:p>
        </w:tc>
        <w:tc>
          <w:tcPr>
            <w:tcW w:w="40" w:type="dxa"/>
            <w:vAlign w:val="bottom"/>
            <w:shd w:val="clear" w:color="auto" w:fill="D2EDF0"/>
          </w:tcPr>
          <w:p>
            <w:pPr>
              <w:spacing w:after="0"/>
              <w:rPr>
                <w:sz w:val="24"/>
                <w:szCs w:val="24"/>
                <w:color w:val="auto"/>
              </w:rPr>
            </w:pPr>
          </w:p>
        </w:tc>
        <w:tc>
          <w:tcPr>
            <w:tcW w:w="240" w:type="dxa"/>
            <w:vAlign w:val="bottom"/>
            <w:shd w:val="clear" w:color="auto" w:fill="D2EDF0"/>
          </w:tcPr>
          <w:p>
            <w:pPr>
              <w:spacing w:after="0"/>
              <w:rPr>
                <w:sz w:val="24"/>
                <w:szCs w:val="24"/>
                <w:color w:val="auto"/>
              </w:rPr>
            </w:pP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2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240" w:type="dxa"/>
            <w:vAlign w:val="bottom"/>
            <w:shd w:val="clear" w:color="auto" w:fill="D2EDF0"/>
          </w:tcPr>
          <w:p>
            <w:pPr>
              <w:spacing w:after="0"/>
              <w:rPr>
                <w:sz w:val="24"/>
                <w:szCs w:val="24"/>
                <w:color w:val="auto"/>
              </w:rPr>
            </w:pP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8,599</w:t>
            </w:r>
          </w:p>
        </w:tc>
        <w:tc>
          <w:tcPr>
            <w:tcW w:w="2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1020" w:type="dxa"/>
            <w:vAlign w:val="bottom"/>
            <w:shd w:val="clear" w:color="auto" w:fill="D2EDF0"/>
          </w:tcPr>
          <w:p>
            <w:pPr>
              <w:spacing w:after="0"/>
              <w:rPr>
                <w:sz w:val="24"/>
                <w:szCs w:val="24"/>
                <w:color w:val="auto"/>
              </w:rPr>
            </w:pPr>
          </w:p>
        </w:tc>
        <w:tc>
          <w:tcPr>
            <w:tcW w:w="320" w:type="dxa"/>
            <w:vAlign w:val="bottom"/>
            <w:shd w:val="clear" w:color="auto" w:fill="D2EDF0"/>
          </w:tcPr>
          <w:p>
            <w:pPr>
              <w:ind w:left="60"/>
              <w:spacing w:after="0"/>
              <w:rPr>
                <w:sz w:val="20"/>
                <w:szCs w:val="20"/>
                <w:color w:val="auto"/>
              </w:rPr>
            </w:pPr>
            <w:r>
              <w:rPr>
                <w:rFonts w:ascii="Arial" w:cs="Arial" w:eastAsia="Arial" w:hAnsi="Arial"/>
                <w:sz w:val="20"/>
                <w:szCs w:val="20"/>
                <w:color w:val="auto"/>
              </w:rPr>
              <w:t>—</w:t>
            </w:r>
          </w:p>
        </w:tc>
        <w:tc>
          <w:tcPr>
            <w:tcW w:w="2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4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8,599</w:t>
            </w:r>
          </w:p>
        </w:tc>
        <w:tc>
          <w:tcPr>
            <w:tcW w:w="20" w:type="dxa"/>
            <w:vAlign w:val="bottom"/>
            <w:shd w:val="clear" w:color="auto" w:fill="D2EDF0"/>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ind w:left="40"/>
              <w:spacing w:after="0" w:line="208" w:lineRule="exact"/>
              <w:rPr>
                <w:sz w:val="20"/>
                <w:szCs w:val="20"/>
                <w:color w:val="auto"/>
              </w:rPr>
            </w:pPr>
            <w:r>
              <w:rPr>
                <w:rFonts w:ascii="Arial" w:cs="Arial" w:eastAsia="Arial" w:hAnsi="Arial"/>
                <w:sz w:val="20"/>
                <w:szCs w:val="20"/>
                <w:color w:val="auto"/>
              </w:rPr>
              <w:t>U.S. Treasury and agency</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27,044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vMerge w:val="restart"/>
          </w:tcPr>
          <w:p>
            <w:pPr>
              <w:ind w:left="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27,044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Borders>
              <w:bottom w:val="single" w:sz="8" w:color="D2EDF0"/>
            </w:tcBorders>
          </w:tcPr>
          <w:p>
            <w:pPr>
              <w:spacing w:after="0"/>
              <w:rPr>
                <w:sz w:val="22"/>
                <w:szCs w:val="22"/>
                <w:color w:val="auto"/>
              </w:rPr>
            </w:pPr>
          </w:p>
        </w:tc>
        <w:tc>
          <w:tcPr>
            <w:tcW w:w="3300" w:type="dxa"/>
            <w:vAlign w:val="bottom"/>
            <w:tcBorders>
              <w:bottom w:val="single" w:sz="8" w:color="D2EDF0"/>
            </w:tcBorders>
          </w:tcPr>
          <w:p>
            <w:pPr>
              <w:ind w:left="40"/>
              <w:spacing w:after="0"/>
              <w:rPr>
                <w:sz w:val="20"/>
                <w:szCs w:val="20"/>
                <w:color w:val="auto"/>
              </w:rPr>
            </w:pPr>
            <w:r>
              <w:rPr>
                <w:rFonts w:ascii="Arial" w:cs="Arial" w:eastAsia="Arial" w:hAnsi="Arial"/>
                <w:sz w:val="20"/>
                <w:szCs w:val="20"/>
                <w:color w:val="auto"/>
              </w:rPr>
              <w:t>obligations</w:t>
            </w:r>
          </w:p>
        </w:tc>
        <w:tc>
          <w:tcPr>
            <w:tcW w:w="40" w:type="dxa"/>
            <w:vAlign w:val="bottom"/>
            <w:tcBorders>
              <w:bottom w:val="single" w:sz="8" w:color="D2EDF0"/>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D2EDF0"/>
            </w:tcBorders>
          </w:tcPr>
          <w:p>
            <w:pPr>
              <w:spacing w:after="0"/>
              <w:rPr>
                <w:sz w:val="22"/>
                <w:szCs w:val="22"/>
                <w:color w:val="auto"/>
              </w:rPr>
            </w:pPr>
          </w:p>
        </w:tc>
        <w:tc>
          <w:tcPr>
            <w:tcW w:w="40" w:type="dxa"/>
            <w:vAlign w:val="bottom"/>
            <w:tcBorders>
              <w:bottom w:val="single" w:sz="8" w:color="D2EDF0"/>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D2EDF0"/>
            </w:tcBorders>
          </w:tcPr>
          <w:p>
            <w:pPr>
              <w:spacing w:after="0"/>
              <w:rPr>
                <w:sz w:val="22"/>
                <w:szCs w:val="22"/>
                <w:color w:val="auto"/>
              </w:rPr>
            </w:pPr>
          </w:p>
        </w:tc>
        <w:tc>
          <w:tcPr>
            <w:tcW w:w="40" w:type="dxa"/>
            <w:vAlign w:val="bottom"/>
            <w:tcBorders>
              <w:bottom w:val="single" w:sz="8" w:color="D2EDF0"/>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D2EDF0"/>
            </w:tcBorders>
          </w:tcPr>
          <w:p>
            <w:pPr>
              <w:spacing w:after="0"/>
              <w:rPr>
                <w:sz w:val="22"/>
                <w:szCs w:val="22"/>
                <w:color w:val="auto"/>
              </w:rPr>
            </w:pPr>
          </w:p>
        </w:tc>
        <w:tc>
          <w:tcPr>
            <w:tcW w:w="40" w:type="dxa"/>
            <w:vAlign w:val="bottom"/>
            <w:tcBorders>
              <w:bottom w:val="single" w:sz="8" w:color="D2EDF0"/>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 w:type="dxa"/>
            <w:vAlign w:val="bottom"/>
            <w:shd w:val="clear" w:color="auto" w:fill="D2EDF0"/>
          </w:tcPr>
          <w:p>
            <w:pPr>
              <w:spacing w:after="0"/>
              <w:rPr>
                <w:sz w:val="24"/>
                <w:szCs w:val="24"/>
                <w:color w:val="auto"/>
              </w:rPr>
            </w:pPr>
          </w:p>
        </w:tc>
        <w:tc>
          <w:tcPr>
            <w:tcW w:w="3300" w:type="dxa"/>
            <w:vAlign w:val="bottom"/>
            <w:shd w:val="clear" w:color="auto" w:fill="D2EDF0"/>
          </w:tcPr>
          <w:p>
            <w:pPr>
              <w:ind w:left="180"/>
              <w:spacing w:after="0"/>
              <w:rPr>
                <w:sz w:val="20"/>
                <w:szCs w:val="20"/>
                <w:color w:val="auto"/>
              </w:rPr>
            </w:pPr>
            <w:r>
              <w:rPr>
                <w:rFonts w:ascii="Arial" w:cs="Arial" w:eastAsia="Arial" w:hAnsi="Arial"/>
                <w:sz w:val="20"/>
                <w:szCs w:val="20"/>
                <w:color w:val="auto"/>
              </w:rPr>
              <w:t>Total short-term investments</w:t>
            </w:r>
          </w:p>
        </w:tc>
        <w:tc>
          <w:tcPr>
            <w:tcW w:w="2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340" w:type="dxa"/>
            <w:vAlign w:val="bottom"/>
            <w:gridSpan w:val="4"/>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234,292</w:t>
            </w:r>
          </w:p>
        </w:tc>
        <w:tc>
          <w:tcPr>
            <w:tcW w:w="1120" w:type="dxa"/>
            <w:vAlign w:val="bottom"/>
            <w:gridSpan w:val="4"/>
            <w:shd w:val="clear" w:color="auto" w:fill="D2EDF0"/>
          </w:tcPr>
          <w:p>
            <w:pPr>
              <w:jc w:val="right"/>
              <w:ind w:right="767"/>
              <w:spacing w:after="0"/>
              <w:rPr>
                <w:sz w:val="20"/>
                <w:szCs w:val="20"/>
                <w:color w:val="auto"/>
              </w:rPr>
            </w:pPr>
            <w:r>
              <w:rPr>
                <w:rFonts w:ascii="Arial" w:cs="Arial" w:eastAsia="Arial" w:hAnsi="Arial"/>
                <w:sz w:val="20"/>
                <w:szCs w:val="20"/>
                <w:color w:val="auto"/>
              </w:rPr>
              <w:t>$</w:t>
            </w:r>
          </w:p>
        </w:tc>
        <w:tc>
          <w:tcPr>
            <w:tcW w:w="320" w:type="dxa"/>
            <w:vAlign w:val="bottom"/>
            <w:shd w:val="clear" w:color="auto" w:fill="D2EDF0"/>
          </w:tcPr>
          <w:p>
            <w:pPr>
              <w:ind w:left="60"/>
              <w:spacing w:after="0"/>
              <w:rPr>
                <w:sz w:val="20"/>
                <w:szCs w:val="20"/>
                <w:color w:val="auto"/>
              </w:rPr>
            </w:pPr>
            <w:r>
              <w:rPr>
                <w:rFonts w:ascii="Arial" w:cs="Arial" w:eastAsia="Arial" w:hAnsi="Arial"/>
                <w:sz w:val="20"/>
                <w:szCs w:val="20"/>
                <w:color w:val="auto"/>
              </w:rPr>
              <w:t>—</w:t>
            </w:r>
          </w:p>
        </w:tc>
        <w:tc>
          <w:tcPr>
            <w:tcW w:w="400" w:type="dxa"/>
            <w:vAlign w:val="bottom"/>
            <w:gridSpan w:val="4"/>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234,292</w:t>
            </w:r>
          </w:p>
        </w:tc>
        <w:tc>
          <w:tcPr>
            <w:tcW w:w="20" w:type="dxa"/>
            <w:vAlign w:val="bottom"/>
            <w:shd w:val="clear" w:color="auto" w:fill="D2EDF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2EDF0"/>
            </w:tcBorders>
          </w:tcPr>
          <w:p>
            <w:pPr>
              <w:spacing w:after="0" w:line="20" w:lineRule="exact"/>
              <w:rPr>
                <w:sz w:val="1"/>
                <w:szCs w:val="1"/>
                <w:color w:val="auto"/>
              </w:rPr>
            </w:pPr>
          </w:p>
        </w:tc>
        <w:tc>
          <w:tcPr>
            <w:tcW w:w="3300" w:type="dxa"/>
            <w:vAlign w:val="bottom"/>
            <w:tcBorders>
              <w:top w:val="single" w:sz="8" w:color="D2EDF0"/>
            </w:tcBorders>
          </w:tcPr>
          <w:p>
            <w:pPr>
              <w:spacing w:after="0" w:line="20" w:lineRule="exact"/>
              <w:rPr>
                <w:sz w:val="1"/>
                <w:szCs w:val="1"/>
                <w:color w:val="auto"/>
              </w:rPr>
            </w:pPr>
          </w:p>
        </w:tc>
        <w:tc>
          <w:tcPr>
            <w:tcW w:w="40" w:type="dxa"/>
            <w:vAlign w:val="bottom"/>
            <w:tcBorders>
              <w:top w:val="single" w:sz="8" w:color="D2EDF0"/>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2EDF0"/>
            </w:tcBorders>
          </w:tcPr>
          <w:p>
            <w:pPr>
              <w:spacing w:after="0" w:line="20" w:lineRule="exact"/>
              <w:rPr>
                <w:sz w:val="1"/>
                <w:szCs w:val="1"/>
                <w:color w:val="auto"/>
              </w:rPr>
            </w:pPr>
          </w:p>
        </w:tc>
        <w:tc>
          <w:tcPr>
            <w:tcW w:w="40" w:type="dxa"/>
            <w:vAlign w:val="bottom"/>
            <w:tcBorders>
              <w:top w:val="single" w:sz="8" w:color="D2EDF0"/>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2EDF0"/>
            </w:tcBorders>
          </w:tcPr>
          <w:p>
            <w:pPr>
              <w:spacing w:after="0" w:line="20" w:lineRule="exact"/>
              <w:rPr>
                <w:sz w:val="1"/>
                <w:szCs w:val="1"/>
                <w:color w:val="auto"/>
              </w:rPr>
            </w:pPr>
          </w:p>
        </w:tc>
        <w:tc>
          <w:tcPr>
            <w:tcW w:w="40" w:type="dxa"/>
            <w:vAlign w:val="bottom"/>
            <w:tcBorders>
              <w:top w:val="single" w:sz="8" w:color="D2EDF0"/>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2EDF0"/>
            </w:tcBorders>
          </w:tcPr>
          <w:p>
            <w:pPr>
              <w:spacing w:after="0" w:line="20" w:lineRule="exact"/>
              <w:rPr>
                <w:sz w:val="1"/>
                <w:szCs w:val="1"/>
                <w:color w:val="auto"/>
              </w:rPr>
            </w:pPr>
          </w:p>
        </w:tc>
        <w:tc>
          <w:tcPr>
            <w:tcW w:w="4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-4863465</wp:posOffset>
            </wp:positionV>
            <wp:extent cx="360997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09975" cy="3810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-3034665</wp:posOffset>
            </wp:positionV>
            <wp:extent cx="360997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09975" cy="38100"/>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-1866265</wp:posOffset>
            </wp:positionV>
            <wp:extent cx="360997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09975" cy="38100"/>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-37465</wp:posOffset>
            </wp:positionV>
            <wp:extent cx="360997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09975" cy="38100"/>
                    </a:xfrm>
                    <a:prstGeom prst="rect">
                      <a:avLst/>
                    </a:prstGeom>
                    <a:noFill/>
                  </pic:spPr>
                </pic:pic>
              </a:graphicData>
            </a:graphic>
          </wp:anchor>
        </w:drawing>
      </w:r>
    </w:p>
    <w:p>
      <w:pPr>
        <w:spacing w:after="0" w:line="234" w:lineRule="exact"/>
        <w:rPr>
          <w:sz w:val="20"/>
          <w:szCs w:val="20"/>
          <w:color w:val="auto"/>
        </w:rPr>
      </w:pPr>
    </w:p>
    <w:p>
      <w:pPr>
        <w:ind w:left="20" w:right="740" w:firstLine="360"/>
        <w:spacing w:after="0" w:line="287" w:lineRule="auto"/>
        <w:rPr>
          <w:sz w:val="20"/>
          <w:szCs w:val="20"/>
          <w:color w:val="auto"/>
        </w:rPr>
      </w:pPr>
      <w:r>
        <w:rPr>
          <w:rFonts w:ascii="Arial" w:cs="Arial" w:eastAsia="Arial" w:hAnsi="Arial"/>
          <w:sz w:val="20"/>
          <w:szCs w:val="20"/>
          <w:color w:val="auto"/>
        </w:rPr>
        <w:t>We did not have any liabilities measured and recorded at fair value on a recurring basis at December 31, 2022 and 2021.</w:t>
      </w:r>
    </w:p>
    <w:p>
      <w:pPr>
        <w:sectPr>
          <w:pgSz w:w="11880" w:h="15480" w:orient="portrait"/>
          <w:cols w:equalWidth="0" w:num="1">
            <w:col w:w="9040"/>
          </w:cols>
          <w:pgMar w:left="1420" w:top="1204"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100</w:t>
      </w:r>
    </w:p>
    <w:p>
      <w:pPr>
        <w:sectPr>
          <w:pgSz w:w="11880" w:h="15480" w:orient="portrait"/>
          <w:cols w:equalWidth="0" w:num="1">
            <w:col w:w="9040"/>
          </w:cols>
          <w:pgMar w:left="1420" w:top="1204" w:right="1420" w:bottom="0" w:gutter="0" w:footer="0" w:header="0"/>
          <w:type w:val="continuous"/>
        </w:sectPr>
      </w:pPr>
    </w:p>
    <w:bookmarkStart w:id="192" w:name="page193"/>
    <w:bookmarkEnd w:id="192"/>
    <w:p>
      <w:pPr>
        <w:ind w:left="360"/>
        <w:spacing w:after="0"/>
        <w:rPr>
          <w:sz w:val="20"/>
          <w:szCs w:val="20"/>
          <w:color w:val="auto"/>
        </w:rPr>
      </w:pPr>
      <w:r>
        <w:rPr>
          <w:rFonts w:ascii="Arial" w:cs="Arial" w:eastAsia="Arial" w:hAnsi="Arial"/>
          <w:sz w:val="20"/>
          <w:szCs w:val="20"/>
          <w:b w:val="1"/>
          <w:bCs w:val="1"/>
          <w:color w:val="auto"/>
        </w:rPr>
        <w:t>5. Property and Equipment, Net</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Property and equipment, net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721"/>
              <w:spacing w:after="0"/>
              <w:rPr>
                <w:sz w:val="20"/>
                <w:szCs w:val="20"/>
                <w:color w:val="auto"/>
              </w:rPr>
            </w:pPr>
            <w:r>
              <w:rPr>
                <w:rFonts w:ascii="Arial" w:cs="Arial" w:eastAsia="Arial" w:hAnsi="Arial"/>
                <w:sz w:val="18"/>
                <w:szCs w:val="18"/>
                <w:b w:val="1"/>
                <w:bCs w:val="1"/>
                <w:color w:val="auto"/>
              </w:rPr>
              <w:t>December 31,</w:t>
            </w:r>
          </w:p>
        </w:tc>
      </w:tr>
      <w:tr>
        <w:trPr>
          <w:trHeight w:val="280"/>
        </w:trPr>
        <w:tc>
          <w:tcPr>
            <w:tcW w:w="6200" w:type="dxa"/>
            <w:vAlign w:val="bottom"/>
          </w:tcPr>
          <w:p>
            <w:pPr>
              <w:ind w:left="6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18"/>
                <w:szCs w:val="18"/>
                <w:b w:val="1"/>
                <w:bCs w:val="1"/>
                <w:color w:val="auto"/>
              </w:rPr>
              <w:t>2021</w:t>
            </w:r>
          </w:p>
        </w:tc>
      </w:tr>
      <w:tr>
        <w:trPr>
          <w:trHeight w:val="286"/>
        </w:trPr>
        <w:tc>
          <w:tcPr>
            <w:tcW w:w="6200" w:type="dxa"/>
            <w:vAlign w:val="bottom"/>
          </w:tcPr>
          <w:p>
            <w:pPr>
              <w:ind w:left="60"/>
              <w:spacing w:after="0"/>
              <w:rPr>
                <w:sz w:val="20"/>
                <w:szCs w:val="20"/>
                <w:color w:val="auto"/>
              </w:rPr>
            </w:pPr>
            <w:r>
              <w:rPr>
                <w:rFonts w:ascii="Arial" w:cs="Arial" w:eastAsia="Arial" w:hAnsi="Arial"/>
                <w:sz w:val="20"/>
                <w:szCs w:val="20"/>
                <w:color w:val="auto"/>
              </w:rPr>
              <w:t>Computer software and equipment</w:t>
            </w:r>
          </w:p>
        </w:tc>
        <w:tc>
          <w:tcPr>
            <w:tcW w:w="32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21,676</w:t>
            </w:r>
          </w:p>
        </w:tc>
        <w:tc>
          <w:tcPr>
            <w:tcW w:w="40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17,188</w:t>
            </w:r>
          </w:p>
        </w:tc>
      </w:tr>
      <w:tr>
        <w:trPr>
          <w:trHeight w:val="304"/>
        </w:trPr>
        <w:tc>
          <w:tcPr>
            <w:tcW w:w="6200" w:type="dxa"/>
            <w:vAlign w:val="bottom"/>
            <w:shd w:val="clear" w:color="auto" w:fill="D2EDF0"/>
          </w:tcPr>
          <w:p>
            <w:pPr>
              <w:ind w:left="60"/>
              <w:spacing w:after="0"/>
              <w:rPr>
                <w:sz w:val="20"/>
                <w:szCs w:val="20"/>
                <w:color w:val="auto"/>
              </w:rPr>
            </w:pPr>
            <w:r>
              <w:rPr>
                <w:rFonts w:ascii="Arial" w:cs="Arial" w:eastAsia="Arial" w:hAnsi="Arial"/>
                <w:sz w:val="20"/>
                <w:szCs w:val="20"/>
                <w:color w:val="auto"/>
              </w:rPr>
              <w:t>Internally developed software</w:t>
            </w:r>
          </w:p>
        </w:tc>
        <w:tc>
          <w:tcPr>
            <w:tcW w:w="320" w:type="dxa"/>
            <w:vAlign w:val="bottom"/>
            <w:shd w:val="clear" w:color="auto" w:fill="D2EDF0"/>
          </w:tcPr>
          <w:p>
            <w:pPr>
              <w:spacing w:after="0"/>
              <w:rPr>
                <w:sz w:val="24"/>
                <w:szCs w:val="24"/>
                <w:color w:val="auto"/>
              </w:rPr>
            </w:pP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23,479</w:t>
            </w:r>
          </w:p>
        </w:tc>
        <w:tc>
          <w:tcPr>
            <w:tcW w:w="80" w:type="dxa"/>
            <w:vAlign w:val="bottom"/>
            <w:shd w:val="clear" w:color="auto" w:fill="D2EDF0"/>
          </w:tcPr>
          <w:p>
            <w:pPr>
              <w:spacing w:after="0"/>
              <w:rPr>
                <w:sz w:val="24"/>
                <w:szCs w:val="24"/>
                <w:color w:val="auto"/>
              </w:rPr>
            </w:pPr>
          </w:p>
        </w:tc>
        <w:tc>
          <w:tcPr>
            <w:tcW w:w="320" w:type="dxa"/>
            <w:vAlign w:val="bottom"/>
            <w:shd w:val="clear" w:color="auto" w:fill="D2EDF0"/>
          </w:tcPr>
          <w:p>
            <w:pPr>
              <w:spacing w:after="0"/>
              <w:rPr>
                <w:sz w:val="24"/>
                <w:szCs w:val="24"/>
                <w:color w:val="auto"/>
              </w:rPr>
            </w:pP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12,015</w:t>
            </w:r>
          </w:p>
        </w:tc>
      </w:tr>
      <w:tr>
        <w:trPr>
          <w:trHeight w:val="296"/>
        </w:trPr>
        <w:tc>
          <w:tcPr>
            <w:tcW w:w="6200" w:type="dxa"/>
            <w:vAlign w:val="bottom"/>
          </w:tcPr>
          <w:p>
            <w:pPr>
              <w:ind w:left="60"/>
              <w:spacing w:after="0"/>
              <w:rPr>
                <w:sz w:val="20"/>
                <w:szCs w:val="20"/>
                <w:color w:val="auto"/>
              </w:rPr>
            </w:pPr>
            <w:r>
              <w:rPr>
                <w:rFonts w:ascii="Arial" w:cs="Arial" w:eastAsia="Arial" w:hAnsi="Arial"/>
                <w:sz w:val="20"/>
                <w:szCs w:val="20"/>
                <w:color w:val="auto"/>
              </w:rPr>
              <w:t>Furniture and fixtures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5,940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5,944</w:t>
            </w:r>
          </w:p>
        </w:tc>
      </w:tr>
      <w:tr>
        <w:trPr>
          <w:trHeight w:val="304"/>
        </w:trPr>
        <w:tc>
          <w:tcPr>
            <w:tcW w:w="6200" w:type="dxa"/>
            <w:vAlign w:val="bottom"/>
            <w:shd w:val="clear" w:color="auto" w:fill="D2EDF0"/>
          </w:tcPr>
          <w:p>
            <w:pPr>
              <w:ind w:left="60"/>
              <w:spacing w:after="0"/>
              <w:rPr>
                <w:sz w:val="20"/>
                <w:szCs w:val="20"/>
                <w:color w:val="auto"/>
              </w:rPr>
            </w:pPr>
            <w:r>
              <w:rPr>
                <w:rFonts w:ascii="Arial" w:cs="Arial" w:eastAsia="Arial" w:hAnsi="Arial"/>
                <w:sz w:val="20"/>
                <w:szCs w:val="20"/>
                <w:color w:val="auto"/>
              </w:rPr>
              <w:t>Leasehold improvements</w:t>
            </w:r>
          </w:p>
        </w:tc>
        <w:tc>
          <w:tcPr>
            <w:tcW w:w="320" w:type="dxa"/>
            <w:vAlign w:val="bottom"/>
            <w:shd w:val="clear" w:color="auto" w:fill="D2EDF0"/>
          </w:tcPr>
          <w:p>
            <w:pPr>
              <w:spacing w:after="0"/>
              <w:rPr>
                <w:sz w:val="24"/>
                <w:szCs w:val="24"/>
                <w:color w:val="auto"/>
              </w:rPr>
            </w:pP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28,214</w:t>
            </w:r>
          </w:p>
        </w:tc>
        <w:tc>
          <w:tcPr>
            <w:tcW w:w="80" w:type="dxa"/>
            <w:vAlign w:val="bottom"/>
            <w:shd w:val="clear" w:color="auto" w:fill="D2EDF0"/>
          </w:tcPr>
          <w:p>
            <w:pPr>
              <w:spacing w:after="0"/>
              <w:rPr>
                <w:sz w:val="24"/>
                <w:szCs w:val="24"/>
                <w:color w:val="auto"/>
              </w:rPr>
            </w:pPr>
          </w:p>
        </w:tc>
        <w:tc>
          <w:tcPr>
            <w:tcW w:w="320" w:type="dxa"/>
            <w:vAlign w:val="bottom"/>
            <w:shd w:val="clear" w:color="auto" w:fill="D2EDF0"/>
          </w:tcPr>
          <w:p>
            <w:pPr>
              <w:spacing w:after="0"/>
              <w:rPr>
                <w:sz w:val="24"/>
                <w:szCs w:val="24"/>
                <w:color w:val="auto"/>
              </w:rPr>
            </w:pP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26,713</w:t>
            </w:r>
          </w:p>
        </w:tc>
      </w:tr>
      <w:tr>
        <w:trPr>
          <w:trHeight w:val="290"/>
        </w:trPr>
        <w:tc>
          <w:tcPr>
            <w:tcW w:w="6200" w:type="dxa"/>
            <w:vAlign w:val="bottom"/>
            <w:tcBorders>
              <w:bottom w:val="single" w:sz="8" w:color="D2EDF0"/>
            </w:tcBorders>
          </w:tcPr>
          <w:p>
            <w:pPr>
              <w:ind w:left="60"/>
              <w:spacing w:after="0"/>
              <w:rPr>
                <w:sz w:val="20"/>
                <w:szCs w:val="20"/>
                <w:color w:val="auto"/>
              </w:rPr>
            </w:pPr>
            <w:r>
              <w:rPr>
                <w:rFonts w:ascii="Arial" w:cs="Arial" w:eastAsia="Arial" w:hAnsi="Arial"/>
                <w:sz w:val="20"/>
                <w:szCs w:val="20"/>
                <w:color w:val="auto"/>
              </w:rPr>
              <w:t>Right-of-use assets under finance leases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748</w:t>
            </w:r>
          </w:p>
        </w:tc>
        <w:tc>
          <w:tcPr>
            <w:tcW w:w="80" w:type="dxa"/>
            <w:vAlign w:val="bottom"/>
            <w:tcBorders>
              <w:bottom w:val="single" w:sz="8" w:color="D2EDF0"/>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1,343</w:t>
            </w:r>
          </w:p>
        </w:tc>
      </w:tr>
      <w:tr>
        <w:trPr>
          <w:trHeight w:val="290"/>
        </w:trPr>
        <w:tc>
          <w:tcPr>
            <w:tcW w:w="6200" w:type="dxa"/>
            <w:vAlign w:val="bottom"/>
            <w:shd w:val="clear" w:color="auto" w:fill="D2EDF0"/>
          </w:tcPr>
          <w:p>
            <w:pPr>
              <w:ind w:left="320"/>
              <w:spacing w:after="0"/>
              <w:rPr>
                <w:sz w:val="20"/>
                <w:szCs w:val="20"/>
                <w:color w:val="auto"/>
              </w:rPr>
            </w:pPr>
            <w:r>
              <w:rPr>
                <w:rFonts w:ascii="Arial" w:cs="Arial" w:eastAsia="Arial" w:hAnsi="Arial"/>
                <w:sz w:val="20"/>
                <w:szCs w:val="20"/>
                <w:color w:val="auto"/>
              </w:rPr>
              <w:t>Total</w:t>
            </w:r>
          </w:p>
        </w:tc>
        <w:tc>
          <w:tcPr>
            <w:tcW w:w="320" w:type="dxa"/>
            <w:vAlign w:val="bottom"/>
            <w:shd w:val="clear" w:color="auto" w:fill="D2EDF0"/>
          </w:tcPr>
          <w:p>
            <w:pPr>
              <w:spacing w:after="0"/>
              <w:rPr>
                <w:sz w:val="24"/>
                <w:szCs w:val="24"/>
                <w:color w:val="auto"/>
              </w:rPr>
            </w:pP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80,057</w:t>
            </w:r>
          </w:p>
        </w:tc>
        <w:tc>
          <w:tcPr>
            <w:tcW w:w="80" w:type="dxa"/>
            <w:vAlign w:val="bottom"/>
            <w:shd w:val="clear" w:color="auto" w:fill="D2EDF0"/>
          </w:tcPr>
          <w:p>
            <w:pPr>
              <w:spacing w:after="0"/>
              <w:rPr>
                <w:sz w:val="24"/>
                <w:szCs w:val="24"/>
                <w:color w:val="auto"/>
              </w:rPr>
            </w:pPr>
          </w:p>
        </w:tc>
        <w:tc>
          <w:tcPr>
            <w:tcW w:w="320" w:type="dxa"/>
            <w:vAlign w:val="bottom"/>
            <w:shd w:val="clear" w:color="auto" w:fill="D2EDF0"/>
          </w:tcPr>
          <w:p>
            <w:pPr>
              <w:spacing w:after="0"/>
              <w:rPr>
                <w:sz w:val="24"/>
                <w:szCs w:val="24"/>
                <w:color w:val="auto"/>
              </w:rPr>
            </w:pP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63,203</w:t>
            </w:r>
          </w:p>
        </w:tc>
      </w:tr>
      <w:tr>
        <w:trPr>
          <w:trHeight w:val="290"/>
        </w:trPr>
        <w:tc>
          <w:tcPr>
            <w:tcW w:w="6200" w:type="dxa"/>
            <w:vAlign w:val="bottom"/>
            <w:tcBorders>
              <w:bottom w:val="single" w:sz="8" w:color="D2EDF0"/>
            </w:tcBorders>
          </w:tcPr>
          <w:p>
            <w:pPr>
              <w:ind w:left="60"/>
              <w:spacing w:after="0"/>
              <w:rPr>
                <w:sz w:val="20"/>
                <w:szCs w:val="20"/>
                <w:color w:val="auto"/>
              </w:rPr>
            </w:pPr>
            <w:r>
              <w:rPr>
                <w:rFonts w:ascii="Arial" w:cs="Arial" w:eastAsia="Arial" w:hAnsi="Arial"/>
                <w:sz w:val="20"/>
                <w:szCs w:val="20"/>
                <w:color w:val="auto"/>
              </w:rPr>
              <w:t>Less: accumulated depreciation and amortization</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(33,331)</w:t>
            </w:r>
          </w:p>
        </w:tc>
        <w:tc>
          <w:tcPr>
            <w:tcW w:w="80" w:type="dxa"/>
            <w:vAlign w:val="bottom"/>
            <w:tcBorders>
              <w:bottom w:val="single" w:sz="8" w:color="D2EDF0"/>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(26,370)</w:t>
            </w:r>
          </w:p>
        </w:tc>
      </w:tr>
      <w:tr>
        <w:trPr>
          <w:trHeight w:val="280"/>
        </w:trPr>
        <w:tc>
          <w:tcPr>
            <w:tcW w:w="6200" w:type="dxa"/>
            <w:vAlign w:val="bottom"/>
            <w:shd w:val="clear" w:color="auto" w:fill="D2EDF0"/>
          </w:tcPr>
          <w:p>
            <w:pPr>
              <w:ind w:left="320"/>
              <w:spacing w:after="0"/>
              <w:rPr>
                <w:sz w:val="20"/>
                <w:szCs w:val="20"/>
                <w:color w:val="auto"/>
              </w:rPr>
            </w:pPr>
            <w:r>
              <w:rPr>
                <w:rFonts w:ascii="Arial" w:cs="Arial" w:eastAsia="Arial" w:hAnsi="Arial"/>
                <w:sz w:val="20"/>
                <w:szCs w:val="20"/>
                <w:color w:val="auto"/>
              </w:rPr>
              <w:t>Property and equipment, net</w:t>
            </w:r>
          </w:p>
        </w:tc>
        <w:tc>
          <w:tcPr>
            <w:tcW w:w="320" w:type="dxa"/>
            <w:vAlign w:val="bottom"/>
            <w:shd w:val="clear" w:color="auto" w:fill="D2EDF0"/>
          </w:tcPr>
          <w:p>
            <w:pPr>
              <w:jc w:val="right"/>
              <w:ind w:right="60"/>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46,726</w:t>
            </w:r>
          </w:p>
        </w:tc>
        <w:tc>
          <w:tcPr>
            <w:tcW w:w="400" w:type="dxa"/>
            <w:vAlign w:val="bottom"/>
            <w:gridSpan w:val="2"/>
            <w:shd w:val="clear" w:color="auto" w:fill="D2EDF0"/>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36,833</w:t>
            </w:r>
          </w:p>
        </w:tc>
      </w:tr>
      <w:tr>
        <w:trPr>
          <w:trHeight w:val="20"/>
        </w:trPr>
        <w:tc>
          <w:tcPr>
            <w:tcW w:w="6200" w:type="dxa"/>
            <w:vAlign w:val="bottom"/>
            <w:tcBorders>
              <w:top w:val="single" w:sz="8" w:color="D2EDF0"/>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-37465</wp:posOffset>
            </wp:positionV>
            <wp:extent cx="178117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81175" cy="38100"/>
                    </a:xfrm>
                    <a:prstGeom prst="rect">
                      <a:avLst/>
                    </a:prstGeom>
                    <a:noFill/>
                  </pic:spPr>
                </pic:pic>
              </a:graphicData>
            </a:graphic>
          </wp:anchor>
        </w:drawing>
      </w:r>
    </w:p>
    <w:p>
      <w:pPr>
        <w:spacing w:after="0" w:line="234" w:lineRule="exact"/>
        <w:rPr>
          <w:sz w:val="20"/>
          <w:szCs w:val="20"/>
          <w:color w:val="auto"/>
        </w:rPr>
      </w:pPr>
    </w:p>
    <w:p>
      <w:pPr>
        <w:ind w:right="220" w:firstLine="360"/>
        <w:spacing w:after="0" w:line="287" w:lineRule="auto"/>
        <w:rPr>
          <w:sz w:val="20"/>
          <w:szCs w:val="20"/>
          <w:color w:val="auto"/>
        </w:rPr>
      </w:pPr>
      <w:r>
        <w:rPr>
          <w:rFonts w:ascii="Arial" w:cs="Arial" w:eastAsia="Arial" w:hAnsi="Arial"/>
          <w:sz w:val="20"/>
          <w:szCs w:val="20"/>
          <w:color w:val="auto"/>
        </w:rPr>
        <w:t>Depreciation and amortization related to property and equipment was $10.8 million, $9.5 million and $8.1 million in 2022, 2021 and 2020, respectively.</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6. Acquisitions, Goodwill and Intangible Assets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Business Combinations</w:t>
      </w:r>
    </w:p>
    <w:p>
      <w:pPr>
        <w:spacing w:after="0" w:line="249" w:lineRule="exact"/>
        <w:rPr>
          <w:sz w:val="20"/>
          <w:szCs w:val="20"/>
          <w:color w:val="auto"/>
        </w:rPr>
      </w:pPr>
    </w:p>
    <w:p>
      <w:pPr>
        <w:ind w:right="80" w:firstLine="360"/>
        <w:spacing w:after="0" w:line="259" w:lineRule="auto"/>
        <w:rPr>
          <w:sz w:val="20"/>
          <w:szCs w:val="20"/>
          <w:color w:val="auto"/>
        </w:rPr>
      </w:pPr>
      <w:r>
        <w:rPr>
          <w:rFonts w:ascii="Arial" w:cs="Arial" w:eastAsia="Arial" w:hAnsi="Arial"/>
          <w:sz w:val="20"/>
          <w:szCs w:val="20"/>
          <w:color w:val="auto"/>
        </w:rPr>
        <w:t>In June 2022, we acquired Bit Discovery, a leader in external attack surface management (EASM). Adding Bit Discovery's EASM capabilities to our solutions provides customers with a comprehensive view of their attack surface and helps identify and eliminate areas of risk. We acquired 100% of Bit Discovery's equity for $43.8 million in cash, net of cash acquired of $2.0 million, through a share purchase agreement.</w:t>
      </w:r>
    </w:p>
    <w:p>
      <w:pPr>
        <w:spacing w:after="0" w:line="199" w:lineRule="exact"/>
        <w:rPr>
          <w:sz w:val="20"/>
          <w:szCs w:val="20"/>
          <w:color w:val="auto"/>
        </w:rPr>
      </w:pPr>
    </w:p>
    <w:p>
      <w:pPr>
        <w:ind w:right="200" w:firstLine="360"/>
        <w:spacing w:after="0" w:line="262" w:lineRule="auto"/>
        <w:rPr>
          <w:sz w:val="20"/>
          <w:szCs w:val="20"/>
          <w:color w:val="auto"/>
        </w:rPr>
      </w:pPr>
      <w:r>
        <w:rPr>
          <w:rFonts w:ascii="Arial" w:cs="Arial" w:eastAsia="Arial" w:hAnsi="Arial"/>
          <w:sz w:val="20"/>
          <w:szCs w:val="20"/>
          <w:color w:val="auto"/>
        </w:rPr>
        <w:t>In February 2022, we acquired Cymptom, a platform that proactively measures, maps and prioritizes probable attack paths, and enables security teams to preemptively focus response ahead of and during breaches. Through a share purchase agreement, we acquired 100% of Cymptom's equity in exchange for cash consideration, net of cash acquired, for $23.0 million.</w:t>
      </w:r>
    </w:p>
    <w:p>
      <w:pPr>
        <w:spacing w:after="0" w:line="196" w:lineRule="exact"/>
        <w:rPr>
          <w:sz w:val="20"/>
          <w:szCs w:val="20"/>
          <w:color w:val="auto"/>
        </w:rPr>
      </w:pPr>
    </w:p>
    <w:p>
      <w:pPr>
        <w:ind w:right="60" w:firstLine="360"/>
        <w:spacing w:after="0" w:line="259" w:lineRule="auto"/>
        <w:rPr>
          <w:sz w:val="20"/>
          <w:szCs w:val="20"/>
          <w:color w:val="auto"/>
        </w:rPr>
      </w:pPr>
      <w:r>
        <w:rPr>
          <w:rFonts w:ascii="Arial" w:cs="Arial" w:eastAsia="Arial" w:hAnsi="Arial"/>
          <w:sz w:val="20"/>
          <w:szCs w:val="20"/>
          <w:color w:val="auto"/>
        </w:rPr>
        <w:t>In October 2021, we acquired Accurics. Accurics delivers cloud-native security for DevOps and security teams. This acquisition expanded our broader cloud strategy to include the holistic assessment and automated remediation of policy violations and breach paths before the infrastructure is provisioned and throughout its lifecycle. We acquired 100% of the equity in exchange for cash consideration of $160.0 million, net of cash acquired of $9.6 million.</w:t>
      </w:r>
    </w:p>
    <w:p>
      <w:pPr>
        <w:spacing w:after="0" w:line="199" w:lineRule="exact"/>
        <w:rPr>
          <w:sz w:val="20"/>
          <w:szCs w:val="20"/>
          <w:color w:val="auto"/>
        </w:rPr>
      </w:pPr>
    </w:p>
    <w:p>
      <w:pPr>
        <w:ind w:right="80" w:firstLine="360"/>
        <w:spacing w:after="0" w:line="276" w:lineRule="auto"/>
        <w:rPr>
          <w:sz w:val="20"/>
          <w:szCs w:val="20"/>
          <w:color w:val="auto"/>
        </w:rPr>
      </w:pPr>
      <w:r>
        <w:rPr>
          <w:rFonts w:ascii="Arial" w:cs="Arial" w:eastAsia="Arial" w:hAnsi="Arial"/>
          <w:sz w:val="19"/>
          <w:szCs w:val="19"/>
          <w:color w:val="auto"/>
        </w:rPr>
        <w:t>In April 2021, we acquired Alsid, which expanded our product offerings to include active directory security. Active directory is the basis for managing user permissions across on-premises and hybrid cloud deployments and is foundational to the security of cloud workloads, security remote work, and adopting zero trust architectures. Through a share purchase agreement, we acquired 100% of Alsid's equity in exchange for cash consideration of $98.5 million, net of cash acquired of $3.3 million.</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101</w:t>
      </w:r>
    </w:p>
    <w:p>
      <w:pPr>
        <w:sectPr>
          <w:pgSz w:w="11880" w:h="15480" w:orient="portrait"/>
          <w:cols w:equalWidth="0" w:num="1">
            <w:col w:w="9000"/>
          </w:cols>
          <w:pgMar w:left="1440" w:top="1203" w:right="1440" w:bottom="0" w:gutter="0" w:footer="0" w:header="0"/>
          <w:type w:val="continuous"/>
        </w:sectPr>
      </w:pPr>
    </w:p>
    <w:bookmarkStart w:id="193" w:name="page194"/>
    <w:bookmarkEnd w:id="193"/>
    <w:p>
      <w:pPr>
        <w:ind w:left="360"/>
        <w:spacing w:after="0"/>
        <w:rPr>
          <w:sz w:val="20"/>
          <w:szCs w:val="20"/>
          <w:color w:val="auto"/>
        </w:rPr>
      </w:pPr>
      <w:r>
        <w:rPr>
          <w:rFonts w:ascii="Arial" w:cs="Arial" w:eastAsia="Arial" w:hAnsi="Arial"/>
          <w:sz w:val="20"/>
          <w:szCs w:val="20"/>
          <w:color w:val="auto"/>
        </w:rPr>
        <w:t>Cash consideration, net of cash acquired, was allocated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36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02"/>
              <w:spacing w:after="0"/>
              <w:rPr>
                <w:sz w:val="20"/>
                <w:szCs w:val="20"/>
                <w:color w:val="auto"/>
              </w:rPr>
            </w:pPr>
            <w:r>
              <w:rPr>
                <w:rFonts w:ascii="Arial" w:cs="Arial" w:eastAsia="Arial" w:hAnsi="Arial"/>
                <w:sz w:val="18"/>
                <w:szCs w:val="18"/>
                <w:b w:val="1"/>
                <w:bCs w:val="1"/>
                <w:color w:val="auto"/>
              </w:rPr>
              <w:t>Accurics</w:t>
            </w:r>
          </w:p>
        </w:tc>
        <w:tc>
          <w:tcPr>
            <w:tcW w:w="60" w:type="dxa"/>
            <w:vAlign w:val="bottom"/>
            <w:tcBorders>
              <w:bottom w:val="single" w:sz="8" w:color="D2EDF0"/>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8"/>
                <w:szCs w:val="18"/>
                <w:b w:val="1"/>
                <w:bCs w:val="1"/>
                <w:color w:val="auto"/>
              </w:rPr>
              <w:t>Alsid</w:t>
            </w:r>
          </w:p>
        </w:tc>
        <w:tc>
          <w:tcPr>
            <w:tcW w:w="60" w:type="dxa"/>
            <w:vAlign w:val="bottom"/>
            <w:tcBorders>
              <w:bottom w:val="single" w:sz="8" w:color="D2EDF0"/>
            </w:tcBorders>
          </w:tcPr>
          <w:p>
            <w:pPr>
              <w:spacing w:after="0"/>
              <w:rPr>
                <w:sz w:val="20"/>
                <w:szCs w:val="20"/>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Bit Discovery</w:t>
            </w:r>
          </w:p>
        </w:tc>
        <w:tc>
          <w:tcPr>
            <w:tcW w:w="60" w:type="dxa"/>
            <w:vAlign w:val="bottom"/>
            <w:tcBorders>
              <w:bottom w:val="single" w:sz="8" w:color="D2EDF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b w:val="1"/>
                <w:bCs w:val="1"/>
                <w:color w:val="auto"/>
              </w:rPr>
              <w:t>Cymptom</w:t>
            </w:r>
          </w:p>
        </w:tc>
      </w:tr>
      <w:tr>
        <w:trPr>
          <w:trHeight w:val="290"/>
        </w:trPr>
        <w:tc>
          <w:tcPr>
            <w:tcW w:w="3360" w:type="dxa"/>
            <w:vAlign w:val="bottom"/>
            <w:shd w:val="clear" w:color="auto" w:fill="D2EDF0"/>
          </w:tcPr>
          <w:p>
            <w:pPr>
              <w:ind w:left="60"/>
              <w:spacing w:after="0"/>
              <w:rPr>
                <w:sz w:val="20"/>
                <w:szCs w:val="20"/>
                <w:color w:val="auto"/>
              </w:rPr>
            </w:pPr>
            <w:r>
              <w:rPr>
                <w:rFonts w:ascii="Arial" w:cs="Arial" w:eastAsia="Arial" w:hAnsi="Arial"/>
                <w:sz w:val="20"/>
                <w:szCs w:val="20"/>
                <w:color w:val="auto"/>
              </w:rPr>
              <w:t>Intangible assets</w:t>
            </w:r>
          </w:p>
        </w:tc>
        <w:tc>
          <w:tcPr>
            <w:tcW w:w="2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33,390</w:t>
            </w:r>
          </w:p>
        </w:tc>
        <w:tc>
          <w:tcPr>
            <w:tcW w:w="380" w:type="dxa"/>
            <w:vAlign w:val="bottom"/>
            <w:gridSpan w:val="2"/>
            <w:shd w:val="clear" w:color="auto" w:fill="D2EDF0"/>
          </w:tcPr>
          <w:p>
            <w:pPr>
              <w:jc w:val="right"/>
              <w:ind w:right="160"/>
              <w:spacing w:after="0"/>
              <w:rPr>
                <w:sz w:val="20"/>
                <w:szCs w:val="20"/>
                <w:color w:val="auto"/>
              </w:rPr>
            </w:pPr>
            <w:r>
              <w:rPr>
                <w:rFonts w:ascii="Arial" w:cs="Arial" w:eastAsia="Arial" w:hAnsi="Arial"/>
                <w:sz w:val="20"/>
                <w:szCs w:val="20"/>
                <w:color w:val="auto"/>
              </w:rPr>
              <w:t>$</w:t>
            </w:r>
          </w:p>
        </w:tc>
        <w:tc>
          <w:tcPr>
            <w:tcW w:w="1060" w:type="dxa"/>
            <w:vAlign w:val="bottom"/>
            <w:shd w:val="clear" w:color="auto" w:fill="D2EDF0"/>
          </w:tcPr>
          <w:p>
            <w:pPr>
              <w:jc w:val="right"/>
              <w:ind w:right="2"/>
              <w:spacing w:after="0"/>
              <w:rPr>
                <w:sz w:val="20"/>
                <w:szCs w:val="20"/>
                <w:color w:val="auto"/>
              </w:rPr>
            </w:pPr>
            <w:r>
              <w:rPr>
                <w:rFonts w:ascii="Arial" w:cs="Arial" w:eastAsia="Arial" w:hAnsi="Arial"/>
                <w:sz w:val="20"/>
                <w:szCs w:val="20"/>
                <w:color w:val="auto"/>
              </w:rPr>
              <w:t>31,400</w:t>
            </w:r>
          </w:p>
        </w:tc>
        <w:tc>
          <w:tcPr>
            <w:tcW w:w="460" w:type="dxa"/>
            <w:vAlign w:val="bottom"/>
            <w:gridSpan w:val="2"/>
            <w:shd w:val="clear" w:color="auto" w:fill="D2EDF0"/>
          </w:tcPr>
          <w:p>
            <w:pPr>
              <w:jc w:val="right"/>
              <w:ind w:right="150"/>
              <w:spacing w:after="0"/>
              <w:rPr>
                <w:sz w:val="20"/>
                <w:szCs w:val="20"/>
                <w:color w:val="auto"/>
              </w:rPr>
            </w:pPr>
            <w:r>
              <w:rPr>
                <w:rFonts w:ascii="Arial" w:cs="Arial" w:eastAsia="Arial" w:hAnsi="Arial"/>
                <w:sz w:val="20"/>
                <w:szCs w:val="20"/>
                <w:color w:val="auto"/>
              </w:rPr>
              <w:t>$</w:t>
            </w:r>
          </w:p>
        </w:tc>
        <w:tc>
          <w:tcPr>
            <w:tcW w:w="9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11,100</w:t>
            </w:r>
          </w:p>
        </w:tc>
        <w:tc>
          <w:tcPr>
            <w:tcW w:w="280" w:type="dxa"/>
            <w:vAlign w:val="bottom"/>
            <w:gridSpan w:val="2"/>
            <w:shd w:val="clear" w:color="auto" w:fill="D2EDF0"/>
          </w:tcPr>
          <w:p>
            <w:pPr>
              <w:jc w:val="right"/>
              <w:ind w:right="60"/>
              <w:spacing w:after="0"/>
              <w:rPr>
                <w:sz w:val="20"/>
                <w:szCs w:val="20"/>
                <w:color w:val="auto"/>
              </w:rPr>
            </w:pPr>
            <w:r>
              <w:rPr>
                <w:rFonts w:ascii="Arial" w:cs="Arial" w:eastAsia="Arial" w:hAnsi="Arial"/>
                <w:sz w:val="20"/>
                <w:szCs w:val="20"/>
                <w:color w:val="auto"/>
              </w:rPr>
              <w:t>$</w:t>
            </w:r>
          </w:p>
        </w:tc>
        <w:tc>
          <w:tcPr>
            <w:tcW w:w="11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4,113</w:t>
            </w:r>
          </w:p>
        </w:tc>
      </w:tr>
      <w:tr>
        <w:trPr>
          <w:trHeight w:val="296"/>
        </w:trPr>
        <w:tc>
          <w:tcPr>
            <w:tcW w:w="3360" w:type="dxa"/>
            <w:vAlign w:val="bottom"/>
          </w:tcPr>
          <w:p>
            <w:pPr>
              <w:ind w:left="60"/>
              <w:spacing w:after="0"/>
              <w:rPr>
                <w:sz w:val="20"/>
                <w:szCs w:val="20"/>
                <w:color w:val="auto"/>
              </w:rPr>
            </w:pPr>
            <w:r>
              <w:rPr>
                <w:rFonts w:ascii="Arial" w:cs="Arial" w:eastAsia="Arial" w:hAnsi="Arial"/>
                <w:sz w:val="20"/>
                <w:szCs w:val="20"/>
                <w:color w:val="auto"/>
              </w:rPr>
              <w:t>Goodwill</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134,909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Arial" w:cs="Arial" w:eastAsia="Arial" w:hAnsi="Arial"/>
                <w:sz w:val="20"/>
                <w:szCs w:val="20"/>
                <w:color w:val="auto"/>
              </w:rPr>
              <w:t>72,291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35,946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18,960</w:t>
            </w:r>
          </w:p>
        </w:tc>
      </w:tr>
      <w:tr>
        <w:trPr>
          <w:trHeight w:val="304"/>
        </w:trPr>
        <w:tc>
          <w:tcPr>
            <w:tcW w:w="3360" w:type="dxa"/>
            <w:vAlign w:val="bottom"/>
            <w:shd w:val="clear" w:color="auto" w:fill="D2EDF0"/>
          </w:tcPr>
          <w:p>
            <w:pPr>
              <w:ind w:left="60"/>
              <w:spacing w:after="0"/>
              <w:rPr>
                <w:sz w:val="20"/>
                <w:szCs w:val="20"/>
                <w:color w:val="auto"/>
              </w:rPr>
            </w:pPr>
            <w:r>
              <w:rPr>
                <w:rFonts w:ascii="Arial" w:cs="Arial" w:eastAsia="Arial" w:hAnsi="Arial"/>
                <w:sz w:val="20"/>
                <w:szCs w:val="20"/>
                <w:color w:val="auto"/>
              </w:rPr>
              <w:t>Other liabilities, net</w:t>
            </w:r>
          </w:p>
        </w:tc>
        <w:tc>
          <w:tcPr>
            <w:tcW w:w="240" w:type="dxa"/>
            <w:vAlign w:val="bottom"/>
            <w:shd w:val="clear" w:color="auto" w:fill="D2EDF0"/>
          </w:tcPr>
          <w:p>
            <w:pPr>
              <w:spacing w:after="0"/>
              <w:rPr>
                <w:sz w:val="24"/>
                <w:szCs w:val="24"/>
                <w:color w:val="auto"/>
              </w:rPr>
            </w:pPr>
          </w:p>
        </w:tc>
        <w:tc>
          <w:tcPr>
            <w:tcW w:w="11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(386)</w:t>
            </w:r>
          </w:p>
        </w:tc>
        <w:tc>
          <w:tcPr>
            <w:tcW w:w="60" w:type="dxa"/>
            <w:vAlign w:val="bottom"/>
            <w:shd w:val="clear" w:color="auto" w:fill="D2EDF0"/>
          </w:tcPr>
          <w:p>
            <w:pPr>
              <w:spacing w:after="0"/>
              <w:rPr>
                <w:sz w:val="24"/>
                <w:szCs w:val="24"/>
                <w:color w:val="auto"/>
              </w:rPr>
            </w:pPr>
          </w:p>
        </w:tc>
        <w:tc>
          <w:tcPr>
            <w:tcW w:w="320" w:type="dxa"/>
            <w:vAlign w:val="bottom"/>
            <w:shd w:val="clear" w:color="auto" w:fill="D2EDF0"/>
          </w:tcPr>
          <w:p>
            <w:pPr>
              <w:spacing w:after="0"/>
              <w:rPr>
                <w:sz w:val="24"/>
                <w:szCs w:val="24"/>
                <w:color w:val="auto"/>
              </w:rPr>
            </w:pPr>
          </w:p>
        </w:tc>
        <w:tc>
          <w:tcPr>
            <w:tcW w:w="10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(1,084)</w:t>
            </w:r>
          </w:p>
        </w:tc>
        <w:tc>
          <w:tcPr>
            <w:tcW w:w="60" w:type="dxa"/>
            <w:vAlign w:val="bottom"/>
            <w:shd w:val="clear" w:color="auto" w:fill="D2EDF0"/>
          </w:tcPr>
          <w:p>
            <w:pPr>
              <w:spacing w:after="0"/>
              <w:rPr>
                <w:sz w:val="24"/>
                <w:szCs w:val="24"/>
                <w:color w:val="auto"/>
              </w:rPr>
            </w:pPr>
          </w:p>
        </w:tc>
        <w:tc>
          <w:tcPr>
            <w:tcW w:w="400" w:type="dxa"/>
            <w:vAlign w:val="bottom"/>
            <w:shd w:val="clear" w:color="auto" w:fill="D2EDF0"/>
          </w:tcPr>
          <w:p>
            <w:pPr>
              <w:spacing w:after="0"/>
              <w:rPr>
                <w:sz w:val="24"/>
                <w:szCs w:val="24"/>
                <w:color w:val="auto"/>
              </w:rPr>
            </w:pPr>
          </w:p>
        </w:tc>
        <w:tc>
          <w:tcPr>
            <w:tcW w:w="9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(779)</w:t>
            </w:r>
          </w:p>
        </w:tc>
        <w:tc>
          <w:tcPr>
            <w:tcW w:w="60" w:type="dxa"/>
            <w:vAlign w:val="bottom"/>
            <w:shd w:val="clear" w:color="auto" w:fill="D2EDF0"/>
          </w:tcPr>
          <w:p>
            <w:pPr>
              <w:spacing w:after="0"/>
              <w:rPr>
                <w:sz w:val="24"/>
                <w:szCs w:val="24"/>
                <w:color w:val="auto"/>
              </w:rPr>
            </w:pPr>
          </w:p>
        </w:tc>
        <w:tc>
          <w:tcPr>
            <w:tcW w:w="220" w:type="dxa"/>
            <w:vAlign w:val="bottom"/>
            <w:shd w:val="clear" w:color="auto" w:fill="D2EDF0"/>
          </w:tcPr>
          <w:p>
            <w:pPr>
              <w:spacing w:after="0"/>
              <w:rPr>
                <w:sz w:val="24"/>
                <w:szCs w:val="24"/>
                <w:color w:val="auto"/>
              </w:rPr>
            </w:pPr>
          </w:p>
        </w:tc>
        <w:tc>
          <w:tcPr>
            <w:tcW w:w="11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(241)</w:t>
            </w:r>
          </w:p>
        </w:tc>
      </w:tr>
      <w:tr>
        <w:trPr>
          <w:trHeight w:val="290"/>
        </w:trPr>
        <w:tc>
          <w:tcPr>
            <w:tcW w:w="3360" w:type="dxa"/>
            <w:vAlign w:val="bottom"/>
            <w:tcBorders>
              <w:bottom w:val="single" w:sz="8" w:color="D2EDF0"/>
            </w:tcBorders>
          </w:tcPr>
          <w:p>
            <w:pPr>
              <w:ind w:left="40"/>
              <w:spacing w:after="0"/>
              <w:rPr>
                <w:sz w:val="20"/>
                <w:szCs w:val="20"/>
                <w:color w:val="auto"/>
              </w:rPr>
            </w:pPr>
            <w:r>
              <w:rPr>
                <w:rFonts w:ascii="Arial" w:cs="Arial" w:eastAsia="Arial" w:hAnsi="Arial"/>
                <w:sz w:val="20"/>
                <w:szCs w:val="20"/>
                <w:color w:val="auto"/>
              </w:rPr>
              <w:t>Deferred tax (liabilities) assets, net</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(7,937)</w:t>
            </w:r>
          </w:p>
        </w:tc>
        <w:tc>
          <w:tcPr>
            <w:tcW w:w="60" w:type="dxa"/>
            <w:vAlign w:val="bottom"/>
            <w:tcBorders>
              <w:bottom w:val="single" w:sz="8" w:color="D2EDF0"/>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(4,118)</w:t>
            </w:r>
          </w:p>
        </w:tc>
        <w:tc>
          <w:tcPr>
            <w:tcW w:w="60" w:type="dxa"/>
            <w:vAlign w:val="bottom"/>
            <w:tcBorders>
              <w:bottom w:val="single" w:sz="8" w:color="D2EDF0"/>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(2,460)</w:t>
            </w:r>
          </w:p>
        </w:tc>
        <w:tc>
          <w:tcPr>
            <w:tcW w:w="60" w:type="dxa"/>
            <w:vAlign w:val="bottom"/>
            <w:tcBorders>
              <w:bottom w:val="single" w:sz="8" w:color="D2EDF0"/>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w:t>
            </w:r>
          </w:p>
        </w:tc>
      </w:tr>
      <w:tr>
        <w:trPr>
          <w:trHeight w:val="280"/>
        </w:trPr>
        <w:tc>
          <w:tcPr>
            <w:tcW w:w="3360" w:type="dxa"/>
            <w:vAlign w:val="bottom"/>
            <w:shd w:val="clear" w:color="auto" w:fill="D2EDF0"/>
          </w:tcPr>
          <w:p>
            <w:pPr>
              <w:ind w:left="280"/>
              <w:spacing w:after="0"/>
              <w:rPr>
                <w:sz w:val="20"/>
                <w:szCs w:val="20"/>
                <w:color w:val="auto"/>
              </w:rPr>
            </w:pPr>
            <w:r>
              <w:rPr>
                <w:rFonts w:ascii="Arial" w:cs="Arial" w:eastAsia="Arial" w:hAnsi="Arial"/>
                <w:sz w:val="20"/>
                <w:szCs w:val="20"/>
                <w:color w:val="auto"/>
              </w:rPr>
              <w:t>Total purchase price allocation</w:t>
            </w:r>
          </w:p>
        </w:tc>
        <w:tc>
          <w:tcPr>
            <w:tcW w:w="2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159,976</w:t>
            </w:r>
          </w:p>
        </w:tc>
        <w:tc>
          <w:tcPr>
            <w:tcW w:w="380" w:type="dxa"/>
            <w:vAlign w:val="bottom"/>
            <w:gridSpan w:val="2"/>
            <w:shd w:val="clear" w:color="auto" w:fill="D2EDF0"/>
          </w:tcPr>
          <w:p>
            <w:pPr>
              <w:jc w:val="right"/>
              <w:ind w:right="160"/>
              <w:spacing w:after="0"/>
              <w:rPr>
                <w:sz w:val="20"/>
                <w:szCs w:val="20"/>
                <w:color w:val="auto"/>
              </w:rPr>
            </w:pPr>
            <w:r>
              <w:rPr>
                <w:rFonts w:ascii="Arial" w:cs="Arial" w:eastAsia="Arial" w:hAnsi="Arial"/>
                <w:sz w:val="20"/>
                <w:szCs w:val="20"/>
                <w:color w:val="auto"/>
              </w:rPr>
              <w:t>$</w:t>
            </w:r>
          </w:p>
        </w:tc>
        <w:tc>
          <w:tcPr>
            <w:tcW w:w="1060" w:type="dxa"/>
            <w:vAlign w:val="bottom"/>
            <w:shd w:val="clear" w:color="auto" w:fill="D2EDF0"/>
          </w:tcPr>
          <w:p>
            <w:pPr>
              <w:jc w:val="right"/>
              <w:ind w:right="2"/>
              <w:spacing w:after="0"/>
              <w:rPr>
                <w:sz w:val="20"/>
                <w:szCs w:val="20"/>
                <w:color w:val="auto"/>
              </w:rPr>
            </w:pPr>
            <w:r>
              <w:rPr>
                <w:rFonts w:ascii="Arial" w:cs="Arial" w:eastAsia="Arial" w:hAnsi="Arial"/>
                <w:sz w:val="20"/>
                <w:szCs w:val="20"/>
                <w:color w:val="auto"/>
              </w:rPr>
              <w:t>98,489</w:t>
            </w:r>
          </w:p>
        </w:tc>
        <w:tc>
          <w:tcPr>
            <w:tcW w:w="460" w:type="dxa"/>
            <w:vAlign w:val="bottom"/>
            <w:gridSpan w:val="2"/>
            <w:shd w:val="clear" w:color="auto" w:fill="D2EDF0"/>
          </w:tcPr>
          <w:p>
            <w:pPr>
              <w:jc w:val="right"/>
              <w:ind w:right="150"/>
              <w:spacing w:after="0"/>
              <w:rPr>
                <w:sz w:val="20"/>
                <w:szCs w:val="20"/>
                <w:color w:val="auto"/>
              </w:rPr>
            </w:pPr>
            <w:r>
              <w:rPr>
                <w:rFonts w:ascii="Arial" w:cs="Arial" w:eastAsia="Arial" w:hAnsi="Arial"/>
                <w:sz w:val="20"/>
                <w:szCs w:val="20"/>
                <w:color w:val="auto"/>
              </w:rPr>
              <w:t>$</w:t>
            </w:r>
          </w:p>
        </w:tc>
        <w:tc>
          <w:tcPr>
            <w:tcW w:w="9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43,807</w:t>
            </w:r>
          </w:p>
        </w:tc>
        <w:tc>
          <w:tcPr>
            <w:tcW w:w="280" w:type="dxa"/>
            <w:vAlign w:val="bottom"/>
            <w:gridSpan w:val="2"/>
            <w:shd w:val="clear" w:color="auto" w:fill="D2EDF0"/>
          </w:tcPr>
          <w:p>
            <w:pPr>
              <w:jc w:val="right"/>
              <w:ind w:right="60"/>
              <w:spacing w:after="0"/>
              <w:rPr>
                <w:sz w:val="20"/>
                <w:szCs w:val="20"/>
                <w:color w:val="auto"/>
              </w:rPr>
            </w:pPr>
            <w:r>
              <w:rPr>
                <w:rFonts w:ascii="Arial" w:cs="Arial" w:eastAsia="Arial" w:hAnsi="Arial"/>
                <w:sz w:val="20"/>
                <w:szCs w:val="20"/>
                <w:color w:val="auto"/>
              </w:rPr>
              <w:t>$</w:t>
            </w:r>
          </w:p>
        </w:tc>
        <w:tc>
          <w:tcPr>
            <w:tcW w:w="11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22,960</w:t>
            </w:r>
          </w:p>
        </w:tc>
      </w:tr>
      <w:tr>
        <w:trPr>
          <w:trHeight w:val="20"/>
        </w:trPr>
        <w:tc>
          <w:tcPr>
            <w:tcW w:w="3360" w:type="dxa"/>
            <w:vAlign w:val="bottom"/>
            <w:tcBorders>
              <w:top w:val="single" w:sz="8" w:color="D2EDF0"/>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EDF0"/>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EDF0"/>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EDF0"/>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2133600</wp:posOffset>
            </wp:positionH>
            <wp:positionV relativeFrom="paragraph">
              <wp:posOffset>-37465</wp:posOffset>
            </wp:positionV>
            <wp:extent cx="358140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81400" cy="38100"/>
                    </a:xfrm>
                    <a:prstGeom prst="rect">
                      <a:avLst/>
                    </a:prstGeom>
                    <a:noFill/>
                  </pic:spPr>
                </pic:pic>
              </a:graphicData>
            </a:graphic>
          </wp:anchor>
        </w:drawing>
      </w:r>
    </w:p>
    <w:p>
      <w:pPr>
        <w:spacing w:after="0" w:line="234" w:lineRule="exact"/>
        <w:rPr>
          <w:sz w:val="20"/>
          <w:szCs w:val="20"/>
          <w:color w:val="auto"/>
        </w:rPr>
      </w:pPr>
    </w:p>
    <w:p>
      <w:pPr>
        <w:ind w:right="620" w:firstLine="360"/>
        <w:spacing w:after="0" w:line="287" w:lineRule="auto"/>
        <w:rPr>
          <w:sz w:val="20"/>
          <w:szCs w:val="20"/>
          <w:color w:val="auto"/>
        </w:rPr>
      </w:pPr>
      <w:r>
        <w:rPr>
          <w:rFonts w:ascii="Arial" w:cs="Arial" w:eastAsia="Arial" w:hAnsi="Arial"/>
          <w:sz w:val="20"/>
          <w:szCs w:val="20"/>
          <w:color w:val="auto"/>
        </w:rPr>
        <w:t>We are still finalizing the allocations of the purchase price, which may change as additional information becomes available related to income taxes for Bit Discovery.</w:t>
      </w:r>
    </w:p>
    <w:p>
      <w:pPr>
        <w:spacing w:after="0" w:line="170" w:lineRule="exact"/>
        <w:rPr>
          <w:sz w:val="20"/>
          <w:szCs w:val="20"/>
          <w:color w:val="auto"/>
        </w:rPr>
      </w:pPr>
    </w:p>
    <w:p>
      <w:pPr>
        <w:ind w:right="680" w:firstLine="360"/>
        <w:spacing w:after="0" w:line="287" w:lineRule="auto"/>
        <w:rPr>
          <w:sz w:val="20"/>
          <w:szCs w:val="20"/>
          <w:color w:val="auto"/>
        </w:rPr>
      </w:pPr>
      <w:r>
        <w:rPr>
          <w:rFonts w:ascii="Arial" w:cs="Arial" w:eastAsia="Arial" w:hAnsi="Arial"/>
          <w:sz w:val="20"/>
          <w:szCs w:val="20"/>
          <w:color w:val="auto"/>
        </w:rPr>
        <w:t>Acquired intangible assets and their estimated useful lives at the date of acquisition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360" w:type="dxa"/>
            <w:vAlign w:val="bottom"/>
          </w:tcPr>
          <w:p>
            <w:pPr>
              <w:spacing w:after="0"/>
              <w:rPr>
                <w:sz w:val="20"/>
                <w:szCs w:val="20"/>
                <w:color w:val="auto"/>
              </w:rPr>
            </w:pPr>
          </w:p>
        </w:tc>
        <w:tc>
          <w:tcPr>
            <w:tcW w:w="18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rPr>
              <w:t>Accurics</w:t>
            </w:r>
          </w:p>
        </w:tc>
        <w:tc>
          <w:tcPr>
            <w:tcW w:w="60" w:type="dxa"/>
            <w:vAlign w:val="bottom"/>
          </w:tcPr>
          <w:p>
            <w:pPr>
              <w:spacing w:after="0"/>
              <w:rPr>
                <w:sz w:val="20"/>
                <w:szCs w:val="20"/>
                <w:color w:val="auto"/>
              </w:rPr>
            </w:pPr>
          </w:p>
        </w:tc>
        <w:tc>
          <w:tcPr>
            <w:tcW w:w="186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rPr>
              <w:t>Alsid</w:t>
            </w:r>
          </w:p>
        </w:tc>
        <w:tc>
          <w:tcPr>
            <w:tcW w:w="60" w:type="dxa"/>
            <w:vAlign w:val="bottom"/>
          </w:tcPr>
          <w:p>
            <w:pPr>
              <w:spacing w:after="0"/>
              <w:rPr>
                <w:sz w:val="20"/>
                <w:szCs w:val="20"/>
                <w:color w:val="auto"/>
              </w:rPr>
            </w:pPr>
          </w:p>
        </w:tc>
        <w:tc>
          <w:tcPr>
            <w:tcW w:w="186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rPr>
              <w:t>Bit Discovery</w:t>
            </w:r>
          </w:p>
        </w:tc>
        <w:tc>
          <w:tcPr>
            <w:tcW w:w="60" w:type="dxa"/>
            <w:vAlign w:val="bottom"/>
          </w:tcPr>
          <w:p>
            <w:pPr>
              <w:spacing w:after="0"/>
              <w:rPr>
                <w:sz w:val="20"/>
                <w:szCs w:val="20"/>
                <w:color w:val="auto"/>
              </w:rPr>
            </w:pPr>
          </w:p>
        </w:tc>
        <w:tc>
          <w:tcPr>
            <w:tcW w:w="186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Cymptom</w:t>
            </w:r>
          </w:p>
        </w:tc>
        <w:tc>
          <w:tcPr>
            <w:tcW w:w="0" w:type="dxa"/>
            <w:vAlign w:val="bottom"/>
          </w:tcPr>
          <w:p>
            <w:pPr>
              <w:spacing w:after="0"/>
              <w:rPr>
                <w:sz w:val="1"/>
                <w:szCs w:val="1"/>
                <w:color w:val="auto"/>
              </w:rPr>
            </w:pPr>
          </w:p>
        </w:tc>
      </w:tr>
      <w:tr>
        <w:trPr>
          <w:trHeight w:val="207"/>
        </w:trPr>
        <w:tc>
          <w:tcPr>
            <w:tcW w:w="13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(dollars in</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Estimated</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Estimated</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Estimated</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9"/>
              </w:rPr>
              <w:t>Estimated</w:t>
            </w:r>
          </w:p>
        </w:tc>
        <w:tc>
          <w:tcPr>
            <w:tcW w:w="0" w:type="dxa"/>
            <w:vAlign w:val="bottom"/>
          </w:tcPr>
          <w:p>
            <w:pPr>
              <w:spacing w:after="0"/>
              <w:rPr>
                <w:sz w:val="1"/>
                <w:szCs w:val="1"/>
                <w:color w:val="auto"/>
              </w:rPr>
            </w:pPr>
          </w:p>
        </w:tc>
      </w:tr>
      <w:tr>
        <w:trPr>
          <w:trHeight w:val="180"/>
        </w:trPr>
        <w:tc>
          <w:tcPr>
            <w:tcW w:w="1360" w:type="dxa"/>
            <w:vAlign w:val="bottom"/>
            <w:vMerge w:val="continue"/>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Cost</w:t>
            </w:r>
          </w:p>
        </w:tc>
        <w:tc>
          <w:tcPr>
            <w:tcW w:w="8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8"/>
              </w:rPr>
              <w:t>Useful</w:t>
            </w:r>
          </w:p>
        </w:tc>
        <w:tc>
          <w:tcPr>
            <w:tcW w:w="6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Cost</w:t>
            </w:r>
          </w:p>
        </w:tc>
        <w:tc>
          <w:tcPr>
            <w:tcW w:w="6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8"/>
              </w:rPr>
              <w:t>Useful</w:t>
            </w:r>
          </w:p>
        </w:tc>
        <w:tc>
          <w:tcPr>
            <w:tcW w:w="6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Cost</w:t>
            </w:r>
          </w:p>
        </w:tc>
        <w:tc>
          <w:tcPr>
            <w:tcW w:w="6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8"/>
              </w:rPr>
              <w:t>Useful</w:t>
            </w:r>
          </w:p>
        </w:tc>
        <w:tc>
          <w:tcPr>
            <w:tcW w:w="60" w:type="dxa"/>
            <w:vAlign w:val="bottom"/>
          </w:tcPr>
          <w:p>
            <w:pPr>
              <w:spacing w:after="0"/>
              <w:rPr>
                <w:sz w:val="15"/>
                <w:szCs w:val="15"/>
                <w:color w:val="auto"/>
              </w:rPr>
            </w:pPr>
          </w:p>
        </w:tc>
        <w:tc>
          <w:tcPr>
            <w:tcW w:w="780" w:type="dxa"/>
            <w:vAlign w:val="bottom"/>
            <w:vMerge w:val="restart"/>
          </w:tcPr>
          <w:p>
            <w:pPr>
              <w:jc w:val="right"/>
              <w:ind w:right="87"/>
              <w:spacing w:after="0"/>
              <w:rPr>
                <w:sz w:val="20"/>
                <w:szCs w:val="20"/>
                <w:color w:val="auto"/>
              </w:rPr>
            </w:pPr>
            <w:r>
              <w:rPr>
                <w:rFonts w:ascii="Arial" w:cs="Arial" w:eastAsia="Arial" w:hAnsi="Arial"/>
                <w:sz w:val="18"/>
                <w:szCs w:val="18"/>
                <w:b w:val="1"/>
                <w:bCs w:val="1"/>
                <w:color w:val="auto"/>
              </w:rPr>
              <w:t>Cost</w:t>
            </w:r>
          </w:p>
        </w:tc>
        <w:tc>
          <w:tcPr>
            <w:tcW w:w="6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8"/>
              </w:rPr>
              <w:t>Useful</w:t>
            </w:r>
          </w:p>
        </w:tc>
        <w:tc>
          <w:tcPr>
            <w:tcW w:w="0" w:type="dxa"/>
            <w:vAlign w:val="bottom"/>
          </w:tcPr>
          <w:p>
            <w:pPr>
              <w:spacing w:after="0"/>
              <w:rPr>
                <w:sz w:val="1"/>
                <w:szCs w:val="1"/>
                <w:color w:val="auto"/>
              </w:rPr>
            </w:pPr>
          </w:p>
        </w:tc>
      </w:tr>
      <w:tr>
        <w:trPr>
          <w:trHeight w:val="238"/>
        </w:trPr>
        <w:tc>
          <w:tcPr>
            <w:tcW w:w="136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thousands)</w:t>
            </w:r>
          </w:p>
        </w:tc>
        <w:tc>
          <w:tcPr>
            <w:tcW w:w="7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D2EDF0"/>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60" w:type="dxa"/>
            <w:vAlign w:val="bottom"/>
            <w:tcBorders>
              <w:bottom w:val="single" w:sz="8" w:color="D2EDF0"/>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D2EDF0"/>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60" w:type="dxa"/>
            <w:vAlign w:val="bottom"/>
            <w:tcBorders>
              <w:bottom w:val="single" w:sz="8" w:color="D2EDF0"/>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D2EDF0"/>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60" w:type="dxa"/>
            <w:vAlign w:val="bottom"/>
            <w:tcBorders>
              <w:bottom w:val="single" w:sz="8" w:color="D2EDF0"/>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D2EDF0"/>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198"/>
        </w:trPr>
        <w:tc>
          <w:tcPr>
            <w:tcW w:w="1360" w:type="dxa"/>
            <w:vAlign w:val="bottom"/>
            <w:shd w:val="clear" w:color="auto" w:fill="D2EDF0"/>
          </w:tcPr>
          <w:p>
            <w:pPr>
              <w:ind w:left="60"/>
              <w:spacing w:after="0" w:line="198" w:lineRule="exact"/>
              <w:rPr>
                <w:sz w:val="20"/>
                <w:szCs w:val="20"/>
                <w:color w:val="auto"/>
              </w:rPr>
            </w:pPr>
            <w:r>
              <w:rPr>
                <w:rFonts w:ascii="Arial" w:cs="Arial" w:eastAsia="Arial" w:hAnsi="Arial"/>
                <w:sz w:val="20"/>
                <w:szCs w:val="20"/>
                <w:color w:val="auto"/>
              </w:rPr>
              <w:t>Acquired</w:t>
            </w:r>
          </w:p>
        </w:tc>
        <w:tc>
          <w:tcPr>
            <w:tcW w:w="780" w:type="dxa"/>
            <w:vAlign w:val="bottom"/>
            <w:vMerge w:val="restart"/>
            <w:shd w:val="clear" w:color="auto" w:fill="D2EDF0"/>
          </w:tcPr>
          <w:p>
            <w:pPr>
              <w:jc w:val="center"/>
              <w:spacing w:after="0"/>
              <w:rPr>
                <w:sz w:val="20"/>
                <w:szCs w:val="20"/>
                <w:color w:val="auto"/>
              </w:rPr>
            </w:pPr>
            <w:r>
              <w:rPr>
                <w:rFonts w:ascii="Arial" w:cs="Arial" w:eastAsia="Arial" w:hAnsi="Arial"/>
                <w:sz w:val="20"/>
                <w:szCs w:val="20"/>
                <w:color w:val="auto"/>
                <w:w w:val="99"/>
              </w:rPr>
              <w:t>$33,300</w:t>
            </w:r>
          </w:p>
        </w:tc>
        <w:tc>
          <w:tcPr>
            <w:tcW w:w="80" w:type="dxa"/>
            <w:vAlign w:val="bottom"/>
            <w:shd w:val="clear" w:color="auto" w:fill="D2EDF0"/>
          </w:tcPr>
          <w:p>
            <w:pPr>
              <w:spacing w:after="0"/>
              <w:rPr>
                <w:sz w:val="17"/>
                <w:szCs w:val="17"/>
                <w:color w:val="auto"/>
              </w:rPr>
            </w:pPr>
          </w:p>
        </w:tc>
        <w:tc>
          <w:tcPr>
            <w:tcW w:w="1020" w:type="dxa"/>
            <w:vAlign w:val="bottom"/>
            <w:vMerge w:val="restart"/>
            <w:shd w:val="clear" w:color="auto" w:fill="D2EDF0"/>
          </w:tcPr>
          <w:p>
            <w:pPr>
              <w:jc w:val="center"/>
              <w:spacing w:after="0"/>
              <w:rPr>
                <w:sz w:val="20"/>
                <w:szCs w:val="20"/>
                <w:color w:val="auto"/>
              </w:rPr>
            </w:pPr>
            <w:r>
              <w:rPr>
                <w:rFonts w:ascii="Arial" w:cs="Arial" w:eastAsia="Arial" w:hAnsi="Arial"/>
                <w:sz w:val="20"/>
                <w:szCs w:val="20"/>
                <w:color w:val="auto"/>
              </w:rPr>
              <w:t>10 years</w:t>
            </w:r>
          </w:p>
        </w:tc>
        <w:tc>
          <w:tcPr>
            <w:tcW w:w="840" w:type="dxa"/>
            <w:vAlign w:val="bottom"/>
            <w:gridSpan w:val="2"/>
            <w:vMerge w:val="restart"/>
            <w:shd w:val="clear" w:color="auto" w:fill="D2EDF0"/>
          </w:tcPr>
          <w:p>
            <w:pPr>
              <w:jc w:val="center"/>
              <w:ind w:left="20"/>
              <w:spacing w:after="0"/>
              <w:rPr>
                <w:sz w:val="20"/>
                <w:szCs w:val="20"/>
                <w:color w:val="auto"/>
              </w:rPr>
            </w:pPr>
            <w:r>
              <w:rPr>
                <w:rFonts w:ascii="Arial" w:cs="Arial" w:eastAsia="Arial" w:hAnsi="Arial"/>
                <w:sz w:val="20"/>
                <w:szCs w:val="20"/>
                <w:color w:val="auto"/>
                <w:w w:val="99"/>
              </w:rPr>
              <w:t>$31,300</w:t>
            </w:r>
          </w:p>
        </w:tc>
        <w:tc>
          <w:tcPr>
            <w:tcW w:w="60" w:type="dxa"/>
            <w:vAlign w:val="bottom"/>
            <w:shd w:val="clear" w:color="auto" w:fill="D2EDF0"/>
          </w:tcPr>
          <w:p>
            <w:pPr>
              <w:spacing w:after="0"/>
              <w:rPr>
                <w:sz w:val="17"/>
                <w:szCs w:val="17"/>
                <w:color w:val="auto"/>
              </w:rPr>
            </w:pPr>
          </w:p>
        </w:tc>
        <w:tc>
          <w:tcPr>
            <w:tcW w:w="1020" w:type="dxa"/>
            <w:vAlign w:val="bottom"/>
            <w:vMerge w:val="restart"/>
            <w:shd w:val="clear" w:color="auto" w:fill="D2EDF0"/>
          </w:tcPr>
          <w:p>
            <w:pPr>
              <w:jc w:val="center"/>
              <w:spacing w:after="0"/>
              <w:rPr>
                <w:sz w:val="20"/>
                <w:szCs w:val="20"/>
                <w:color w:val="auto"/>
              </w:rPr>
            </w:pPr>
            <w:r>
              <w:rPr>
                <w:rFonts w:ascii="Arial" w:cs="Arial" w:eastAsia="Arial" w:hAnsi="Arial"/>
                <w:sz w:val="20"/>
                <w:szCs w:val="20"/>
                <w:color w:val="auto"/>
              </w:rPr>
              <w:t>7 years</w:t>
            </w:r>
          </w:p>
        </w:tc>
        <w:tc>
          <w:tcPr>
            <w:tcW w:w="840" w:type="dxa"/>
            <w:vAlign w:val="bottom"/>
            <w:gridSpan w:val="2"/>
            <w:vMerge w:val="restart"/>
            <w:shd w:val="clear" w:color="auto" w:fill="D2EDF0"/>
          </w:tcPr>
          <w:p>
            <w:pPr>
              <w:jc w:val="center"/>
              <w:ind w:left="20"/>
              <w:spacing w:after="0"/>
              <w:rPr>
                <w:sz w:val="20"/>
                <w:szCs w:val="20"/>
                <w:color w:val="auto"/>
              </w:rPr>
            </w:pPr>
            <w:r>
              <w:rPr>
                <w:rFonts w:ascii="Arial" w:cs="Arial" w:eastAsia="Arial" w:hAnsi="Arial"/>
                <w:sz w:val="20"/>
                <w:szCs w:val="20"/>
                <w:color w:val="auto"/>
                <w:w w:val="99"/>
              </w:rPr>
              <w:t>$11,000</w:t>
            </w:r>
          </w:p>
        </w:tc>
        <w:tc>
          <w:tcPr>
            <w:tcW w:w="60" w:type="dxa"/>
            <w:vAlign w:val="bottom"/>
            <w:shd w:val="clear" w:color="auto" w:fill="D2EDF0"/>
          </w:tcPr>
          <w:p>
            <w:pPr>
              <w:spacing w:after="0"/>
              <w:rPr>
                <w:sz w:val="17"/>
                <w:szCs w:val="17"/>
                <w:color w:val="auto"/>
              </w:rPr>
            </w:pPr>
          </w:p>
        </w:tc>
        <w:tc>
          <w:tcPr>
            <w:tcW w:w="1020" w:type="dxa"/>
            <w:vAlign w:val="bottom"/>
            <w:vMerge w:val="restart"/>
            <w:shd w:val="clear" w:color="auto" w:fill="D2EDF0"/>
          </w:tcPr>
          <w:p>
            <w:pPr>
              <w:jc w:val="center"/>
              <w:spacing w:after="0"/>
              <w:rPr>
                <w:sz w:val="20"/>
                <w:szCs w:val="20"/>
                <w:color w:val="auto"/>
              </w:rPr>
            </w:pPr>
            <w:r>
              <w:rPr>
                <w:rFonts w:ascii="Arial" w:cs="Arial" w:eastAsia="Arial" w:hAnsi="Arial"/>
                <w:sz w:val="20"/>
                <w:szCs w:val="20"/>
                <w:color w:val="auto"/>
              </w:rPr>
              <w:t>7 years</w:t>
            </w:r>
          </w:p>
        </w:tc>
        <w:tc>
          <w:tcPr>
            <w:tcW w:w="840" w:type="dxa"/>
            <w:vAlign w:val="bottom"/>
            <w:gridSpan w:val="2"/>
            <w:vMerge w:val="restart"/>
            <w:shd w:val="clear" w:color="auto" w:fill="D2EDF0"/>
          </w:tcPr>
          <w:p>
            <w:pPr>
              <w:jc w:val="right"/>
              <w:spacing w:after="0"/>
              <w:rPr>
                <w:sz w:val="20"/>
                <w:szCs w:val="20"/>
                <w:color w:val="auto"/>
              </w:rPr>
            </w:pPr>
            <w:r>
              <w:rPr>
                <w:rFonts w:ascii="Arial" w:cs="Arial" w:eastAsia="Arial" w:hAnsi="Arial"/>
                <w:sz w:val="20"/>
                <w:szCs w:val="20"/>
                <w:color w:val="auto"/>
              </w:rPr>
              <w:t>$ 4,113</w:t>
            </w:r>
          </w:p>
        </w:tc>
        <w:tc>
          <w:tcPr>
            <w:tcW w:w="60" w:type="dxa"/>
            <w:vAlign w:val="bottom"/>
            <w:shd w:val="clear" w:color="auto" w:fill="D2EDF0"/>
          </w:tcPr>
          <w:p>
            <w:pPr>
              <w:spacing w:after="0"/>
              <w:rPr>
                <w:sz w:val="17"/>
                <w:szCs w:val="17"/>
                <w:color w:val="auto"/>
              </w:rPr>
            </w:pPr>
          </w:p>
        </w:tc>
        <w:tc>
          <w:tcPr>
            <w:tcW w:w="1020" w:type="dxa"/>
            <w:vAlign w:val="bottom"/>
            <w:vMerge w:val="restart"/>
            <w:shd w:val="clear" w:color="auto" w:fill="D2EDF0"/>
          </w:tcPr>
          <w:p>
            <w:pPr>
              <w:jc w:val="center"/>
              <w:spacing w:after="0"/>
              <w:rPr>
                <w:sz w:val="20"/>
                <w:szCs w:val="20"/>
                <w:color w:val="auto"/>
              </w:rPr>
            </w:pPr>
            <w:r>
              <w:rPr>
                <w:rFonts w:ascii="Arial" w:cs="Arial" w:eastAsia="Arial" w:hAnsi="Arial"/>
                <w:sz w:val="20"/>
                <w:szCs w:val="20"/>
                <w:color w:val="auto"/>
              </w:rPr>
              <w:t>7 years</w:t>
            </w:r>
          </w:p>
        </w:tc>
        <w:tc>
          <w:tcPr>
            <w:tcW w:w="0" w:type="dxa"/>
            <w:vAlign w:val="bottom"/>
          </w:tcPr>
          <w:p>
            <w:pPr>
              <w:spacing w:after="0"/>
              <w:rPr>
                <w:sz w:val="1"/>
                <w:szCs w:val="1"/>
                <w:color w:val="auto"/>
              </w:rPr>
            </w:pPr>
          </w:p>
        </w:tc>
      </w:tr>
      <w:tr>
        <w:trPr>
          <w:trHeight w:val="272"/>
        </w:trPr>
        <w:tc>
          <w:tcPr>
            <w:tcW w:w="1360" w:type="dxa"/>
            <w:vAlign w:val="bottom"/>
            <w:shd w:val="clear" w:color="auto" w:fill="D2EDF0"/>
          </w:tcPr>
          <w:p>
            <w:pPr>
              <w:ind w:left="60"/>
              <w:spacing w:after="0"/>
              <w:rPr>
                <w:sz w:val="20"/>
                <w:szCs w:val="20"/>
                <w:color w:val="auto"/>
              </w:rPr>
            </w:pPr>
            <w:r>
              <w:rPr>
                <w:rFonts w:ascii="Arial" w:cs="Arial" w:eastAsia="Arial" w:hAnsi="Arial"/>
                <w:sz w:val="20"/>
                <w:szCs w:val="20"/>
                <w:color w:val="auto"/>
              </w:rPr>
              <w:t>technology</w:t>
            </w:r>
          </w:p>
        </w:tc>
        <w:tc>
          <w:tcPr>
            <w:tcW w:w="780" w:type="dxa"/>
            <w:vAlign w:val="bottom"/>
            <w:vMerge w:val="continue"/>
            <w:shd w:val="clear" w:color="auto" w:fill="D2EDF0"/>
          </w:tcPr>
          <w:p>
            <w:pPr>
              <w:spacing w:after="0"/>
              <w:rPr>
                <w:sz w:val="23"/>
                <w:szCs w:val="23"/>
                <w:color w:val="auto"/>
              </w:rPr>
            </w:pPr>
          </w:p>
        </w:tc>
        <w:tc>
          <w:tcPr>
            <w:tcW w:w="80" w:type="dxa"/>
            <w:vAlign w:val="bottom"/>
            <w:shd w:val="clear" w:color="auto" w:fill="D2EDF0"/>
          </w:tcPr>
          <w:p>
            <w:pPr>
              <w:spacing w:after="0"/>
              <w:rPr>
                <w:sz w:val="23"/>
                <w:szCs w:val="23"/>
                <w:color w:val="auto"/>
              </w:rPr>
            </w:pPr>
          </w:p>
        </w:tc>
        <w:tc>
          <w:tcPr>
            <w:tcW w:w="1020" w:type="dxa"/>
            <w:vAlign w:val="bottom"/>
            <w:vMerge w:val="continue"/>
            <w:shd w:val="clear" w:color="auto" w:fill="D2EDF0"/>
          </w:tcPr>
          <w:p>
            <w:pPr>
              <w:spacing w:after="0"/>
              <w:rPr>
                <w:sz w:val="23"/>
                <w:szCs w:val="23"/>
                <w:color w:val="auto"/>
              </w:rPr>
            </w:pPr>
          </w:p>
        </w:tc>
        <w:tc>
          <w:tcPr>
            <w:tcW w:w="840" w:type="dxa"/>
            <w:vAlign w:val="bottom"/>
            <w:gridSpan w:val="2"/>
            <w:vMerge w:val="continue"/>
            <w:shd w:val="clear" w:color="auto" w:fill="D2EDF0"/>
          </w:tcPr>
          <w:p>
            <w:pPr>
              <w:spacing w:after="0"/>
              <w:rPr>
                <w:sz w:val="23"/>
                <w:szCs w:val="23"/>
                <w:color w:val="auto"/>
              </w:rPr>
            </w:pPr>
          </w:p>
        </w:tc>
        <w:tc>
          <w:tcPr>
            <w:tcW w:w="60" w:type="dxa"/>
            <w:vAlign w:val="bottom"/>
            <w:shd w:val="clear" w:color="auto" w:fill="D2EDF0"/>
          </w:tcPr>
          <w:p>
            <w:pPr>
              <w:spacing w:after="0"/>
              <w:rPr>
                <w:sz w:val="23"/>
                <w:szCs w:val="23"/>
                <w:color w:val="auto"/>
              </w:rPr>
            </w:pPr>
          </w:p>
        </w:tc>
        <w:tc>
          <w:tcPr>
            <w:tcW w:w="1020" w:type="dxa"/>
            <w:vAlign w:val="bottom"/>
            <w:vMerge w:val="continue"/>
            <w:shd w:val="clear" w:color="auto" w:fill="D2EDF0"/>
          </w:tcPr>
          <w:p>
            <w:pPr>
              <w:spacing w:after="0"/>
              <w:rPr>
                <w:sz w:val="23"/>
                <w:szCs w:val="23"/>
                <w:color w:val="auto"/>
              </w:rPr>
            </w:pPr>
          </w:p>
        </w:tc>
        <w:tc>
          <w:tcPr>
            <w:tcW w:w="840" w:type="dxa"/>
            <w:vAlign w:val="bottom"/>
            <w:gridSpan w:val="2"/>
            <w:vMerge w:val="continue"/>
            <w:shd w:val="clear" w:color="auto" w:fill="D2EDF0"/>
          </w:tcPr>
          <w:p>
            <w:pPr>
              <w:spacing w:after="0"/>
              <w:rPr>
                <w:sz w:val="23"/>
                <w:szCs w:val="23"/>
                <w:color w:val="auto"/>
              </w:rPr>
            </w:pPr>
          </w:p>
        </w:tc>
        <w:tc>
          <w:tcPr>
            <w:tcW w:w="60" w:type="dxa"/>
            <w:vAlign w:val="bottom"/>
            <w:shd w:val="clear" w:color="auto" w:fill="D2EDF0"/>
          </w:tcPr>
          <w:p>
            <w:pPr>
              <w:spacing w:after="0"/>
              <w:rPr>
                <w:sz w:val="23"/>
                <w:szCs w:val="23"/>
                <w:color w:val="auto"/>
              </w:rPr>
            </w:pPr>
          </w:p>
        </w:tc>
        <w:tc>
          <w:tcPr>
            <w:tcW w:w="1020" w:type="dxa"/>
            <w:vAlign w:val="bottom"/>
            <w:vMerge w:val="continue"/>
            <w:shd w:val="clear" w:color="auto" w:fill="D2EDF0"/>
          </w:tcPr>
          <w:p>
            <w:pPr>
              <w:spacing w:after="0"/>
              <w:rPr>
                <w:sz w:val="23"/>
                <w:szCs w:val="23"/>
                <w:color w:val="auto"/>
              </w:rPr>
            </w:pPr>
          </w:p>
        </w:tc>
        <w:tc>
          <w:tcPr>
            <w:tcW w:w="840" w:type="dxa"/>
            <w:vAlign w:val="bottom"/>
            <w:gridSpan w:val="2"/>
            <w:vMerge w:val="continue"/>
            <w:shd w:val="clear" w:color="auto" w:fill="D2EDF0"/>
          </w:tcPr>
          <w:p>
            <w:pPr>
              <w:spacing w:after="0"/>
              <w:rPr>
                <w:sz w:val="23"/>
                <w:szCs w:val="23"/>
                <w:color w:val="auto"/>
              </w:rPr>
            </w:pPr>
          </w:p>
        </w:tc>
        <w:tc>
          <w:tcPr>
            <w:tcW w:w="60" w:type="dxa"/>
            <w:vAlign w:val="bottom"/>
            <w:shd w:val="clear" w:color="auto" w:fill="D2EDF0"/>
          </w:tcPr>
          <w:p>
            <w:pPr>
              <w:spacing w:after="0"/>
              <w:rPr>
                <w:sz w:val="23"/>
                <w:szCs w:val="23"/>
                <w:color w:val="auto"/>
              </w:rPr>
            </w:pPr>
          </w:p>
        </w:tc>
        <w:tc>
          <w:tcPr>
            <w:tcW w:w="1020" w:type="dxa"/>
            <w:vAlign w:val="bottom"/>
            <w:vMerge w:val="continue"/>
            <w:shd w:val="clear" w:color="auto" w:fill="D2EDF0"/>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1360" w:type="dxa"/>
            <w:vAlign w:val="bottom"/>
          </w:tcPr>
          <w:p>
            <w:pPr>
              <w:ind w:left="60"/>
              <w:spacing w:after="0"/>
              <w:rPr>
                <w:sz w:val="20"/>
                <w:szCs w:val="20"/>
                <w:color w:val="auto"/>
              </w:rPr>
            </w:pPr>
            <w:r>
              <w:rPr>
                <w:rFonts w:ascii="Arial" w:cs="Arial" w:eastAsia="Arial" w:hAnsi="Arial"/>
                <w:sz w:val="20"/>
                <w:szCs w:val="20"/>
                <w:color w:val="auto"/>
              </w:rPr>
              <w:t>Trade name</w:t>
            </w:r>
          </w:p>
        </w:tc>
        <w:tc>
          <w:tcPr>
            <w:tcW w:w="780" w:type="dxa"/>
            <w:vAlign w:val="bottom"/>
          </w:tcPr>
          <w:p>
            <w:pPr>
              <w:jc w:val="right"/>
              <w:spacing w:after="0"/>
              <w:rPr>
                <w:sz w:val="20"/>
                <w:szCs w:val="20"/>
                <w:color w:val="auto"/>
              </w:rPr>
            </w:pPr>
            <w:r>
              <w:rPr>
                <w:rFonts w:ascii="Arial" w:cs="Arial" w:eastAsia="Arial" w:hAnsi="Arial"/>
                <w:sz w:val="20"/>
                <w:szCs w:val="20"/>
                <w:color w:val="auto"/>
              </w:rPr>
              <w:t>90</w:t>
            </w: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rPr>
              <w:t>2 years</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100</w:t>
            </w:r>
          </w:p>
        </w:tc>
        <w:tc>
          <w:tcPr>
            <w:tcW w:w="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97"/>
              </w:rPr>
              <w:t>1 year</w:t>
            </w:r>
          </w:p>
        </w:tc>
        <w:tc>
          <w:tcPr>
            <w:tcW w:w="840" w:type="dxa"/>
            <w:vAlign w:val="bottom"/>
            <w:gridSpan w:val="2"/>
          </w:tcPr>
          <w:p>
            <w:pPr>
              <w:ind w:left="420"/>
              <w:spacing w:after="0"/>
              <w:rPr>
                <w:sz w:val="20"/>
                <w:szCs w:val="20"/>
                <w:color w:val="auto"/>
              </w:rPr>
            </w:pPr>
            <w:r>
              <w:rPr>
                <w:rFonts w:ascii="Arial" w:cs="Arial" w:eastAsia="Arial" w:hAnsi="Arial"/>
                <w:sz w:val="20"/>
                <w:szCs w:val="20"/>
                <w:color w:val="auto"/>
              </w:rPr>
              <w:t>100</w:t>
            </w:r>
          </w:p>
        </w:tc>
        <w:tc>
          <w:tcPr>
            <w:tcW w:w="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97"/>
              </w:rPr>
              <w:t>1 year</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360" w:type="dxa"/>
            <w:vAlign w:val="bottom"/>
            <w:tcBorders>
              <w:top w:val="single" w:sz="8" w:color="D2EDF0"/>
            </w:tcBorders>
            <w:shd w:val="clear" w:color="auto" w:fill="D2EDF0"/>
          </w:tcPr>
          <w:p>
            <w:pPr>
              <w:ind w:left="280"/>
              <w:spacing w:after="0" w:line="193" w:lineRule="exact"/>
              <w:rPr>
                <w:sz w:val="20"/>
                <w:szCs w:val="20"/>
                <w:color w:val="auto"/>
              </w:rPr>
            </w:pPr>
            <w:r>
              <w:rPr>
                <w:rFonts w:ascii="Arial" w:cs="Arial" w:eastAsia="Arial" w:hAnsi="Arial"/>
                <w:sz w:val="20"/>
                <w:szCs w:val="20"/>
                <w:color w:val="auto"/>
              </w:rPr>
              <w:t>Acquired</w:t>
            </w:r>
          </w:p>
        </w:tc>
        <w:tc>
          <w:tcPr>
            <w:tcW w:w="780" w:type="dxa"/>
            <w:vAlign w:val="bottom"/>
            <w:tcBorders>
              <w:top w:val="single" w:sz="8" w:color="auto"/>
            </w:tcBorders>
            <w:shd w:val="clear" w:color="auto" w:fill="D2EDF0"/>
          </w:tcPr>
          <w:p>
            <w:pPr>
              <w:spacing w:after="0"/>
              <w:rPr>
                <w:sz w:val="16"/>
                <w:szCs w:val="16"/>
                <w:color w:val="auto"/>
              </w:rPr>
            </w:pPr>
          </w:p>
        </w:tc>
        <w:tc>
          <w:tcPr>
            <w:tcW w:w="80" w:type="dxa"/>
            <w:vAlign w:val="bottom"/>
            <w:tcBorders>
              <w:top w:val="single" w:sz="8" w:color="D2EDF0"/>
            </w:tcBorders>
            <w:shd w:val="clear" w:color="auto" w:fill="D2EDF0"/>
          </w:tcPr>
          <w:p>
            <w:pPr>
              <w:spacing w:after="0"/>
              <w:rPr>
                <w:sz w:val="16"/>
                <w:szCs w:val="16"/>
                <w:color w:val="auto"/>
              </w:rPr>
            </w:pPr>
          </w:p>
        </w:tc>
        <w:tc>
          <w:tcPr>
            <w:tcW w:w="1020" w:type="dxa"/>
            <w:vAlign w:val="bottom"/>
            <w:tcBorders>
              <w:top w:val="single" w:sz="8" w:color="D2EDF0"/>
            </w:tcBorders>
            <w:shd w:val="clear" w:color="auto" w:fill="D2EDF0"/>
          </w:tcPr>
          <w:p>
            <w:pPr>
              <w:spacing w:after="0"/>
              <w:rPr>
                <w:sz w:val="16"/>
                <w:szCs w:val="16"/>
                <w:color w:val="auto"/>
              </w:rPr>
            </w:pPr>
          </w:p>
        </w:tc>
        <w:tc>
          <w:tcPr>
            <w:tcW w:w="60" w:type="dxa"/>
            <w:vAlign w:val="bottom"/>
            <w:tcBorders>
              <w:top w:val="single" w:sz="8" w:color="D2EDF0"/>
            </w:tcBorders>
            <w:shd w:val="clear" w:color="auto" w:fill="D2EDF0"/>
          </w:tcPr>
          <w:p>
            <w:pPr>
              <w:spacing w:after="0"/>
              <w:rPr>
                <w:sz w:val="16"/>
                <w:szCs w:val="16"/>
                <w:color w:val="auto"/>
              </w:rPr>
            </w:pPr>
          </w:p>
        </w:tc>
        <w:tc>
          <w:tcPr>
            <w:tcW w:w="780" w:type="dxa"/>
            <w:vAlign w:val="bottom"/>
            <w:tcBorders>
              <w:top w:val="single" w:sz="8" w:color="auto"/>
            </w:tcBorders>
            <w:shd w:val="clear" w:color="auto" w:fill="D2EDF0"/>
          </w:tcPr>
          <w:p>
            <w:pPr>
              <w:spacing w:after="0"/>
              <w:rPr>
                <w:sz w:val="16"/>
                <w:szCs w:val="16"/>
                <w:color w:val="auto"/>
              </w:rPr>
            </w:pPr>
          </w:p>
        </w:tc>
        <w:tc>
          <w:tcPr>
            <w:tcW w:w="60" w:type="dxa"/>
            <w:vAlign w:val="bottom"/>
            <w:tcBorders>
              <w:top w:val="single" w:sz="8" w:color="D2EDF0"/>
            </w:tcBorders>
            <w:shd w:val="clear" w:color="auto" w:fill="D2EDF0"/>
          </w:tcPr>
          <w:p>
            <w:pPr>
              <w:spacing w:after="0"/>
              <w:rPr>
                <w:sz w:val="16"/>
                <w:szCs w:val="16"/>
                <w:color w:val="auto"/>
              </w:rPr>
            </w:pPr>
          </w:p>
        </w:tc>
        <w:tc>
          <w:tcPr>
            <w:tcW w:w="1020" w:type="dxa"/>
            <w:vAlign w:val="bottom"/>
            <w:tcBorders>
              <w:top w:val="single" w:sz="8" w:color="D2EDF0"/>
            </w:tcBorders>
            <w:shd w:val="clear" w:color="auto" w:fill="D2EDF0"/>
          </w:tcPr>
          <w:p>
            <w:pPr>
              <w:spacing w:after="0"/>
              <w:rPr>
                <w:sz w:val="16"/>
                <w:szCs w:val="16"/>
                <w:color w:val="auto"/>
              </w:rPr>
            </w:pPr>
          </w:p>
        </w:tc>
        <w:tc>
          <w:tcPr>
            <w:tcW w:w="60" w:type="dxa"/>
            <w:vAlign w:val="bottom"/>
            <w:tcBorders>
              <w:top w:val="single" w:sz="8" w:color="D2EDF0"/>
            </w:tcBorders>
            <w:shd w:val="clear" w:color="auto" w:fill="D2EDF0"/>
          </w:tcPr>
          <w:p>
            <w:pPr>
              <w:spacing w:after="0"/>
              <w:rPr>
                <w:sz w:val="16"/>
                <w:szCs w:val="16"/>
                <w:color w:val="auto"/>
              </w:rPr>
            </w:pPr>
          </w:p>
        </w:tc>
        <w:tc>
          <w:tcPr>
            <w:tcW w:w="780" w:type="dxa"/>
            <w:vAlign w:val="bottom"/>
            <w:tcBorders>
              <w:top w:val="single" w:sz="8" w:color="auto"/>
            </w:tcBorders>
            <w:shd w:val="clear" w:color="auto" w:fill="D2EDF0"/>
          </w:tcPr>
          <w:p>
            <w:pPr>
              <w:spacing w:after="0"/>
              <w:rPr>
                <w:sz w:val="16"/>
                <w:szCs w:val="16"/>
                <w:color w:val="auto"/>
              </w:rPr>
            </w:pPr>
          </w:p>
        </w:tc>
        <w:tc>
          <w:tcPr>
            <w:tcW w:w="60" w:type="dxa"/>
            <w:vAlign w:val="bottom"/>
            <w:tcBorders>
              <w:top w:val="single" w:sz="8" w:color="D2EDF0"/>
            </w:tcBorders>
            <w:shd w:val="clear" w:color="auto" w:fill="D2EDF0"/>
          </w:tcPr>
          <w:p>
            <w:pPr>
              <w:spacing w:after="0"/>
              <w:rPr>
                <w:sz w:val="16"/>
                <w:szCs w:val="16"/>
                <w:color w:val="auto"/>
              </w:rPr>
            </w:pPr>
          </w:p>
        </w:tc>
        <w:tc>
          <w:tcPr>
            <w:tcW w:w="1020" w:type="dxa"/>
            <w:vAlign w:val="bottom"/>
            <w:tcBorders>
              <w:top w:val="single" w:sz="8" w:color="D2EDF0"/>
            </w:tcBorders>
            <w:shd w:val="clear" w:color="auto" w:fill="D2EDF0"/>
          </w:tcPr>
          <w:p>
            <w:pPr>
              <w:spacing w:after="0"/>
              <w:rPr>
                <w:sz w:val="16"/>
                <w:szCs w:val="16"/>
                <w:color w:val="auto"/>
              </w:rPr>
            </w:pPr>
          </w:p>
        </w:tc>
        <w:tc>
          <w:tcPr>
            <w:tcW w:w="60" w:type="dxa"/>
            <w:vAlign w:val="bottom"/>
            <w:tcBorders>
              <w:top w:val="single" w:sz="8" w:color="D2EDF0"/>
            </w:tcBorders>
            <w:shd w:val="clear" w:color="auto" w:fill="D2EDF0"/>
          </w:tcPr>
          <w:p>
            <w:pPr>
              <w:spacing w:after="0"/>
              <w:rPr>
                <w:sz w:val="16"/>
                <w:szCs w:val="16"/>
                <w:color w:val="auto"/>
              </w:rPr>
            </w:pPr>
          </w:p>
        </w:tc>
        <w:tc>
          <w:tcPr>
            <w:tcW w:w="780" w:type="dxa"/>
            <w:vAlign w:val="bottom"/>
            <w:tcBorders>
              <w:top w:val="single" w:sz="8" w:color="auto"/>
            </w:tcBorders>
            <w:shd w:val="clear" w:color="auto" w:fill="D2EDF0"/>
          </w:tcPr>
          <w:p>
            <w:pPr>
              <w:spacing w:after="0"/>
              <w:rPr>
                <w:sz w:val="16"/>
                <w:szCs w:val="16"/>
                <w:color w:val="auto"/>
              </w:rPr>
            </w:pPr>
          </w:p>
        </w:tc>
        <w:tc>
          <w:tcPr>
            <w:tcW w:w="60" w:type="dxa"/>
            <w:vAlign w:val="bottom"/>
            <w:tcBorders>
              <w:top w:val="single" w:sz="8" w:color="D2EDF0"/>
            </w:tcBorders>
            <w:shd w:val="clear" w:color="auto" w:fill="D2EDF0"/>
          </w:tcPr>
          <w:p>
            <w:pPr>
              <w:spacing w:after="0"/>
              <w:rPr>
                <w:sz w:val="16"/>
                <w:szCs w:val="16"/>
                <w:color w:val="auto"/>
              </w:rPr>
            </w:pPr>
          </w:p>
        </w:tc>
        <w:tc>
          <w:tcPr>
            <w:tcW w:w="1020" w:type="dxa"/>
            <w:vAlign w:val="bottom"/>
            <w:tcBorders>
              <w:top w:val="single" w:sz="8" w:color="D2EDF0"/>
            </w:tcBorders>
            <w:shd w:val="clear" w:color="auto" w:fill="D2EDF0"/>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360" w:type="dxa"/>
            <w:vAlign w:val="bottom"/>
            <w:shd w:val="clear" w:color="auto" w:fill="D2EDF0"/>
          </w:tcPr>
          <w:p>
            <w:pPr>
              <w:ind w:left="280"/>
              <w:spacing w:after="0" w:line="200" w:lineRule="exact"/>
              <w:rPr>
                <w:sz w:val="20"/>
                <w:szCs w:val="20"/>
                <w:color w:val="auto"/>
              </w:rPr>
            </w:pPr>
            <w:r>
              <w:rPr>
                <w:rFonts w:ascii="Arial" w:cs="Arial" w:eastAsia="Arial" w:hAnsi="Arial"/>
                <w:sz w:val="20"/>
                <w:szCs w:val="20"/>
                <w:color w:val="auto"/>
              </w:rPr>
              <w:t>intangible</w:t>
            </w:r>
          </w:p>
        </w:tc>
        <w:tc>
          <w:tcPr>
            <w:tcW w:w="780" w:type="dxa"/>
            <w:vAlign w:val="bottom"/>
            <w:vMerge w:val="restart"/>
            <w:shd w:val="clear" w:color="auto" w:fill="D2EDF0"/>
          </w:tcPr>
          <w:p>
            <w:pPr>
              <w:jc w:val="center"/>
              <w:spacing w:after="0"/>
              <w:rPr>
                <w:sz w:val="20"/>
                <w:szCs w:val="20"/>
                <w:color w:val="auto"/>
              </w:rPr>
            </w:pPr>
            <w:r>
              <w:rPr>
                <w:rFonts w:ascii="Arial" w:cs="Arial" w:eastAsia="Arial" w:hAnsi="Arial"/>
                <w:sz w:val="20"/>
                <w:szCs w:val="20"/>
                <w:u w:val="single" w:color="auto"/>
                <w:color w:val="auto"/>
                <w:w w:val="99"/>
              </w:rPr>
              <w:t>$</w:t>
            </w:r>
            <w:r>
              <w:rPr>
                <w:rFonts w:ascii="Arial" w:cs="Arial" w:eastAsia="Arial" w:hAnsi="Arial"/>
                <w:sz w:val="20"/>
                <w:szCs w:val="20"/>
                <w:color w:val="auto"/>
                <w:w w:val="99"/>
              </w:rPr>
              <w:t>33,390</w:t>
            </w:r>
          </w:p>
        </w:tc>
        <w:tc>
          <w:tcPr>
            <w:tcW w:w="80" w:type="dxa"/>
            <w:vAlign w:val="bottom"/>
            <w:shd w:val="clear" w:color="auto" w:fill="D2EDF0"/>
          </w:tcPr>
          <w:p>
            <w:pPr>
              <w:spacing w:after="0"/>
              <w:rPr>
                <w:sz w:val="17"/>
                <w:szCs w:val="17"/>
                <w:color w:val="auto"/>
              </w:rPr>
            </w:pPr>
          </w:p>
        </w:tc>
        <w:tc>
          <w:tcPr>
            <w:tcW w:w="1020" w:type="dxa"/>
            <w:vAlign w:val="bottom"/>
            <w:shd w:val="clear" w:color="auto" w:fill="D2EDF0"/>
          </w:tcPr>
          <w:p>
            <w:pPr>
              <w:spacing w:after="0"/>
              <w:rPr>
                <w:sz w:val="17"/>
                <w:szCs w:val="17"/>
                <w:color w:val="auto"/>
              </w:rPr>
            </w:pPr>
          </w:p>
        </w:tc>
        <w:tc>
          <w:tcPr>
            <w:tcW w:w="840" w:type="dxa"/>
            <w:vAlign w:val="bottom"/>
            <w:gridSpan w:val="2"/>
            <w:vMerge w:val="restart"/>
            <w:shd w:val="clear" w:color="auto" w:fill="D2EDF0"/>
          </w:tcPr>
          <w:p>
            <w:pPr>
              <w:jc w:val="center"/>
              <w:ind w:left="20"/>
              <w:spacing w:after="0"/>
              <w:rPr>
                <w:sz w:val="20"/>
                <w:szCs w:val="20"/>
                <w:color w:val="auto"/>
              </w:rPr>
            </w:pPr>
            <w:r>
              <w:rPr>
                <w:rFonts w:ascii="Arial" w:cs="Arial" w:eastAsia="Arial" w:hAnsi="Arial"/>
                <w:sz w:val="20"/>
                <w:szCs w:val="20"/>
                <w:u w:val="single" w:color="auto"/>
                <w:color w:val="auto"/>
                <w:w w:val="99"/>
              </w:rPr>
              <w:t>$</w:t>
            </w:r>
            <w:r>
              <w:rPr>
                <w:rFonts w:ascii="Arial" w:cs="Arial" w:eastAsia="Arial" w:hAnsi="Arial"/>
                <w:sz w:val="20"/>
                <w:szCs w:val="20"/>
                <w:color w:val="auto"/>
                <w:w w:val="99"/>
              </w:rPr>
              <w:t>31,400</w:t>
            </w:r>
          </w:p>
        </w:tc>
        <w:tc>
          <w:tcPr>
            <w:tcW w:w="60" w:type="dxa"/>
            <w:vAlign w:val="bottom"/>
            <w:shd w:val="clear" w:color="auto" w:fill="D2EDF0"/>
          </w:tcPr>
          <w:p>
            <w:pPr>
              <w:spacing w:after="0"/>
              <w:rPr>
                <w:sz w:val="17"/>
                <w:szCs w:val="17"/>
                <w:color w:val="auto"/>
              </w:rPr>
            </w:pPr>
          </w:p>
        </w:tc>
        <w:tc>
          <w:tcPr>
            <w:tcW w:w="1020" w:type="dxa"/>
            <w:vAlign w:val="bottom"/>
            <w:shd w:val="clear" w:color="auto" w:fill="D2EDF0"/>
          </w:tcPr>
          <w:p>
            <w:pPr>
              <w:spacing w:after="0"/>
              <w:rPr>
                <w:sz w:val="17"/>
                <w:szCs w:val="17"/>
                <w:color w:val="auto"/>
              </w:rPr>
            </w:pPr>
          </w:p>
        </w:tc>
        <w:tc>
          <w:tcPr>
            <w:tcW w:w="840" w:type="dxa"/>
            <w:vAlign w:val="bottom"/>
            <w:gridSpan w:val="2"/>
            <w:vMerge w:val="restart"/>
            <w:shd w:val="clear" w:color="auto" w:fill="D2EDF0"/>
          </w:tcPr>
          <w:p>
            <w:pPr>
              <w:jc w:val="center"/>
              <w:ind w:left="20"/>
              <w:spacing w:after="0"/>
              <w:rPr>
                <w:sz w:val="20"/>
                <w:szCs w:val="20"/>
                <w:color w:val="auto"/>
              </w:rPr>
            </w:pPr>
            <w:r>
              <w:rPr>
                <w:rFonts w:ascii="Arial" w:cs="Arial" w:eastAsia="Arial" w:hAnsi="Arial"/>
                <w:sz w:val="20"/>
                <w:szCs w:val="20"/>
                <w:u w:val="single" w:color="auto"/>
                <w:color w:val="auto"/>
                <w:w w:val="99"/>
              </w:rPr>
              <w:t>$</w:t>
            </w:r>
            <w:r>
              <w:rPr>
                <w:rFonts w:ascii="Arial" w:cs="Arial" w:eastAsia="Arial" w:hAnsi="Arial"/>
                <w:sz w:val="20"/>
                <w:szCs w:val="20"/>
                <w:color w:val="auto"/>
                <w:w w:val="99"/>
              </w:rPr>
              <w:t>11,100</w:t>
            </w:r>
          </w:p>
        </w:tc>
        <w:tc>
          <w:tcPr>
            <w:tcW w:w="60" w:type="dxa"/>
            <w:vAlign w:val="bottom"/>
            <w:shd w:val="clear" w:color="auto" w:fill="D2EDF0"/>
          </w:tcPr>
          <w:p>
            <w:pPr>
              <w:spacing w:after="0"/>
              <w:rPr>
                <w:sz w:val="17"/>
                <w:szCs w:val="17"/>
                <w:color w:val="auto"/>
              </w:rPr>
            </w:pPr>
          </w:p>
        </w:tc>
        <w:tc>
          <w:tcPr>
            <w:tcW w:w="1020" w:type="dxa"/>
            <w:vAlign w:val="bottom"/>
            <w:shd w:val="clear" w:color="auto" w:fill="D2EDF0"/>
          </w:tcPr>
          <w:p>
            <w:pPr>
              <w:spacing w:after="0"/>
              <w:rPr>
                <w:sz w:val="17"/>
                <w:szCs w:val="17"/>
                <w:color w:val="auto"/>
              </w:rPr>
            </w:pPr>
          </w:p>
        </w:tc>
        <w:tc>
          <w:tcPr>
            <w:tcW w:w="840" w:type="dxa"/>
            <w:vAlign w:val="bottom"/>
            <w:gridSpan w:val="2"/>
            <w:vMerge w:val="restart"/>
            <w:shd w:val="clear" w:color="auto" w:fill="D2EDF0"/>
          </w:tcPr>
          <w:p>
            <w:pPr>
              <w:jc w:val="right"/>
              <w:spacing w:after="0"/>
              <w:rPr>
                <w:sz w:val="20"/>
                <w:szCs w:val="20"/>
                <w:color w:val="auto"/>
              </w:rPr>
            </w:pPr>
            <w:r>
              <w:rPr>
                <w:rFonts w:ascii="Arial" w:cs="Arial" w:eastAsia="Arial" w:hAnsi="Arial"/>
                <w:sz w:val="20"/>
                <w:szCs w:val="20"/>
                <w:color w:val="auto"/>
              </w:rPr>
              <w:t>$ 4,113</w:t>
            </w:r>
          </w:p>
        </w:tc>
        <w:tc>
          <w:tcPr>
            <w:tcW w:w="60" w:type="dxa"/>
            <w:vAlign w:val="bottom"/>
            <w:shd w:val="clear" w:color="auto" w:fill="D2EDF0"/>
          </w:tcPr>
          <w:p>
            <w:pPr>
              <w:spacing w:after="0"/>
              <w:rPr>
                <w:sz w:val="17"/>
                <w:szCs w:val="17"/>
                <w:color w:val="auto"/>
              </w:rPr>
            </w:pPr>
          </w:p>
        </w:tc>
        <w:tc>
          <w:tcPr>
            <w:tcW w:w="1020" w:type="dxa"/>
            <w:vAlign w:val="bottom"/>
            <w:shd w:val="clear" w:color="auto" w:fill="D2EDF0"/>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360" w:type="dxa"/>
            <w:vAlign w:val="bottom"/>
            <w:shd w:val="clear" w:color="auto" w:fill="D2EDF0"/>
          </w:tcPr>
          <w:p>
            <w:pPr>
              <w:ind w:left="280"/>
              <w:spacing w:after="0"/>
              <w:rPr>
                <w:sz w:val="20"/>
                <w:szCs w:val="20"/>
                <w:color w:val="auto"/>
              </w:rPr>
            </w:pPr>
            <w:r>
              <w:rPr>
                <w:rFonts w:ascii="Arial" w:cs="Arial" w:eastAsia="Arial" w:hAnsi="Arial"/>
                <w:sz w:val="20"/>
                <w:szCs w:val="20"/>
                <w:color w:val="auto"/>
              </w:rPr>
              <w:t>assets</w:t>
            </w:r>
          </w:p>
        </w:tc>
        <w:tc>
          <w:tcPr>
            <w:tcW w:w="780" w:type="dxa"/>
            <w:vAlign w:val="bottom"/>
            <w:vMerge w:val="continue"/>
            <w:shd w:val="clear" w:color="auto" w:fill="D2EDF0"/>
          </w:tcPr>
          <w:p>
            <w:pPr>
              <w:spacing w:after="0"/>
              <w:rPr>
                <w:sz w:val="22"/>
                <w:szCs w:val="22"/>
                <w:color w:val="auto"/>
              </w:rPr>
            </w:pPr>
          </w:p>
        </w:tc>
        <w:tc>
          <w:tcPr>
            <w:tcW w:w="80" w:type="dxa"/>
            <w:vAlign w:val="bottom"/>
            <w:shd w:val="clear" w:color="auto" w:fill="D2EDF0"/>
          </w:tcPr>
          <w:p>
            <w:pPr>
              <w:spacing w:after="0"/>
              <w:rPr>
                <w:sz w:val="22"/>
                <w:szCs w:val="22"/>
                <w:color w:val="auto"/>
              </w:rPr>
            </w:pPr>
          </w:p>
        </w:tc>
        <w:tc>
          <w:tcPr>
            <w:tcW w:w="1020" w:type="dxa"/>
            <w:vAlign w:val="bottom"/>
            <w:shd w:val="clear" w:color="auto" w:fill="D2EDF0"/>
          </w:tcPr>
          <w:p>
            <w:pPr>
              <w:spacing w:after="0"/>
              <w:rPr>
                <w:sz w:val="22"/>
                <w:szCs w:val="22"/>
                <w:color w:val="auto"/>
              </w:rPr>
            </w:pPr>
          </w:p>
        </w:tc>
        <w:tc>
          <w:tcPr>
            <w:tcW w:w="840" w:type="dxa"/>
            <w:vAlign w:val="bottom"/>
            <w:gridSpan w:val="2"/>
            <w:vMerge w:val="continue"/>
            <w:shd w:val="clear" w:color="auto" w:fill="D2EDF0"/>
          </w:tcPr>
          <w:p>
            <w:pPr>
              <w:spacing w:after="0"/>
              <w:rPr>
                <w:sz w:val="22"/>
                <w:szCs w:val="22"/>
                <w:color w:val="auto"/>
              </w:rPr>
            </w:pPr>
          </w:p>
        </w:tc>
        <w:tc>
          <w:tcPr>
            <w:tcW w:w="60" w:type="dxa"/>
            <w:vAlign w:val="bottom"/>
            <w:shd w:val="clear" w:color="auto" w:fill="D2EDF0"/>
          </w:tcPr>
          <w:p>
            <w:pPr>
              <w:spacing w:after="0"/>
              <w:rPr>
                <w:sz w:val="22"/>
                <w:szCs w:val="22"/>
                <w:color w:val="auto"/>
              </w:rPr>
            </w:pPr>
          </w:p>
        </w:tc>
        <w:tc>
          <w:tcPr>
            <w:tcW w:w="1020" w:type="dxa"/>
            <w:vAlign w:val="bottom"/>
            <w:shd w:val="clear" w:color="auto" w:fill="D2EDF0"/>
          </w:tcPr>
          <w:p>
            <w:pPr>
              <w:spacing w:after="0"/>
              <w:rPr>
                <w:sz w:val="22"/>
                <w:szCs w:val="22"/>
                <w:color w:val="auto"/>
              </w:rPr>
            </w:pPr>
          </w:p>
        </w:tc>
        <w:tc>
          <w:tcPr>
            <w:tcW w:w="840" w:type="dxa"/>
            <w:vAlign w:val="bottom"/>
            <w:gridSpan w:val="2"/>
            <w:vMerge w:val="continue"/>
            <w:shd w:val="clear" w:color="auto" w:fill="D2EDF0"/>
          </w:tcPr>
          <w:p>
            <w:pPr>
              <w:spacing w:after="0"/>
              <w:rPr>
                <w:sz w:val="22"/>
                <w:szCs w:val="22"/>
                <w:color w:val="auto"/>
              </w:rPr>
            </w:pPr>
          </w:p>
        </w:tc>
        <w:tc>
          <w:tcPr>
            <w:tcW w:w="60" w:type="dxa"/>
            <w:vAlign w:val="bottom"/>
            <w:shd w:val="clear" w:color="auto" w:fill="D2EDF0"/>
          </w:tcPr>
          <w:p>
            <w:pPr>
              <w:spacing w:after="0"/>
              <w:rPr>
                <w:sz w:val="22"/>
                <w:szCs w:val="22"/>
                <w:color w:val="auto"/>
              </w:rPr>
            </w:pPr>
          </w:p>
        </w:tc>
        <w:tc>
          <w:tcPr>
            <w:tcW w:w="1020" w:type="dxa"/>
            <w:vAlign w:val="bottom"/>
            <w:shd w:val="clear" w:color="auto" w:fill="D2EDF0"/>
          </w:tcPr>
          <w:p>
            <w:pPr>
              <w:spacing w:after="0"/>
              <w:rPr>
                <w:sz w:val="22"/>
                <w:szCs w:val="22"/>
                <w:color w:val="auto"/>
              </w:rPr>
            </w:pPr>
          </w:p>
        </w:tc>
        <w:tc>
          <w:tcPr>
            <w:tcW w:w="840" w:type="dxa"/>
            <w:vAlign w:val="bottom"/>
            <w:gridSpan w:val="2"/>
            <w:vMerge w:val="continue"/>
            <w:shd w:val="clear" w:color="auto" w:fill="D2EDF0"/>
          </w:tcPr>
          <w:p>
            <w:pPr>
              <w:spacing w:after="0"/>
              <w:rPr>
                <w:sz w:val="22"/>
                <w:szCs w:val="22"/>
                <w:color w:val="auto"/>
              </w:rPr>
            </w:pPr>
          </w:p>
        </w:tc>
        <w:tc>
          <w:tcPr>
            <w:tcW w:w="60" w:type="dxa"/>
            <w:vAlign w:val="bottom"/>
            <w:shd w:val="clear" w:color="auto" w:fill="D2EDF0"/>
          </w:tcPr>
          <w:p>
            <w:pPr>
              <w:spacing w:after="0"/>
              <w:rPr>
                <w:sz w:val="22"/>
                <w:szCs w:val="22"/>
                <w:color w:val="auto"/>
              </w:rPr>
            </w:pPr>
          </w:p>
        </w:tc>
        <w:tc>
          <w:tcPr>
            <w:tcW w:w="1020" w:type="dxa"/>
            <w:vAlign w:val="bottom"/>
            <w:shd w:val="clear" w:color="auto" w:fill="D2EDF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D2EDF0"/>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1020" w:type="dxa"/>
            <w:vAlign w:val="bottom"/>
            <w:tcBorders>
              <w:top w:val="single" w:sz="8" w:color="D2EDF0"/>
            </w:tcBorders>
          </w:tcPr>
          <w:p>
            <w:pPr>
              <w:spacing w:after="0" w:line="20" w:lineRule="exact"/>
              <w:rPr>
                <w:sz w:val="1"/>
                <w:szCs w:val="1"/>
                <w:color w:val="auto"/>
              </w:rPr>
            </w:pPr>
          </w:p>
        </w:tc>
        <w:tc>
          <w:tcPr>
            <w:tcW w:w="60" w:type="dxa"/>
            <w:vAlign w:val="bottom"/>
            <w:tcBorders>
              <w:top w:val="single" w:sz="8" w:color="D2EDF0"/>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EDF0"/>
            </w:tcBorders>
          </w:tcPr>
          <w:p>
            <w:pPr>
              <w:spacing w:after="0" w:line="20" w:lineRule="exact"/>
              <w:rPr>
                <w:sz w:val="1"/>
                <w:szCs w:val="1"/>
                <w:color w:val="auto"/>
              </w:rPr>
            </w:pPr>
          </w:p>
        </w:tc>
        <w:tc>
          <w:tcPr>
            <w:tcW w:w="1020" w:type="dxa"/>
            <w:vAlign w:val="bottom"/>
            <w:tcBorders>
              <w:top w:val="single" w:sz="8" w:color="D2EDF0"/>
            </w:tcBorders>
          </w:tcPr>
          <w:p>
            <w:pPr>
              <w:spacing w:after="0" w:line="20" w:lineRule="exact"/>
              <w:rPr>
                <w:sz w:val="1"/>
                <w:szCs w:val="1"/>
                <w:color w:val="auto"/>
              </w:rPr>
            </w:pPr>
          </w:p>
        </w:tc>
        <w:tc>
          <w:tcPr>
            <w:tcW w:w="60" w:type="dxa"/>
            <w:vAlign w:val="bottom"/>
            <w:tcBorders>
              <w:top w:val="single" w:sz="8" w:color="D2EDF0"/>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EDF0"/>
            </w:tcBorders>
          </w:tcPr>
          <w:p>
            <w:pPr>
              <w:spacing w:after="0" w:line="20" w:lineRule="exact"/>
              <w:rPr>
                <w:sz w:val="1"/>
                <w:szCs w:val="1"/>
                <w:color w:val="auto"/>
              </w:rPr>
            </w:pPr>
          </w:p>
        </w:tc>
        <w:tc>
          <w:tcPr>
            <w:tcW w:w="1020" w:type="dxa"/>
            <w:vAlign w:val="bottom"/>
            <w:tcBorders>
              <w:top w:val="single" w:sz="8" w:color="D2EDF0"/>
            </w:tcBorders>
          </w:tcPr>
          <w:p>
            <w:pPr>
              <w:spacing w:after="0" w:line="20" w:lineRule="exact"/>
              <w:rPr>
                <w:sz w:val="1"/>
                <w:szCs w:val="1"/>
                <w:color w:val="auto"/>
              </w:rPr>
            </w:pPr>
          </w:p>
        </w:tc>
        <w:tc>
          <w:tcPr>
            <w:tcW w:w="60" w:type="dxa"/>
            <w:vAlign w:val="bottom"/>
            <w:tcBorders>
              <w:top w:val="single" w:sz="8" w:color="D2EDF0"/>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EDF0"/>
            </w:tcBorders>
          </w:tcPr>
          <w:p>
            <w:pPr>
              <w:spacing w:after="0" w:line="20" w:lineRule="exact"/>
              <w:rPr>
                <w:sz w:val="1"/>
                <w:szCs w:val="1"/>
                <w:color w:val="auto"/>
              </w:rPr>
            </w:pPr>
          </w:p>
        </w:tc>
        <w:tc>
          <w:tcPr>
            <w:tcW w:w="1020" w:type="dxa"/>
            <w:vAlign w:val="bottom"/>
            <w:tcBorders>
              <w:top w:val="single" w:sz="8" w:color="D2EDF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4533900</wp:posOffset>
            </wp:positionH>
            <wp:positionV relativeFrom="paragraph">
              <wp:posOffset>-37465</wp:posOffset>
            </wp:positionV>
            <wp:extent cx="495300"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5300" cy="38100"/>
                    </a:xfrm>
                    <a:prstGeom prst="rect">
                      <a:avLst/>
                    </a:prstGeom>
                    <a:noFill/>
                  </pic:spPr>
                </pic:pic>
              </a:graphicData>
            </a:graphic>
          </wp:anchor>
        </w:drawing>
      </w:r>
    </w:p>
    <w:p>
      <w:pPr>
        <w:spacing w:after="0" w:line="234" w:lineRule="exact"/>
        <w:rPr>
          <w:sz w:val="20"/>
          <w:szCs w:val="20"/>
          <w:color w:val="auto"/>
        </w:rPr>
      </w:pPr>
    </w:p>
    <w:p>
      <w:pPr>
        <w:ind w:right="320" w:firstLine="360"/>
        <w:spacing w:after="0" w:line="262" w:lineRule="auto"/>
        <w:rPr>
          <w:sz w:val="20"/>
          <w:szCs w:val="20"/>
          <w:color w:val="auto"/>
        </w:rPr>
      </w:pPr>
      <w:r>
        <w:rPr>
          <w:rFonts w:ascii="Arial" w:cs="Arial" w:eastAsia="Arial" w:hAnsi="Arial"/>
          <w:sz w:val="20"/>
          <w:szCs w:val="20"/>
          <w:color w:val="auto"/>
        </w:rPr>
        <w:t>The results of operations of Accurics, Alsid, Bit Discovery and Cymptom are included in our consolidated statements of operations from the applicable acquisition dates and were not material. Pro forma results of operations are not presented as they are not material to the consolidated statements of operations.</w:t>
      </w:r>
    </w:p>
    <w:p>
      <w:pPr>
        <w:spacing w:after="0" w:line="196" w:lineRule="exact"/>
        <w:rPr>
          <w:sz w:val="20"/>
          <w:szCs w:val="20"/>
          <w:color w:val="auto"/>
        </w:rPr>
      </w:pPr>
    </w:p>
    <w:p>
      <w:pPr>
        <w:ind w:right="600" w:firstLine="360"/>
        <w:spacing w:after="0" w:line="314" w:lineRule="auto"/>
        <w:rPr>
          <w:sz w:val="20"/>
          <w:szCs w:val="20"/>
          <w:color w:val="auto"/>
        </w:rPr>
      </w:pPr>
      <w:r>
        <w:rPr>
          <w:rFonts w:ascii="Arial" w:cs="Arial" w:eastAsia="Arial" w:hAnsi="Arial"/>
          <w:sz w:val="19"/>
          <w:szCs w:val="19"/>
          <w:color w:val="auto"/>
        </w:rPr>
        <w:t>We recognized acquisition-related transaction costs, primarily in general and administrative expense, of $2.6 million, $6.9 million and $0.3 million in 2022, 2021 and 2020, respectively.</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Goodwill and Acquired Intangible Assets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changes in the carrying amount of goodwill are as follows: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000" w:type="dxa"/>
            <w:vAlign w:val="bottom"/>
            <w:shd w:val="clear" w:color="auto" w:fill="D2EDF0"/>
          </w:tcPr>
          <w:p>
            <w:pPr>
              <w:ind w:left="60"/>
              <w:spacing w:after="0"/>
              <w:rPr>
                <w:sz w:val="20"/>
                <w:szCs w:val="20"/>
                <w:color w:val="auto"/>
              </w:rPr>
            </w:pPr>
            <w:r>
              <w:rPr>
                <w:rFonts w:ascii="Arial" w:cs="Arial" w:eastAsia="Arial" w:hAnsi="Arial"/>
                <w:sz w:val="20"/>
                <w:szCs w:val="20"/>
                <w:color w:val="auto"/>
              </w:rPr>
              <w:t>Balance at December 31, 2021</w:t>
            </w:r>
          </w:p>
        </w:tc>
        <w:tc>
          <w:tcPr>
            <w:tcW w:w="680" w:type="dxa"/>
            <w:vAlign w:val="bottom"/>
            <w:shd w:val="clear" w:color="auto" w:fill="D2EDF0"/>
          </w:tcPr>
          <w:p>
            <w:pPr>
              <w:jc w:val="right"/>
              <w:ind w:right="420"/>
              <w:spacing w:after="0"/>
              <w:rPr>
                <w:sz w:val="20"/>
                <w:szCs w:val="20"/>
                <w:color w:val="auto"/>
              </w:rPr>
            </w:pPr>
            <w:r>
              <w:rPr>
                <w:rFonts w:ascii="Arial" w:cs="Arial" w:eastAsia="Arial" w:hAnsi="Arial"/>
                <w:sz w:val="20"/>
                <w:szCs w:val="20"/>
                <w:color w:val="auto"/>
              </w:rPr>
              <w:t>$</w:t>
            </w:r>
          </w:p>
        </w:tc>
        <w:tc>
          <w:tcPr>
            <w:tcW w:w="132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261,614</w:t>
            </w:r>
          </w:p>
        </w:tc>
      </w:tr>
      <w:tr>
        <w:trPr>
          <w:trHeight w:val="290"/>
        </w:trPr>
        <w:tc>
          <w:tcPr>
            <w:tcW w:w="7000" w:type="dxa"/>
            <w:vAlign w:val="bottom"/>
            <w:tcBorders>
              <w:bottom w:val="single" w:sz="8" w:color="D2EDF0"/>
            </w:tcBorders>
          </w:tcPr>
          <w:p>
            <w:pPr>
              <w:ind w:left="280"/>
              <w:spacing w:after="0"/>
              <w:rPr>
                <w:sz w:val="20"/>
                <w:szCs w:val="20"/>
                <w:color w:val="auto"/>
              </w:rPr>
            </w:pPr>
            <w:r>
              <w:rPr>
                <w:rFonts w:ascii="Arial" w:cs="Arial" w:eastAsia="Arial" w:hAnsi="Arial"/>
                <w:sz w:val="20"/>
                <w:szCs w:val="20"/>
                <w:color w:val="auto"/>
              </w:rPr>
              <w:t>Acquired goodwill</w:t>
            </w:r>
          </w:p>
        </w:tc>
        <w:tc>
          <w:tcPr>
            <w:tcW w:w="6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54,906</w:t>
            </w:r>
          </w:p>
        </w:tc>
      </w:tr>
      <w:tr>
        <w:trPr>
          <w:trHeight w:val="285"/>
        </w:trPr>
        <w:tc>
          <w:tcPr>
            <w:tcW w:w="700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20"/>
                <w:szCs w:val="20"/>
                <w:color w:val="auto"/>
              </w:rPr>
              <w:t>Balance at December 31, 2022</w:t>
            </w:r>
          </w:p>
        </w:tc>
        <w:tc>
          <w:tcPr>
            <w:tcW w:w="680" w:type="dxa"/>
            <w:vAlign w:val="bottom"/>
            <w:tcBorders>
              <w:bottom w:val="single" w:sz="8" w:color="auto"/>
            </w:tcBorders>
            <w:shd w:val="clear" w:color="auto" w:fill="D2EDF0"/>
          </w:tcPr>
          <w:p>
            <w:pPr>
              <w:jc w:val="right"/>
              <w:ind w:right="42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316,520</w:t>
            </w:r>
          </w:p>
        </w:tc>
      </w:tr>
      <w:tr>
        <w:trPr>
          <w:trHeight w:val="20"/>
        </w:trPr>
        <w:tc>
          <w:tcPr>
            <w:tcW w:w="7000" w:type="dxa"/>
            <w:vAlign w:val="bottom"/>
            <w:tcBorders>
              <w:top w:val="single" w:sz="8" w:color="D2EDF0"/>
            </w:tcBorders>
          </w:tcPr>
          <w:p>
            <w:pPr>
              <w:spacing w:after="0" w:line="20" w:lineRule="exact"/>
              <w:rPr>
                <w:sz w:val="1"/>
                <w:szCs w:val="1"/>
                <w:color w:val="auto"/>
              </w:rPr>
            </w:pPr>
          </w:p>
        </w:tc>
        <w:tc>
          <w:tcPr>
            <w:tcW w:w="680" w:type="dxa"/>
            <w:vAlign w:val="bottom"/>
            <w:tcBorders>
              <w:top w:val="single" w:sz="8" w:color="D2EDF0"/>
              <w:bottom w:val="single" w:sz="8" w:color="auto"/>
            </w:tcBorders>
          </w:tcPr>
          <w:p>
            <w:pPr>
              <w:spacing w:after="0" w:line="20" w:lineRule="exact"/>
              <w:rPr>
                <w:sz w:val="1"/>
                <w:szCs w:val="1"/>
                <w:color w:val="auto"/>
              </w:rPr>
            </w:pPr>
          </w:p>
        </w:tc>
        <w:tc>
          <w:tcPr>
            <w:tcW w:w="1320" w:type="dxa"/>
            <w:vAlign w:val="bottom"/>
            <w:tcBorders>
              <w:top w:val="single" w:sz="8" w:color="D2EDF0"/>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-37465</wp:posOffset>
            </wp:positionV>
            <wp:extent cx="126682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66825" cy="38100"/>
                    </a:xfrm>
                    <a:prstGeom prst="rect">
                      <a:avLst/>
                    </a:prstGeom>
                    <a:noFill/>
                  </pic:spPr>
                </pic:pic>
              </a:graphicData>
            </a:graphic>
          </wp:anchor>
        </w:drawing>
      </w:r>
    </w:p>
    <w:p>
      <w:pPr>
        <w:spacing w:after="0" w:line="234" w:lineRule="exact"/>
        <w:rPr>
          <w:sz w:val="20"/>
          <w:szCs w:val="20"/>
          <w:color w:val="auto"/>
        </w:rPr>
      </w:pPr>
    </w:p>
    <w:p>
      <w:pPr>
        <w:ind w:right="60" w:firstLine="360"/>
        <w:spacing w:after="0" w:line="262" w:lineRule="auto"/>
        <w:rPr>
          <w:sz w:val="20"/>
          <w:szCs w:val="20"/>
          <w:color w:val="auto"/>
        </w:rPr>
      </w:pPr>
      <w:r>
        <w:rPr>
          <w:rFonts w:ascii="Arial" w:cs="Arial" w:eastAsia="Arial" w:hAnsi="Arial"/>
          <w:sz w:val="20"/>
          <w:szCs w:val="20"/>
          <w:color w:val="auto"/>
        </w:rPr>
        <w:t>The excess purchase consideration over the fair value of acquired assets and liabilities is recorded as goodwill. The acquired goodwill reflects the synergies we expect from marketing and selling these new capabilities from Accurics, Alsid, Bit Discovery and Cymptom to our customers. The acquired goodwill is not tax deductible.</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102</w:t>
      </w:r>
    </w:p>
    <w:p>
      <w:pPr>
        <w:sectPr>
          <w:pgSz w:w="11880" w:h="15480" w:orient="portrait"/>
          <w:cols w:equalWidth="0" w:num="1">
            <w:col w:w="9000"/>
          </w:cols>
          <w:pgMar w:left="1440" w:top="1204" w:right="1440" w:bottom="0" w:gutter="0" w:footer="0" w:header="0"/>
          <w:type w:val="continuous"/>
        </w:sectPr>
      </w:pPr>
    </w:p>
    <w:bookmarkStart w:id="194" w:name="page195"/>
    <w:bookmarkEnd w:id="194"/>
    <w:p>
      <w:pPr>
        <w:ind w:left="360"/>
        <w:spacing w:after="0"/>
        <w:rPr>
          <w:sz w:val="20"/>
          <w:szCs w:val="20"/>
          <w:color w:val="auto"/>
        </w:rPr>
      </w:pPr>
      <w:r>
        <w:rPr>
          <w:rFonts w:ascii="Arial" w:cs="Arial" w:eastAsia="Arial" w:hAnsi="Arial"/>
          <w:sz w:val="20"/>
          <w:szCs w:val="20"/>
          <w:color w:val="auto"/>
        </w:rPr>
        <w:t>Acquired intangible assets subject to amortization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center"/>
              <w:ind w:left="727"/>
              <w:spacing w:after="0"/>
              <w:rPr>
                <w:sz w:val="20"/>
                <w:szCs w:val="20"/>
                <w:color w:val="auto"/>
              </w:rPr>
            </w:pPr>
            <w:r>
              <w:rPr>
                <w:rFonts w:ascii="Arial" w:cs="Arial" w:eastAsia="Arial" w:hAnsi="Arial"/>
                <w:sz w:val="18"/>
                <w:szCs w:val="18"/>
                <w:b w:val="1"/>
                <w:bCs w:val="1"/>
                <w:color w:val="auto"/>
                <w:w w:val="99"/>
              </w:rPr>
              <w:t>December 31, 2022</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center"/>
              <w:ind w:left="727"/>
              <w:spacing w:after="0"/>
              <w:rPr>
                <w:sz w:val="20"/>
                <w:szCs w:val="20"/>
                <w:color w:val="auto"/>
              </w:rPr>
            </w:pPr>
            <w:r>
              <w:rPr>
                <w:rFonts w:ascii="Arial" w:cs="Arial" w:eastAsia="Arial" w:hAnsi="Arial"/>
                <w:sz w:val="18"/>
                <w:szCs w:val="18"/>
                <w:b w:val="1"/>
                <w:bCs w:val="1"/>
                <w:color w:val="auto"/>
                <w:w w:val="99"/>
              </w:rPr>
              <w:t>December 31, 2021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87"/>
              <w:spacing w:after="0"/>
              <w:rPr>
                <w:sz w:val="20"/>
                <w:szCs w:val="20"/>
                <w:color w:val="auto"/>
              </w:rPr>
            </w:pPr>
            <w:r>
              <w:rPr>
                <w:rFonts w:ascii="Arial" w:cs="Arial" w:eastAsia="Arial" w:hAnsi="Arial"/>
                <w:sz w:val="18"/>
                <w:szCs w:val="18"/>
                <w:b w:val="1"/>
                <w:bCs w:val="1"/>
                <w:color w:val="auto"/>
                <w:w w:val="99"/>
              </w:rPr>
              <w:t>Gross</w:t>
            </w:r>
          </w:p>
        </w:tc>
        <w:tc>
          <w:tcPr>
            <w:tcW w:w="80" w:type="dxa"/>
            <w:vAlign w:val="bottom"/>
          </w:tcPr>
          <w:p>
            <w:pPr>
              <w:spacing w:after="0"/>
              <w:rPr>
                <w:sz w:val="18"/>
                <w:szCs w:val="18"/>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8"/>
                <w:szCs w:val="1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Net Carrying</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127"/>
              <w:spacing w:after="0"/>
              <w:rPr>
                <w:sz w:val="20"/>
                <w:szCs w:val="20"/>
                <w:color w:val="auto"/>
              </w:rPr>
            </w:pPr>
            <w:r>
              <w:rPr>
                <w:rFonts w:ascii="Arial" w:cs="Arial" w:eastAsia="Arial" w:hAnsi="Arial"/>
                <w:sz w:val="18"/>
                <w:szCs w:val="18"/>
                <w:b w:val="1"/>
                <w:bCs w:val="1"/>
                <w:color w:val="auto"/>
                <w:w w:val="99"/>
              </w:rPr>
              <w:t>Gross</w:t>
            </w:r>
          </w:p>
        </w:tc>
        <w:tc>
          <w:tcPr>
            <w:tcW w:w="80" w:type="dxa"/>
            <w:vAlign w:val="bottom"/>
          </w:tcPr>
          <w:p>
            <w:pPr>
              <w:spacing w:after="0"/>
              <w:rPr>
                <w:sz w:val="18"/>
                <w:szCs w:val="18"/>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Accumulated</w:t>
            </w:r>
          </w:p>
        </w:tc>
        <w:tc>
          <w:tcPr>
            <w:tcW w:w="60" w:type="dxa"/>
            <w:vAlign w:val="bottom"/>
          </w:tcPr>
          <w:p>
            <w:pPr>
              <w:spacing w:after="0"/>
              <w:rPr>
                <w:sz w:val="18"/>
                <w:szCs w:val="1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Net Carrying</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107"/>
              <w:spacing w:after="0" w:line="180" w:lineRule="exact"/>
              <w:rPr>
                <w:sz w:val="20"/>
                <w:szCs w:val="20"/>
                <w:color w:val="auto"/>
              </w:rPr>
            </w:pPr>
            <w:r>
              <w:rPr>
                <w:rFonts w:ascii="Arial" w:cs="Arial" w:eastAsia="Arial" w:hAnsi="Arial"/>
                <w:sz w:val="18"/>
                <w:szCs w:val="18"/>
                <w:b w:val="1"/>
                <w:bCs w:val="1"/>
                <w:color w:val="auto"/>
                <w:w w:val="99"/>
              </w:rPr>
              <w:t>Carrying</w:t>
            </w:r>
          </w:p>
        </w:tc>
        <w:tc>
          <w:tcPr>
            <w:tcW w:w="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107"/>
              <w:spacing w:after="0" w:line="180" w:lineRule="exact"/>
              <w:rPr>
                <w:sz w:val="20"/>
                <w:szCs w:val="20"/>
                <w:color w:val="auto"/>
              </w:rPr>
            </w:pPr>
            <w:r>
              <w:rPr>
                <w:rFonts w:ascii="Arial" w:cs="Arial" w:eastAsia="Arial" w:hAnsi="Arial"/>
                <w:sz w:val="18"/>
                <w:szCs w:val="18"/>
                <w:b w:val="1"/>
                <w:bCs w:val="1"/>
                <w:color w:val="auto"/>
                <w:w w:val="99"/>
              </w:rPr>
              <w:t>Carrying</w:t>
            </w:r>
          </w:p>
        </w:tc>
        <w:tc>
          <w:tcPr>
            <w:tcW w:w="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240" w:type="dxa"/>
            <w:vAlign w:val="bottom"/>
            <w:tcBorders>
              <w:bottom w:val="single" w:sz="8" w:color="D2EDF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87"/>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Borders>
              <w:bottom w:val="single" w:sz="8" w:color="D2EDF0"/>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Amortization</w:t>
            </w:r>
          </w:p>
        </w:tc>
        <w:tc>
          <w:tcPr>
            <w:tcW w:w="80" w:type="dxa"/>
            <w:vAlign w:val="bottom"/>
            <w:tcBorders>
              <w:bottom w:val="single" w:sz="8" w:color="D2EDF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63"/>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D2EDF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27"/>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Borders>
              <w:bottom w:val="single" w:sz="8" w:color="D2EDF0"/>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Amortization</w:t>
            </w:r>
          </w:p>
        </w:tc>
        <w:tc>
          <w:tcPr>
            <w:tcW w:w="60" w:type="dxa"/>
            <w:vAlign w:val="bottom"/>
            <w:tcBorders>
              <w:bottom w:val="single" w:sz="8" w:color="D2EDF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63"/>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198"/>
        </w:trPr>
        <w:tc>
          <w:tcPr>
            <w:tcW w:w="1240" w:type="dxa"/>
            <w:vAlign w:val="bottom"/>
            <w:shd w:val="clear" w:color="auto" w:fill="D2EDF0"/>
          </w:tcPr>
          <w:p>
            <w:pPr>
              <w:ind w:left="60"/>
              <w:spacing w:after="0" w:line="198" w:lineRule="exact"/>
              <w:rPr>
                <w:sz w:val="20"/>
                <w:szCs w:val="20"/>
                <w:color w:val="auto"/>
              </w:rPr>
            </w:pPr>
            <w:r>
              <w:rPr>
                <w:rFonts w:ascii="Arial" w:cs="Arial" w:eastAsia="Arial" w:hAnsi="Arial"/>
                <w:sz w:val="20"/>
                <w:szCs w:val="20"/>
                <w:color w:val="auto"/>
              </w:rPr>
              <w:t>Acquired</w:t>
            </w:r>
          </w:p>
        </w:tc>
        <w:tc>
          <w:tcPr>
            <w:tcW w:w="200" w:type="dxa"/>
            <w:vAlign w:val="bottom"/>
            <w:shd w:val="clear" w:color="auto" w:fill="D2EDF0"/>
          </w:tcPr>
          <w:p>
            <w:pPr>
              <w:spacing w:after="0"/>
              <w:rPr>
                <w:sz w:val="17"/>
                <w:szCs w:val="17"/>
                <w:color w:val="auto"/>
              </w:rPr>
            </w:pPr>
          </w:p>
        </w:tc>
        <w:tc>
          <w:tcPr>
            <w:tcW w:w="102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97,037</w:t>
            </w:r>
          </w:p>
        </w:tc>
        <w:tc>
          <w:tcPr>
            <w:tcW w:w="1340" w:type="dxa"/>
            <w:vAlign w:val="bottom"/>
            <w:gridSpan w:val="2"/>
            <w:vMerge w:val="restart"/>
            <w:shd w:val="clear" w:color="auto" w:fill="D2EDF0"/>
          </w:tcPr>
          <w:p>
            <w:pPr>
              <w:jc w:val="right"/>
              <w:spacing w:after="0"/>
              <w:rPr>
                <w:sz w:val="20"/>
                <w:szCs w:val="20"/>
                <w:color w:val="auto"/>
              </w:rPr>
            </w:pPr>
            <w:r>
              <w:rPr>
                <w:rFonts w:ascii="Arial" w:cs="Arial" w:eastAsia="Arial" w:hAnsi="Arial"/>
                <w:sz w:val="20"/>
                <w:szCs w:val="20"/>
                <w:color w:val="auto"/>
              </w:rPr>
              <w:t>$   (21,738)</w:t>
            </w:r>
          </w:p>
        </w:tc>
        <w:tc>
          <w:tcPr>
            <w:tcW w:w="280" w:type="dxa"/>
            <w:vAlign w:val="bottom"/>
            <w:gridSpan w:val="2"/>
            <w:vMerge w:val="restart"/>
            <w:shd w:val="clear" w:color="auto" w:fill="D2EDF0"/>
          </w:tcPr>
          <w:p>
            <w:pPr>
              <w:ind w:left="120"/>
              <w:spacing w:after="0"/>
              <w:rPr>
                <w:sz w:val="20"/>
                <w:szCs w:val="20"/>
                <w:color w:val="auto"/>
              </w:rPr>
            </w:pPr>
            <w:r>
              <w:rPr>
                <w:rFonts w:ascii="Arial" w:cs="Arial" w:eastAsia="Arial" w:hAnsi="Arial"/>
                <w:sz w:val="20"/>
                <w:szCs w:val="20"/>
                <w:color w:val="auto"/>
              </w:rPr>
              <w:t>$</w:t>
            </w: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75,299</w:t>
            </w:r>
          </w:p>
        </w:tc>
        <w:tc>
          <w:tcPr>
            <w:tcW w:w="280" w:type="dxa"/>
            <w:vAlign w:val="bottom"/>
            <w:gridSpan w:val="2"/>
            <w:vMerge w:val="restart"/>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81,924</w:t>
            </w:r>
          </w:p>
        </w:tc>
        <w:tc>
          <w:tcPr>
            <w:tcW w:w="1340" w:type="dxa"/>
            <w:vAlign w:val="bottom"/>
            <w:gridSpan w:val="2"/>
            <w:vMerge w:val="restart"/>
            <w:shd w:val="clear" w:color="auto" w:fill="D2EDF0"/>
          </w:tcPr>
          <w:p>
            <w:pPr>
              <w:jc w:val="right"/>
              <w:spacing w:after="0"/>
              <w:rPr>
                <w:sz w:val="20"/>
                <w:szCs w:val="20"/>
                <w:color w:val="auto"/>
              </w:rPr>
            </w:pPr>
            <w:r>
              <w:rPr>
                <w:rFonts w:ascii="Arial" w:cs="Arial" w:eastAsia="Arial" w:hAnsi="Arial"/>
                <w:sz w:val="20"/>
                <w:szCs w:val="20"/>
                <w:color w:val="auto"/>
              </w:rPr>
              <w:t>$   (10,499)</w:t>
            </w:r>
          </w:p>
        </w:tc>
        <w:tc>
          <w:tcPr>
            <w:tcW w:w="280" w:type="dxa"/>
            <w:vAlign w:val="bottom"/>
            <w:gridSpan w:val="2"/>
            <w:vMerge w:val="restart"/>
            <w:shd w:val="clear" w:color="auto" w:fill="D2EDF0"/>
          </w:tcPr>
          <w:p>
            <w:pPr>
              <w:ind w:left="120"/>
              <w:spacing w:after="0"/>
              <w:rPr>
                <w:sz w:val="20"/>
                <w:szCs w:val="20"/>
                <w:color w:val="auto"/>
              </w:rPr>
            </w:pPr>
            <w:r>
              <w:rPr>
                <w:rFonts w:ascii="Arial" w:cs="Arial" w:eastAsia="Arial" w:hAnsi="Arial"/>
                <w:sz w:val="20"/>
                <w:szCs w:val="20"/>
                <w:color w:val="auto"/>
              </w:rPr>
              <w:t>$</w:t>
            </w: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71,425</w:t>
            </w:r>
          </w:p>
        </w:tc>
        <w:tc>
          <w:tcPr>
            <w:tcW w:w="0" w:type="dxa"/>
            <w:vAlign w:val="bottom"/>
          </w:tcPr>
          <w:p>
            <w:pPr>
              <w:spacing w:after="0"/>
              <w:rPr>
                <w:sz w:val="1"/>
                <w:szCs w:val="1"/>
                <w:color w:val="auto"/>
              </w:rPr>
            </w:pPr>
          </w:p>
        </w:tc>
      </w:tr>
      <w:tr>
        <w:trPr>
          <w:trHeight w:val="272"/>
        </w:trPr>
        <w:tc>
          <w:tcPr>
            <w:tcW w:w="1440" w:type="dxa"/>
            <w:vAlign w:val="bottom"/>
            <w:gridSpan w:val="2"/>
            <w:shd w:val="clear" w:color="auto" w:fill="D2EDF0"/>
          </w:tcPr>
          <w:p>
            <w:pPr>
              <w:ind w:left="60"/>
              <w:spacing w:after="0"/>
              <w:rPr>
                <w:sz w:val="20"/>
                <w:szCs w:val="20"/>
                <w:color w:val="auto"/>
              </w:rPr>
            </w:pPr>
            <w:r>
              <w:rPr>
                <w:rFonts w:ascii="Arial" w:cs="Arial" w:eastAsia="Arial" w:hAnsi="Arial"/>
                <w:sz w:val="20"/>
                <w:szCs w:val="20"/>
                <w:color w:val="auto"/>
              </w:rPr>
              <w:t>technology   $</w:t>
            </w:r>
          </w:p>
        </w:tc>
        <w:tc>
          <w:tcPr>
            <w:tcW w:w="1020" w:type="dxa"/>
            <w:vAlign w:val="bottom"/>
            <w:vMerge w:val="continue"/>
            <w:shd w:val="clear" w:color="auto" w:fill="D2EDF0"/>
          </w:tcPr>
          <w:p>
            <w:pPr>
              <w:spacing w:after="0"/>
              <w:rPr>
                <w:sz w:val="23"/>
                <w:szCs w:val="23"/>
                <w:color w:val="auto"/>
              </w:rPr>
            </w:pPr>
          </w:p>
        </w:tc>
        <w:tc>
          <w:tcPr>
            <w:tcW w:w="1340" w:type="dxa"/>
            <w:vAlign w:val="bottom"/>
            <w:gridSpan w:val="2"/>
            <w:vMerge w:val="continue"/>
            <w:shd w:val="clear" w:color="auto" w:fill="D2EDF0"/>
          </w:tcPr>
          <w:p>
            <w:pPr>
              <w:spacing w:after="0"/>
              <w:rPr>
                <w:sz w:val="23"/>
                <w:szCs w:val="23"/>
                <w:color w:val="auto"/>
              </w:rPr>
            </w:pPr>
          </w:p>
        </w:tc>
        <w:tc>
          <w:tcPr>
            <w:tcW w:w="280" w:type="dxa"/>
            <w:vAlign w:val="bottom"/>
            <w:gridSpan w:val="2"/>
            <w:vMerge w:val="continue"/>
            <w:shd w:val="clear" w:color="auto" w:fill="D2EDF0"/>
          </w:tcPr>
          <w:p>
            <w:pPr>
              <w:spacing w:after="0"/>
              <w:rPr>
                <w:sz w:val="23"/>
                <w:szCs w:val="23"/>
                <w:color w:val="auto"/>
              </w:rPr>
            </w:pPr>
          </w:p>
        </w:tc>
        <w:tc>
          <w:tcPr>
            <w:tcW w:w="1000" w:type="dxa"/>
            <w:vAlign w:val="bottom"/>
            <w:vMerge w:val="continue"/>
            <w:shd w:val="clear" w:color="auto" w:fill="D2EDF0"/>
          </w:tcPr>
          <w:p>
            <w:pPr>
              <w:spacing w:after="0"/>
              <w:rPr>
                <w:sz w:val="23"/>
                <w:szCs w:val="23"/>
                <w:color w:val="auto"/>
              </w:rPr>
            </w:pPr>
          </w:p>
        </w:tc>
        <w:tc>
          <w:tcPr>
            <w:tcW w:w="280" w:type="dxa"/>
            <w:vAlign w:val="bottom"/>
            <w:gridSpan w:val="2"/>
            <w:vMerge w:val="continue"/>
            <w:shd w:val="clear" w:color="auto" w:fill="D2EDF0"/>
          </w:tcPr>
          <w:p>
            <w:pPr>
              <w:spacing w:after="0"/>
              <w:rPr>
                <w:sz w:val="23"/>
                <w:szCs w:val="23"/>
                <w:color w:val="auto"/>
              </w:rPr>
            </w:pPr>
          </w:p>
        </w:tc>
        <w:tc>
          <w:tcPr>
            <w:tcW w:w="1020" w:type="dxa"/>
            <w:vAlign w:val="bottom"/>
            <w:vMerge w:val="continue"/>
            <w:shd w:val="clear" w:color="auto" w:fill="D2EDF0"/>
          </w:tcPr>
          <w:p>
            <w:pPr>
              <w:spacing w:after="0"/>
              <w:rPr>
                <w:sz w:val="23"/>
                <w:szCs w:val="23"/>
                <w:color w:val="auto"/>
              </w:rPr>
            </w:pPr>
          </w:p>
        </w:tc>
        <w:tc>
          <w:tcPr>
            <w:tcW w:w="1340" w:type="dxa"/>
            <w:vAlign w:val="bottom"/>
            <w:gridSpan w:val="2"/>
            <w:vMerge w:val="continue"/>
            <w:shd w:val="clear" w:color="auto" w:fill="D2EDF0"/>
          </w:tcPr>
          <w:p>
            <w:pPr>
              <w:spacing w:after="0"/>
              <w:rPr>
                <w:sz w:val="23"/>
                <w:szCs w:val="23"/>
                <w:color w:val="auto"/>
              </w:rPr>
            </w:pPr>
          </w:p>
        </w:tc>
        <w:tc>
          <w:tcPr>
            <w:tcW w:w="280" w:type="dxa"/>
            <w:vAlign w:val="bottom"/>
            <w:gridSpan w:val="2"/>
            <w:vMerge w:val="continue"/>
            <w:shd w:val="clear" w:color="auto" w:fill="D2EDF0"/>
          </w:tcPr>
          <w:p>
            <w:pPr>
              <w:spacing w:after="0"/>
              <w:rPr>
                <w:sz w:val="23"/>
                <w:szCs w:val="23"/>
                <w:color w:val="auto"/>
              </w:rPr>
            </w:pPr>
          </w:p>
        </w:tc>
        <w:tc>
          <w:tcPr>
            <w:tcW w:w="1000" w:type="dxa"/>
            <w:vAlign w:val="bottom"/>
            <w:vMerge w:val="continue"/>
            <w:shd w:val="clear" w:color="auto" w:fill="D2EDF0"/>
          </w:tcPr>
          <w:p>
            <w:pPr>
              <w:spacing w:after="0"/>
              <w:rPr>
                <w:sz w:val="23"/>
                <w:szCs w:val="23"/>
                <w:color w:val="auto"/>
              </w:rPr>
            </w:pPr>
          </w:p>
        </w:tc>
        <w:tc>
          <w:tcPr>
            <w:tcW w:w="0" w:type="dxa"/>
            <w:vAlign w:val="bottom"/>
          </w:tcPr>
          <w:p>
            <w:pPr>
              <w:spacing w:after="0"/>
              <w:rPr>
                <w:sz w:val="1"/>
                <w:szCs w:val="1"/>
                <w:color w:val="auto"/>
              </w:rPr>
            </w:pPr>
          </w:p>
        </w:tc>
      </w:tr>
      <w:tr>
        <w:trPr>
          <w:trHeight w:val="292"/>
        </w:trPr>
        <w:tc>
          <w:tcPr>
            <w:tcW w:w="1440" w:type="dxa"/>
            <w:vAlign w:val="bottom"/>
            <w:gridSpan w:val="2"/>
          </w:tcPr>
          <w:p>
            <w:pPr>
              <w:ind w:left="60"/>
              <w:spacing w:after="0"/>
              <w:rPr>
                <w:sz w:val="20"/>
                <w:szCs w:val="20"/>
                <w:color w:val="auto"/>
              </w:rPr>
            </w:pPr>
            <w:r>
              <w:rPr>
                <w:rFonts w:ascii="Arial" w:cs="Arial" w:eastAsia="Arial" w:hAnsi="Arial"/>
                <w:sz w:val="20"/>
                <w:szCs w:val="20"/>
                <w:color w:val="auto"/>
              </w:rPr>
              <w:t>Trade name</w:t>
            </w:r>
          </w:p>
        </w:tc>
        <w:tc>
          <w:tcPr>
            <w:tcW w:w="1020" w:type="dxa"/>
            <w:vAlign w:val="bottom"/>
          </w:tcPr>
          <w:p>
            <w:pPr>
              <w:jc w:val="right"/>
              <w:spacing w:after="0"/>
              <w:rPr>
                <w:sz w:val="20"/>
                <w:szCs w:val="20"/>
                <w:color w:val="auto"/>
              </w:rPr>
            </w:pPr>
            <w:r>
              <w:rPr>
                <w:rFonts w:ascii="Arial" w:cs="Arial" w:eastAsia="Arial" w:hAnsi="Arial"/>
                <w:sz w:val="20"/>
                <w:szCs w:val="20"/>
                <w:color w:val="auto"/>
              </w:rPr>
              <w:t>490</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(413)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390</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(279)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5715000" cy="2159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15000" cy="215900"/>
                    </a:xfrm>
                    <a:prstGeom prst="rect">
                      <a:avLst/>
                    </a:prstGeom>
                    <a:noFill/>
                  </pic:spPr>
                </pic:pic>
              </a:graphicData>
            </a:graphic>
          </wp:anchor>
        </w:drawing>
      </w:r>
    </w:p>
    <w:p>
      <w:pPr>
        <w:spacing w:after="0" w:line="15" w:lineRule="exact"/>
        <w:rPr>
          <w:sz w:val="20"/>
          <w:szCs w:val="20"/>
          <w:color w:val="auto"/>
        </w:rPr>
      </w:pPr>
    </w:p>
    <w:p>
      <w:pPr>
        <w:ind w:left="1760" w:hanging="462"/>
        <w:spacing w:after="0"/>
        <w:tabs>
          <w:tab w:leader="none" w:pos="176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97,527  $   (22,151)  $    75,376  $    82,314  $   (10,778)  $    71,536</w:t>
      </w:r>
    </w:p>
    <w:p>
      <w:pPr>
        <w:spacing w:after="0" w:line="328" w:lineRule="exact"/>
        <w:rPr>
          <w:sz w:val="20"/>
          <w:szCs w:val="20"/>
          <w:color w:val="auto"/>
        </w:rPr>
      </w:pPr>
    </w:p>
    <w:p>
      <w:pPr>
        <w:ind w:right="20" w:firstLine="360"/>
        <w:spacing w:after="0" w:line="268" w:lineRule="auto"/>
        <w:rPr>
          <w:sz w:val="20"/>
          <w:szCs w:val="20"/>
          <w:color w:val="auto"/>
        </w:rPr>
      </w:pPr>
      <w:r>
        <w:rPr>
          <w:rFonts w:ascii="Arial" w:cs="Arial" w:eastAsia="Arial" w:hAnsi="Arial"/>
          <w:sz w:val="20"/>
          <w:szCs w:val="20"/>
          <w:color w:val="auto"/>
        </w:rPr>
        <w:t>Amortization of acquired intangible assets was $11.4 million, $6.4 million and $2.3 million in 2022, 2021 and 2020, respectively. At December 31, 2022, our acquired intangible assets are expected to be amortized over an estimated weighted average period of 6.7 years.</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At December 31, 2022, estimated future amortization of intangible assets is as follows:</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27305</wp:posOffset>
            </wp:positionV>
            <wp:extent cx="5695950" cy="1809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95950" cy="180975"/>
                    </a:xfrm>
                    <a:prstGeom prst="rect">
                      <a:avLst/>
                    </a:prstGeom>
                    <a:noFill/>
                  </pic:spPr>
                </pic:pic>
              </a:graphicData>
            </a:graphic>
          </wp:anchor>
        </w:drawing>
      </w:r>
    </w:p>
    <w:p>
      <w:pPr>
        <w:spacing w:after="0" w:line="34" w:lineRule="exact"/>
        <w:rPr>
          <w:sz w:val="20"/>
          <w:szCs w:val="20"/>
          <w:color w:val="auto"/>
        </w:rPr>
      </w:pPr>
    </w:p>
    <w:p>
      <w:pPr>
        <w:ind w:left="60"/>
        <w:spacing w:after="0"/>
        <w:rPr>
          <w:sz w:val="20"/>
          <w:szCs w:val="20"/>
          <w:color w:val="auto"/>
        </w:rPr>
      </w:pPr>
      <w:r>
        <w:rPr>
          <w:rFonts w:ascii="Arial" w:cs="Arial" w:eastAsia="Arial" w:hAnsi="Arial"/>
          <w:sz w:val="20"/>
          <w:szCs w:val="20"/>
          <w:color w:val="auto"/>
        </w:rPr>
        <w:t>Year ending December 31,</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69"/>
        </w:trPr>
        <w:tc>
          <w:tcPr>
            <w:tcW w:w="6980" w:type="dxa"/>
            <w:vAlign w:val="bottom"/>
          </w:tcPr>
          <w:p>
            <w:pPr>
              <w:jc w:val="right"/>
              <w:ind w:right="6200"/>
              <w:spacing w:after="0"/>
              <w:rPr>
                <w:sz w:val="20"/>
                <w:szCs w:val="20"/>
                <w:color w:val="auto"/>
              </w:rPr>
            </w:pPr>
            <w:r>
              <w:rPr>
                <w:rFonts w:ascii="Arial" w:cs="Arial" w:eastAsia="Arial" w:hAnsi="Arial"/>
                <w:sz w:val="20"/>
                <w:szCs w:val="20"/>
                <w:color w:val="auto"/>
              </w:rPr>
              <w:t>2023</w:t>
            </w:r>
          </w:p>
        </w:tc>
        <w:tc>
          <w:tcPr>
            <w:tcW w:w="720" w:type="dxa"/>
            <w:vAlign w:val="bottom"/>
          </w:tcPr>
          <w:p>
            <w:pPr>
              <w:jc w:val="right"/>
              <w:ind w:right="46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12,252</w:t>
            </w:r>
          </w:p>
        </w:tc>
      </w:tr>
      <w:tr>
        <w:trPr>
          <w:trHeight w:val="289"/>
        </w:trPr>
        <w:tc>
          <w:tcPr>
            <w:tcW w:w="6980" w:type="dxa"/>
            <w:vAlign w:val="bottom"/>
            <w:shd w:val="clear" w:color="auto" w:fill="D2EDF0"/>
          </w:tcPr>
          <w:p>
            <w:pPr>
              <w:jc w:val="right"/>
              <w:ind w:right="6200"/>
              <w:spacing w:after="0"/>
              <w:rPr>
                <w:sz w:val="20"/>
                <w:szCs w:val="20"/>
                <w:color w:val="auto"/>
              </w:rPr>
            </w:pPr>
            <w:r>
              <w:rPr>
                <w:rFonts w:ascii="Arial" w:cs="Arial" w:eastAsia="Arial" w:hAnsi="Arial"/>
                <w:sz w:val="20"/>
                <w:szCs w:val="20"/>
                <w:color w:val="auto"/>
              </w:rPr>
              <w:t>2024</w:t>
            </w:r>
          </w:p>
        </w:tc>
        <w:tc>
          <w:tcPr>
            <w:tcW w:w="720" w:type="dxa"/>
            <w:vAlign w:val="bottom"/>
            <w:shd w:val="clear" w:color="auto" w:fill="D2EDF0"/>
          </w:tcPr>
          <w:p>
            <w:pPr>
              <w:spacing w:after="0"/>
              <w:rPr>
                <w:sz w:val="24"/>
                <w:szCs w:val="24"/>
                <w:color w:val="auto"/>
              </w:rPr>
            </w:pPr>
          </w:p>
        </w:tc>
        <w:tc>
          <w:tcPr>
            <w:tcW w:w="12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12,175</w:t>
            </w:r>
          </w:p>
        </w:tc>
      </w:tr>
      <w:tr>
        <w:trPr>
          <w:trHeight w:val="281"/>
        </w:trPr>
        <w:tc>
          <w:tcPr>
            <w:tcW w:w="6980" w:type="dxa"/>
            <w:vAlign w:val="bottom"/>
          </w:tcPr>
          <w:p>
            <w:pPr>
              <w:jc w:val="right"/>
              <w:ind w:right="6200"/>
              <w:spacing w:after="0"/>
              <w:rPr>
                <w:sz w:val="20"/>
                <w:szCs w:val="20"/>
                <w:color w:val="auto"/>
              </w:rPr>
            </w:pPr>
            <w:r>
              <w:rPr>
                <w:rFonts w:ascii="Arial" w:cs="Arial" w:eastAsia="Arial" w:hAnsi="Arial"/>
                <w:sz w:val="20"/>
                <w:szCs w:val="20"/>
                <w:color w:val="auto"/>
              </w:rPr>
              <w:t>2025</w:t>
            </w:r>
          </w:p>
        </w:tc>
        <w:tc>
          <w:tcPr>
            <w:tcW w:w="7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12,175</w:t>
            </w:r>
          </w:p>
        </w:tc>
      </w:tr>
      <w:tr>
        <w:trPr>
          <w:trHeight w:val="289"/>
        </w:trPr>
        <w:tc>
          <w:tcPr>
            <w:tcW w:w="6980" w:type="dxa"/>
            <w:vAlign w:val="bottom"/>
            <w:shd w:val="clear" w:color="auto" w:fill="D2EDF0"/>
          </w:tcPr>
          <w:p>
            <w:pPr>
              <w:jc w:val="right"/>
              <w:ind w:right="6200"/>
              <w:spacing w:after="0"/>
              <w:rPr>
                <w:sz w:val="20"/>
                <w:szCs w:val="20"/>
                <w:color w:val="auto"/>
              </w:rPr>
            </w:pPr>
            <w:r>
              <w:rPr>
                <w:rFonts w:ascii="Arial" w:cs="Arial" w:eastAsia="Arial" w:hAnsi="Arial"/>
                <w:sz w:val="20"/>
                <w:szCs w:val="20"/>
                <w:color w:val="auto"/>
              </w:rPr>
              <w:t>2026</w:t>
            </w:r>
          </w:p>
        </w:tc>
        <w:tc>
          <w:tcPr>
            <w:tcW w:w="720" w:type="dxa"/>
            <w:vAlign w:val="bottom"/>
            <w:shd w:val="clear" w:color="auto" w:fill="D2EDF0"/>
          </w:tcPr>
          <w:p>
            <w:pPr>
              <w:spacing w:after="0"/>
              <w:rPr>
                <w:sz w:val="24"/>
                <w:szCs w:val="24"/>
                <w:color w:val="auto"/>
              </w:rPr>
            </w:pPr>
          </w:p>
        </w:tc>
        <w:tc>
          <w:tcPr>
            <w:tcW w:w="12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11,990</w:t>
            </w:r>
          </w:p>
        </w:tc>
      </w:tr>
      <w:tr>
        <w:trPr>
          <w:trHeight w:val="281"/>
        </w:trPr>
        <w:tc>
          <w:tcPr>
            <w:tcW w:w="6980" w:type="dxa"/>
            <w:vAlign w:val="bottom"/>
          </w:tcPr>
          <w:p>
            <w:pPr>
              <w:jc w:val="right"/>
              <w:ind w:right="6200"/>
              <w:spacing w:after="0"/>
              <w:rPr>
                <w:sz w:val="20"/>
                <w:szCs w:val="20"/>
                <w:color w:val="auto"/>
              </w:rPr>
            </w:pPr>
            <w:r>
              <w:rPr>
                <w:rFonts w:ascii="Arial" w:cs="Arial" w:eastAsia="Arial" w:hAnsi="Arial"/>
                <w:sz w:val="20"/>
                <w:szCs w:val="20"/>
                <w:color w:val="auto"/>
              </w:rPr>
              <w:t>2027</w:t>
            </w:r>
          </w:p>
        </w:tc>
        <w:tc>
          <w:tcPr>
            <w:tcW w:w="7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9,960</w:t>
            </w:r>
          </w:p>
        </w:tc>
      </w:tr>
      <w:tr>
        <w:trPr>
          <w:trHeight w:val="249"/>
        </w:trPr>
        <w:tc>
          <w:tcPr>
            <w:tcW w:w="6980" w:type="dxa"/>
            <w:vAlign w:val="bottom"/>
            <w:tcBorders>
              <w:bottom w:val="single" w:sz="8" w:color="D2EDF0"/>
            </w:tcBorders>
            <w:shd w:val="clear" w:color="auto" w:fill="D2EDF0"/>
          </w:tcPr>
          <w:p>
            <w:pPr>
              <w:jc w:val="right"/>
              <w:ind w:right="5920"/>
              <w:spacing w:after="0"/>
              <w:rPr>
                <w:sz w:val="20"/>
                <w:szCs w:val="20"/>
                <w:color w:val="auto"/>
              </w:rPr>
            </w:pPr>
            <w:r>
              <w:rPr>
                <w:rFonts w:ascii="Arial" w:cs="Arial" w:eastAsia="Arial" w:hAnsi="Arial"/>
                <w:sz w:val="20"/>
                <w:szCs w:val="20"/>
                <w:color w:val="auto"/>
              </w:rPr>
              <w:t>Thereafter</w:t>
            </w:r>
          </w:p>
        </w:tc>
        <w:tc>
          <w:tcPr>
            <w:tcW w:w="720" w:type="dxa"/>
            <w:vAlign w:val="bottom"/>
            <w:tcBorders>
              <w:bottom w:val="single" w:sz="8" w:color="auto"/>
            </w:tcBorders>
            <w:shd w:val="clear" w:color="auto" w:fill="D2EDF0"/>
          </w:tcPr>
          <w:p>
            <w:pPr>
              <w:spacing w:after="0"/>
              <w:rPr>
                <w:sz w:val="21"/>
                <w:szCs w:val="21"/>
                <w:color w:val="auto"/>
              </w:rPr>
            </w:pPr>
          </w:p>
        </w:tc>
        <w:tc>
          <w:tcPr>
            <w:tcW w:w="126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16,824</w:t>
            </w:r>
          </w:p>
        </w:tc>
      </w:tr>
      <w:tr>
        <w:trPr>
          <w:trHeight w:val="260"/>
        </w:trPr>
        <w:tc>
          <w:tcPr>
            <w:tcW w:w="6980" w:type="dxa"/>
            <w:vAlign w:val="bottom"/>
          </w:tcPr>
          <w:p>
            <w:pPr>
              <w:jc w:val="right"/>
              <w:ind w:right="6180"/>
              <w:spacing w:after="0"/>
              <w:rPr>
                <w:sz w:val="20"/>
                <w:szCs w:val="20"/>
                <w:color w:val="auto"/>
              </w:rPr>
            </w:pPr>
            <w:r>
              <w:rPr>
                <w:rFonts w:ascii="Arial" w:cs="Arial" w:eastAsia="Arial" w:hAnsi="Arial"/>
                <w:sz w:val="20"/>
                <w:szCs w:val="20"/>
                <w:color w:val="auto"/>
              </w:rPr>
              <w:t>Total</w:t>
            </w:r>
          </w:p>
        </w:tc>
        <w:tc>
          <w:tcPr>
            <w:tcW w:w="720" w:type="dxa"/>
            <w:vAlign w:val="bottom"/>
            <w:tcBorders>
              <w:bottom w:val="single" w:sz="8" w:color="auto"/>
            </w:tcBorders>
          </w:tcPr>
          <w:p>
            <w:pPr>
              <w:jc w:val="right"/>
              <w:ind w:right="460"/>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75,376</w:t>
            </w:r>
          </w:p>
        </w:tc>
      </w:tr>
      <w:tr>
        <w:trPr>
          <w:trHeight w:val="20"/>
        </w:trPr>
        <w:tc>
          <w:tcPr>
            <w:tcW w:w="6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-37465</wp:posOffset>
            </wp:positionV>
            <wp:extent cx="126682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66825" cy="38100"/>
                    </a:xfrm>
                    <a:prstGeom prst="rect">
                      <a:avLst/>
                    </a:prstGeom>
                    <a:noFill/>
                  </pic:spPr>
                </pic:pic>
              </a:graphicData>
            </a:graphic>
          </wp:anchor>
        </w:drawing>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7. Leases</w:t>
      </w:r>
    </w:p>
    <w:p>
      <w:pPr>
        <w:spacing w:after="0" w:line="251" w:lineRule="exact"/>
        <w:rPr>
          <w:sz w:val="20"/>
          <w:szCs w:val="20"/>
          <w:color w:val="auto"/>
        </w:rPr>
      </w:pPr>
    </w:p>
    <w:p>
      <w:pPr>
        <w:ind w:right="140" w:firstLine="360"/>
        <w:spacing w:after="0" w:line="259" w:lineRule="auto"/>
        <w:rPr>
          <w:sz w:val="20"/>
          <w:szCs w:val="20"/>
          <w:color w:val="auto"/>
        </w:rPr>
      </w:pPr>
      <w:r>
        <w:rPr>
          <w:rFonts w:ascii="Arial" w:cs="Arial" w:eastAsia="Arial" w:hAnsi="Arial"/>
          <w:sz w:val="20"/>
          <w:szCs w:val="20"/>
          <w:color w:val="auto"/>
        </w:rPr>
        <w:t>We have operating leases for office facilities and finance leases for office equipment. Our leases have remaining terms of just over one year to just over nine years, some of which include one or more options to renew, with renewal terms up to five years and some of which include options to terminate the leases within the next one to three years. The ROU assets and liabilities at December 31, 2022 assume we exercise the option to early terminate one of our leases in 2025.</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components of lease expense were as follows: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4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center"/>
              <w:ind w:left="507"/>
              <w:spacing w:after="0"/>
              <w:rPr>
                <w:sz w:val="20"/>
                <w:szCs w:val="20"/>
                <w:color w:val="auto"/>
              </w:rPr>
            </w:pPr>
            <w:r>
              <w:rPr>
                <w:rFonts w:ascii="Arial" w:cs="Arial" w:eastAsia="Arial" w:hAnsi="Arial"/>
                <w:sz w:val="18"/>
                <w:szCs w:val="18"/>
                <w:b w:val="1"/>
                <w:bCs w:val="1"/>
                <w:color w:val="auto"/>
                <w:w w:val="99"/>
              </w:rPr>
              <w:t>Year Ended December 31,</w:t>
            </w:r>
          </w:p>
        </w:tc>
        <w:tc>
          <w:tcPr>
            <w:tcW w:w="940" w:type="dxa"/>
            <w:vAlign w:val="bottom"/>
            <w:tcBorders>
              <w:bottom w:val="single" w:sz="8" w:color="auto"/>
            </w:tcBorders>
          </w:tcPr>
          <w:p>
            <w:pPr>
              <w:spacing w:after="0"/>
              <w:rPr>
                <w:sz w:val="20"/>
                <w:szCs w:val="20"/>
                <w:color w:val="auto"/>
              </w:rPr>
            </w:pPr>
          </w:p>
        </w:tc>
      </w:tr>
      <w:tr>
        <w:trPr>
          <w:trHeight w:val="265"/>
        </w:trPr>
        <w:tc>
          <w:tcPr>
            <w:tcW w:w="472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87"/>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D2EDF0"/>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85"/>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D2EDF0"/>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85"/>
              <w:spacing w:after="0"/>
              <w:rPr>
                <w:sz w:val="20"/>
                <w:szCs w:val="20"/>
                <w:color w:val="auto"/>
              </w:rPr>
            </w:pPr>
            <w:r>
              <w:rPr>
                <w:rFonts w:ascii="Arial" w:cs="Arial" w:eastAsia="Arial" w:hAnsi="Arial"/>
                <w:sz w:val="18"/>
                <w:szCs w:val="18"/>
                <w:b w:val="1"/>
                <w:bCs w:val="1"/>
                <w:color w:val="auto"/>
              </w:rPr>
              <w:t>2020</w:t>
            </w:r>
          </w:p>
        </w:tc>
      </w:tr>
      <w:tr>
        <w:trPr>
          <w:trHeight w:val="265"/>
        </w:trPr>
        <w:tc>
          <w:tcPr>
            <w:tcW w:w="4720" w:type="dxa"/>
            <w:vAlign w:val="bottom"/>
            <w:shd w:val="clear" w:color="auto" w:fill="D2EDF0"/>
          </w:tcPr>
          <w:p>
            <w:pPr>
              <w:ind w:left="60"/>
              <w:spacing w:after="0"/>
              <w:rPr>
                <w:sz w:val="20"/>
                <w:szCs w:val="20"/>
                <w:color w:val="auto"/>
              </w:rPr>
            </w:pPr>
            <w:r>
              <w:rPr>
                <w:rFonts w:ascii="Arial" w:cs="Arial" w:eastAsia="Arial" w:hAnsi="Arial"/>
                <w:sz w:val="20"/>
                <w:szCs w:val="20"/>
                <w:color w:val="auto"/>
              </w:rPr>
              <w:t>Operating lease cost</w:t>
            </w:r>
          </w:p>
        </w:tc>
        <w:tc>
          <w:tcPr>
            <w:tcW w:w="340" w:type="dxa"/>
            <w:vAlign w:val="bottom"/>
            <w:shd w:val="clear" w:color="auto" w:fill="D2EDF0"/>
          </w:tcPr>
          <w:p>
            <w:pPr>
              <w:jc w:val="right"/>
              <w:ind w:right="60"/>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7,550</w:t>
            </w:r>
          </w:p>
        </w:tc>
        <w:tc>
          <w:tcPr>
            <w:tcW w:w="400" w:type="dxa"/>
            <w:vAlign w:val="bottom"/>
            <w:gridSpan w:val="2"/>
            <w:shd w:val="clear" w:color="auto" w:fill="D2EDF0"/>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7,634</w:t>
            </w:r>
          </w:p>
        </w:tc>
        <w:tc>
          <w:tcPr>
            <w:tcW w:w="480" w:type="dxa"/>
            <w:vAlign w:val="bottom"/>
            <w:gridSpan w:val="2"/>
            <w:shd w:val="clear" w:color="auto" w:fill="D2EDF0"/>
          </w:tcPr>
          <w:p>
            <w:pPr>
              <w:jc w:val="right"/>
              <w:ind w:right="260"/>
              <w:spacing w:after="0"/>
              <w:rPr>
                <w:sz w:val="20"/>
                <w:szCs w:val="20"/>
                <w:color w:val="auto"/>
              </w:rPr>
            </w:pPr>
            <w:r>
              <w:rPr>
                <w:rFonts w:ascii="Arial" w:cs="Arial" w:eastAsia="Arial" w:hAnsi="Arial"/>
                <w:sz w:val="20"/>
                <w:szCs w:val="20"/>
                <w:color w:val="auto"/>
              </w:rPr>
              <w:t>$</w:t>
            </w:r>
          </w:p>
        </w:tc>
        <w:tc>
          <w:tcPr>
            <w:tcW w:w="9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9,870</w:t>
            </w:r>
          </w:p>
        </w:tc>
      </w:tr>
      <w:tr>
        <w:trPr>
          <w:trHeight w:val="20"/>
        </w:trPr>
        <w:tc>
          <w:tcPr>
            <w:tcW w:w="4720" w:type="dxa"/>
            <w:vAlign w:val="bottom"/>
            <w:tcBorders>
              <w:top w:val="single" w:sz="8" w:color="D2EDF0"/>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EDF0"/>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EDF0"/>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-37465</wp:posOffset>
            </wp:positionV>
            <wp:extent cx="268605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86050" cy="38100"/>
                    </a:xfrm>
                    <a:prstGeom prst="rect">
                      <a:avLst/>
                    </a:prstGeom>
                    <a:noFill/>
                  </pic:spPr>
                </pic:pic>
              </a:graphicData>
            </a:graphic>
          </wp:anchor>
        </w:drawing>
      </w:r>
    </w:p>
    <w:p>
      <w:pPr>
        <w:spacing w:after="0" w:line="234" w:lineRule="exact"/>
        <w:rPr>
          <w:sz w:val="20"/>
          <w:szCs w:val="20"/>
          <w:color w:val="auto"/>
        </w:rPr>
      </w:pPr>
    </w:p>
    <w:p>
      <w:pPr>
        <w:ind w:right="400" w:firstLine="360"/>
        <w:spacing w:after="0" w:line="287" w:lineRule="auto"/>
        <w:rPr>
          <w:sz w:val="20"/>
          <w:szCs w:val="20"/>
          <w:color w:val="auto"/>
        </w:rPr>
      </w:pPr>
      <w:r>
        <w:rPr>
          <w:rFonts w:ascii="Arial" w:cs="Arial" w:eastAsia="Arial" w:hAnsi="Arial"/>
          <w:sz w:val="20"/>
          <w:szCs w:val="20"/>
          <w:color w:val="auto"/>
        </w:rPr>
        <w:t>Rent expense for short-term leases and finance lease costs in 2022, 2021 and 2020 were not material.</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103</w:t>
      </w:r>
    </w:p>
    <w:p>
      <w:pPr>
        <w:sectPr>
          <w:pgSz w:w="11880" w:h="15480" w:orient="portrait"/>
          <w:cols w:equalWidth="0" w:num="1">
            <w:col w:w="9000"/>
          </w:cols>
          <w:pgMar w:left="1440" w:top="1204" w:right="1440" w:bottom="0" w:gutter="0" w:footer="0" w:header="0"/>
          <w:type w:val="continuous"/>
        </w:sectPr>
      </w:pPr>
    </w:p>
    <w:bookmarkStart w:id="195" w:name="page196"/>
    <w:bookmarkEnd w:id="195"/>
    <w:p>
      <w:pPr>
        <w:ind w:left="380"/>
        <w:spacing w:after="0"/>
        <w:rPr>
          <w:sz w:val="20"/>
          <w:szCs w:val="20"/>
          <w:color w:val="auto"/>
        </w:rPr>
      </w:pPr>
      <w:r>
        <w:rPr>
          <w:rFonts w:ascii="Arial" w:cs="Arial" w:eastAsia="Arial" w:hAnsi="Arial"/>
          <w:sz w:val="20"/>
          <w:szCs w:val="20"/>
          <w:color w:val="auto"/>
        </w:rPr>
        <w:t>Supplemental information related to leases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rPr>
              <w:t>December 31,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rPr>
              <w:t>December 31,</w:t>
            </w:r>
          </w:p>
        </w:tc>
      </w:tr>
      <w:tr>
        <w:trPr>
          <w:trHeight w:val="238"/>
        </w:trPr>
        <w:tc>
          <w:tcPr>
            <w:tcW w:w="100" w:type="dxa"/>
            <w:vAlign w:val="bottom"/>
          </w:tcPr>
          <w:p>
            <w:pPr>
              <w:spacing w:after="0"/>
              <w:rPr>
                <w:sz w:val="20"/>
                <w:szCs w:val="20"/>
                <w:color w:val="auto"/>
              </w:rPr>
            </w:pPr>
          </w:p>
        </w:tc>
        <w:tc>
          <w:tcPr>
            <w:tcW w:w="4720" w:type="dxa"/>
            <w:vAlign w:val="bottom"/>
            <w:tcBorders>
              <w:bottom w:val="single" w:sz="8" w:color="D2EDF0"/>
            </w:tcBorders>
          </w:tcPr>
          <w:p>
            <w:pPr>
              <w:spacing w:after="0"/>
              <w:rPr>
                <w:sz w:val="20"/>
                <w:szCs w:val="20"/>
                <w:color w:val="auto"/>
              </w:rPr>
            </w:pPr>
          </w:p>
        </w:tc>
        <w:tc>
          <w:tcPr>
            <w:tcW w:w="320" w:type="dxa"/>
            <w:vAlign w:val="bottom"/>
            <w:tcBorders>
              <w:bottom w:val="single" w:sz="8" w:color="D2EDF0"/>
            </w:tcBorders>
          </w:tcPr>
          <w:p>
            <w:pPr>
              <w:spacing w:after="0"/>
              <w:rPr>
                <w:sz w:val="20"/>
                <w:szCs w:val="20"/>
                <w:color w:val="auto"/>
              </w:rPr>
            </w:pPr>
          </w:p>
        </w:tc>
        <w:tc>
          <w:tcPr>
            <w:tcW w:w="1040" w:type="dxa"/>
            <w:vAlign w:val="bottom"/>
            <w:tcBorders>
              <w:bottom w:val="single" w:sz="8" w:color="D2EDF0"/>
            </w:tcBorders>
          </w:tcPr>
          <w:p>
            <w:pPr>
              <w:spacing w:after="0"/>
              <w:rPr>
                <w:sz w:val="20"/>
                <w:szCs w:val="20"/>
                <w:color w:val="auto"/>
              </w:rPr>
            </w:pPr>
          </w:p>
        </w:tc>
        <w:tc>
          <w:tcPr>
            <w:tcW w:w="60" w:type="dxa"/>
            <w:vAlign w:val="bottom"/>
            <w:tcBorders>
              <w:bottom w:val="single" w:sz="8" w:color="D2EDF0"/>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4"/>
              <w:spacing w:after="0"/>
              <w:rPr>
                <w:sz w:val="20"/>
                <w:szCs w:val="20"/>
                <w:color w:val="auto"/>
              </w:rPr>
            </w:pPr>
            <w:r>
              <w:rPr>
                <w:rFonts w:ascii="Arial" w:cs="Arial" w:eastAsia="Arial" w:hAnsi="Arial"/>
                <w:sz w:val="18"/>
                <w:szCs w:val="18"/>
                <w:b w:val="1"/>
                <w:bCs w:val="1"/>
                <w:color w:val="auto"/>
                <w:w w:val="99"/>
              </w:rPr>
              <w:t>2022</w:t>
            </w:r>
          </w:p>
        </w:tc>
        <w:tc>
          <w:tcPr>
            <w:tcW w:w="60" w:type="dxa"/>
            <w:vAlign w:val="bottom"/>
            <w:tcBorders>
              <w:bottom w:val="single" w:sz="8" w:color="D2EDF0"/>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44"/>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r>
      <w:tr>
        <w:trPr>
          <w:trHeight w:val="275"/>
        </w:trPr>
        <w:tc>
          <w:tcPr>
            <w:tcW w:w="100" w:type="dxa"/>
            <w:vAlign w:val="bottom"/>
          </w:tcPr>
          <w:p>
            <w:pPr>
              <w:spacing w:after="0"/>
              <w:rPr>
                <w:sz w:val="23"/>
                <w:szCs w:val="23"/>
                <w:color w:val="auto"/>
              </w:rPr>
            </w:pPr>
          </w:p>
        </w:tc>
        <w:tc>
          <w:tcPr>
            <w:tcW w:w="4720" w:type="dxa"/>
            <w:vAlign w:val="bottom"/>
            <w:shd w:val="clear" w:color="auto" w:fill="D2EDF0"/>
          </w:tcPr>
          <w:p>
            <w:pPr>
              <w:ind w:left="40"/>
              <w:spacing w:after="0"/>
              <w:rPr>
                <w:sz w:val="20"/>
                <w:szCs w:val="20"/>
                <w:color w:val="auto"/>
              </w:rPr>
            </w:pPr>
            <w:r>
              <w:rPr>
                <w:rFonts w:ascii="Arial" w:cs="Arial" w:eastAsia="Arial" w:hAnsi="Arial"/>
                <w:sz w:val="18"/>
                <w:szCs w:val="18"/>
                <w:b w:val="1"/>
                <w:bCs w:val="1"/>
                <w:color w:val="auto"/>
              </w:rPr>
              <w:t>Operating leases</w:t>
            </w:r>
          </w:p>
        </w:tc>
        <w:tc>
          <w:tcPr>
            <w:tcW w:w="320" w:type="dxa"/>
            <w:vAlign w:val="bottom"/>
            <w:shd w:val="clear" w:color="auto" w:fill="D2EDF0"/>
          </w:tcPr>
          <w:p>
            <w:pPr>
              <w:spacing w:after="0"/>
              <w:rPr>
                <w:sz w:val="23"/>
                <w:szCs w:val="23"/>
                <w:color w:val="auto"/>
              </w:rPr>
            </w:pPr>
          </w:p>
        </w:tc>
        <w:tc>
          <w:tcPr>
            <w:tcW w:w="1040" w:type="dxa"/>
            <w:vAlign w:val="bottom"/>
            <w:shd w:val="clear" w:color="auto" w:fill="D2EDF0"/>
          </w:tcPr>
          <w:p>
            <w:pPr>
              <w:spacing w:after="0"/>
              <w:rPr>
                <w:sz w:val="23"/>
                <w:szCs w:val="23"/>
                <w:color w:val="auto"/>
              </w:rPr>
            </w:pPr>
          </w:p>
        </w:tc>
        <w:tc>
          <w:tcPr>
            <w:tcW w:w="60" w:type="dxa"/>
            <w:vAlign w:val="bottom"/>
            <w:shd w:val="clear" w:color="auto" w:fill="D2EDF0"/>
          </w:tcPr>
          <w:p>
            <w:pPr>
              <w:spacing w:after="0"/>
              <w:rPr>
                <w:sz w:val="23"/>
                <w:szCs w:val="23"/>
                <w:color w:val="auto"/>
              </w:rPr>
            </w:pPr>
          </w:p>
        </w:tc>
        <w:tc>
          <w:tcPr>
            <w:tcW w:w="20" w:type="dxa"/>
            <w:vAlign w:val="bottom"/>
            <w:shd w:val="clear" w:color="auto" w:fill="D2EDF0"/>
          </w:tcPr>
          <w:p>
            <w:pPr>
              <w:spacing w:after="0"/>
              <w:rPr>
                <w:sz w:val="23"/>
                <w:szCs w:val="23"/>
                <w:color w:val="auto"/>
              </w:rPr>
            </w:pPr>
          </w:p>
        </w:tc>
        <w:tc>
          <w:tcPr>
            <w:tcW w:w="180" w:type="dxa"/>
            <w:vAlign w:val="bottom"/>
            <w:shd w:val="clear" w:color="auto" w:fill="D2EDF0"/>
          </w:tcPr>
          <w:p>
            <w:pPr>
              <w:spacing w:after="0"/>
              <w:rPr>
                <w:sz w:val="23"/>
                <w:szCs w:val="23"/>
                <w:color w:val="auto"/>
              </w:rPr>
            </w:pPr>
          </w:p>
        </w:tc>
        <w:tc>
          <w:tcPr>
            <w:tcW w:w="1120" w:type="dxa"/>
            <w:vAlign w:val="bottom"/>
            <w:shd w:val="clear" w:color="auto" w:fill="D2EDF0"/>
          </w:tcPr>
          <w:p>
            <w:pPr>
              <w:spacing w:after="0"/>
              <w:rPr>
                <w:sz w:val="23"/>
                <w:szCs w:val="23"/>
                <w:color w:val="auto"/>
              </w:rPr>
            </w:pPr>
          </w:p>
        </w:tc>
        <w:tc>
          <w:tcPr>
            <w:tcW w:w="60" w:type="dxa"/>
            <w:vAlign w:val="bottom"/>
            <w:shd w:val="clear" w:color="auto" w:fill="D2EDF0"/>
          </w:tcPr>
          <w:p>
            <w:pPr>
              <w:spacing w:after="0"/>
              <w:rPr>
                <w:sz w:val="23"/>
                <w:szCs w:val="23"/>
                <w:color w:val="auto"/>
              </w:rPr>
            </w:pPr>
          </w:p>
        </w:tc>
        <w:tc>
          <w:tcPr>
            <w:tcW w:w="60" w:type="dxa"/>
            <w:vAlign w:val="bottom"/>
            <w:shd w:val="clear" w:color="auto" w:fill="D2EDF0"/>
          </w:tcPr>
          <w:p>
            <w:pPr>
              <w:spacing w:after="0"/>
              <w:rPr>
                <w:sz w:val="23"/>
                <w:szCs w:val="23"/>
                <w:color w:val="auto"/>
              </w:rPr>
            </w:pPr>
          </w:p>
        </w:tc>
        <w:tc>
          <w:tcPr>
            <w:tcW w:w="180" w:type="dxa"/>
            <w:vAlign w:val="bottom"/>
            <w:shd w:val="clear" w:color="auto" w:fill="D2EDF0"/>
          </w:tcPr>
          <w:p>
            <w:pPr>
              <w:spacing w:after="0"/>
              <w:rPr>
                <w:sz w:val="23"/>
                <w:szCs w:val="23"/>
                <w:color w:val="auto"/>
              </w:rPr>
            </w:pPr>
          </w:p>
        </w:tc>
        <w:tc>
          <w:tcPr>
            <w:tcW w:w="1080" w:type="dxa"/>
            <w:vAlign w:val="bottom"/>
            <w:shd w:val="clear" w:color="auto" w:fill="D2EDF0"/>
          </w:tcPr>
          <w:p>
            <w:pPr>
              <w:spacing w:after="0"/>
              <w:rPr>
                <w:sz w:val="23"/>
                <w:szCs w:val="23"/>
                <w:color w:val="auto"/>
              </w:rPr>
            </w:pPr>
          </w:p>
        </w:tc>
        <w:tc>
          <w:tcPr>
            <w:tcW w:w="100" w:type="dxa"/>
            <w:vAlign w:val="bottom"/>
          </w:tcPr>
          <w:p>
            <w:pPr>
              <w:spacing w:after="0"/>
              <w:rPr>
                <w:sz w:val="23"/>
                <w:szCs w:val="23"/>
                <w:color w:val="auto"/>
              </w:rPr>
            </w:pPr>
          </w:p>
        </w:tc>
      </w:tr>
      <w:tr>
        <w:trPr>
          <w:trHeight w:val="281"/>
        </w:trPr>
        <w:tc>
          <w:tcPr>
            <w:tcW w:w="100" w:type="dxa"/>
            <w:vAlign w:val="bottom"/>
          </w:tcPr>
          <w:p>
            <w:pPr>
              <w:spacing w:after="0"/>
              <w:rPr>
                <w:sz w:val="24"/>
                <w:szCs w:val="24"/>
                <w:color w:val="auto"/>
              </w:rPr>
            </w:pPr>
          </w:p>
        </w:tc>
        <w:tc>
          <w:tcPr>
            <w:tcW w:w="4720" w:type="dxa"/>
            <w:vAlign w:val="bottom"/>
          </w:tcPr>
          <w:p>
            <w:pPr>
              <w:ind w:left="280"/>
              <w:spacing w:after="0"/>
              <w:rPr>
                <w:sz w:val="20"/>
                <w:szCs w:val="20"/>
                <w:color w:val="auto"/>
              </w:rPr>
            </w:pPr>
            <w:r>
              <w:rPr>
                <w:rFonts w:ascii="Arial" w:cs="Arial" w:eastAsia="Arial" w:hAnsi="Arial"/>
                <w:sz w:val="20"/>
                <w:szCs w:val="20"/>
                <w:color w:val="auto"/>
              </w:rPr>
              <w:t>Weighted average remaining lease term</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ind w:right="124"/>
              <w:spacing w:after="0"/>
              <w:rPr>
                <w:sz w:val="20"/>
                <w:szCs w:val="20"/>
                <w:color w:val="auto"/>
              </w:rPr>
            </w:pPr>
            <w:r>
              <w:rPr>
                <w:rFonts w:ascii="Arial" w:cs="Arial" w:eastAsia="Arial" w:hAnsi="Arial"/>
                <w:sz w:val="20"/>
                <w:szCs w:val="20"/>
                <w:color w:val="auto"/>
                <w:w w:val="99"/>
              </w:rPr>
              <w:t>8.2 years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20"/>
                <w:szCs w:val="20"/>
                <w:color w:val="auto"/>
                <w:w w:val="99"/>
              </w:rPr>
              <w:t>9.2 years</w:t>
            </w:r>
          </w:p>
        </w:tc>
      </w:tr>
      <w:tr>
        <w:trPr>
          <w:trHeight w:val="289"/>
        </w:trPr>
        <w:tc>
          <w:tcPr>
            <w:tcW w:w="100" w:type="dxa"/>
            <w:vAlign w:val="bottom"/>
          </w:tcPr>
          <w:p>
            <w:pPr>
              <w:spacing w:after="0"/>
              <w:rPr>
                <w:sz w:val="24"/>
                <w:szCs w:val="24"/>
                <w:color w:val="auto"/>
              </w:rPr>
            </w:pPr>
          </w:p>
        </w:tc>
        <w:tc>
          <w:tcPr>
            <w:tcW w:w="4720" w:type="dxa"/>
            <w:vAlign w:val="bottom"/>
            <w:shd w:val="clear" w:color="auto" w:fill="D2EDF0"/>
          </w:tcPr>
          <w:p>
            <w:pPr>
              <w:ind w:left="280"/>
              <w:spacing w:after="0"/>
              <w:rPr>
                <w:sz w:val="20"/>
                <w:szCs w:val="20"/>
                <w:color w:val="auto"/>
              </w:rPr>
            </w:pPr>
            <w:r>
              <w:rPr>
                <w:rFonts w:ascii="Arial" w:cs="Arial" w:eastAsia="Arial" w:hAnsi="Arial"/>
                <w:sz w:val="20"/>
                <w:szCs w:val="20"/>
                <w:color w:val="auto"/>
              </w:rPr>
              <w:t>Weighted average discount rate</w:t>
            </w:r>
          </w:p>
        </w:tc>
        <w:tc>
          <w:tcPr>
            <w:tcW w:w="320" w:type="dxa"/>
            <w:vAlign w:val="bottom"/>
            <w:shd w:val="clear" w:color="auto" w:fill="D2EDF0"/>
          </w:tcPr>
          <w:p>
            <w:pPr>
              <w:spacing w:after="0"/>
              <w:rPr>
                <w:sz w:val="24"/>
                <w:szCs w:val="24"/>
                <w:color w:val="auto"/>
              </w:rPr>
            </w:pPr>
          </w:p>
        </w:tc>
        <w:tc>
          <w:tcPr>
            <w:tcW w:w="1040" w:type="dxa"/>
            <w:vAlign w:val="bottom"/>
            <w:shd w:val="clear" w:color="auto" w:fill="D2EDF0"/>
          </w:tcPr>
          <w:p>
            <w:pPr>
              <w:spacing w:after="0"/>
              <w:rPr>
                <w:sz w:val="24"/>
                <w:szCs w:val="24"/>
                <w:color w:val="auto"/>
              </w:rPr>
            </w:pPr>
          </w:p>
        </w:tc>
        <w:tc>
          <w:tcPr>
            <w:tcW w:w="60" w:type="dxa"/>
            <w:vAlign w:val="bottom"/>
            <w:shd w:val="clear" w:color="auto" w:fill="D2EDF0"/>
          </w:tcPr>
          <w:p>
            <w:pPr>
              <w:spacing w:after="0"/>
              <w:rPr>
                <w:sz w:val="24"/>
                <w:szCs w:val="24"/>
                <w:color w:val="auto"/>
              </w:rPr>
            </w:pPr>
          </w:p>
        </w:tc>
        <w:tc>
          <w:tcPr>
            <w:tcW w:w="20" w:type="dxa"/>
            <w:vAlign w:val="bottom"/>
            <w:shd w:val="clear" w:color="auto" w:fill="D2EDF0"/>
          </w:tcPr>
          <w:p>
            <w:pPr>
              <w:spacing w:after="0"/>
              <w:rPr>
                <w:sz w:val="24"/>
                <w:szCs w:val="24"/>
                <w:color w:val="auto"/>
              </w:rPr>
            </w:pPr>
          </w:p>
        </w:tc>
        <w:tc>
          <w:tcPr>
            <w:tcW w:w="180" w:type="dxa"/>
            <w:vAlign w:val="bottom"/>
            <w:shd w:val="clear" w:color="auto" w:fill="D2EDF0"/>
          </w:tcPr>
          <w:p>
            <w:pPr>
              <w:spacing w:after="0"/>
              <w:rPr>
                <w:sz w:val="24"/>
                <w:szCs w:val="24"/>
                <w:color w:val="auto"/>
              </w:rPr>
            </w:pPr>
          </w:p>
        </w:tc>
        <w:tc>
          <w:tcPr>
            <w:tcW w:w="1120" w:type="dxa"/>
            <w:vAlign w:val="bottom"/>
            <w:shd w:val="clear" w:color="auto" w:fill="D2EDF0"/>
          </w:tcPr>
          <w:p>
            <w:pPr>
              <w:jc w:val="right"/>
              <w:ind w:right="324"/>
              <w:spacing w:after="0"/>
              <w:rPr>
                <w:sz w:val="20"/>
                <w:szCs w:val="20"/>
                <w:color w:val="auto"/>
              </w:rPr>
            </w:pPr>
            <w:r>
              <w:rPr>
                <w:rFonts w:ascii="Arial" w:cs="Arial" w:eastAsia="Arial" w:hAnsi="Arial"/>
                <w:sz w:val="20"/>
                <w:szCs w:val="20"/>
                <w:color w:val="auto"/>
              </w:rPr>
              <w:t>5.6%</w:t>
            </w:r>
          </w:p>
        </w:tc>
        <w:tc>
          <w:tcPr>
            <w:tcW w:w="60" w:type="dxa"/>
            <w:vAlign w:val="bottom"/>
            <w:shd w:val="clear" w:color="auto" w:fill="D2EDF0"/>
          </w:tcPr>
          <w:p>
            <w:pPr>
              <w:spacing w:after="0"/>
              <w:rPr>
                <w:sz w:val="24"/>
                <w:szCs w:val="24"/>
                <w:color w:val="auto"/>
              </w:rPr>
            </w:pPr>
          </w:p>
        </w:tc>
        <w:tc>
          <w:tcPr>
            <w:tcW w:w="60" w:type="dxa"/>
            <w:vAlign w:val="bottom"/>
            <w:shd w:val="clear" w:color="auto" w:fill="D2EDF0"/>
          </w:tcPr>
          <w:p>
            <w:pPr>
              <w:spacing w:after="0"/>
              <w:rPr>
                <w:sz w:val="24"/>
                <w:szCs w:val="24"/>
                <w:color w:val="auto"/>
              </w:rPr>
            </w:pPr>
          </w:p>
        </w:tc>
        <w:tc>
          <w:tcPr>
            <w:tcW w:w="180" w:type="dxa"/>
            <w:vAlign w:val="bottom"/>
            <w:shd w:val="clear" w:color="auto" w:fill="D2EDF0"/>
          </w:tcPr>
          <w:p>
            <w:pPr>
              <w:spacing w:after="0"/>
              <w:rPr>
                <w:sz w:val="24"/>
                <w:szCs w:val="24"/>
                <w:color w:val="auto"/>
              </w:rPr>
            </w:pPr>
          </w:p>
        </w:tc>
        <w:tc>
          <w:tcPr>
            <w:tcW w:w="1080" w:type="dxa"/>
            <w:vAlign w:val="bottom"/>
            <w:shd w:val="clear" w:color="auto" w:fill="D2EDF0"/>
          </w:tcPr>
          <w:p>
            <w:pPr>
              <w:jc w:val="center"/>
              <w:ind w:right="84"/>
              <w:spacing w:after="0"/>
              <w:rPr>
                <w:sz w:val="20"/>
                <w:szCs w:val="20"/>
                <w:color w:val="auto"/>
              </w:rPr>
            </w:pPr>
            <w:r>
              <w:rPr>
                <w:rFonts w:ascii="Arial" w:cs="Arial" w:eastAsia="Arial" w:hAnsi="Arial"/>
                <w:sz w:val="20"/>
                <w:szCs w:val="20"/>
                <w:color w:val="auto"/>
              </w:rPr>
              <w:t>5.5%</w:t>
            </w:r>
          </w:p>
        </w:tc>
        <w:tc>
          <w:tcPr>
            <w:tcW w:w="100" w:type="dxa"/>
            <w:vAlign w:val="bottom"/>
          </w:tcPr>
          <w:p>
            <w:pPr>
              <w:spacing w:after="0"/>
              <w:rPr>
                <w:sz w:val="24"/>
                <w:szCs w:val="24"/>
                <w:color w:val="auto"/>
              </w:rPr>
            </w:pPr>
          </w:p>
        </w:tc>
      </w:tr>
      <w:tr>
        <w:trPr>
          <w:trHeight w:val="615"/>
        </w:trPr>
        <w:tc>
          <w:tcPr>
            <w:tcW w:w="1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10"/>
          </w:tcPr>
          <w:p>
            <w:pPr>
              <w:jc w:val="right"/>
              <w:ind w:right="1000"/>
              <w:spacing w:after="0"/>
              <w:rPr>
                <w:sz w:val="20"/>
                <w:szCs w:val="20"/>
                <w:color w:val="auto"/>
              </w:rPr>
            </w:pPr>
            <w:r>
              <w:rPr>
                <w:rFonts w:ascii="Arial" w:cs="Arial" w:eastAsia="Arial" w:hAnsi="Arial"/>
                <w:sz w:val="18"/>
                <w:szCs w:val="18"/>
                <w:b w:val="1"/>
                <w:bCs w:val="1"/>
                <w:color w:val="auto"/>
              </w:rPr>
              <w:t>Year Ended December 31,</w:t>
            </w:r>
          </w:p>
        </w:tc>
      </w:tr>
      <w:tr>
        <w:trPr>
          <w:trHeight w:val="265"/>
        </w:trPr>
        <w:tc>
          <w:tcPr>
            <w:tcW w:w="4820" w:type="dxa"/>
            <w:vAlign w:val="bottom"/>
            <w:tcBorders>
              <w:bottom w:val="single" w:sz="8" w:color="D2EDF0"/>
            </w:tcBorders>
            <w:gridSpan w:val="2"/>
          </w:tcPr>
          <w:p>
            <w:pPr>
              <w:ind w:left="6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87"/>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D2EDF0"/>
            </w:tcBorders>
          </w:tcPr>
          <w:p>
            <w:pPr>
              <w:spacing w:after="0"/>
              <w:rPr>
                <w:sz w:val="23"/>
                <w:szCs w:val="23"/>
                <w:color w:val="auto"/>
              </w:rPr>
            </w:pPr>
          </w:p>
        </w:tc>
        <w:tc>
          <w:tcPr>
            <w:tcW w:w="20" w:type="dxa"/>
            <w:vAlign w:val="bottom"/>
            <w:tcBorders>
              <w:bottom w:val="single" w:sz="8" w:color="D2EDF0"/>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D2EDF0"/>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4"/>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3"/>
                <w:szCs w:val="23"/>
                <w:color w:val="auto"/>
              </w:rPr>
            </w:pPr>
          </w:p>
        </w:tc>
      </w:tr>
      <w:tr>
        <w:trPr>
          <w:trHeight w:val="177"/>
        </w:trPr>
        <w:tc>
          <w:tcPr>
            <w:tcW w:w="4820" w:type="dxa"/>
            <w:vAlign w:val="bottom"/>
            <w:gridSpan w:val="2"/>
            <w:shd w:val="clear" w:color="auto" w:fill="D2EDF0"/>
          </w:tcPr>
          <w:p>
            <w:pPr>
              <w:ind w:left="60"/>
              <w:spacing w:after="0" w:line="177" w:lineRule="exact"/>
              <w:rPr>
                <w:sz w:val="20"/>
                <w:szCs w:val="20"/>
                <w:color w:val="auto"/>
              </w:rPr>
            </w:pPr>
            <w:r>
              <w:rPr>
                <w:rFonts w:ascii="Arial" w:cs="Arial" w:eastAsia="Arial" w:hAnsi="Arial"/>
                <w:sz w:val="18"/>
                <w:szCs w:val="18"/>
                <w:b w:val="1"/>
                <w:bCs w:val="1"/>
                <w:color w:val="auto"/>
              </w:rPr>
              <w:t>ROU assets obtained in exchange for lease</w:t>
            </w:r>
          </w:p>
        </w:tc>
        <w:tc>
          <w:tcPr>
            <w:tcW w:w="320" w:type="dxa"/>
            <w:vAlign w:val="bottom"/>
            <w:shd w:val="clear" w:color="auto" w:fill="D2EDF0"/>
          </w:tcPr>
          <w:p>
            <w:pPr>
              <w:spacing w:after="0"/>
              <w:rPr>
                <w:sz w:val="15"/>
                <w:szCs w:val="15"/>
                <w:color w:val="auto"/>
              </w:rPr>
            </w:pPr>
          </w:p>
        </w:tc>
        <w:tc>
          <w:tcPr>
            <w:tcW w:w="1040" w:type="dxa"/>
            <w:vAlign w:val="bottom"/>
            <w:shd w:val="clear" w:color="auto" w:fill="D2EDF0"/>
          </w:tcPr>
          <w:p>
            <w:pPr>
              <w:spacing w:after="0"/>
              <w:rPr>
                <w:sz w:val="15"/>
                <w:szCs w:val="15"/>
                <w:color w:val="auto"/>
              </w:rPr>
            </w:pPr>
          </w:p>
        </w:tc>
        <w:tc>
          <w:tcPr>
            <w:tcW w:w="60" w:type="dxa"/>
            <w:vAlign w:val="bottom"/>
            <w:shd w:val="clear" w:color="auto" w:fill="D2EDF0"/>
          </w:tcPr>
          <w:p>
            <w:pPr>
              <w:spacing w:after="0"/>
              <w:rPr>
                <w:sz w:val="15"/>
                <w:szCs w:val="15"/>
                <w:color w:val="auto"/>
              </w:rPr>
            </w:pPr>
          </w:p>
        </w:tc>
        <w:tc>
          <w:tcPr>
            <w:tcW w:w="20" w:type="dxa"/>
            <w:vAlign w:val="bottom"/>
            <w:shd w:val="clear" w:color="auto" w:fill="D2EDF0"/>
          </w:tcPr>
          <w:p>
            <w:pPr>
              <w:spacing w:after="0"/>
              <w:rPr>
                <w:sz w:val="15"/>
                <w:szCs w:val="15"/>
                <w:color w:val="auto"/>
              </w:rPr>
            </w:pPr>
          </w:p>
        </w:tc>
        <w:tc>
          <w:tcPr>
            <w:tcW w:w="180" w:type="dxa"/>
            <w:vAlign w:val="bottom"/>
            <w:shd w:val="clear" w:color="auto" w:fill="D2EDF0"/>
          </w:tcPr>
          <w:p>
            <w:pPr>
              <w:spacing w:after="0"/>
              <w:rPr>
                <w:sz w:val="15"/>
                <w:szCs w:val="15"/>
                <w:color w:val="auto"/>
              </w:rPr>
            </w:pPr>
          </w:p>
        </w:tc>
        <w:tc>
          <w:tcPr>
            <w:tcW w:w="1120" w:type="dxa"/>
            <w:vAlign w:val="bottom"/>
            <w:shd w:val="clear" w:color="auto" w:fill="D2EDF0"/>
          </w:tcPr>
          <w:p>
            <w:pPr>
              <w:spacing w:after="0"/>
              <w:rPr>
                <w:sz w:val="15"/>
                <w:szCs w:val="15"/>
                <w:color w:val="auto"/>
              </w:rPr>
            </w:pPr>
          </w:p>
        </w:tc>
        <w:tc>
          <w:tcPr>
            <w:tcW w:w="60" w:type="dxa"/>
            <w:vAlign w:val="bottom"/>
            <w:shd w:val="clear" w:color="auto" w:fill="D2EDF0"/>
          </w:tcPr>
          <w:p>
            <w:pPr>
              <w:spacing w:after="0"/>
              <w:rPr>
                <w:sz w:val="15"/>
                <w:szCs w:val="15"/>
                <w:color w:val="auto"/>
              </w:rPr>
            </w:pPr>
          </w:p>
        </w:tc>
        <w:tc>
          <w:tcPr>
            <w:tcW w:w="60" w:type="dxa"/>
            <w:vAlign w:val="bottom"/>
            <w:shd w:val="clear" w:color="auto" w:fill="D2EDF0"/>
          </w:tcPr>
          <w:p>
            <w:pPr>
              <w:spacing w:after="0"/>
              <w:rPr>
                <w:sz w:val="15"/>
                <w:szCs w:val="15"/>
                <w:color w:val="auto"/>
              </w:rPr>
            </w:pPr>
          </w:p>
        </w:tc>
        <w:tc>
          <w:tcPr>
            <w:tcW w:w="180" w:type="dxa"/>
            <w:vAlign w:val="bottom"/>
            <w:shd w:val="clear" w:color="auto" w:fill="D2EDF0"/>
          </w:tcPr>
          <w:p>
            <w:pPr>
              <w:spacing w:after="0"/>
              <w:rPr>
                <w:sz w:val="15"/>
                <w:szCs w:val="15"/>
                <w:color w:val="auto"/>
              </w:rPr>
            </w:pPr>
          </w:p>
        </w:tc>
        <w:tc>
          <w:tcPr>
            <w:tcW w:w="1080" w:type="dxa"/>
            <w:vAlign w:val="bottom"/>
            <w:shd w:val="clear" w:color="auto" w:fill="D2EDF0"/>
          </w:tcPr>
          <w:p>
            <w:pPr>
              <w:spacing w:after="0"/>
              <w:rPr>
                <w:sz w:val="15"/>
                <w:szCs w:val="15"/>
                <w:color w:val="auto"/>
              </w:rPr>
            </w:pPr>
          </w:p>
        </w:tc>
        <w:tc>
          <w:tcPr>
            <w:tcW w:w="100" w:type="dxa"/>
            <w:vAlign w:val="bottom"/>
            <w:shd w:val="clear" w:color="auto" w:fill="D2EDF0"/>
          </w:tcPr>
          <w:p>
            <w:pPr>
              <w:spacing w:after="0"/>
              <w:rPr>
                <w:sz w:val="15"/>
                <w:szCs w:val="15"/>
                <w:color w:val="auto"/>
              </w:rPr>
            </w:pPr>
          </w:p>
        </w:tc>
      </w:tr>
      <w:tr>
        <w:trPr>
          <w:trHeight w:val="248"/>
        </w:trPr>
        <w:tc>
          <w:tcPr>
            <w:tcW w:w="100" w:type="dxa"/>
            <w:vAlign w:val="bottom"/>
            <w:shd w:val="clear" w:color="auto" w:fill="D2EDF0"/>
          </w:tcPr>
          <w:p>
            <w:pPr>
              <w:spacing w:after="0"/>
              <w:rPr>
                <w:sz w:val="21"/>
                <w:szCs w:val="21"/>
                <w:color w:val="auto"/>
              </w:rPr>
            </w:pPr>
          </w:p>
        </w:tc>
        <w:tc>
          <w:tcPr>
            <w:tcW w:w="4720" w:type="dxa"/>
            <w:vAlign w:val="bottom"/>
            <w:shd w:val="clear" w:color="auto" w:fill="D2EDF0"/>
          </w:tcPr>
          <w:p>
            <w:pPr>
              <w:ind w:left="140"/>
              <w:spacing w:after="0"/>
              <w:rPr>
                <w:sz w:val="20"/>
                <w:szCs w:val="20"/>
                <w:color w:val="auto"/>
              </w:rPr>
            </w:pPr>
            <w:r>
              <w:rPr>
                <w:rFonts w:ascii="Arial" w:cs="Arial" w:eastAsia="Arial" w:hAnsi="Arial"/>
                <w:sz w:val="18"/>
                <w:szCs w:val="18"/>
                <w:b w:val="1"/>
                <w:bCs w:val="1"/>
                <w:color w:val="auto"/>
              </w:rPr>
              <w:t>obligations</w:t>
            </w:r>
          </w:p>
        </w:tc>
        <w:tc>
          <w:tcPr>
            <w:tcW w:w="320" w:type="dxa"/>
            <w:vAlign w:val="bottom"/>
            <w:shd w:val="clear" w:color="auto" w:fill="D2EDF0"/>
          </w:tcPr>
          <w:p>
            <w:pPr>
              <w:spacing w:after="0"/>
              <w:rPr>
                <w:sz w:val="21"/>
                <w:szCs w:val="21"/>
                <w:color w:val="auto"/>
              </w:rPr>
            </w:pPr>
          </w:p>
        </w:tc>
        <w:tc>
          <w:tcPr>
            <w:tcW w:w="1040" w:type="dxa"/>
            <w:vAlign w:val="bottom"/>
            <w:shd w:val="clear" w:color="auto" w:fill="D2EDF0"/>
          </w:tcPr>
          <w:p>
            <w:pPr>
              <w:spacing w:after="0"/>
              <w:rPr>
                <w:sz w:val="21"/>
                <w:szCs w:val="21"/>
                <w:color w:val="auto"/>
              </w:rPr>
            </w:pPr>
          </w:p>
        </w:tc>
        <w:tc>
          <w:tcPr>
            <w:tcW w:w="60" w:type="dxa"/>
            <w:vAlign w:val="bottom"/>
            <w:shd w:val="clear" w:color="auto" w:fill="D2EDF0"/>
          </w:tcPr>
          <w:p>
            <w:pPr>
              <w:spacing w:after="0"/>
              <w:rPr>
                <w:sz w:val="21"/>
                <w:szCs w:val="21"/>
                <w:color w:val="auto"/>
              </w:rPr>
            </w:pPr>
          </w:p>
        </w:tc>
        <w:tc>
          <w:tcPr>
            <w:tcW w:w="20" w:type="dxa"/>
            <w:vAlign w:val="bottom"/>
            <w:shd w:val="clear" w:color="auto" w:fill="D2EDF0"/>
          </w:tcPr>
          <w:p>
            <w:pPr>
              <w:spacing w:after="0"/>
              <w:rPr>
                <w:sz w:val="21"/>
                <w:szCs w:val="21"/>
                <w:color w:val="auto"/>
              </w:rPr>
            </w:pPr>
          </w:p>
        </w:tc>
        <w:tc>
          <w:tcPr>
            <w:tcW w:w="180" w:type="dxa"/>
            <w:vAlign w:val="bottom"/>
            <w:shd w:val="clear" w:color="auto" w:fill="D2EDF0"/>
          </w:tcPr>
          <w:p>
            <w:pPr>
              <w:spacing w:after="0"/>
              <w:rPr>
                <w:sz w:val="21"/>
                <w:szCs w:val="21"/>
                <w:color w:val="auto"/>
              </w:rPr>
            </w:pPr>
          </w:p>
        </w:tc>
        <w:tc>
          <w:tcPr>
            <w:tcW w:w="1120" w:type="dxa"/>
            <w:vAlign w:val="bottom"/>
            <w:shd w:val="clear" w:color="auto" w:fill="D2EDF0"/>
          </w:tcPr>
          <w:p>
            <w:pPr>
              <w:spacing w:after="0"/>
              <w:rPr>
                <w:sz w:val="21"/>
                <w:szCs w:val="21"/>
                <w:color w:val="auto"/>
              </w:rPr>
            </w:pPr>
          </w:p>
        </w:tc>
        <w:tc>
          <w:tcPr>
            <w:tcW w:w="60" w:type="dxa"/>
            <w:vAlign w:val="bottom"/>
            <w:shd w:val="clear" w:color="auto" w:fill="D2EDF0"/>
          </w:tcPr>
          <w:p>
            <w:pPr>
              <w:spacing w:after="0"/>
              <w:rPr>
                <w:sz w:val="21"/>
                <w:szCs w:val="21"/>
                <w:color w:val="auto"/>
              </w:rPr>
            </w:pPr>
          </w:p>
        </w:tc>
        <w:tc>
          <w:tcPr>
            <w:tcW w:w="60" w:type="dxa"/>
            <w:vAlign w:val="bottom"/>
            <w:shd w:val="clear" w:color="auto" w:fill="D2EDF0"/>
          </w:tcPr>
          <w:p>
            <w:pPr>
              <w:spacing w:after="0"/>
              <w:rPr>
                <w:sz w:val="21"/>
                <w:szCs w:val="21"/>
                <w:color w:val="auto"/>
              </w:rPr>
            </w:pPr>
          </w:p>
        </w:tc>
        <w:tc>
          <w:tcPr>
            <w:tcW w:w="180" w:type="dxa"/>
            <w:vAlign w:val="bottom"/>
            <w:shd w:val="clear" w:color="auto" w:fill="D2EDF0"/>
          </w:tcPr>
          <w:p>
            <w:pPr>
              <w:spacing w:after="0"/>
              <w:rPr>
                <w:sz w:val="21"/>
                <w:szCs w:val="21"/>
                <w:color w:val="auto"/>
              </w:rPr>
            </w:pPr>
          </w:p>
        </w:tc>
        <w:tc>
          <w:tcPr>
            <w:tcW w:w="1080" w:type="dxa"/>
            <w:vAlign w:val="bottom"/>
            <w:shd w:val="clear" w:color="auto" w:fill="D2EDF0"/>
          </w:tcPr>
          <w:p>
            <w:pPr>
              <w:spacing w:after="0"/>
              <w:rPr>
                <w:sz w:val="21"/>
                <w:szCs w:val="21"/>
                <w:color w:val="auto"/>
              </w:rPr>
            </w:pPr>
          </w:p>
        </w:tc>
        <w:tc>
          <w:tcPr>
            <w:tcW w:w="100" w:type="dxa"/>
            <w:vAlign w:val="bottom"/>
            <w:shd w:val="clear" w:color="auto" w:fill="D2EDF0"/>
          </w:tcPr>
          <w:p>
            <w:pPr>
              <w:spacing w:after="0"/>
              <w:rPr>
                <w:sz w:val="21"/>
                <w:szCs w:val="21"/>
                <w:color w:val="auto"/>
              </w:rPr>
            </w:pPr>
          </w:p>
        </w:tc>
      </w:tr>
      <w:tr>
        <w:trPr>
          <w:trHeight w:val="277"/>
        </w:trPr>
        <w:tc>
          <w:tcPr>
            <w:tcW w:w="100" w:type="dxa"/>
            <w:vAlign w:val="bottom"/>
          </w:tcPr>
          <w:p>
            <w:pPr>
              <w:spacing w:after="0"/>
              <w:rPr>
                <w:sz w:val="24"/>
                <w:szCs w:val="24"/>
                <w:color w:val="auto"/>
              </w:rPr>
            </w:pPr>
          </w:p>
        </w:tc>
        <w:tc>
          <w:tcPr>
            <w:tcW w:w="4720" w:type="dxa"/>
            <w:vAlign w:val="bottom"/>
          </w:tcPr>
          <w:p>
            <w:pPr>
              <w:ind w:left="180"/>
              <w:spacing w:after="0"/>
              <w:rPr>
                <w:sz w:val="20"/>
                <w:szCs w:val="20"/>
                <w:color w:val="auto"/>
              </w:rPr>
            </w:pPr>
            <w:r>
              <w:rPr>
                <w:rFonts w:ascii="Arial" w:cs="Arial" w:eastAsia="Arial" w:hAnsi="Arial"/>
                <w:sz w:val="20"/>
                <w:szCs w:val="20"/>
                <w:color w:val="auto"/>
              </w:rPr>
              <w:t>Operating leases</w:t>
            </w:r>
          </w:p>
        </w:tc>
        <w:tc>
          <w:tcPr>
            <w:tcW w:w="32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4,256</w:t>
            </w:r>
          </w:p>
        </w:tc>
        <w:tc>
          <w:tcPr>
            <w:tcW w:w="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3,137</w:t>
            </w:r>
          </w:p>
        </w:tc>
        <w:tc>
          <w:tcPr>
            <w:tcW w:w="30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20"/>
                <w:szCs w:val="20"/>
                <w:color w:val="auto"/>
              </w:rPr>
              <w:t>3,188</w:t>
            </w:r>
          </w:p>
        </w:tc>
      </w:tr>
    </w:tbl>
    <w:p>
      <w:pPr>
        <w:spacing w:after="0" w:line="292" w:lineRule="exact"/>
        <w:rPr>
          <w:sz w:val="20"/>
          <w:szCs w:val="20"/>
          <w:color w:val="auto"/>
        </w:rPr>
      </w:pPr>
    </w:p>
    <w:p>
      <w:pPr>
        <w:ind w:left="20" w:right="200" w:firstLine="360"/>
        <w:spacing w:after="0" w:line="287" w:lineRule="auto"/>
        <w:rPr>
          <w:sz w:val="20"/>
          <w:szCs w:val="20"/>
          <w:color w:val="auto"/>
        </w:rPr>
      </w:pPr>
      <w:r>
        <w:rPr>
          <w:rFonts w:ascii="Arial" w:cs="Arial" w:eastAsia="Arial" w:hAnsi="Arial"/>
          <w:sz w:val="20"/>
          <w:szCs w:val="20"/>
          <w:color w:val="auto"/>
        </w:rPr>
        <w:t>In 2022, 2021 and 2020, we did not obtain any right-of-use assets in exchange for finance lease liabilities.</w:t>
      </w:r>
    </w:p>
    <w:p>
      <w:pPr>
        <w:spacing w:after="0" w:line="170" w:lineRule="exact"/>
        <w:rPr>
          <w:sz w:val="20"/>
          <w:szCs w:val="20"/>
          <w:color w:val="auto"/>
        </w:rPr>
      </w:pPr>
    </w:p>
    <w:p>
      <w:pPr>
        <w:jc w:val="both"/>
        <w:ind w:left="20" w:right="280" w:firstLine="360"/>
        <w:spacing w:after="0" w:line="289" w:lineRule="auto"/>
        <w:rPr>
          <w:sz w:val="20"/>
          <w:szCs w:val="20"/>
          <w:color w:val="auto"/>
        </w:rPr>
      </w:pPr>
      <w:r>
        <w:rPr>
          <w:rFonts w:ascii="Arial" w:cs="Arial" w:eastAsia="Arial" w:hAnsi="Arial"/>
          <w:sz w:val="19"/>
          <w:szCs w:val="19"/>
          <w:color w:val="auto"/>
        </w:rPr>
        <w:t>In 2020, we received proceeds from lease incentives of $14.2 million. The proceeds from lease incentives received are included with the change in the lease liabilities under the other current and noncurrent liabilities caption in the operating activities section of the statement of cash flows.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Maturities of operating lease liabilities at December 31, 2022 were as follows:</w:t>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27305</wp:posOffset>
            </wp:positionV>
            <wp:extent cx="5715000" cy="1809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15000" cy="180975"/>
                    </a:xfrm>
                    <a:prstGeom prst="rect">
                      <a:avLst/>
                    </a:prstGeom>
                    <a:noFill/>
                  </pic:spPr>
                </pic:pic>
              </a:graphicData>
            </a:graphic>
          </wp:anchor>
        </w:drawing>
      </w:r>
    </w:p>
    <w:p>
      <w:pPr>
        <w:spacing w:after="0" w:line="34" w:lineRule="exact"/>
        <w:rPr>
          <w:sz w:val="20"/>
          <w:szCs w:val="20"/>
          <w:color w:val="auto"/>
        </w:rPr>
      </w:pPr>
    </w:p>
    <w:p>
      <w:pPr>
        <w:ind w:left="80"/>
        <w:spacing w:after="0"/>
        <w:rPr>
          <w:sz w:val="20"/>
          <w:szCs w:val="20"/>
          <w:color w:val="auto"/>
        </w:rPr>
      </w:pPr>
      <w:r>
        <w:rPr>
          <w:rFonts w:ascii="Arial" w:cs="Arial" w:eastAsia="Arial" w:hAnsi="Arial"/>
          <w:sz w:val="20"/>
          <w:szCs w:val="20"/>
          <w:color w:val="auto"/>
        </w:rPr>
        <w:t>Year ending December 31,</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69"/>
        </w:trPr>
        <w:tc>
          <w:tcPr>
            <w:tcW w:w="7640" w:type="dxa"/>
            <w:vAlign w:val="bottom"/>
          </w:tcPr>
          <w:p>
            <w:pPr>
              <w:jc w:val="right"/>
              <w:ind w:right="6860"/>
              <w:spacing w:after="0"/>
              <w:rPr>
                <w:sz w:val="20"/>
                <w:szCs w:val="20"/>
                <w:color w:val="auto"/>
              </w:rPr>
            </w:pPr>
            <w:r>
              <w:rPr>
                <w:rFonts w:ascii="Arial" w:cs="Arial" w:eastAsia="Arial" w:hAnsi="Arial"/>
                <w:sz w:val="20"/>
                <w:szCs w:val="20"/>
                <w:color w:val="auto"/>
              </w:rPr>
              <w:t>2023</w:t>
            </w:r>
          </w:p>
        </w:tc>
        <w:tc>
          <w:tcPr>
            <w:tcW w:w="3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8,879</w:t>
            </w:r>
          </w:p>
        </w:tc>
      </w:tr>
      <w:tr>
        <w:trPr>
          <w:trHeight w:val="289"/>
        </w:trPr>
        <w:tc>
          <w:tcPr>
            <w:tcW w:w="7640" w:type="dxa"/>
            <w:vAlign w:val="bottom"/>
            <w:shd w:val="clear" w:color="auto" w:fill="D2EDF0"/>
          </w:tcPr>
          <w:p>
            <w:pPr>
              <w:jc w:val="right"/>
              <w:ind w:right="6860"/>
              <w:spacing w:after="0"/>
              <w:rPr>
                <w:sz w:val="20"/>
                <w:szCs w:val="20"/>
                <w:color w:val="auto"/>
              </w:rPr>
            </w:pPr>
            <w:r>
              <w:rPr>
                <w:rFonts w:ascii="Arial" w:cs="Arial" w:eastAsia="Arial" w:hAnsi="Arial"/>
                <w:sz w:val="20"/>
                <w:szCs w:val="20"/>
                <w:color w:val="auto"/>
              </w:rPr>
              <w:t>2024</w:t>
            </w:r>
          </w:p>
        </w:tc>
        <w:tc>
          <w:tcPr>
            <w:tcW w:w="380" w:type="dxa"/>
            <w:vAlign w:val="bottom"/>
            <w:shd w:val="clear" w:color="auto" w:fill="D2EDF0"/>
          </w:tcPr>
          <w:p>
            <w:pPr>
              <w:spacing w:after="0"/>
              <w:rPr>
                <w:sz w:val="24"/>
                <w:szCs w:val="24"/>
                <w:color w:val="auto"/>
              </w:rPr>
            </w:pPr>
          </w:p>
        </w:tc>
        <w:tc>
          <w:tcPr>
            <w:tcW w:w="9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9,251</w:t>
            </w:r>
          </w:p>
        </w:tc>
      </w:tr>
      <w:tr>
        <w:trPr>
          <w:trHeight w:val="281"/>
        </w:trPr>
        <w:tc>
          <w:tcPr>
            <w:tcW w:w="7640" w:type="dxa"/>
            <w:vAlign w:val="bottom"/>
          </w:tcPr>
          <w:p>
            <w:pPr>
              <w:jc w:val="right"/>
              <w:ind w:right="6860"/>
              <w:spacing w:after="0"/>
              <w:rPr>
                <w:sz w:val="20"/>
                <w:szCs w:val="20"/>
                <w:color w:val="auto"/>
              </w:rPr>
            </w:pPr>
            <w:r>
              <w:rPr>
                <w:rFonts w:ascii="Arial" w:cs="Arial" w:eastAsia="Arial" w:hAnsi="Arial"/>
                <w:sz w:val="20"/>
                <w:szCs w:val="20"/>
                <w:color w:val="auto"/>
              </w:rPr>
              <w:t>2025</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9,023</w:t>
            </w:r>
          </w:p>
        </w:tc>
      </w:tr>
      <w:tr>
        <w:trPr>
          <w:trHeight w:val="289"/>
        </w:trPr>
        <w:tc>
          <w:tcPr>
            <w:tcW w:w="7640" w:type="dxa"/>
            <w:vAlign w:val="bottom"/>
            <w:shd w:val="clear" w:color="auto" w:fill="D2EDF0"/>
          </w:tcPr>
          <w:p>
            <w:pPr>
              <w:jc w:val="right"/>
              <w:ind w:right="6860"/>
              <w:spacing w:after="0"/>
              <w:rPr>
                <w:sz w:val="20"/>
                <w:szCs w:val="20"/>
                <w:color w:val="auto"/>
              </w:rPr>
            </w:pPr>
            <w:r>
              <w:rPr>
                <w:rFonts w:ascii="Arial" w:cs="Arial" w:eastAsia="Arial" w:hAnsi="Arial"/>
                <w:sz w:val="20"/>
                <w:szCs w:val="20"/>
                <w:color w:val="auto"/>
              </w:rPr>
              <w:t>2026</w:t>
            </w:r>
          </w:p>
        </w:tc>
        <w:tc>
          <w:tcPr>
            <w:tcW w:w="380" w:type="dxa"/>
            <w:vAlign w:val="bottom"/>
            <w:shd w:val="clear" w:color="auto" w:fill="D2EDF0"/>
          </w:tcPr>
          <w:p>
            <w:pPr>
              <w:spacing w:after="0"/>
              <w:rPr>
                <w:sz w:val="24"/>
                <w:szCs w:val="24"/>
                <w:color w:val="auto"/>
              </w:rPr>
            </w:pPr>
          </w:p>
        </w:tc>
        <w:tc>
          <w:tcPr>
            <w:tcW w:w="9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8,321</w:t>
            </w:r>
          </w:p>
        </w:tc>
      </w:tr>
      <w:tr>
        <w:trPr>
          <w:trHeight w:val="281"/>
        </w:trPr>
        <w:tc>
          <w:tcPr>
            <w:tcW w:w="7640" w:type="dxa"/>
            <w:vAlign w:val="bottom"/>
          </w:tcPr>
          <w:p>
            <w:pPr>
              <w:jc w:val="right"/>
              <w:ind w:right="6860"/>
              <w:spacing w:after="0"/>
              <w:rPr>
                <w:sz w:val="20"/>
                <w:szCs w:val="20"/>
                <w:color w:val="auto"/>
              </w:rPr>
            </w:pPr>
            <w:r>
              <w:rPr>
                <w:rFonts w:ascii="Arial" w:cs="Arial" w:eastAsia="Arial" w:hAnsi="Arial"/>
                <w:sz w:val="20"/>
                <w:szCs w:val="20"/>
                <w:color w:val="auto"/>
              </w:rPr>
              <w:t>2027</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7,849</w:t>
            </w:r>
          </w:p>
        </w:tc>
      </w:tr>
      <w:tr>
        <w:trPr>
          <w:trHeight w:val="269"/>
        </w:trPr>
        <w:tc>
          <w:tcPr>
            <w:tcW w:w="764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20"/>
                <w:szCs w:val="20"/>
                <w:color w:val="auto"/>
              </w:rPr>
              <w:t>Thereafter</w:t>
            </w:r>
          </w:p>
        </w:tc>
        <w:tc>
          <w:tcPr>
            <w:tcW w:w="380" w:type="dxa"/>
            <w:vAlign w:val="bottom"/>
            <w:tcBorders>
              <w:bottom w:val="single" w:sz="8" w:color="auto"/>
            </w:tcBorders>
            <w:shd w:val="clear" w:color="auto" w:fill="D2EDF0"/>
          </w:tcPr>
          <w:p>
            <w:pPr>
              <w:spacing w:after="0"/>
              <w:rPr>
                <w:sz w:val="23"/>
                <w:szCs w:val="23"/>
                <w:color w:val="auto"/>
              </w:rPr>
            </w:pPr>
          </w:p>
        </w:tc>
        <w:tc>
          <w:tcPr>
            <w:tcW w:w="98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30,262</w:t>
            </w:r>
          </w:p>
        </w:tc>
      </w:tr>
      <w:tr>
        <w:trPr>
          <w:trHeight w:val="225"/>
        </w:trPr>
        <w:tc>
          <w:tcPr>
            <w:tcW w:w="7640" w:type="dxa"/>
            <w:vAlign w:val="bottom"/>
          </w:tcPr>
          <w:p>
            <w:pPr>
              <w:ind w:left="280"/>
              <w:spacing w:after="0" w:line="225" w:lineRule="exact"/>
              <w:rPr>
                <w:sz w:val="20"/>
                <w:szCs w:val="20"/>
                <w:color w:val="auto"/>
              </w:rPr>
            </w:pPr>
            <w:r>
              <w:rPr>
                <w:rFonts w:ascii="Arial" w:cs="Arial" w:eastAsia="Arial" w:hAnsi="Arial"/>
                <w:sz w:val="20"/>
                <w:szCs w:val="20"/>
                <w:color w:val="auto"/>
              </w:rPr>
              <w:t>Total lease payments</w:t>
            </w:r>
          </w:p>
        </w:tc>
        <w:tc>
          <w:tcPr>
            <w:tcW w:w="380" w:type="dxa"/>
            <w:vAlign w:val="bottom"/>
          </w:tcPr>
          <w:p>
            <w:pPr>
              <w:spacing w:after="0"/>
              <w:rPr>
                <w:sz w:val="19"/>
                <w:szCs w:val="19"/>
                <w:color w:val="auto"/>
              </w:rPr>
            </w:pPr>
          </w:p>
        </w:tc>
        <w:tc>
          <w:tcPr>
            <w:tcW w:w="980" w:type="dxa"/>
            <w:vAlign w:val="bottom"/>
          </w:tcPr>
          <w:p>
            <w:pPr>
              <w:jc w:val="right"/>
              <w:spacing w:after="0" w:line="225" w:lineRule="exact"/>
              <w:rPr>
                <w:sz w:val="20"/>
                <w:szCs w:val="20"/>
                <w:color w:val="auto"/>
              </w:rPr>
            </w:pPr>
            <w:r>
              <w:rPr>
                <w:rFonts w:ascii="Arial" w:cs="Arial" w:eastAsia="Arial" w:hAnsi="Arial"/>
                <w:sz w:val="20"/>
                <w:szCs w:val="20"/>
                <w:color w:val="auto"/>
              </w:rPr>
              <w:t>73,585</w:t>
            </w:r>
          </w:p>
        </w:tc>
      </w:tr>
      <w:tr>
        <w:trPr>
          <w:trHeight w:val="265"/>
        </w:trPr>
        <w:tc>
          <w:tcPr>
            <w:tcW w:w="764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20"/>
                <w:szCs w:val="20"/>
                <w:color w:val="auto"/>
              </w:rPr>
              <w:t>Less: Imputed interest</w:t>
            </w:r>
          </w:p>
        </w:tc>
        <w:tc>
          <w:tcPr>
            <w:tcW w:w="380" w:type="dxa"/>
            <w:vAlign w:val="bottom"/>
            <w:tcBorders>
              <w:bottom w:val="single" w:sz="8" w:color="auto"/>
            </w:tcBorders>
            <w:shd w:val="clear" w:color="auto" w:fill="D2EDF0"/>
          </w:tcPr>
          <w:p>
            <w:pPr>
              <w:spacing w:after="0"/>
              <w:rPr>
                <w:sz w:val="23"/>
                <w:szCs w:val="23"/>
                <w:color w:val="auto"/>
              </w:rPr>
            </w:pPr>
          </w:p>
        </w:tc>
        <w:tc>
          <w:tcPr>
            <w:tcW w:w="98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(15,153)</w:t>
            </w:r>
          </w:p>
        </w:tc>
      </w:tr>
      <w:tr>
        <w:trPr>
          <w:trHeight w:val="195"/>
        </w:trPr>
        <w:tc>
          <w:tcPr>
            <w:tcW w:w="7640" w:type="dxa"/>
            <w:vAlign w:val="bottom"/>
          </w:tcPr>
          <w:p>
            <w:pPr>
              <w:ind w:left="280"/>
              <w:spacing w:after="0" w:line="195" w:lineRule="exact"/>
              <w:rPr>
                <w:sz w:val="20"/>
                <w:szCs w:val="20"/>
                <w:color w:val="auto"/>
              </w:rPr>
            </w:pPr>
            <w:r>
              <w:rPr>
                <w:rFonts w:ascii="Arial" w:cs="Arial" w:eastAsia="Arial" w:hAnsi="Arial"/>
                <w:sz w:val="20"/>
                <w:szCs w:val="20"/>
                <w:color w:val="auto"/>
              </w:rPr>
              <w:t>Total</w:t>
            </w:r>
          </w:p>
        </w:tc>
        <w:tc>
          <w:tcPr>
            <w:tcW w:w="380" w:type="dxa"/>
            <w:vAlign w:val="bottom"/>
            <w:tcBorders>
              <w:bottom w:val="single" w:sz="8" w:color="auto"/>
            </w:tcBorders>
          </w:tcPr>
          <w:p>
            <w:pPr>
              <w:jc w:val="right"/>
              <w:ind w:right="120"/>
              <w:spacing w:after="0" w:line="195"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20"/>
                <w:szCs w:val="20"/>
                <w:color w:val="auto"/>
              </w:rPr>
              <w:t>58,432</w:t>
            </w:r>
          </w:p>
        </w:tc>
      </w:tr>
      <w:tr>
        <w:trPr>
          <w:trHeight w:val="20"/>
        </w:trPr>
        <w:tc>
          <w:tcPr>
            <w:tcW w:w="7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4860925</wp:posOffset>
            </wp:positionH>
            <wp:positionV relativeFrom="paragraph">
              <wp:posOffset>-37465</wp:posOffset>
            </wp:positionV>
            <wp:extent cx="86677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66775" cy="38100"/>
                    </a:xfrm>
                    <a:prstGeom prst="rect">
                      <a:avLst/>
                    </a:prstGeom>
                    <a:noFill/>
                  </pic:spPr>
                </pic:pic>
              </a:graphicData>
            </a:graphic>
          </wp:anchor>
        </w:drawing>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8. Debt</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Credit Agreement</w:t>
      </w:r>
    </w:p>
    <w:p>
      <w:pPr>
        <w:spacing w:after="0" w:line="24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In July 2021, we entered into a credit agreement ("Credit Agreement") which is comprised of:</w:t>
      </w:r>
    </w:p>
    <w:p>
      <w:pPr>
        <w:spacing w:after="0" w:line="70" w:lineRule="exact"/>
        <w:rPr>
          <w:sz w:val="20"/>
          <w:szCs w:val="20"/>
          <w:color w:val="auto"/>
        </w:rPr>
      </w:pPr>
    </w:p>
    <w:p>
      <w:pPr>
        <w:ind w:left="740" w:hanging="360"/>
        <w:spacing w:after="0"/>
        <w:tabs>
          <w:tab w:leader="none" w:pos="74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a $375.0 million senior secured term loan facility ("Term Loan"); and</w:t>
      </w:r>
    </w:p>
    <w:p>
      <w:pPr>
        <w:spacing w:after="0" w:line="70" w:lineRule="exact"/>
        <w:rPr>
          <w:rFonts w:ascii="Arial" w:cs="Arial" w:eastAsia="Arial" w:hAnsi="Arial"/>
          <w:sz w:val="20"/>
          <w:szCs w:val="20"/>
          <w:color w:val="auto"/>
        </w:rPr>
      </w:pPr>
    </w:p>
    <w:p>
      <w:pPr>
        <w:ind w:left="740" w:hanging="360"/>
        <w:spacing w:after="0"/>
        <w:tabs>
          <w:tab w:leader="none" w:pos="74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a $50.0 million senior secured revolving credit facility ("Revolving Credit Facility").</w:t>
      </w:r>
    </w:p>
    <w:p>
      <w:pPr>
        <w:sectPr>
          <w:pgSz w:w="11880" w:h="15480" w:orient="portrait"/>
          <w:cols w:equalWidth="0" w:num="1">
            <w:col w:w="9040"/>
          </w:cols>
          <w:pgMar w:left="1420" w:top="1204"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104</w:t>
      </w:r>
    </w:p>
    <w:p>
      <w:pPr>
        <w:sectPr>
          <w:pgSz w:w="11880" w:h="15480" w:orient="portrait"/>
          <w:cols w:equalWidth="0" w:num="1">
            <w:col w:w="9040"/>
          </w:cols>
          <w:pgMar w:left="1420" w:top="1204" w:right="1420" w:bottom="0" w:gutter="0" w:footer="0" w:header="0"/>
          <w:type w:val="continuous"/>
        </w:sectPr>
      </w:pPr>
    </w:p>
    <w:bookmarkStart w:id="196" w:name="page197"/>
    <w:bookmarkEnd w:id="196"/>
    <w:p>
      <w:pPr>
        <w:ind w:left="360"/>
        <w:spacing w:after="0"/>
        <w:rPr>
          <w:sz w:val="20"/>
          <w:szCs w:val="20"/>
          <w:color w:val="auto"/>
        </w:rPr>
      </w:pPr>
      <w:r>
        <w:rPr>
          <w:rFonts w:ascii="Arial" w:cs="Arial" w:eastAsia="Arial" w:hAnsi="Arial"/>
          <w:sz w:val="20"/>
          <w:szCs w:val="20"/>
          <w:color w:val="auto"/>
        </w:rPr>
        <w:t>The table below summarizes the carrying value of the Term Loan: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(in thousands)</w:t>
            </w:r>
          </w:p>
        </w:tc>
        <w:tc>
          <w:tcPr>
            <w:tcW w:w="1360" w:type="dxa"/>
            <w:vAlign w:val="bottom"/>
            <w:gridSpan w:val="2"/>
          </w:tcPr>
          <w:p>
            <w:pPr>
              <w:jc w:val="right"/>
              <w:ind w:right="2"/>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640" w:type="dxa"/>
            <w:vAlign w:val="bottom"/>
            <w:tcBorders>
              <w:bottom w:val="single" w:sz="8" w:color="D2EDF0"/>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05"/>
        </w:trPr>
        <w:tc>
          <w:tcPr>
            <w:tcW w:w="7640" w:type="dxa"/>
            <w:vAlign w:val="bottom"/>
            <w:shd w:val="clear" w:color="auto" w:fill="D2EDF0"/>
          </w:tcPr>
          <w:p>
            <w:pPr>
              <w:ind w:left="60"/>
              <w:spacing w:after="0"/>
              <w:rPr>
                <w:sz w:val="20"/>
                <w:szCs w:val="20"/>
                <w:color w:val="auto"/>
              </w:rPr>
            </w:pPr>
            <w:r>
              <w:rPr>
                <w:rFonts w:ascii="Arial" w:cs="Arial" w:eastAsia="Arial" w:hAnsi="Arial"/>
                <w:sz w:val="20"/>
                <w:szCs w:val="20"/>
                <w:color w:val="auto"/>
              </w:rPr>
              <w:t>Term loan</w:t>
            </w:r>
          </w:p>
        </w:tc>
        <w:tc>
          <w:tcPr>
            <w:tcW w:w="320" w:type="dxa"/>
            <w:vAlign w:val="bottom"/>
            <w:shd w:val="clear" w:color="auto" w:fill="D2EDF0"/>
          </w:tcPr>
          <w:p>
            <w:pPr>
              <w:jc w:val="right"/>
              <w:ind w:right="63"/>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371,250</w:t>
            </w:r>
          </w:p>
        </w:tc>
        <w:tc>
          <w:tcPr>
            <w:tcW w:w="0" w:type="dxa"/>
            <w:vAlign w:val="bottom"/>
          </w:tcPr>
          <w:p>
            <w:pPr>
              <w:spacing w:after="0"/>
              <w:rPr>
                <w:sz w:val="1"/>
                <w:szCs w:val="1"/>
                <w:color w:val="auto"/>
              </w:rPr>
            </w:pPr>
          </w:p>
        </w:tc>
      </w:tr>
      <w:tr>
        <w:trPr>
          <w:trHeight w:val="305"/>
        </w:trPr>
        <w:tc>
          <w:tcPr>
            <w:tcW w:w="7640" w:type="dxa"/>
            <w:vAlign w:val="bottom"/>
            <w:tcBorders>
              <w:bottom w:val="single" w:sz="8" w:color="D2EDF0"/>
            </w:tcBorders>
          </w:tcPr>
          <w:p>
            <w:pPr>
              <w:ind w:left="300"/>
              <w:spacing w:after="0"/>
              <w:rPr>
                <w:sz w:val="20"/>
                <w:szCs w:val="20"/>
                <w:color w:val="auto"/>
              </w:rPr>
            </w:pPr>
            <w:r>
              <w:rPr>
                <w:rFonts w:ascii="Arial" w:cs="Arial" w:eastAsia="Arial" w:hAnsi="Arial"/>
                <w:sz w:val="20"/>
                <w:szCs w:val="20"/>
                <w:color w:val="auto"/>
              </w:rPr>
              <w:t>Less: Unamortized debt discount and issuance costs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(6,558)</w:t>
            </w:r>
          </w:p>
        </w:tc>
        <w:tc>
          <w:tcPr>
            <w:tcW w:w="0" w:type="dxa"/>
            <w:vAlign w:val="bottom"/>
          </w:tcPr>
          <w:p>
            <w:pPr>
              <w:spacing w:after="0"/>
              <w:rPr>
                <w:sz w:val="1"/>
                <w:szCs w:val="1"/>
                <w:color w:val="auto"/>
              </w:rPr>
            </w:pPr>
          </w:p>
        </w:tc>
      </w:tr>
      <w:tr>
        <w:trPr>
          <w:trHeight w:val="305"/>
        </w:trPr>
        <w:tc>
          <w:tcPr>
            <w:tcW w:w="7640" w:type="dxa"/>
            <w:vAlign w:val="bottom"/>
            <w:shd w:val="clear" w:color="auto" w:fill="D2EDF0"/>
          </w:tcPr>
          <w:p>
            <w:pPr>
              <w:ind w:left="60"/>
              <w:spacing w:after="0"/>
              <w:rPr>
                <w:sz w:val="20"/>
                <w:szCs w:val="20"/>
                <w:color w:val="auto"/>
              </w:rPr>
            </w:pPr>
            <w:r>
              <w:rPr>
                <w:rFonts w:ascii="Arial" w:cs="Arial" w:eastAsia="Arial" w:hAnsi="Arial"/>
                <w:sz w:val="20"/>
                <w:szCs w:val="20"/>
                <w:color w:val="auto"/>
              </w:rPr>
              <w:t>Term loan, net of issuance costs</w:t>
            </w:r>
          </w:p>
        </w:tc>
        <w:tc>
          <w:tcPr>
            <w:tcW w:w="320" w:type="dxa"/>
            <w:vAlign w:val="bottom"/>
            <w:shd w:val="clear" w:color="auto" w:fill="D2EDF0"/>
          </w:tcPr>
          <w:p>
            <w:pPr>
              <w:spacing w:after="0"/>
              <w:rPr>
                <w:sz w:val="24"/>
                <w:szCs w:val="24"/>
                <w:color w:val="auto"/>
              </w:rPr>
            </w:pP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364,692</w:t>
            </w:r>
          </w:p>
        </w:tc>
        <w:tc>
          <w:tcPr>
            <w:tcW w:w="0" w:type="dxa"/>
            <w:vAlign w:val="bottom"/>
          </w:tcPr>
          <w:p>
            <w:pPr>
              <w:spacing w:after="0"/>
              <w:rPr>
                <w:sz w:val="1"/>
                <w:szCs w:val="1"/>
                <w:color w:val="auto"/>
              </w:rPr>
            </w:pPr>
          </w:p>
        </w:tc>
      </w:tr>
      <w:tr>
        <w:trPr>
          <w:trHeight w:val="305"/>
        </w:trPr>
        <w:tc>
          <w:tcPr>
            <w:tcW w:w="7640" w:type="dxa"/>
            <w:vAlign w:val="bottom"/>
            <w:tcBorders>
              <w:bottom w:val="single" w:sz="8" w:color="D2EDF0"/>
            </w:tcBorders>
          </w:tcPr>
          <w:p>
            <w:pPr>
              <w:ind w:left="300"/>
              <w:spacing w:after="0"/>
              <w:rPr>
                <w:sz w:val="20"/>
                <w:szCs w:val="20"/>
                <w:color w:val="auto"/>
              </w:rPr>
            </w:pPr>
            <w:r>
              <w:rPr>
                <w:rFonts w:ascii="Arial" w:cs="Arial" w:eastAsia="Arial" w:hAnsi="Arial"/>
                <w:sz w:val="20"/>
                <w:szCs w:val="20"/>
                <w:color w:val="auto"/>
              </w:rPr>
              <w:t xml:space="preserve">Less: Term loan, net, current </w:t>
            </w:r>
            <w:r>
              <w:rPr>
                <w:rFonts w:ascii="Arial" w:cs="Arial" w:eastAsia="Arial" w:hAnsi="Arial"/>
                <w:sz w:val="26"/>
                <w:szCs w:val="26"/>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(2,722)</w:t>
            </w:r>
          </w:p>
        </w:tc>
        <w:tc>
          <w:tcPr>
            <w:tcW w:w="0" w:type="dxa"/>
            <w:vAlign w:val="bottom"/>
          </w:tcPr>
          <w:p>
            <w:pPr>
              <w:spacing w:after="0"/>
              <w:rPr>
                <w:sz w:val="1"/>
                <w:szCs w:val="1"/>
                <w:color w:val="auto"/>
              </w:rPr>
            </w:pPr>
          </w:p>
        </w:tc>
      </w:tr>
      <w:tr>
        <w:trPr>
          <w:trHeight w:val="300"/>
        </w:trPr>
        <w:tc>
          <w:tcPr>
            <w:tcW w:w="764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20"/>
                <w:szCs w:val="20"/>
                <w:color w:val="auto"/>
              </w:rPr>
              <w:t>Term loan, net of issuance costs (net of current portion)</w:t>
            </w:r>
          </w:p>
        </w:tc>
        <w:tc>
          <w:tcPr>
            <w:tcW w:w="320" w:type="dxa"/>
            <w:vAlign w:val="bottom"/>
            <w:tcBorders>
              <w:bottom w:val="single" w:sz="8" w:color="auto"/>
            </w:tcBorders>
            <w:shd w:val="clear" w:color="auto" w:fill="D2EDF0"/>
          </w:tcPr>
          <w:p>
            <w:pPr>
              <w:jc w:val="right"/>
              <w:ind w:right="63"/>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361,970</w:t>
            </w:r>
          </w:p>
        </w:tc>
        <w:tc>
          <w:tcPr>
            <w:tcW w:w="0" w:type="dxa"/>
            <w:vAlign w:val="bottom"/>
          </w:tcPr>
          <w:p>
            <w:pPr>
              <w:spacing w:after="0"/>
              <w:rPr>
                <w:sz w:val="1"/>
                <w:szCs w:val="1"/>
                <w:color w:val="auto"/>
              </w:rPr>
            </w:pPr>
          </w:p>
        </w:tc>
      </w:tr>
      <w:tr>
        <w:trPr>
          <w:trHeight w:val="20"/>
        </w:trPr>
        <w:tc>
          <w:tcPr>
            <w:tcW w:w="7640" w:type="dxa"/>
            <w:vAlign w:val="bottom"/>
            <w:tcBorders>
              <w:top w:val="single" w:sz="8" w:color="D2EDF0"/>
            </w:tcBorders>
          </w:tcPr>
          <w:p>
            <w:pPr>
              <w:spacing w:after="0" w:line="20" w:lineRule="exact"/>
              <w:rPr>
                <w:sz w:val="1"/>
                <w:szCs w:val="1"/>
                <w:color w:val="auto"/>
              </w:rPr>
            </w:pPr>
          </w:p>
        </w:tc>
        <w:tc>
          <w:tcPr>
            <w:tcW w:w="320" w:type="dxa"/>
            <w:vAlign w:val="bottom"/>
            <w:tcBorders>
              <w:top w:val="single" w:sz="8" w:color="D2EDF0"/>
              <w:bottom w:val="single" w:sz="8" w:color="auto"/>
            </w:tcBorders>
          </w:tcPr>
          <w:p>
            <w:pPr>
              <w:spacing w:after="0" w:line="20" w:lineRule="exact"/>
              <w:rPr>
                <w:sz w:val="1"/>
                <w:szCs w:val="1"/>
                <w:color w:val="auto"/>
              </w:rPr>
            </w:pPr>
          </w:p>
        </w:tc>
        <w:tc>
          <w:tcPr>
            <w:tcW w:w="1040" w:type="dxa"/>
            <w:vAlign w:val="bottom"/>
            <w:tcBorders>
              <w:top w:val="single" w:sz="8" w:color="D2EDF0"/>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-37465</wp:posOffset>
            </wp:positionV>
            <wp:extent cx="86677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66775" cy="3810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w:t>
      </w:r>
    </w:p>
    <w:p>
      <w:pPr>
        <w:ind w:left="720" w:hanging="720"/>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Term loan, net, current is included in other current liabilities on our consolidated balance sheets.</w:t>
      </w:r>
    </w:p>
    <w:p>
      <w:pPr>
        <w:spacing w:after="0" w:line="243" w:lineRule="exact"/>
        <w:rPr>
          <w:sz w:val="20"/>
          <w:szCs w:val="20"/>
          <w:color w:val="auto"/>
        </w:rPr>
      </w:pPr>
    </w:p>
    <w:p>
      <w:pPr>
        <w:ind w:right="40" w:firstLine="360"/>
        <w:spacing w:after="0" w:line="268" w:lineRule="auto"/>
        <w:rPr>
          <w:sz w:val="20"/>
          <w:szCs w:val="20"/>
          <w:color w:val="auto"/>
        </w:rPr>
      </w:pPr>
      <w:r>
        <w:rPr>
          <w:rFonts w:ascii="Arial" w:cs="Arial" w:eastAsia="Arial" w:hAnsi="Arial"/>
          <w:sz w:val="20"/>
          <w:szCs w:val="20"/>
          <w:color w:val="auto"/>
        </w:rPr>
        <w:t>The Term Loan bears interest at a rate of 2.75% per annum over LIBOR, subject to a 0.50% floor. The Term Loan is being amortized at 1% per annum in equal quarterly installments until the final payment of $350.6 million on the July 7, 2028 maturity date.</w:t>
      </w:r>
    </w:p>
    <w:p>
      <w:pPr>
        <w:spacing w:after="0" w:line="190" w:lineRule="exact"/>
        <w:rPr>
          <w:sz w:val="20"/>
          <w:szCs w:val="20"/>
          <w:color w:val="auto"/>
        </w:rPr>
      </w:pPr>
    </w:p>
    <w:p>
      <w:pPr>
        <w:ind w:right="80" w:firstLine="360"/>
        <w:spacing w:after="0" w:line="268" w:lineRule="auto"/>
        <w:rPr>
          <w:sz w:val="20"/>
          <w:szCs w:val="20"/>
          <w:color w:val="auto"/>
        </w:rPr>
      </w:pPr>
      <w:r>
        <w:rPr>
          <w:rFonts w:ascii="Arial" w:cs="Arial" w:eastAsia="Arial" w:hAnsi="Arial"/>
          <w:sz w:val="20"/>
          <w:szCs w:val="20"/>
          <w:color w:val="auto"/>
        </w:rPr>
        <w:t>Our Term Loan is recorded at its carrying value. At December 31, 2022, the fair value of our Term Loan was approximately $360.1 million. In the fair value hierarchy, our Term Loan is classified as Level 2 as it is traded in less active markets.</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maturities of the Term Loan at December 31, 2022 were as follows:</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5715000" cy="1809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15000" cy="180975"/>
                    </a:xfrm>
                    <a:prstGeom prst="rect">
                      <a:avLst/>
                    </a:prstGeom>
                    <a:noFill/>
                  </pic:spPr>
                </pic:pic>
              </a:graphicData>
            </a:graphic>
          </wp:anchor>
        </w:drawing>
      </w:r>
    </w:p>
    <w:p>
      <w:pPr>
        <w:spacing w:after="0" w:line="34" w:lineRule="exact"/>
        <w:rPr>
          <w:sz w:val="20"/>
          <w:szCs w:val="20"/>
          <w:color w:val="auto"/>
        </w:rPr>
      </w:pPr>
    </w:p>
    <w:p>
      <w:pPr>
        <w:ind w:left="60"/>
        <w:spacing w:after="0"/>
        <w:rPr>
          <w:sz w:val="20"/>
          <w:szCs w:val="20"/>
          <w:color w:val="auto"/>
        </w:rPr>
      </w:pPr>
      <w:r>
        <w:rPr>
          <w:rFonts w:ascii="Arial" w:cs="Arial" w:eastAsia="Arial" w:hAnsi="Arial"/>
          <w:sz w:val="20"/>
          <w:szCs w:val="20"/>
          <w:color w:val="auto"/>
        </w:rPr>
        <w:t>Year ending December 31,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7640" w:type="dxa"/>
            <w:vAlign w:val="bottom"/>
          </w:tcPr>
          <w:p>
            <w:pPr>
              <w:jc w:val="center"/>
              <w:ind w:right="6500"/>
              <w:spacing w:after="0"/>
              <w:rPr>
                <w:sz w:val="20"/>
                <w:szCs w:val="20"/>
                <w:color w:val="auto"/>
              </w:rPr>
            </w:pPr>
            <w:r>
              <w:rPr>
                <w:rFonts w:ascii="Arial" w:cs="Arial" w:eastAsia="Arial" w:hAnsi="Arial"/>
                <w:sz w:val="20"/>
                <w:szCs w:val="20"/>
                <w:color w:val="auto"/>
                <w:w w:val="98"/>
              </w:rPr>
              <w:t>2023</w:t>
            </w:r>
          </w:p>
        </w:tc>
        <w:tc>
          <w:tcPr>
            <w:tcW w:w="36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3,750</w:t>
            </w:r>
          </w:p>
        </w:tc>
      </w:tr>
      <w:tr>
        <w:trPr>
          <w:trHeight w:val="289"/>
        </w:trPr>
        <w:tc>
          <w:tcPr>
            <w:tcW w:w="7640" w:type="dxa"/>
            <w:vAlign w:val="bottom"/>
            <w:shd w:val="clear" w:color="auto" w:fill="D2EDF0"/>
          </w:tcPr>
          <w:p>
            <w:pPr>
              <w:jc w:val="center"/>
              <w:ind w:right="6500"/>
              <w:spacing w:after="0"/>
              <w:rPr>
                <w:sz w:val="20"/>
                <w:szCs w:val="20"/>
                <w:color w:val="auto"/>
              </w:rPr>
            </w:pPr>
            <w:r>
              <w:rPr>
                <w:rFonts w:ascii="Arial" w:cs="Arial" w:eastAsia="Arial" w:hAnsi="Arial"/>
                <w:sz w:val="20"/>
                <w:szCs w:val="20"/>
                <w:color w:val="auto"/>
                <w:w w:val="98"/>
              </w:rPr>
              <w:t>2024</w:t>
            </w:r>
          </w:p>
        </w:tc>
        <w:tc>
          <w:tcPr>
            <w:tcW w:w="36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3,750</w:t>
            </w:r>
          </w:p>
        </w:tc>
      </w:tr>
      <w:tr>
        <w:trPr>
          <w:trHeight w:val="281"/>
        </w:trPr>
        <w:tc>
          <w:tcPr>
            <w:tcW w:w="7640" w:type="dxa"/>
            <w:vAlign w:val="bottom"/>
          </w:tcPr>
          <w:p>
            <w:pPr>
              <w:jc w:val="center"/>
              <w:ind w:right="6500"/>
              <w:spacing w:after="0"/>
              <w:rPr>
                <w:sz w:val="20"/>
                <w:szCs w:val="20"/>
                <w:color w:val="auto"/>
              </w:rPr>
            </w:pPr>
            <w:r>
              <w:rPr>
                <w:rFonts w:ascii="Arial" w:cs="Arial" w:eastAsia="Arial" w:hAnsi="Arial"/>
                <w:sz w:val="20"/>
                <w:szCs w:val="20"/>
                <w:color w:val="auto"/>
                <w:w w:val="98"/>
              </w:rPr>
              <w:t>2025</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3,750</w:t>
            </w:r>
          </w:p>
        </w:tc>
      </w:tr>
      <w:tr>
        <w:trPr>
          <w:trHeight w:val="289"/>
        </w:trPr>
        <w:tc>
          <w:tcPr>
            <w:tcW w:w="7640" w:type="dxa"/>
            <w:vAlign w:val="bottom"/>
            <w:shd w:val="clear" w:color="auto" w:fill="D2EDF0"/>
          </w:tcPr>
          <w:p>
            <w:pPr>
              <w:jc w:val="center"/>
              <w:ind w:right="6500"/>
              <w:spacing w:after="0"/>
              <w:rPr>
                <w:sz w:val="20"/>
                <w:szCs w:val="20"/>
                <w:color w:val="auto"/>
              </w:rPr>
            </w:pPr>
            <w:r>
              <w:rPr>
                <w:rFonts w:ascii="Arial" w:cs="Arial" w:eastAsia="Arial" w:hAnsi="Arial"/>
                <w:sz w:val="20"/>
                <w:szCs w:val="20"/>
                <w:color w:val="auto"/>
                <w:w w:val="98"/>
              </w:rPr>
              <w:t>2026</w:t>
            </w:r>
          </w:p>
        </w:tc>
        <w:tc>
          <w:tcPr>
            <w:tcW w:w="36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3,750</w:t>
            </w:r>
          </w:p>
        </w:tc>
      </w:tr>
      <w:tr>
        <w:trPr>
          <w:trHeight w:val="255"/>
        </w:trPr>
        <w:tc>
          <w:tcPr>
            <w:tcW w:w="7640" w:type="dxa"/>
            <w:vAlign w:val="bottom"/>
          </w:tcPr>
          <w:p>
            <w:pPr>
              <w:jc w:val="center"/>
              <w:ind w:right="6500"/>
              <w:spacing w:after="0"/>
              <w:rPr>
                <w:sz w:val="20"/>
                <w:szCs w:val="20"/>
                <w:color w:val="auto"/>
              </w:rPr>
            </w:pPr>
            <w:r>
              <w:rPr>
                <w:rFonts w:ascii="Arial" w:cs="Arial" w:eastAsia="Arial" w:hAnsi="Arial"/>
                <w:sz w:val="20"/>
                <w:szCs w:val="20"/>
                <w:color w:val="auto"/>
                <w:w w:val="98"/>
              </w:rPr>
              <w:t>2027</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3,750</w:t>
            </w:r>
          </w:p>
        </w:tc>
      </w:tr>
      <w:tr>
        <w:trPr>
          <w:trHeight w:val="265"/>
        </w:trPr>
        <w:tc>
          <w:tcPr>
            <w:tcW w:w="7640" w:type="dxa"/>
            <w:vAlign w:val="bottom"/>
            <w:tcBorders>
              <w:bottom w:val="single" w:sz="8" w:color="D2EDF0"/>
            </w:tcBorders>
            <w:shd w:val="clear" w:color="auto" w:fill="D2EDF0"/>
          </w:tcPr>
          <w:p>
            <w:pPr>
              <w:jc w:val="center"/>
              <w:ind w:right="6500"/>
              <w:spacing w:after="0"/>
              <w:rPr>
                <w:sz w:val="20"/>
                <w:szCs w:val="20"/>
                <w:color w:val="auto"/>
              </w:rPr>
            </w:pPr>
            <w:r>
              <w:rPr>
                <w:rFonts w:ascii="Arial" w:cs="Arial" w:eastAsia="Arial" w:hAnsi="Arial"/>
                <w:sz w:val="20"/>
                <w:szCs w:val="20"/>
                <w:color w:val="auto"/>
                <w:w w:val="99"/>
              </w:rPr>
              <w:t>Thereafter</w:t>
            </w:r>
          </w:p>
        </w:tc>
        <w:tc>
          <w:tcPr>
            <w:tcW w:w="360" w:type="dxa"/>
            <w:vAlign w:val="bottom"/>
            <w:tcBorders>
              <w:bottom w:val="single" w:sz="8" w:color="auto"/>
            </w:tcBorders>
            <w:shd w:val="clear" w:color="auto" w:fill="D2EDF0"/>
          </w:tcPr>
          <w:p>
            <w:pPr>
              <w:spacing w:after="0"/>
              <w:rPr>
                <w:sz w:val="23"/>
                <w:szCs w:val="23"/>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352,500</w:t>
            </w:r>
          </w:p>
        </w:tc>
      </w:tr>
      <w:tr>
        <w:trPr>
          <w:trHeight w:val="195"/>
        </w:trPr>
        <w:tc>
          <w:tcPr>
            <w:tcW w:w="7640" w:type="dxa"/>
            <w:vAlign w:val="bottom"/>
          </w:tcPr>
          <w:p>
            <w:pPr>
              <w:jc w:val="center"/>
              <w:ind w:right="6560"/>
              <w:spacing w:after="0" w:line="195" w:lineRule="exact"/>
              <w:rPr>
                <w:sz w:val="20"/>
                <w:szCs w:val="20"/>
                <w:color w:val="auto"/>
              </w:rPr>
            </w:pPr>
            <w:r>
              <w:rPr>
                <w:rFonts w:ascii="Arial" w:cs="Arial" w:eastAsia="Arial" w:hAnsi="Arial"/>
                <w:sz w:val="20"/>
                <w:szCs w:val="20"/>
                <w:color w:val="auto"/>
                <w:w w:val="94"/>
              </w:rPr>
              <w:t>Total</w:t>
            </w:r>
          </w:p>
        </w:tc>
        <w:tc>
          <w:tcPr>
            <w:tcW w:w="360" w:type="dxa"/>
            <w:vAlign w:val="bottom"/>
            <w:tcBorders>
              <w:bottom w:val="single" w:sz="8" w:color="auto"/>
            </w:tcBorders>
          </w:tcPr>
          <w:p>
            <w:pPr>
              <w:jc w:val="right"/>
              <w:ind w:right="100"/>
              <w:spacing w:after="0" w:line="195"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20"/>
                <w:szCs w:val="20"/>
                <w:color w:val="auto"/>
              </w:rPr>
              <w:t>371,250</w:t>
            </w: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-37465</wp:posOffset>
            </wp:positionV>
            <wp:extent cx="86677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66775" cy="38100"/>
                    </a:xfrm>
                    <a:prstGeom prst="rect">
                      <a:avLst/>
                    </a:prstGeom>
                    <a:noFill/>
                  </pic:spPr>
                </pic:pic>
              </a:graphicData>
            </a:graphic>
          </wp:anchor>
        </w:drawing>
      </w:r>
    </w:p>
    <w:p>
      <w:pPr>
        <w:spacing w:after="0" w:line="234" w:lineRule="exact"/>
        <w:rPr>
          <w:sz w:val="20"/>
          <w:szCs w:val="20"/>
          <w:color w:val="auto"/>
        </w:rPr>
      </w:pPr>
    </w:p>
    <w:p>
      <w:pPr>
        <w:ind w:right="120" w:firstLine="360"/>
        <w:spacing w:after="0" w:line="262" w:lineRule="auto"/>
        <w:rPr>
          <w:sz w:val="20"/>
          <w:szCs w:val="20"/>
          <w:color w:val="auto"/>
        </w:rPr>
      </w:pPr>
      <w:r>
        <w:rPr>
          <w:rFonts w:ascii="Arial" w:cs="Arial" w:eastAsia="Arial" w:hAnsi="Arial"/>
          <w:sz w:val="20"/>
          <w:szCs w:val="20"/>
          <w:color w:val="auto"/>
        </w:rPr>
        <w:t>We may be subject to mandatory Term Loan prepayments related to the excess cash flow provisions beginning in 2023. These prepayments would only be required if our first lien net leverage ratio (as defined in our Credit Agreement) exceeds 3.5, and at December 31, 2022, our first lien net leverage ratio was below that threshold.</w:t>
      </w:r>
    </w:p>
    <w:p>
      <w:pPr>
        <w:spacing w:after="0" w:line="196" w:lineRule="exact"/>
        <w:rPr>
          <w:sz w:val="20"/>
          <w:szCs w:val="20"/>
          <w:color w:val="auto"/>
        </w:rPr>
      </w:pPr>
    </w:p>
    <w:p>
      <w:pPr>
        <w:ind w:right="40" w:firstLine="360"/>
        <w:spacing w:after="0" w:line="259" w:lineRule="auto"/>
        <w:rPr>
          <w:sz w:val="20"/>
          <w:szCs w:val="20"/>
          <w:color w:val="auto"/>
        </w:rPr>
      </w:pPr>
      <w:r>
        <w:rPr>
          <w:rFonts w:ascii="Arial" w:cs="Arial" w:eastAsia="Arial" w:hAnsi="Arial"/>
          <w:sz w:val="20"/>
          <w:szCs w:val="20"/>
          <w:color w:val="auto"/>
        </w:rPr>
        <w:t>The Revolving Credit Facility bears interest at a rate, depending on first lien net leverage, ranging from 2.00% to 2.50% over LIBOR and matures on July 7, 2026. Additionally, we pay a commitment fee during the term ranging from 0.25% to 0.375% per annum of the average daily undrawn portion of the revolving commitments based on the first lien net leverage ratio. The Revolving Credit Facility contains a $15.0 million letter of credit sublimit.</w:t>
      </w:r>
    </w:p>
    <w:p>
      <w:pPr>
        <w:spacing w:after="0" w:line="199" w:lineRule="exact"/>
        <w:rPr>
          <w:sz w:val="20"/>
          <w:szCs w:val="20"/>
          <w:color w:val="auto"/>
        </w:rPr>
      </w:pPr>
    </w:p>
    <w:p>
      <w:pPr>
        <w:ind w:right="60" w:firstLine="360"/>
        <w:spacing w:after="0" w:line="272" w:lineRule="auto"/>
        <w:rPr>
          <w:sz w:val="20"/>
          <w:szCs w:val="20"/>
          <w:color w:val="auto"/>
        </w:rPr>
      </w:pPr>
      <w:r>
        <w:rPr>
          <w:rFonts w:ascii="Arial" w:cs="Arial" w:eastAsia="Arial" w:hAnsi="Arial"/>
          <w:sz w:val="19"/>
          <w:szCs w:val="19"/>
          <w:color w:val="auto"/>
        </w:rPr>
        <w:t>The Credit Agreement contains certain customary events of default, which include failure to make payments when due, the material inaccuracy of representations or warranties, failure to observe or perform certain covenants, cross-defaults, bankruptcy and insolvency-related events, certain judgments, certain ERISA-related events, failure of any lien created under the Security Documents (as defined in the Credit Agreement) to be valid and perfected (subject to certain exceptions), failure of any material guarantee of the Loan Document Obligations (as defined in the Credit Agreement) to be in full force and effect and a Change of Control (as defined in the Credit Agreement).</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105</w:t>
      </w:r>
    </w:p>
    <w:p>
      <w:pPr>
        <w:sectPr>
          <w:pgSz w:w="11880" w:h="15480" w:orient="portrait"/>
          <w:cols w:equalWidth="0" w:num="1">
            <w:col w:w="9000"/>
          </w:cols>
          <w:pgMar w:left="1440" w:top="1204" w:right="1440" w:bottom="0" w:gutter="0" w:footer="0" w:header="0"/>
          <w:type w:val="continuous"/>
        </w:sectPr>
      </w:pPr>
    </w:p>
    <w:bookmarkStart w:id="197" w:name="page198"/>
    <w:bookmarkEnd w:id="197"/>
    <w:p>
      <w:pPr>
        <w:ind w:right="220" w:firstLine="360"/>
        <w:spacing w:after="0" w:line="268" w:lineRule="auto"/>
        <w:rPr>
          <w:sz w:val="20"/>
          <w:szCs w:val="20"/>
          <w:color w:val="auto"/>
        </w:rPr>
      </w:pPr>
      <w:r>
        <w:rPr>
          <w:rFonts w:ascii="Arial" w:cs="Arial" w:eastAsia="Arial" w:hAnsi="Arial"/>
          <w:sz w:val="20"/>
          <w:szCs w:val="20"/>
          <w:color w:val="auto"/>
        </w:rPr>
        <w:t>The Credit Agreement is guaranteed by the Company and Tenable Public Sector LLC, a subsidiary of the Company, as guarantors, and is supported by a security interest in substantially all of the assets of Tenable, Inc. and the guarantors.</w:t>
      </w:r>
    </w:p>
    <w:p>
      <w:pPr>
        <w:spacing w:after="0" w:line="190" w:lineRule="exact"/>
        <w:rPr>
          <w:sz w:val="20"/>
          <w:szCs w:val="20"/>
          <w:color w:val="auto"/>
        </w:rPr>
      </w:pPr>
    </w:p>
    <w:p>
      <w:pPr>
        <w:ind w:firstLine="360"/>
        <w:spacing w:after="0" w:line="254" w:lineRule="auto"/>
        <w:rPr>
          <w:sz w:val="20"/>
          <w:szCs w:val="20"/>
          <w:color w:val="auto"/>
        </w:rPr>
      </w:pPr>
      <w:r>
        <w:rPr>
          <w:rFonts w:ascii="Arial" w:cs="Arial" w:eastAsia="Arial" w:hAnsi="Arial"/>
          <w:sz w:val="20"/>
          <w:szCs w:val="20"/>
          <w:color w:val="auto"/>
        </w:rPr>
        <w:t>The Credit Agreement contains certain customary representations and warranties and affirmative and negative covenants, including certain restrictions on incurring additional indebtedness or guaranteeing indebtedness of others, creating liens on properties or assets, making certain investments, loans, advances and guarantees, selling assets, making certain restricted payments and entering into certain sale and leaseback transactions, affiliate transactions, restrictive agreements and asset and stock-based transactions. Additionally, if at least 35% of the Revolving Credit Facility is drawn on the last day of the quarter, the total net leverage ratio cannot be greater than 5.50 to 1.00. At December 31, 2022, we had $0.2 million of standby letters of credit outstanding under our Revolving Credit Facility related to one of our operating leases. At December 31, 2022, we were in compliance with the covenants under the Credit Agreement.</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9. Commitments and Contingencies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Commitments</w:t>
      </w:r>
    </w:p>
    <w:p>
      <w:pPr>
        <w:spacing w:after="0" w:line="249" w:lineRule="exact"/>
        <w:rPr>
          <w:sz w:val="20"/>
          <w:szCs w:val="20"/>
          <w:color w:val="auto"/>
        </w:rPr>
      </w:pPr>
    </w:p>
    <w:p>
      <w:pPr>
        <w:ind w:right="40" w:firstLine="360"/>
        <w:spacing w:after="0" w:line="256" w:lineRule="auto"/>
        <w:rPr>
          <w:sz w:val="20"/>
          <w:szCs w:val="20"/>
          <w:color w:val="auto"/>
        </w:rPr>
      </w:pPr>
      <w:r>
        <w:rPr>
          <w:rFonts w:ascii="Arial" w:cs="Arial" w:eastAsia="Arial" w:hAnsi="Arial"/>
          <w:sz w:val="20"/>
          <w:szCs w:val="20"/>
          <w:color w:val="auto"/>
        </w:rPr>
        <w:t>In July 2021, we entered into a contract with Amazon Web Services, Inc. ("AWS") for cloud services from August 2021 through July 2024. Under the terms of the contract, we committed to spend $43.7 million, $46.8 million and $50.1 million in contract years one, two and three, respectively, for a total of $140.6 million. If we do not meet the minimum purchase obligation during any of those years, we will be required to pay the difference. We met our commitment for the first year of our contract with AWS, and as of December 31, 2022, we have spent $44.7 million of our second year commitment.</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Letters of Credit</w:t>
      </w:r>
    </w:p>
    <w:p>
      <w:pPr>
        <w:spacing w:after="0" w:line="249" w:lineRule="exact"/>
        <w:rPr>
          <w:sz w:val="20"/>
          <w:szCs w:val="20"/>
          <w:color w:val="auto"/>
        </w:rPr>
      </w:pPr>
    </w:p>
    <w:p>
      <w:pPr>
        <w:ind w:right="440" w:firstLine="360"/>
        <w:spacing w:after="0" w:line="268" w:lineRule="auto"/>
        <w:rPr>
          <w:sz w:val="20"/>
          <w:szCs w:val="20"/>
          <w:color w:val="auto"/>
        </w:rPr>
      </w:pPr>
      <w:r>
        <w:rPr>
          <w:rFonts w:ascii="Arial" w:cs="Arial" w:eastAsia="Arial" w:hAnsi="Arial"/>
          <w:sz w:val="20"/>
          <w:szCs w:val="20"/>
          <w:color w:val="auto"/>
        </w:rPr>
        <w:t>At December 31, 2022, we had $5.7 million of standby letters of credit related to our grant agreements with the State of Maryland and our operating leases. Collateral for $5.5 million of our letters of credit was classified as restricted cash in cash and cash equivalents.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10. Stock-Based Compensation</w:t>
      </w:r>
    </w:p>
    <w:p>
      <w:pPr>
        <w:spacing w:after="0" w:line="251" w:lineRule="exact"/>
        <w:rPr>
          <w:sz w:val="20"/>
          <w:szCs w:val="20"/>
          <w:color w:val="auto"/>
        </w:rPr>
      </w:pPr>
    </w:p>
    <w:p>
      <w:pPr>
        <w:ind w:right="360" w:firstLine="360"/>
        <w:spacing w:after="0" w:line="262" w:lineRule="auto"/>
        <w:rPr>
          <w:sz w:val="20"/>
          <w:szCs w:val="20"/>
          <w:color w:val="auto"/>
        </w:rPr>
      </w:pPr>
      <w:r>
        <w:rPr>
          <w:rFonts w:ascii="Arial" w:cs="Arial" w:eastAsia="Arial" w:hAnsi="Arial"/>
          <w:sz w:val="20"/>
          <w:szCs w:val="20"/>
          <w:color w:val="auto"/>
        </w:rPr>
        <w:t>In 2018, our Board of Directors adopted, and our stockholders approved, our 2018 Equity Incentive Plan ("2018 Plan"). Under the evergreen provision in the 2018 Plan, in January 2022 we reserved an additional 5.4 million shares of our common stock. At December 31, 2022, there were 21.5 million shares available for grant.</w:t>
      </w:r>
    </w:p>
    <w:p>
      <w:pPr>
        <w:spacing w:after="0" w:line="196" w:lineRule="exact"/>
        <w:rPr>
          <w:sz w:val="20"/>
          <w:szCs w:val="20"/>
          <w:color w:val="auto"/>
        </w:rPr>
      </w:pPr>
    </w:p>
    <w:p>
      <w:pPr>
        <w:ind w:right="240" w:firstLine="360"/>
        <w:spacing w:after="0" w:line="287" w:lineRule="auto"/>
        <w:rPr>
          <w:sz w:val="20"/>
          <w:szCs w:val="20"/>
          <w:color w:val="auto"/>
        </w:rPr>
      </w:pPr>
      <w:r>
        <w:rPr>
          <w:rFonts w:ascii="Arial" w:cs="Arial" w:eastAsia="Arial" w:hAnsi="Arial"/>
          <w:sz w:val="20"/>
          <w:szCs w:val="20"/>
          <w:color w:val="auto"/>
        </w:rPr>
        <w:t>Stock-based compensation expense included in the consolidated statements of operations was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r>
      <w:tr>
        <w:trPr>
          <w:trHeight w:val="235"/>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63"/>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w w:val="99"/>
              </w:rPr>
              <w:t>2020</w:t>
            </w:r>
          </w:p>
        </w:tc>
      </w:tr>
      <w:tr>
        <w:trPr>
          <w:trHeight w:val="29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Cost of revenue</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8,369</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4,446</w:t>
            </w:r>
          </w:p>
        </w:tc>
        <w:tc>
          <w:tcPr>
            <w:tcW w:w="500" w:type="dxa"/>
            <w:vAlign w:val="bottom"/>
            <w:gridSpan w:val="2"/>
            <w:shd w:val="clear" w:color="auto" w:fill="D2EDF0"/>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3,158</w:t>
            </w:r>
          </w:p>
        </w:tc>
      </w:tr>
      <w:tr>
        <w:trPr>
          <w:trHeight w:val="296"/>
        </w:trPr>
        <w:tc>
          <w:tcPr>
            <w:tcW w:w="4940" w:type="dxa"/>
            <w:vAlign w:val="bottom"/>
          </w:tcPr>
          <w:p>
            <w:pPr>
              <w:ind w:left="60"/>
              <w:spacing w:after="0"/>
              <w:rPr>
                <w:sz w:val="20"/>
                <w:szCs w:val="20"/>
                <w:color w:val="auto"/>
              </w:rPr>
            </w:pPr>
            <w:r>
              <w:rPr>
                <w:rFonts w:ascii="Arial" w:cs="Arial" w:eastAsia="Arial" w:hAnsi="Arial"/>
                <w:sz w:val="20"/>
                <w:szCs w:val="20"/>
                <w:color w:val="auto"/>
              </w:rPr>
              <w:t>Sales and marketing</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49,383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29,410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19,842</w:t>
            </w:r>
          </w:p>
        </w:tc>
      </w:tr>
      <w:tr>
        <w:trPr>
          <w:trHeight w:val="304"/>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Research and development</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31,499</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20,593</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14,794</w:t>
            </w:r>
          </w:p>
        </w:tc>
      </w:tr>
      <w:tr>
        <w:trPr>
          <w:trHeight w:val="290"/>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20"/>
                <w:szCs w:val="20"/>
                <w:color w:val="auto"/>
              </w:rPr>
              <w:t>General and administrative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31,382</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24,956</w:t>
            </w:r>
          </w:p>
        </w:tc>
        <w:tc>
          <w:tcPr>
            <w:tcW w:w="80" w:type="dxa"/>
            <w:vAlign w:val="bottom"/>
            <w:tcBorders>
              <w:bottom w:val="single" w:sz="8" w:color="D2EDF0"/>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21,779</w:t>
            </w:r>
          </w:p>
        </w:tc>
      </w:tr>
      <w:tr>
        <w:trPr>
          <w:trHeight w:val="280"/>
        </w:trPr>
        <w:tc>
          <w:tcPr>
            <w:tcW w:w="4940" w:type="dxa"/>
            <w:vAlign w:val="bottom"/>
            <w:shd w:val="clear" w:color="auto" w:fill="D2EDF0"/>
          </w:tcPr>
          <w:p>
            <w:pPr>
              <w:ind w:left="280"/>
              <w:spacing w:after="0"/>
              <w:rPr>
                <w:sz w:val="20"/>
                <w:szCs w:val="20"/>
                <w:color w:val="auto"/>
              </w:rPr>
            </w:pPr>
            <w:r>
              <w:rPr>
                <w:rFonts w:ascii="Arial" w:cs="Arial" w:eastAsia="Arial" w:hAnsi="Arial"/>
                <w:sz w:val="20"/>
                <w:szCs w:val="20"/>
                <w:color w:val="auto"/>
              </w:rPr>
              <w:t>Total stock-based compensation expense</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120,633</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79,405</w:t>
            </w:r>
          </w:p>
        </w:tc>
        <w:tc>
          <w:tcPr>
            <w:tcW w:w="500" w:type="dxa"/>
            <w:vAlign w:val="bottom"/>
            <w:gridSpan w:val="2"/>
            <w:shd w:val="clear" w:color="auto" w:fill="D2EDF0"/>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59,573</w:t>
            </w:r>
          </w:p>
        </w:tc>
      </w:tr>
      <w:tr>
        <w:trPr>
          <w:trHeight w:val="20"/>
        </w:trPr>
        <w:tc>
          <w:tcPr>
            <w:tcW w:w="494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-37465</wp:posOffset>
            </wp:positionV>
            <wp:extent cx="258127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81275" cy="38100"/>
                    </a:xfrm>
                    <a:prstGeom prst="rect">
                      <a:avLst/>
                    </a:prstGeom>
                    <a:noFill/>
                  </pic:spPr>
                </pic:pic>
              </a:graphicData>
            </a:graphic>
          </wp:anchor>
        </w:drawing>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106</w:t>
      </w:r>
    </w:p>
    <w:p>
      <w:pPr>
        <w:sectPr>
          <w:pgSz w:w="11880" w:h="15480" w:orient="portrait"/>
          <w:cols w:equalWidth="0" w:num="1">
            <w:col w:w="9000"/>
          </w:cols>
          <w:pgMar w:left="1440" w:top="1204" w:right="1440" w:bottom="0" w:gutter="0" w:footer="0" w:header="0"/>
          <w:type w:val="continuous"/>
        </w:sectPr>
      </w:pPr>
    </w:p>
    <w:bookmarkStart w:id="198" w:name="page199"/>
    <w:bookmarkEnd w:id="198"/>
    <w:p>
      <w:pPr>
        <w:ind w:right="180" w:firstLine="360"/>
        <w:spacing w:after="0" w:line="268" w:lineRule="auto"/>
        <w:rPr>
          <w:sz w:val="20"/>
          <w:szCs w:val="20"/>
          <w:color w:val="auto"/>
        </w:rPr>
      </w:pPr>
      <w:r>
        <w:rPr>
          <w:rFonts w:ascii="Arial" w:cs="Arial" w:eastAsia="Arial" w:hAnsi="Arial"/>
          <w:sz w:val="20"/>
          <w:szCs w:val="20"/>
          <w:color w:val="auto"/>
        </w:rPr>
        <w:t>At December 31, 2022, the unrecognized stock-based compensation expense related to unvested RSUs was $251.2 million, which is expected to be recognized over an estimated weighted average remaining period of 2.8 years.</w:t>
      </w:r>
    </w:p>
    <w:p>
      <w:pPr>
        <w:spacing w:after="0" w:line="190" w:lineRule="exact"/>
        <w:rPr>
          <w:sz w:val="20"/>
          <w:szCs w:val="20"/>
          <w:color w:val="auto"/>
        </w:rPr>
      </w:pPr>
    </w:p>
    <w:p>
      <w:pPr>
        <w:ind w:right="340" w:firstLine="360"/>
        <w:spacing w:after="0" w:line="268" w:lineRule="auto"/>
        <w:rPr>
          <w:sz w:val="20"/>
          <w:szCs w:val="20"/>
          <w:color w:val="auto"/>
        </w:rPr>
      </w:pPr>
      <w:r>
        <w:rPr>
          <w:rFonts w:ascii="Arial" w:cs="Arial" w:eastAsia="Arial" w:hAnsi="Arial"/>
          <w:sz w:val="20"/>
          <w:szCs w:val="20"/>
          <w:color w:val="auto"/>
        </w:rPr>
        <w:t>At December 31, 2022, the unrecognized stock-based compensation expense related to unvested PSUs was $4.8 million, which is expected to be recognized over an estimated remaining weighted average period of 3.2 years.</w:t>
      </w:r>
    </w:p>
    <w:p>
      <w:pPr>
        <w:spacing w:after="0" w:line="190" w:lineRule="exact"/>
        <w:rPr>
          <w:sz w:val="20"/>
          <w:szCs w:val="20"/>
          <w:color w:val="auto"/>
        </w:rPr>
      </w:pPr>
    </w:p>
    <w:p>
      <w:pPr>
        <w:ind w:right="480" w:firstLine="404"/>
        <w:spacing w:after="0" w:line="268" w:lineRule="auto"/>
        <w:rPr>
          <w:sz w:val="20"/>
          <w:szCs w:val="20"/>
          <w:color w:val="auto"/>
        </w:rPr>
      </w:pPr>
      <w:r>
        <w:rPr>
          <w:rFonts w:ascii="Arial" w:cs="Arial" w:eastAsia="Arial" w:hAnsi="Arial"/>
          <w:sz w:val="20"/>
          <w:szCs w:val="20"/>
          <w:color w:val="auto"/>
        </w:rPr>
        <w:t>At December 31, 2022, the unrecognized stock-based compensation expense related to our 2018 ESPP was $13.2 million, which is expected to be recognized over an estimated weighted average period of 0.9 years.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Restricted Stock, RSUs and PSUs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summary of our restricted stock, RSU and PSU activity is presented below:</w:t>
      </w:r>
    </w:p>
    <w:p>
      <w:pPr>
        <w:spacing w:after="0" w:line="171"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2220" w:type="dxa"/>
            <w:vAlign w:val="bottom"/>
          </w:tcPr>
          <w:p>
            <w:pPr>
              <w:spacing w:after="0"/>
              <w:rPr>
                <w:sz w:val="20"/>
                <w:szCs w:val="20"/>
                <w:color w:val="auto"/>
              </w:rPr>
            </w:pPr>
          </w:p>
        </w:tc>
        <w:tc>
          <w:tcPr>
            <w:tcW w:w="212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8"/>
                <w:szCs w:val="18"/>
                <w:b w:val="1"/>
                <w:bCs w:val="1"/>
                <w:color w:val="auto"/>
              </w:rPr>
              <w:t>Restricted Stock</w:t>
            </w:r>
          </w:p>
        </w:tc>
        <w:tc>
          <w:tcPr>
            <w:tcW w:w="100" w:type="dxa"/>
            <w:vAlign w:val="bottom"/>
          </w:tcPr>
          <w:p>
            <w:pPr>
              <w:spacing w:after="0"/>
              <w:rPr>
                <w:sz w:val="20"/>
                <w:szCs w:val="20"/>
                <w:color w:val="auto"/>
              </w:rPr>
            </w:pPr>
          </w:p>
        </w:tc>
        <w:tc>
          <w:tcPr>
            <w:tcW w:w="208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RSUs</w:t>
            </w:r>
          </w:p>
        </w:tc>
        <w:tc>
          <w:tcPr>
            <w:tcW w:w="80" w:type="dxa"/>
            <w:vAlign w:val="bottom"/>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PSUs</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rPr>
              <w:t>Weighted</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8"/>
              </w:rPr>
              <w:t>Weighted</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98"/>
              </w:rPr>
              <w:t>Weighted</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Average</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80"/>
        </w:trPr>
        <w:tc>
          <w:tcPr>
            <w:tcW w:w="22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(in thousands, except</w:t>
            </w:r>
          </w:p>
        </w:tc>
        <w:tc>
          <w:tcPr>
            <w:tcW w:w="1000" w:type="dxa"/>
            <w:vAlign w:val="bottom"/>
            <w:vMerge w:val="restart"/>
          </w:tcPr>
          <w:p>
            <w:pPr>
              <w:jc w:val="right"/>
              <w:ind w:right="62"/>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center"/>
              <w:ind w:right="101"/>
              <w:spacing w:after="0" w:line="180" w:lineRule="exact"/>
              <w:rPr>
                <w:sz w:val="20"/>
                <w:szCs w:val="20"/>
                <w:color w:val="auto"/>
              </w:rPr>
            </w:pPr>
            <w:r>
              <w:rPr>
                <w:rFonts w:ascii="Arial" w:cs="Arial" w:eastAsia="Arial" w:hAnsi="Arial"/>
                <w:sz w:val="18"/>
                <w:szCs w:val="18"/>
                <w:b w:val="1"/>
                <w:bCs w:val="1"/>
                <w:color w:val="auto"/>
                <w:w w:val="99"/>
              </w:rPr>
              <w:t>Grant</w:t>
            </w:r>
          </w:p>
        </w:tc>
        <w:tc>
          <w:tcPr>
            <w:tcW w:w="100" w:type="dxa"/>
            <w:vAlign w:val="bottom"/>
          </w:tcPr>
          <w:p>
            <w:pPr>
              <w:spacing w:after="0"/>
              <w:rPr>
                <w:sz w:val="15"/>
                <w:szCs w:val="15"/>
                <w:color w:val="auto"/>
              </w:rPr>
            </w:pPr>
          </w:p>
        </w:tc>
        <w:tc>
          <w:tcPr>
            <w:tcW w:w="1000" w:type="dxa"/>
            <w:vAlign w:val="bottom"/>
            <w:vMerge w:val="restart"/>
          </w:tcPr>
          <w:p>
            <w:pPr>
              <w:jc w:val="right"/>
              <w:ind w:right="65"/>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Grant</w:t>
            </w:r>
          </w:p>
        </w:tc>
        <w:tc>
          <w:tcPr>
            <w:tcW w:w="80" w:type="dxa"/>
            <w:vAlign w:val="bottom"/>
          </w:tcPr>
          <w:p>
            <w:pPr>
              <w:spacing w:after="0"/>
              <w:rPr>
                <w:sz w:val="15"/>
                <w:szCs w:val="15"/>
                <w:color w:val="auto"/>
              </w:rPr>
            </w:pPr>
          </w:p>
        </w:tc>
        <w:tc>
          <w:tcPr>
            <w:tcW w:w="1000" w:type="dxa"/>
            <w:vAlign w:val="bottom"/>
            <w:vMerge w:val="restart"/>
          </w:tcPr>
          <w:p>
            <w:pPr>
              <w:jc w:val="right"/>
              <w:ind w:right="62"/>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center"/>
              <w:ind w:right="121"/>
              <w:spacing w:after="0" w:line="180" w:lineRule="exact"/>
              <w:rPr>
                <w:sz w:val="20"/>
                <w:szCs w:val="20"/>
                <w:color w:val="auto"/>
              </w:rPr>
            </w:pPr>
            <w:r>
              <w:rPr>
                <w:rFonts w:ascii="Arial" w:cs="Arial" w:eastAsia="Arial" w:hAnsi="Arial"/>
                <w:sz w:val="18"/>
                <w:szCs w:val="18"/>
                <w:b w:val="1"/>
                <w:bCs w:val="1"/>
                <w:color w:val="auto"/>
                <w:w w:val="99"/>
              </w:rPr>
              <w:t>Grant</w:t>
            </w:r>
          </w:p>
        </w:tc>
        <w:tc>
          <w:tcPr>
            <w:tcW w:w="0" w:type="dxa"/>
            <w:vAlign w:val="bottom"/>
          </w:tcPr>
          <w:p>
            <w:pPr>
              <w:spacing w:after="0"/>
              <w:rPr>
                <w:sz w:val="1"/>
                <w:szCs w:val="1"/>
                <w:color w:val="auto"/>
              </w:rPr>
            </w:pPr>
          </w:p>
        </w:tc>
      </w:tr>
      <w:tr>
        <w:trPr>
          <w:trHeight w:val="180"/>
        </w:trPr>
        <w:tc>
          <w:tcPr>
            <w:tcW w:w="22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rPr>
              <w:t>Date Fair</w:t>
            </w: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8"/>
              </w:rPr>
              <w:t>Date Fair</w:t>
            </w:r>
          </w:p>
        </w:tc>
        <w:tc>
          <w:tcPr>
            <w:tcW w:w="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w w:val="98"/>
              </w:rPr>
              <w:t>Date Fair</w:t>
            </w:r>
          </w:p>
        </w:tc>
        <w:tc>
          <w:tcPr>
            <w:tcW w:w="0" w:type="dxa"/>
            <w:vAlign w:val="bottom"/>
          </w:tcPr>
          <w:p>
            <w:pPr>
              <w:spacing w:after="0"/>
              <w:rPr>
                <w:sz w:val="1"/>
                <w:szCs w:val="1"/>
                <w:color w:val="auto"/>
              </w:rPr>
            </w:pPr>
          </w:p>
        </w:tc>
      </w:tr>
      <w:tr>
        <w:trPr>
          <w:trHeight w:val="238"/>
        </w:trPr>
        <w:tc>
          <w:tcPr>
            <w:tcW w:w="222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for per share data)</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of Shares</w:t>
            </w:r>
          </w:p>
        </w:tc>
        <w:tc>
          <w:tcPr>
            <w:tcW w:w="100" w:type="dxa"/>
            <w:vAlign w:val="bottom"/>
            <w:tcBorders>
              <w:bottom w:val="single" w:sz="8" w:color="D2EDF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1"/>
              <w:spacing w:after="0"/>
              <w:rPr>
                <w:sz w:val="20"/>
                <w:szCs w:val="20"/>
                <w:color w:val="auto"/>
              </w:rPr>
            </w:pPr>
            <w:r>
              <w:rPr>
                <w:rFonts w:ascii="Arial" w:cs="Arial" w:eastAsia="Arial" w:hAnsi="Arial"/>
                <w:sz w:val="18"/>
                <w:szCs w:val="18"/>
                <w:b w:val="1"/>
                <w:bCs w:val="1"/>
                <w:color w:val="auto"/>
                <w:w w:val="99"/>
              </w:rPr>
              <w:t>Value</w:t>
            </w:r>
          </w:p>
        </w:tc>
        <w:tc>
          <w:tcPr>
            <w:tcW w:w="100" w:type="dxa"/>
            <w:vAlign w:val="bottom"/>
            <w:tcBorders>
              <w:bottom w:val="single" w:sz="8" w:color="D2EDF0"/>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of Shares</w:t>
            </w:r>
          </w:p>
        </w:tc>
        <w:tc>
          <w:tcPr>
            <w:tcW w:w="80" w:type="dxa"/>
            <w:vAlign w:val="bottom"/>
            <w:tcBorders>
              <w:bottom w:val="single" w:sz="8" w:color="D2EDF0"/>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Value</w:t>
            </w:r>
          </w:p>
        </w:tc>
        <w:tc>
          <w:tcPr>
            <w:tcW w:w="80" w:type="dxa"/>
            <w:vAlign w:val="bottom"/>
            <w:tcBorders>
              <w:bottom w:val="single" w:sz="8" w:color="D2EDF0"/>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of Shares</w:t>
            </w:r>
          </w:p>
        </w:tc>
        <w:tc>
          <w:tcPr>
            <w:tcW w:w="80" w:type="dxa"/>
            <w:vAlign w:val="bottom"/>
            <w:tcBorders>
              <w:bottom w:val="single" w:sz="8" w:color="D2EDF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21"/>
              <w:spacing w:after="0"/>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198"/>
        </w:trPr>
        <w:tc>
          <w:tcPr>
            <w:tcW w:w="2220" w:type="dxa"/>
            <w:vAlign w:val="bottom"/>
            <w:shd w:val="clear" w:color="auto" w:fill="D2EDF0"/>
          </w:tcPr>
          <w:p>
            <w:pPr>
              <w:ind w:left="60"/>
              <w:spacing w:after="0" w:line="198" w:lineRule="exact"/>
              <w:rPr>
                <w:sz w:val="20"/>
                <w:szCs w:val="20"/>
                <w:color w:val="auto"/>
              </w:rPr>
            </w:pPr>
            <w:r>
              <w:rPr>
                <w:rFonts w:ascii="Arial" w:cs="Arial" w:eastAsia="Arial" w:hAnsi="Arial"/>
                <w:sz w:val="20"/>
                <w:szCs w:val="20"/>
                <w:color w:val="auto"/>
              </w:rPr>
              <w:t>Unvested balance at</w:t>
            </w: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495</w:t>
            </w:r>
          </w:p>
        </w:tc>
        <w:tc>
          <w:tcPr>
            <w:tcW w:w="320" w:type="dxa"/>
            <w:vAlign w:val="bottom"/>
            <w:gridSpan w:val="2"/>
            <w:vMerge w:val="restart"/>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8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4.25</w:t>
            </w:r>
          </w:p>
        </w:tc>
        <w:tc>
          <w:tcPr>
            <w:tcW w:w="1100" w:type="dxa"/>
            <w:vAlign w:val="bottom"/>
            <w:gridSpan w:val="2"/>
            <w:vMerge w:val="restart"/>
            <w:shd w:val="clear" w:color="auto" w:fill="D2EDF0"/>
          </w:tcPr>
          <w:p>
            <w:pPr>
              <w:jc w:val="right"/>
              <w:spacing w:after="0"/>
              <w:rPr>
                <w:sz w:val="20"/>
                <w:szCs w:val="20"/>
                <w:color w:val="auto"/>
              </w:rPr>
            </w:pPr>
            <w:r>
              <w:rPr>
                <w:rFonts w:ascii="Arial" w:cs="Arial" w:eastAsia="Arial" w:hAnsi="Arial"/>
                <w:sz w:val="20"/>
                <w:szCs w:val="20"/>
                <w:color w:val="auto"/>
              </w:rPr>
              <w:t>2,894</w:t>
            </w:r>
          </w:p>
        </w:tc>
        <w:tc>
          <w:tcPr>
            <w:tcW w:w="1080" w:type="dxa"/>
            <w:vAlign w:val="bottom"/>
            <w:gridSpan w:val="2"/>
            <w:vMerge w:val="restart"/>
            <w:shd w:val="clear" w:color="auto" w:fill="D2EDF0"/>
          </w:tcPr>
          <w:p>
            <w:pPr>
              <w:jc w:val="right"/>
              <w:spacing w:after="0"/>
              <w:rPr>
                <w:sz w:val="20"/>
                <w:szCs w:val="20"/>
                <w:color w:val="auto"/>
              </w:rPr>
            </w:pPr>
            <w:r>
              <w:rPr>
                <w:rFonts w:ascii="Arial" w:cs="Arial" w:eastAsia="Arial" w:hAnsi="Arial"/>
                <w:sz w:val="20"/>
                <w:szCs w:val="20"/>
                <w:color w:val="auto"/>
              </w:rPr>
              <w:t>$   26.34</w:t>
            </w:r>
          </w:p>
        </w:tc>
        <w:tc>
          <w:tcPr>
            <w:tcW w:w="80" w:type="dxa"/>
            <w:vAlign w:val="bottom"/>
            <w:shd w:val="clear" w:color="auto" w:fill="D2EDF0"/>
          </w:tcPr>
          <w:p>
            <w:pPr>
              <w:spacing w:after="0"/>
              <w:rPr>
                <w:sz w:val="17"/>
                <w:szCs w:val="17"/>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300" w:type="dxa"/>
            <w:vAlign w:val="bottom"/>
            <w:gridSpan w:val="2"/>
            <w:vMerge w:val="restart"/>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78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2"/>
        </w:trPr>
        <w:tc>
          <w:tcPr>
            <w:tcW w:w="2220" w:type="dxa"/>
            <w:vAlign w:val="bottom"/>
            <w:shd w:val="clear" w:color="auto" w:fill="D2EDF0"/>
          </w:tcPr>
          <w:p>
            <w:pPr>
              <w:ind w:left="60"/>
              <w:spacing w:after="0"/>
              <w:rPr>
                <w:sz w:val="20"/>
                <w:szCs w:val="20"/>
                <w:color w:val="auto"/>
              </w:rPr>
            </w:pPr>
            <w:r>
              <w:rPr>
                <w:rFonts w:ascii="Arial" w:cs="Arial" w:eastAsia="Arial" w:hAnsi="Arial"/>
                <w:sz w:val="20"/>
                <w:szCs w:val="20"/>
                <w:color w:val="auto"/>
              </w:rPr>
              <w:t>December 31, 2019</w:t>
            </w:r>
          </w:p>
        </w:tc>
        <w:tc>
          <w:tcPr>
            <w:tcW w:w="1000" w:type="dxa"/>
            <w:vAlign w:val="bottom"/>
            <w:vMerge w:val="continue"/>
            <w:shd w:val="clear" w:color="auto" w:fill="D2EDF0"/>
          </w:tcPr>
          <w:p>
            <w:pPr>
              <w:spacing w:after="0"/>
              <w:rPr>
                <w:sz w:val="23"/>
                <w:szCs w:val="23"/>
                <w:color w:val="auto"/>
              </w:rPr>
            </w:pPr>
          </w:p>
        </w:tc>
        <w:tc>
          <w:tcPr>
            <w:tcW w:w="320" w:type="dxa"/>
            <w:vAlign w:val="bottom"/>
            <w:gridSpan w:val="2"/>
            <w:vMerge w:val="continue"/>
            <w:shd w:val="clear" w:color="auto" w:fill="D2EDF0"/>
          </w:tcPr>
          <w:p>
            <w:pPr>
              <w:spacing w:after="0"/>
              <w:rPr>
                <w:sz w:val="23"/>
                <w:szCs w:val="23"/>
                <w:color w:val="auto"/>
              </w:rPr>
            </w:pPr>
          </w:p>
        </w:tc>
        <w:tc>
          <w:tcPr>
            <w:tcW w:w="800" w:type="dxa"/>
            <w:vAlign w:val="bottom"/>
            <w:vMerge w:val="continue"/>
            <w:shd w:val="clear" w:color="auto" w:fill="D2EDF0"/>
          </w:tcPr>
          <w:p>
            <w:pPr>
              <w:spacing w:after="0"/>
              <w:rPr>
                <w:sz w:val="23"/>
                <w:szCs w:val="23"/>
                <w:color w:val="auto"/>
              </w:rPr>
            </w:pPr>
          </w:p>
        </w:tc>
        <w:tc>
          <w:tcPr>
            <w:tcW w:w="1100" w:type="dxa"/>
            <w:vAlign w:val="bottom"/>
            <w:gridSpan w:val="2"/>
            <w:vMerge w:val="continue"/>
            <w:shd w:val="clear" w:color="auto" w:fill="D2EDF0"/>
          </w:tcPr>
          <w:p>
            <w:pPr>
              <w:spacing w:after="0"/>
              <w:rPr>
                <w:sz w:val="23"/>
                <w:szCs w:val="23"/>
                <w:color w:val="auto"/>
              </w:rPr>
            </w:pPr>
          </w:p>
        </w:tc>
        <w:tc>
          <w:tcPr>
            <w:tcW w:w="1080" w:type="dxa"/>
            <w:vAlign w:val="bottom"/>
            <w:gridSpan w:val="2"/>
            <w:vMerge w:val="continue"/>
            <w:shd w:val="clear" w:color="auto" w:fill="D2EDF0"/>
          </w:tcPr>
          <w:p>
            <w:pPr>
              <w:spacing w:after="0"/>
              <w:rPr>
                <w:sz w:val="23"/>
                <w:szCs w:val="23"/>
                <w:color w:val="auto"/>
              </w:rPr>
            </w:pPr>
          </w:p>
        </w:tc>
        <w:tc>
          <w:tcPr>
            <w:tcW w:w="80" w:type="dxa"/>
            <w:vAlign w:val="bottom"/>
            <w:shd w:val="clear" w:color="auto" w:fill="D2EDF0"/>
          </w:tcPr>
          <w:p>
            <w:pPr>
              <w:spacing w:after="0"/>
              <w:rPr>
                <w:sz w:val="23"/>
                <w:szCs w:val="23"/>
                <w:color w:val="auto"/>
              </w:rPr>
            </w:pPr>
          </w:p>
        </w:tc>
        <w:tc>
          <w:tcPr>
            <w:tcW w:w="1000" w:type="dxa"/>
            <w:vAlign w:val="bottom"/>
            <w:vMerge w:val="continue"/>
            <w:shd w:val="clear" w:color="auto" w:fill="D2EDF0"/>
          </w:tcPr>
          <w:p>
            <w:pPr>
              <w:spacing w:after="0"/>
              <w:rPr>
                <w:sz w:val="23"/>
                <w:szCs w:val="23"/>
                <w:color w:val="auto"/>
              </w:rPr>
            </w:pPr>
          </w:p>
        </w:tc>
        <w:tc>
          <w:tcPr>
            <w:tcW w:w="300" w:type="dxa"/>
            <w:vAlign w:val="bottom"/>
            <w:gridSpan w:val="2"/>
            <w:vMerge w:val="continue"/>
            <w:shd w:val="clear" w:color="auto" w:fill="D2EDF0"/>
          </w:tcPr>
          <w:p>
            <w:pPr>
              <w:spacing w:after="0"/>
              <w:rPr>
                <w:sz w:val="23"/>
                <w:szCs w:val="23"/>
                <w:color w:val="auto"/>
              </w:rPr>
            </w:pPr>
          </w:p>
        </w:tc>
        <w:tc>
          <w:tcPr>
            <w:tcW w:w="780" w:type="dxa"/>
            <w:vAlign w:val="bottom"/>
            <w:vMerge w:val="continue"/>
            <w:shd w:val="clear" w:color="auto" w:fill="D2EDF0"/>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2220" w:type="dxa"/>
            <w:vAlign w:val="bottom"/>
          </w:tcPr>
          <w:p>
            <w:pPr>
              <w:ind w:left="240"/>
              <w:spacing w:after="0"/>
              <w:rPr>
                <w:sz w:val="20"/>
                <w:szCs w:val="20"/>
                <w:color w:val="auto"/>
              </w:rPr>
            </w:pPr>
            <w:r>
              <w:rPr>
                <w:rFonts w:ascii="Arial" w:cs="Arial" w:eastAsia="Arial" w:hAnsi="Arial"/>
                <w:sz w:val="20"/>
                <w:szCs w:val="20"/>
                <w:color w:val="auto"/>
              </w:rPr>
              <w:t>Granted</w:t>
            </w: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3,570</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28.23</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9"/>
        </w:trPr>
        <w:tc>
          <w:tcPr>
            <w:tcW w:w="2220" w:type="dxa"/>
            <w:vAlign w:val="bottom"/>
            <w:shd w:val="clear" w:color="auto" w:fill="D2EDF0"/>
          </w:tcPr>
          <w:p>
            <w:pPr>
              <w:ind w:left="240"/>
              <w:spacing w:after="0"/>
              <w:rPr>
                <w:sz w:val="20"/>
                <w:szCs w:val="20"/>
                <w:color w:val="auto"/>
              </w:rPr>
            </w:pPr>
            <w:r>
              <w:rPr>
                <w:rFonts w:ascii="Arial" w:cs="Arial" w:eastAsia="Arial" w:hAnsi="Arial"/>
                <w:sz w:val="20"/>
                <w:szCs w:val="20"/>
                <w:color w:val="auto"/>
              </w:rPr>
              <w:t>Vested</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(396)</w:t>
            </w:r>
          </w:p>
        </w:tc>
        <w:tc>
          <w:tcPr>
            <w:tcW w:w="100" w:type="dxa"/>
            <w:vAlign w:val="bottom"/>
            <w:shd w:val="clear" w:color="auto" w:fill="D2EDF0"/>
          </w:tcPr>
          <w:p>
            <w:pPr>
              <w:spacing w:after="0"/>
              <w:rPr>
                <w:sz w:val="24"/>
                <w:szCs w:val="24"/>
                <w:color w:val="auto"/>
              </w:rPr>
            </w:pPr>
          </w:p>
        </w:tc>
        <w:tc>
          <w:tcPr>
            <w:tcW w:w="220" w:type="dxa"/>
            <w:vAlign w:val="bottom"/>
            <w:shd w:val="clear" w:color="auto" w:fill="D2EDF0"/>
          </w:tcPr>
          <w:p>
            <w:pPr>
              <w:spacing w:after="0"/>
              <w:rPr>
                <w:sz w:val="24"/>
                <w:szCs w:val="24"/>
                <w:color w:val="auto"/>
              </w:rPr>
            </w:pPr>
          </w:p>
        </w:tc>
        <w:tc>
          <w:tcPr>
            <w:tcW w:w="8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4.25</w:t>
            </w:r>
          </w:p>
        </w:tc>
        <w:tc>
          <w:tcPr>
            <w:tcW w:w="110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(1,504)</w:t>
            </w:r>
          </w:p>
        </w:tc>
        <w:tc>
          <w:tcPr>
            <w:tcW w:w="10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25.37</w:t>
            </w:r>
          </w:p>
        </w:tc>
        <w:tc>
          <w:tcPr>
            <w:tcW w:w="8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D2EDF0"/>
          </w:tcPr>
          <w:p>
            <w:pPr>
              <w:spacing w:after="0"/>
              <w:rPr>
                <w:sz w:val="24"/>
                <w:szCs w:val="24"/>
                <w:color w:val="auto"/>
              </w:rPr>
            </w:pPr>
          </w:p>
        </w:tc>
        <w:tc>
          <w:tcPr>
            <w:tcW w:w="220" w:type="dxa"/>
            <w:vAlign w:val="bottom"/>
            <w:shd w:val="clear" w:color="auto" w:fill="D2EDF0"/>
          </w:tcPr>
          <w:p>
            <w:pPr>
              <w:spacing w:after="0"/>
              <w:rPr>
                <w:sz w:val="24"/>
                <w:szCs w:val="24"/>
                <w:color w:val="auto"/>
              </w:rPr>
            </w:pPr>
          </w:p>
        </w:tc>
        <w:tc>
          <w:tcPr>
            <w:tcW w:w="7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2220" w:type="dxa"/>
            <w:vAlign w:val="bottom"/>
            <w:tcBorders>
              <w:bottom w:val="single" w:sz="8" w:color="D2EDF0"/>
            </w:tcBorders>
          </w:tcPr>
          <w:p>
            <w:pPr>
              <w:ind w:left="240"/>
              <w:spacing w:after="0"/>
              <w:rPr>
                <w:sz w:val="20"/>
                <w:szCs w:val="20"/>
                <w:color w:val="auto"/>
              </w:rPr>
            </w:pPr>
            <w:r>
              <w:rPr>
                <w:rFonts w:ascii="Arial" w:cs="Arial" w:eastAsia="Arial" w:hAnsi="Arial"/>
                <w:sz w:val="20"/>
                <w:szCs w:val="20"/>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D2EDF0"/>
            </w:tcBorders>
          </w:tcPr>
          <w:p>
            <w:pPr>
              <w:spacing w:after="0"/>
              <w:rPr>
                <w:sz w:val="23"/>
                <w:szCs w:val="23"/>
                <w:color w:val="auto"/>
              </w:rPr>
            </w:pPr>
          </w:p>
        </w:tc>
        <w:tc>
          <w:tcPr>
            <w:tcW w:w="220" w:type="dxa"/>
            <w:vAlign w:val="bottom"/>
            <w:tcBorders>
              <w:bottom w:val="single" w:sz="8" w:color="D2EDF0"/>
            </w:tcBorders>
          </w:tcPr>
          <w:p>
            <w:pPr>
              <w:spacing w:after="0"/>
              <w:rPr>
                <w:sz w:val="23"/>
                <w:szCs w:val="23"/>
                <w:color w:val="auto"/>
              </w:rPr>
            </w:pPr>
          </w:p>
        </w:tc>
        <w:tc>
          <w:tcPr>
            <w:tcW w:w="800" w:type="dxa"/>
            <w:vAlign w:val="bottom"/>
            <w:tcBorders>
              <w:bottom w:val="single" w:sz="8" w:color="D2EDF0"/>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D2EDF0"/>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(470)</w:t>
            </w:r>
          </w:p>
        </w:tc>
        <w:tc>
          <w:tcPr>
            <w:tcW w:w="1080" w:type="dxa"/>
            <w:vAlign w:val="bottom"/>
            <w:tcBorders>
              <w:bottom w:val="single" w:sz="8" w:color="D2EDF0"/>
            </w:tcBorders>
            <w:gridSpan w:val="2"/>
          </w:tcPr>
          <w:p>
            <w:pPr>
              <w:jc w:val="right"/>
              <w:spacing w:after="0"/>
              <w:rPr>
                <w:sz w:val="20"/>
                <w:szCs w:val="20"/>
                <w:color w:val="auto"/>
              </w:rPr>
            </w:pPr>
            <w:r>
              <w:rPr>
                <w:rFonts w:ascii="Arial" w:cs="Arial" w:eastAsia="Arial" w:hAnsi="Arial"/>
                <w:sz w:val="20"/>
                <w:szCs w:val="20"/>
                <w:color w:val="auto"/>
              </w:rPr>
              <w:t>26.68</w:t>
            </w:r>
          </w:p>
        </w:tc>
        <w:tc>
          <w:tcPr>
            <w:tcW w:w="80" w:type="dxa"/>
            <w:vAlign w:val="bottom"/>
            <w:tcBorders>
              <w:bottom w:val="single" w:sz="8" w:color="D2EDF0"/>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D2EDF0"/>
            </w:tcBorders>
          </w:tcPr>
          <w:p>
            <w:pPr>
              <w:spacing w:after="0"/>
              <w:rPr>
                <w:sz w:val="23"/>
                <w:szCs w:val="23"/>
                <w:color w:val="auto"/>
              </w:rPr>
            </w:pPr>
          </w:p>
        </w:tc>
        <w:tc>
          <w:tcPr>
            <w:tcW w:w="220" w:type="dxa"/>
            <w:vAlign w:val="bottom"/>
            <w:tcBorders>
              <w:bottom w:val="single" w:sz="8" w:color="D2EDF0"/>
            </w:tcBorders>
          </w:tcPr>
          <w:p>
            <w:pPr>
              <w:spacing w:after="0"/>
              <w:rPr>
                <w:sz w:val="23"/>
                <w:szCs w:val="23"/>
                <w:color w:val="auto"/>
              </w:rPr>
            </w:pPr>
          </w:p>
        </w:tc>
        <w:tc>
          <w:tcPr>
            <w:tcW w:w="780" w:type="dxa"/>
            <w:vAlign w:val="bottom"/>
            <w:tcBorders>
              <w:bottom w:val="single" w:sz="8" w:color="D2EDF0"/>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8"/>
        </w:trPr>
        <w:tc>
          <w:tcPr>
            <w:tcW w:w="2220" w:type="dxa"/>
            <w:vAlign w:val="bottom"/>
            <w:shd w:val="clear" w:color="auto" w:fill="D2EDF0"/>
          </w:tcPr>
          <w:p>
            <w:pPr>
              <w:ind w:left="120"/>
              <w:spacing w:after="0" w:line="198" w:lineRule="exact"/>
              <w:rPr>
                <w:sz w:val="20"/>
                <w:szCs w:val="20"/>
                <w:color w:val="auto"/>
              </w:rPr>
            </w:pPr>
            <w:r>
              <w:rPr>
                <w:rFonts w:ascii="Arial" w:cs="Arial" w:eastAsia="Arial" w:hAnsi="Arial"/>
                <w:sz w:val="20"/>
                <w:szCs w:val="20"/>
                <w:color w:val="auto"/>
              </w:rPr>
              <w:t>Unvested balance at</w:t>
            </w: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99</w:t>
            </w:r>
          </w:p>
        </w:tc>
        <w:tc>
          <w:tcPr>
            <w:tcW w:w="100" w:type="dxa"/>
            <w:vAlign w:val="bottom"/>
            <w:shd w:val="clear" w:color="auto" w:fill="D2EDF0"/>
          </w:tcPr>
          <w:p>
            <w:pPr>
              <w:spacing w:after="0"/>
              <w:rPr>
                <w:sz w:val="17"/>
                <w:szCs w:val="17"/>
                <w:color w:val="auto"/>
              </w:rPr>
            </w:pPr>
          </w:p>
        </w:tc>
        <w:tc>
          <w:tcPr>
            <w:tcW w:w="220" w:type="dxa"/>
            <w:vAlign w:val="bottom"/>
            <w:shd w:val="clear" w:color="auto" w:fill="D2EDF0"/>
          </w:tcPr>
          <w:p>
            <w:pPr>
              <w:spacing w:after="0"/>
              <w:rPr>
                <w:sz w:val="17"/>
                <w:szCs w:val="17"/>
                <w:color w:val="auto"/>
              </w:rPr>
            </w:pPr>
          </w:p>
        </w:tc>
        <w:tc>
          <w:tcPr>
            <w:tcW w:w="8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4.25</w:t>
            </w:r>
          </w:p>
        </w:tc>
        <w:tc>
          <w:tcPr>
            <w:tcW w:w="1100" w:type="dxa"/>
            <w:vAlign w:val="bottom"/>
            <w:gridSpan w:val="2"/>
            <w:vMerge w:val="restart"/>
            <w:shd w:val="clear" w:color="auto" w:fill="D2EDF0"/>
          </w:tcPr>
          <w:p>
            <w:pPr>
              <w:jc w:val="right"/>
              <w:spacing w:after="0"/>
              <w:rPr>
                <w:sz w:val="20"/>
                <w:szCs w:val="20"/>
                <w:color w:val="auto"/>
              </w:rPr>
            </w:pPr>
            <w:r>
              <w:rPr>
                <w:rFonts w:ascii="Arial" w:cs="Arial" w:eastAsia="Arial" w:hAnsi="Arial"/>
                <w:sz w:val="20"/>
                <w:szCs w:val="20"/>
                <w:color w:val="auto"/>
              </w:rPr>
              <w:t>4,490</w:t>
            </w:r>
          </w:p>
        </w:tc>
        <w:tc>
          <w:tcPr>
            <w:tcW w:w="1080" w:type="dxa"/>
            <w:vAlign w:val="bottom"/>
            <w:gridSpan w:val="2"/>
            <w:vMerge w:val="restart"/>
            <w:shd w:val="clear" w:color="auto" w:fill="D2EDF0"/>
          </w:tcPr>
          <w:p>
            <w:pPr>
              <w:jc w:val="right"/>
              <w:spacing w:after="0"/>
              <w:rPr>
                <w:sz w:val="20"/>
                <w:szCs w:val="20"/>
                <w:color w:val="auto"/>
              </w:rPr>
            </w:pPr>
            <w:r>
              <w:rPr>
                <w:rFonts w:ascii="Arial" w:cs="Arial" w:eastAsia="Arial" w:hAnsi="Arial"/>
                <w:sz w:val="20"/>
                <w:szCs w:val="20"/>
                <w:color w:val="auto"/>
              </w:rPr>
              <w:t>28.13</w:t>
            </w:r>
          </w:p>
        </w:tc>
        <w:tc>
          <w:tcPr>
            <w:tcW w:w="80" w:type="dxa"/>
            <w:vAlign w:val="bottom"/>
            <w:shd w:val="clear" w:color="auto" w:fill="D2EDF0"/>
          </w:tcPr>
          <w:p>
            <w:pPr>
              <w:spacing w:after="0"/>
              <w:rPr>
                <w:sz w:val="17"/>
                <w:szCs w:val="17"/>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D2EDF0"/>
          </w:tcPr>
          <w:p>
            <w:pPr>
              <w:spacing w:after="0"/>
              <w:rPr>
                <w:sz w:val="17"/>
                <w:szCs w:val="17"/>
                <w:color w:val="auto"/>
              </w:rPr>
            </w:pPr>
          </w:p>
        </w:tc>
        <w:tc>
          <w:tcPr>
            <w:tcW w:w="220" w:type="dxa"/>
            <w:vAlign w:val="bottom"/>
            <w:shd w:val="clear" w:color="auto" w:fill="D2EDF0"/>
          </w:tcPr>
          <w:p>
            <w:pPr>
              <w:spacing w:after="0"/>
              <w:rPr>
                <w:sz w:val="17"/>
                <w:szCs w:val="17"/>
                <w:color w:val="auto"/>
              </w:rPr>
            </w:pPr>
          </w:p>
        </w:tc>
        <w:tc>
          <w:tcPr>
            <w:tcW w:w="78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2"/>
        </w:trPr>
        <w:tc>
          <w:tcPr>
            <w:tcW w:w="2220" w:type="dxa"/>
            <w:vAlign w:val="bottom"/>
            <w:shd w:val="clear" w:color="auto" w:fill="D2EDF0"/>
          </w:tcPr>
          <w:p>
            <w:pPr>
              <w:ind w:left="120"/>
              <w:spacing w:after="0"/>
              <w:rPr>
                <w:sz w:val="20"/>
                <w:szCs w:val="20"/>
                <w:color w:val="auto"/>
              </w:rPr>
            </w:pPr>
            <w:r>
              <w:rPr>
                <w:rFonts w:ascii="Arial" w:cs="Arial" w:eastAsia="Arial" w:hAnsi="Arial"/>
                <w:sz w:val="20"/>
                <w:szCs w:val="20"/>
                <w:color w:val="auto"/>
              </w:rPr>
              <w:t>December 31, 2020</w:t>
            </w:r>
          </w:p>
        </w:tc>
        <w:tc>
          <w:tcPr>
            <w:tcW w:w="1000" w:type="dxa"/>
            <w:vAlign w:val="bottom"/>
            <w:vMerge w:val="continue"/>
            <w:shd w:val="clear" w:color="auto" w:fill="D2EDF0"/>
          </w:tcPr>
          <w:p>
            <w:pPr>
              <w:spacing w:after="0"/>
              <w:rPr>
                <w:sz w:val="23"/>
                <w:szCs w:val="23"/>
                <w:color w:val="auto"/>
              </w:rPr>
            </w:pPr>
          </w:p>
        </w:tc>
        <w:tc>
          <w:tcPr>
            <w:tcW w:w="100" w:type="dxa"/>
            <w:vAlign w:val="bottom"/>
            <w:shd w:val="clear" w:color="auto" w:fill="D2EDF0"/>
          </w:tcPr>
          <w:p>
            <w:pPr>
              <w:spacing w:after="0"/>
              <w:rPr>
                <w:sz w:val="23"/>
                <w:szCs w:val="23"/>
                <w:color w:val="auto"/>
              </w:rPr>
            </w:pPr>
          </w:p>
        </w:tc>
        <w:tc>
          <w:tcPr>
            <w:tcW w:w="220" w:type="dxa"/>
            <w:vAlign w:val="bottom"/>
            <w:shd w:val="clear" w:color="auto" w:fill="D2EDF0"/>
          </w:tcPr>
          <w:p>
            <w:pPr>
              <w:spacing w:after="0"/>
              <w:rPr>
                <w:sz w:val="23"/>
                <w:szCs w:val="23"/>
                <w:color w:val="auto"/>
              </w:rPr>
            </w:pPr>
          </w:p>
        </w:tc>
        <w:tc>
          <w:tcPr>
            <w:tcW w:w="800" w:type="dxa"/>
            <w:vAlign w:val="bottom"/>
            <w:vMerge w:val="continue"/>
            <w:shd w:val="clear" w:color="auto" w:fill="D2EDF0"/>
          </w:tcPr>
          <w:p>
            <w:pPr>
              <w:spacing w:after="0"/>
              <w:rPr>
                <w:sz w:val="23"/>
                <w:szCs w:val="23"/>
                <w:color w:val="auto"/>
              </w:rPr>
            </w:pPr>
          </w:p>
        </w:tc>
        <w:tc>
          <w:tcPr>
            <w:tcW w:w="1100" w:type="dxa"/>
            <w:vAlign w:val="bottom"/>
            <w:gridSpan w:val="2"/>
            <w:vMerge w:val="continue"/>
            <w:shd w:val="clear" w:color="auto" w:fill="D2EDF0"/>
          </w:tcPr>
          <w:p>
            <w:pPr>
              <w:spacing w:after="0"/>
              <w:rPr>
                <w:sz w:val="23"/>
                <w:szCs w:val="23"/>
                <w:color w:val="auto"/>
              </w:rPr>
            </w:pPr>
          </w:p>
        </w:tc>
        <w:tc>
          <w:tcPr>
            <w:tcW w:w="1080" w:type="dxa"/>
            <w:vAlign w:val="bottom"/>
            <w:gridSpan w:val="2"/>
            <w:vMerge w:val="continue"/>
            <w:shd w:val="clear" w:color="auto" w:fill="D2EDF0"/>
          </w:tcPr>
          <w:p>
            <w:pPr>
              <w:spacing w:after="0"/>
              <w:rPr>
                <w:sz w:val="23"/>
                <w:szCs w:val="23"/>
                <w:color w:val="auto"/>
              </w:rPr>
            </w:pPr>
          </w:p>
        </w:tc>
        <w:tc>
          <w:tcPr>
            <w:tcW w:w="80" w:type="dxa"/>
            <w:vAlign w:val="bottom"/>
            <w:shd w:val="clear" w:color="auto" w:fill="D2EDF0"/>
          </w:tcPr>
          <w:p>
            <w:pPr>
              <w:spacing w:after="0"/>
              <w:rPr>
                <w:sz w:val="23"/>
                <w:szCs w:val="23"/>
                <w:color w:val="auto"/>
              </w:rPr>
            </w:pPr>
          </w:p>
        </w:tc>
        <w:tc>
          <w:tcPr>
            <w:tcW w:w="1000" w:type="dxa"/>
            <w:vAlign w:val="bottom"/>
            <w:vMerge w:val="continue"/>
            <w:shd w:val="clear" w:color="auto" w:fill="D2EDF0"/>
          </w:tcPr>
          <w:p>
            <w:pPr>
              <w:spacing w:after="0"/>
              <w:rPr>
                <w:sz w:val="23"/>
                <w:szCs w:val="23"/>
                <w:color w:val="auto"/>
              </w:rPr>
            </w:pPr>
          </w:p>
        </w:tc>
        <w:tc>
          <w:tcPr>
            <w:tcW w:w="80" w:type="dxa"/>
            <w:vAlign w:val="bottom"/>
            <w:shd w:val="clear" w:color="auto" w:fill="D2EDF0"/>
          </w:tcPr>
          <w:p>
            <w:pPr>
              <w:spacing w:after="0"/>
              <w:rPr>
                <w:sz w:val="23"/>
                <w:szCs w:val="23"/>
                <w:color w:val="auto"/>
              </w:rPr>
            </w:pPr>
          </w:p>
        </w:tc>
        <w:tc>
          <w:tcPr>
            <w:tcW w:w="220" w:type="dxa"/>
            <w:vAlign w:val="bottom"/>
            <w:shd w:val="clear" w:color="auto" w:fill="D2EDF0"/>
          </w:tcPr>
          <w:p>
            <w:pPr>
              <w:spacing w:after="0"/>
              <w:rPr>
                <w:sz w:val="23"/>
                <w:szCs w:val="23"/>
                <w:color w:val="auto"/>
              </w:rPr>
            </w:pPr>
          </w:p>
        </w:tc>
        <w:tc>
          <w:tcPr>
            <w:tcW w:w="780" w:type="dxa"/>
            <w:vAlign w:val="bottom"/>
            <w:vMerge w:val="continue"/>
            <w:shd w:val="clear" w:color="auto" w:fill="D2EDF0"/>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2220" w:type="dxa"/>
            <w:vAlign w:val="bottom"/>
          </w:tcPr>
          <w:p>
            <w:pPr>
              <w:ind w:left="240"/>
              <w:spacing w:after="0"/>
              <w:rPr>
                <w:sz w:val="20"/>
                <w:szCs w:val="20"/>
                <w:color w:val="auto"/>
              </w:rPr>
            </w:pPr>
            <w:r>
              <w:rPr>
                <w:rFonts w:ascii="Arial" w:cs="Arial" w:eastAsia="Arial" w:hAnsi="Arial"/>
                <w:sz w:val="20"/>
                <w:szCs w:val="20"/>
                <w:color w:val="auto"/>
              </w:rPr>
              <w:t>Granted</w:t>
            </w: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3,842</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43.57</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9"/>
        </w:trPr>
        <w:tc>
          <w:tcPr>
            <w:tcW w:w="2220" w:type="dxa"/>
            <w:vAlign w:val="bottom"/>
            <w:shd w:val="clear" w:color="auto" w:fill="D2EDF0"/>
          </w:tcPr>
          <w:p>
            <w:pPr>
              <w:ind w:left="240"/>
              <w:spacing w:after="0"/>
              <w:rPr>
                <w:sz w:val="20"/>
                <w:szCs w:val="20"/>
                <w:color w:val="auto"/>
              </w:rPr>
            </w:pPr>
            <w:r>
              <w:rPr>
                <w:rFonts w:ascii="Arial" w:cs="Arial" w:eastAsia="Arial" w:hAnsi="Arial"/>
                <w:sz w:val="20"/>
                <w:szCs w:val="20"/>
                <w:color w:val="auto"/>
              </w:rPr>
              <w:t>Vested</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(99)</w:t>
            </w:r>
          </w:p>
        </w:tc>
        <w:tc>
          <w:tcPr>
            <w:tcW w:w="100" w:type="dxa"/>
            <w:vAlign w:val="bottom"/>
            <w:shd w:val="clear" w:color="auto" w:fill="D2EDF0"/>
          </w:tcPr>
          <w:p>
            <w:pPr>
              <w:spacing w:after="0"/>
              <w:rPr>
                <w:sz w:val="24"/>
                <w:szCs w:val="24"/>
                <w:color w:val="auto"/>
              </w:rPr>
            </w:pPr>
          </w:p>
        </w:tc>
        <w:tc>
          <w:tcPr>
            <w:tcW w:w="220" w:type="dxa"/>
            <w:vAlign w:val="bottom"/>
            <w:shd w:val="clear" w:color="auto" w:fill="D2EDF0"/>
          </w:tcPr>
          <w:p>
            <w:pPr>
              <w:spacing w:after="0"/>
              <w:rPr>
                <w:sz w:val="24"/>
                <w:szCs w:val="24"/>
                <w:color w:val="auto"/>
              </w:rPr>
            </w:pPr>
          </w:p>
        </w:tc>
        <w:tc>
          <w:tcPr>
            <w:tcW w:w="8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4.25</w:t>
            </w:r>
          </w:p>
        </w:tc>
        <w:tc>
          <w:tcPr>
            <w:tcW w:w="110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(1,872)</w:t>
            </w:r>
          </w:p>
        </w:tc>
        <w:tc>
          <w:tcPr>
            <w:tcW w:w="10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28.14</w:t>
            </w:r>
          </w:p>
        </w:tc>
        <w:tc>
          <w:tcPr>
            <w:tcW w:w="8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D2EDF0"/>
          </w:tcPr>
          <w:p>
            <w:pPr>
              <w:spacing w:after="0"/>
              <w:rPr>
                <w:sz w:val="24"/>
                <w:szCs w:val="24"/>
                <w:color w:val="auto"/>
              </w:rPr>
            </w:pPr>
          </w:p>
        </w:tc>
        <w:tc>
          <w:tcPr>
            <w:tcW w:w="220" w:type="dxa"/>
            <w:vAlign w:val="bottom"/>
            <w:shd w:val="clear" w:color="auto" w:fill="D2EDF0"/>
          </w:tcPr>
          <w:p>
            <w:pPr>
              <w:spacing w:after="0"/>
              <w:rPr>
                <w:sz w:val="24"/>
                <w:szCs w:val="24"/>
                <w:color w:val="auto"/>
              </w:rPr>
            </w:pPr>
          </w:p>
        </w:tc>
        <w:tc>
          <w:tcPr>
            <w:tcW w:w="7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2220" w:type="dxa"/>
            <w:vAlign w:val="bottom"/>
            <w:tcBorders>
              <w:bottom w:val="single" w:sz="8" w:color="D2EDF0"/>
            </w:tcBorders>
          </w:tcPr>
          <w:p>
            <w:pPr>
              <w:ind w:left="240"/>
              <w:spacing w:after="0"/>
              <w:rPr>
                <w:sz w:val="20"/>
                <w:szCs w:val="20"/>
                <w:color w:val="auto"/>
              </w:rPr>
            </w:pPr>
            <w:r>
              <w:rPr>
                <w:rFonts w:ascii="Arial" w:cs="Arial" w:eastAsia="Arial" w:hAnsi="Arial"/>
                <w:sz w:val="20"/>
                <w:szCs w:val="20"/>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D2EDF0"/>
            </w:tcBorders>
          </w:tcPr>
          <w:p>
            <w:pPr>
              <w:spacing w:after="0"/>
              <w:rPr>
                <w:sz w:val="23"/>
                <w:szCs w:val="23"/>
                <w:color w:val="auto"/>
              </w:rPr>
            </w:pPr>
          </w:p>
        </w:tc>
        <w:tc>
          <w:tcPr>
            <w:tcW w:w="220" w:type="dxa"/>
            <w:vAlign w:val="bottom"/>
            <w:tcBorders>
              <w:bottom w:val="single" w:sz="8" w:color="D2EDF0"/>
            </w:tcBorders>
          </w:tcPr>
          <w:p>
            <w:pPr>
              <w:spacing w:after="0"/>
              <w:rPr>
                <w:sz w:val="23"/>
                <w:szCs w:val="23"/>
                <w:color w:val="auto"/>
              </w:rPr>
            </w:pPr>
          </w:p>
        </w:tc>
        <w:tc>
          <w:tcPr>
            <w:tcW w:w="800" w:type="dxa"/>
            <w:vAlign w:val="bottom"/>
            <w:tcBorders>
              <w:bottom w:val="single" w:sz="8" w:color="D2EDF0"/>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D2EDF0"/>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(679)</w:t>
            </w:r>
          </w:p>
        </w:tc>
        <w:tc>
          <w:tcPr>
            <w:tcW w:w="1080" w:type="dxa"/>
            <w:vAlign w:val="bottom"/>
            <w:tcBorders>
              <w:bottom w:val="single" w:sz="8" w:color="D2EDF0"/>
            </w:tcBorders>
            <w:gridSpan w:val="2"/>
          </w:tcPr>
          <w:p>
            <w:pPr>
              <w:jc w:val="right"/>
              <w:spacing w:after="0"/>
              <w:rPr>
                <w:sz w:val="20"/>
                <w:szCs w:val="20"/>
                <w:color w:val="auto"/>
              </w:rPr>
            </w:pPr>
            <w:r>
              <w:rPr>
                <w:rFonts w:ascii="Arial" w:cs="Arial" w:eastAsia="Arial" w:hAnsi="Arial"/>
                <w:sz w:val="20"/>
                <w:szCs w:val="20"/>
                <w:color w:val="auto"/>
              </w:rPr>
              <w:t>33.64</w:t>
            </w:r>
          </w:p>
        </w:tc>
        <w:tc>
          <w:tcPr>
            <w:tcW w:w="80" w:type="dxa"/>
            <w:vAlign w:val="bottom"/>
            <w:tcBorders>
              <w:bottom w:val="single" w:sz="8" w:color="D2EDF0"/>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D2EDF0"/>
            </w:tcBorders>
          </w:tcPr>
          <w:p>
            <w:pPr>
              <w:spacing w:after="0"/>
              <w:rPr>
                <w:sz w:val="23"/>
                <w:szCs w:val="23"/>
                <w:color w:val="auto"/>
              </w:rPr>
            </w:pPr>
          </w:p>
        </w:tc>
        <w:tc>
          <w:tcPr>
            <w:tcW w:w="220" w:type="dxa"/>
            <w:vAlign w:val="bottom"/>
            <w:tcBorders>
              <w:bottom w:val="single" w:sz="8" w:color="D2EDF0"/>
            </w:tcBorders>
          </w:tcPr>
          <w:p>
            <w:pPr>
              <w:spacing w:after="0"/>
              <w:rPr>
                <w:sz w:val="23"/>
                <w:szCs w:val="23"/>
                <w:color w:val="auto"/>
              </w:rPr>
            </w:pPr>
          </w:p>
        </w:tc>
        <w:tc>
          <w:tcPr>
            <w:tcW w:w="780" w:type="dxa"/>
            <w:vAlign w:val="bottom"/>
            <w:tcBorders>
              <w:bottom w:val="single" w:sz="8" w:color="D2EDF0"/>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8"/>
        </w:trPr>
        <w:tc>
          <w:tcPr>
            <w:tcW w:w="2220" w:type="dxa"/>
            <w:vAlign w:val="bottom"/>
            <w:shd w:val="clear" w:color="auto" w:fill="D2EDF0"/>
          </w:tcPr>
          <w:p>
            <w:pPr>
              <w:ind w:left="120"/>
              <w:spacing w:after="0" w:line="198" w:lineRule="exact"/>
              <w:rPr>
                <w:sz w:val="20"/>
                <w:szCs w:val="20"/>
                <w:color w:val="auto"/>
              </w:rPr>
            </w:pPr>
            <w:r>
              <w:rPr>
                <w:rFonts w:ascii="Arial" w:cs="Arial" w:eastAsia="Arial" w:hAnsi="Arial"/>
                <w:sz w:val="20"/>
                <w:szCs w:val="20"/>
                <w:color w:val="auto"/>
              </w:rPr>
              <w:t>Unvested balance at</w:t>
            </w: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D2EDF0"/>
          </w:tcPr>
          <w:p>
            <w:pPr>
              <w:spacing w:after="0"/>
              <w:rPr>
                <w:sz w:val="17"/>
                <w:szCs w:val="17"/>
                <w:color w:val="auto"/>
              </w:rPr>
            </w:pPr>
          </w:p>
        </w:tc>
        <w:tc>
          <w:tcPr>
            <w:tcW w:w="220" w:type="dxa"/>
            <w:vAlign w:val="bottom"/>
            <w:shd w:val="clear" w:color="auto" w:fill="D2EDF0"/>
          </w:tcPr>
          <w:p>
            <w:pPr>
              <w:spacing w:after="0"/>
              <w:rPr>
                <w:sz w:val="17"/>
                <w:szCs w:val="17"/>
                <w:color w:val="auto"/>
              </w:rPr>
            </w:pPr>
          </w:p>
        </w:tc>
        <w:tc>
          <w:tcPr>
            <w:tcW w:w="8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vMerge w:val="restart"/>
            <w:shd w:val="clear" w:color="auto" w:fill="D2EDF0"/>
          </w:tcPr>
          <w:p>
            <w:pPr>
              <w:jc w:val="right"/>
              <w:spacing w:after="0"/>
              <w:rPr>
                <w:sz w:val="20"/>
                <w:szCs w:val="20"/>
                <w:color w:val="auto"/>
              </w:rPr>
            </w:pPr>
            <w:r>
              <w:rPr>
                <w:rFonts w:ascii="Arial" w:cs="Arial" w:eastAsia="Arial" w:hAnsi="Arial"/>
                <w:sz w:val="20"/>
                <w:szCs w:val="20"/>
                <w:color w:val="auto"/>
              </w:rPr>
              <w:t>5,781</w:t>
            </w:r>
          </w:p>
        </w:tc>
        <w:tc>
          <w:tcPr>
            <w:tcW w:w="1080" w:type="dxa"/>
            <w:vAlign w:val="bottom"/>
            <w:gridSpan w:val="2"/>
            <w:vMerge w:val="restart"/>
            <w:shd w:val="clear" w:color="auto" w:fill="D2EDF0"/>
          </w:tcPr>
          <w:p>
            <w:pPr>
              <w:jc w:val="right"/>
              <w:spacing w:after="0"/>
              <w:rPr>
                <w:sz w:val="20"/>
                <w:szCs w:val="20"/>
                <w:color w:val="auto"/>
              </w:rPr>
            </w:pPr>
            <w:r>
              <w:rPr>
                <w:rFonts w:ascii="Arial" w:cs="Arial" w:eastAsia="Arial" w:hAnsi="Arial"/>
                <w:sz w:val="20"/>
                <w:szCs w:val="20"/>
                <w:color w:val="auto"/>
              </w:rPr>
              <w:t>37.74</w:t>
            </w:r>
          </w:p>
        </w:tc>
        <w:tc>
          <w:tcPr>
            <w:tcW w:w="80" w:type="dxa"/>
            <w:vAlign w:val="bottom"/>
            <w:shd w:val="clear" w:color="auto" w:fill="D2EDF0"/>
          </w:tcPr>
          <w:p>
            <w:pPr>
              <w:spacing w:after="0"/>
              <w:rPr>
                <w:sz w:val="17"/>
                <w:szCs w:val="17"/>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D2EDF0"/>
          </w:tcPr>
          <w:p>
            <w:pPr>
              <w:spacing w:after="0"/>
              <w:rPr>
                <w:sz w:val="17"/>
                <w:szCs w:val="17"/>
                <w:color w:val="auto"/>
              </w:rPr>
            </w:pPr>
          </w:p>
        </w:tc>
        <w:tc>
          <w:tcPr>
            <w:tcW w:w="220" w:type="dxa"/>
            <w:vAlign w:val="bottom"/>
            <w:shd w:val="clear" w:color="auto" w:fill="D2EDF0"/>
          </w:tcPr>
          <w:p>
            <w:pPr>
              <w:spacing w:after="0"/>
              <w:rPr>
                <w:sz w:val="17"/>
                <w:szCs w:val="17"/>
                <w:color w:val="auto"/>
              </w:rPr>
            </w:pPr>
          </w:p>
        </w:tc>
        <w:tc>
          <w:tcPr>
            <w:tcW w:w="78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2"/>
        </w:trPr>
        <w:tc>
          <w:tcPr>
            <w:tcW w:w="2220" w:type="dxa"/>
            <w:vAlign w:val="bottom"/>
            <w:shd w:val="clear" w:color="auto" w:fill="D2EDF0"/>
          </w:tcPr>
          <w:p>
            <w:pPr>
              <w:ind w:left="120"/>
              <w:spacing w:after="0"/>
              <w:rPr>
                <w:sz w:val="20"/>
                <w:szCs w:val="20"/>
                <w:color w:val="auto"/>
              </w:rPr>
            </w:pPr>
            <w:r>
              <w:rPr>
                <w:rFonts w:ascii="Arial" w:cs="Arial" w:eastAsia="Arial" w:hAnsi="Arial"/>
                <w:sz w:val="20"/>
                <w:szCs w:val="20"/>
                <w:color w:val="auto"/>
              </w:rPr>
              <w:t>December 31, 2021</w:t>
            </w:r>
          </w:p>
        </w:tc>
        <w:tc>
          <w:tcPr>
            <w:tcW w:w="1000" w:type="dxa"/>
            <w:vAlign w:val="bottom"/>
            <w:vMerge w:val="continue"/>
            <w:shd w:val="clear" w:color="auto" w:fill="D2EDF0"/>
          </w:tcPr>
          <w:p>
            <w:pPr>
              <w:spacing w:after="0"/>
              <w:rPr>
                <w:sz w:val="23"/>
                <w:szCs w:val="23"/>
                <w:color w:val="auto"/>
              </w:rPr>
            </w:pPr>
          </w:p>
        </w:tc>
        <w:tc>
          <w:tcPr>
            <w:tcW w:w="100" w:type="dxa"/>
            <w:vAlign w:val="bottom"/>
            <w:shd w:val="clear" w:color="auto" w:fill="D2EDF0"/>
          </w:tcPr>
          <w:p>
            <w:pPr>
              <w:spacing w:after="0"/>
              <w:rPr>
                <w:sz w:val="23"/>
                <w:szCs w:val="23"/>
                <w:color w:val="auto"/>
              </w:rPr>
            </w:pPr>
          </w:p>
        </w:tc>
        <w:tc>
          <w:tcPr>
            <w:tcW w:w="220" w:type="dxa"/>
            <w:vAlign w:val="bottom"/>
            <w:shd w:val="clear" w:color="auto" w:fill="D2EDF0"/>
          </w:tcPr>
          <w:p>
            <w:pPr>
              <w:spacing w:after="0"/>
              <w:rPr>
                <w:sz w:val="23"/>
                <w:szCs w:val="23"/>
                <w:color w:val="auto"/>
              </w:rPr>
            </w:pPr>
          </w:p>
        </w:tc>
        <w:tc>
          <w:tcPr>
            <w:tcW w:w="800" w:type="dxa"/>
            <w:vAlign w:val="bottom"/>
            <w:vMerge w:val="continue"/>
            <w:shd w:val="clear" w:color="auto" w:fill="D2EDF0"/>
          </w:tcPr>
          <w:p>
            <w:pPr>
              <w:spacing w:after="0"/>
              <w:rPr>
                <w:sz w:val="23"/>
                <w:szCs w:val="23"/>
                <w:color w:val="auto"/>
              </w:rPr>
            </w:pPr>
          </w:p>
        </w:tc>
        <w:tc>
          <w:tcPr>
            <w:tcW w:w="1100" w:type="dxa"/>
            <w:vAlign w:val="bottom"/>
            <w:gridSpan w:val="2"/>
            <w:vMerge w:val="continue"/>
            <w:shd w:val="clear" w:color="auto" w:fill="D2EDF0"/>
          </w:tcPr>
          <w:p>
            <w:pPr>
              <w:spacing w:after="0"/>
              <w:rPr>
                <w:sz w:val="23"/>
                <w:szCs w:val="23"/>
                <w:color w:val="auto"/>
              </w:rPr>
            </w:pPr>
          </w:p>
        </w:tc>
        <w:tc>
          <w:tcPr>
            <w:tcW w:w="1080" w:type="dxa"/>
            <w:vAlign w:val="bottom"/>
            <w:gridSpan w:val="2"/>
            <w:vMerge w:val="continue"/>
            <w:shd w:val="clear" w:color="auto" w:fill="D2EDF0"/>
          </w:tcPr>
          <w:p>
            <w:pPr>
              <w:spacing w:after="0"/>
              <w:rPr>
                <w:sz w:val="23"/>
                <w:szCs w:val="23"/>
                <w:color w:val="auto"/>
              </w:rPr>
            </w:pPr>
          </w:p>
        </w:tc>
        <w:tc>
          <w:tcPr>
            <w:tcW w:w="80" w:type="dxa"/>
            <w:vAlign w:val="bottom"/>
            <w:shd w:val="clear" w:color="auto" w:fill="D2EDF0"/>
          </w:tcPr>
          <w:p>
            <w:pPr>
              <w:spacing w:after="0"/>
              <w:rPr>
                <w:sz w:val="23"/>
                <w:szCs w:val="23"/>
                <w:color w:val="auto"/>
              </w:rPr>
            </w:pPr>
          </w:p>
        </w:tc>
        <w:tc>
          <w:tcPr>
            <w:tcW w:w="1000" w:type="dxa"/>
            <w:vAlign w:val="bottom"/>
            <w:vMerge w:val="continue"/>
            <w:shd w:val="clear" w:color="auto" w:fill="D2EDF0"/>
          </w:tcPr>
          <w:p>
            <w:pPr>
              <w:spacing w:after="0"/>
              <w:rPr>
                <w:sz w:val="23"/>
                <w:szCs w:val="23"/>
                <w:color w:val="auto"/>
              </w:rPr>
            </w:pPr>
          </w:p>
        </w:tc>
        <w:tc>
          <w:tcPr>
            <w:tcW w:w="80" w:type="dxa"/>
            <w:vAlign w:val="bottom"/>
            <w:shd w:val="clear" w:color="auto" w:fill="D2EDF0"/>
          </w:tcPr>
          <w:p>
            <w:pPr>
              <w:spacing w:after="0"/>
              <w:rPr>
                <w:sz w:val="23"/>
                <w:szCs w:val="23"/>
                <w:color w:val="auto"/>
              </w:rPr>
            </w:pPr>
          </w:p>
        </w:tc>
        <w:tc>
          <w:tcPr>
            <w:tcW w:w="220" w:type="dxa"/>
            <w:vAlign w:val="bottom"/>
            <w:shd w:val="clear" w:color="auto" w:fill="D2EDF0"/>
          </w:tcPr>
          <w:p>
            <w:pPr>
              <w:spacing w:after="0"/>
              <w:rPr>
                <w:sz w:val="23"/>
                <w:szCs w:val="23"/>
                <w:color w:val="auto"/>
              </w:rPr>
            </w:pPr>
          </w:p>
        </w:tc>
        <w:tc>
          <w:tcPr>
            <w:tcW w:w="780" w:type="dxa"/>
            <w:vAlign w:val="bottom"/>
            <w:vMerge w:val="continue"/>
            <w:shd w:val="clear" w:color="auto" w:fill="D2EDF0"/>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2220" w:type="dxa"/>
            <w:vAlign w:val="bottom"/>
          </w:tcPr>
          <w:p>
            <w:pPr>
              <w:ind w:left="240"/>
              <w:spacing w:after="0"/>
              <w:rPr>
                <w:sz w:val="20"/>
                <w:szCs w:val="20"/>
                <w:color w:val="auto"/>
              </w:rPr>
            </w:pPr>
            <w:r>
              <w:rPr>
                <w:rFonts w:ascii="Arial" w:cs="Arial" w:eastAsia="Arial" w:hAnsi="Arial"/>
                <w:sz w:val="20"/>
                <w:szCs w:val="20"/>
                <w:color w:val="auto"/>
              </w:rPr>
              <w:t>Granted</w:t>
            </w: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4,653</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45.83</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209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44.97</w:t>
            </w:r>
          </w:p>
        </w:tc>
        <w:tc>
          <w:tcPr>
            <w:tcW w:w="0" w:type="dxa"/>
            <w:vAlign w:val="bottom"/>
          </w:tcPr>
          <w:p>
            <w:pPr>
              <w:spacing w:after="0"/>
              <w:rPr>
                <w:sz w:val="1"/>
                <w:szCs w:val="1"/>
                <w:color w:val="auto"/>
              </w:rPr>
            </w:pPr>
          </w:p>
        </w:tc>
      </w:tr>
      <w:tr>
        <w:trPr>
          <w:trHeight w:val="289"/>
        </w:trPr>
        <w:tc>
          <w:tcPr>
            <w:tcW w:w="2220" w:type="dxa"/>
            <w:vAlign w:val="bottom"/>
            <w:shd w:val="clear" w:color="auto" w:fill="D2EDF0"/>
          </w:tcPr>
          <w:p>
            <w:pPr>
              <w:ind w:left="240"/>
              <w:spacing w:after="0"/>
              <w:rPr>
                <w:sz w:val="20"/>
                <w:szCs w:val="20"/>
                <w:color w:val="auto"/>
              </w:rPr>
            </w:pPr>
            <w:r>
              <w:rPr>
                <w:rFonts w:ascii="Arial" w:cs="Arial" w:eastAsia="Arial" w:hAnsi="Arial"/>
                <w:sz w:val="20"/>
                <w:szCs w:val="20"/>
                <w:color w:val="auto"/>
              </w:rPr>
              <w:t>Vested</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D2EDF0"/>
          </w:tcPr>
          <w:p>
            <w:pPr>
              <w:spacing w:after="0"/>
              <w:rPr>
                <w:sz w:val="24"/>
                <w:szCs w:val="24"/>
                <w:color w:val="auto"/>
              </w:rPr>
            </w:pPr>
          </w:p>
        </w:tc>
        <w:tc>
          <w:tcPr>
            <w:tcW w:w="220" w:type="dxa"/>
            <w:vAlign w:val="bottom"/>
            <w:shd w:val="clear" w:color="auto" w:fill="D2EDF0"/>
          </w:tcPr>
          <w:p>
            <w:pPr>
              <w:spacing w:after="0"/>
              <w:rPr>
                <w:sz w:val="24"/>
                <w:szCs w:val="24"/>
                <w:color w:val="auto"/>
              </w:rPr>
            </w:pPr>
          </w:p>
        </w:tc>
        <w:tc>
          <w:tcPr>
            <w:tcW w:w="8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(2,510)</w:t>
            </w:r>
          </w:p>
        </w:tc>
        <w:tc>
          <w:tcPr>
            <w:tcW w:w="10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36.47</w:t>
            </w:r>
          </w:p>
        </w:tc>
        <w:tc>
          <w:tcPr>
            <w:tcW w:w="8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D2EDF0"/>
          </w:tcPr>
          <w:p>
            <w:pPr>
              <w:spacing w:after="0"/>
              <w:rPr>
                <w:sz w:val="24"/>
                <w:szCs w:val="24"/>
                <w:color w:val="auto"/>
              </w:rPr>
            </w:pPr>
          </w:p>
        </w:tc>
        <w:tc>
          <w:tcPr>
            <w:tcW w:w="220" w:type="dxa"/>
            <w:vAlign w:val="bottom"/>
            <w:shd w:val="clear" w:color="auto" w:fill="D2EDF0"/>
          </w:tcPr>
          <w:p>
            <w:pPr>
              <w:spacing w:after="0"/>
              <w:rPr>
                <w:sz w:val="24"/>
                <w:szCs w:val="24"/>
                <w:color w:val="auto"/>
              </w:rPr>
            </w:pPr>
          </w:p>
        </w:tc>
        <w:tc>
          <w:tcPr>
            <w:tcW w:w="7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5"/>
        </w:trPr>
        <w:tc>
          <w:tcPr>
            <w:tcW w:w="2220" w:type="dxa"/>
            <w:vAlign w:val="bottom"/>
            <w:tcBorders>
              <w:bottom w:val="single" w:sz="8" w:color="D2EDF0"/>
            </w:tcBorders>
          </w:tcPr>
          <w:p>
            <w:pPr>
              <w:ind w:left="240"/>
              <w:spacing w:after="0"/>
              <w:rPr>
                <w:sz w:val="20"/>
                <w:szCs w:val="20"/>
                <w:color w:val="auto"/>
              </w:rPr>
            </w:pPr>
            <w:r>
              <w:rPr>
                <w:rFonts w:ascii="Arial" w:cs="Arial" w:eastAsia="Arial" w:hAnsi="Arial"/>
                <w:sz w:val="20"/>
                <w:szCs w:val="20"/>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D2EDF0"/>
            </w:tcBorders>
          </w:tcPr>
          <w:p>
            <w:pPr>
              <w:spacing w:after="0"/>
              <w:rPr>
                <w:sz w:val="23"/>
                <w:szCs w:val="23"/>
                <w:color w:val="auto"/>
              </w:rPr>
            </w:pPr>
          </w:p>
        </w:tc>
        <w:tc>
          <w:tcPr>
            <w:tcW w:w="220" w:type="dxa"/>
            <w:vAlign w:val="bottom"/>
            <w:tcBorders>
              <w:bottom w:val="single" w:sz="8" w:color="D2EDF0"/>
            </w:tcBorders>
          </w:tcPr>
          <w:p>
            <w:pPr>
              <w:spacing w:after="0"/>
              <w:rPr>
                <w:sz w:val="23"/>
                <w:szCs w:val="23"/>
                <w:color w:val="auto"/>
              </w:rPr>
            </w:pPr>
          </w:p>
        </w:tc>
        <w:tc>
          <w:tcPr>
            <w:tcW w:w="800" w:type="dxa"/>
            <w:vAlign w:val="bottom"/>
            <w:tcBorders>
              <w:bottom w:val="single" w:sz="8" w:color="D2EDF0"/>
            </w:tcBorders>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D2EDF0"/>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(1,030)</w:t>
            </w:r>
          </w:p>
        </w:tc>
        <w:tc>
          <w:tcPr>
            <w:tcW w:w="1080" w:type="dxa"/>
            <w:vAlign w:val="bottom"/>
            <w:tcBorders>
              <w:bottom w:val="single" w:sz="8" w:color="D2EDF0"/>
            </w:tcBorders>
            <w:gridSpan w:val="2"/>
          </w:tcPr>
          <w:p>
            <w:pPr>
              <w:jc w:val="right"/>
              <w:spacing w:after="0"/>
              <w:rPr>
                <w:sz w:val="20"/>
                <w:szCs w:val="20"/>
                <w:color w:val="auto"/>
              </w:rPr>
            </w:pPr>
            <w:r>
              <w:rPr>
                <w:rFonts w:ascii="Arial" w:cs="Arial" w:eastAsia="Arial" w:hAnsi="Arial"/>
                <w:sz w:val="20"/>
                <w:szCs w:val="20"/>
                <w:color w:val="auto"/>
              </w:rPr>
              <w:t>40.45</w:t>
            </w:r>
          </w:p>
        </w:tc>
        <w:tc>
          <w:tcPr>
            <w:tcW w:w="80" w:type="dxa"/>
            <w:vAlign w:val="bottom"/>
            <w:tcBorders>
              <w:bottom w:val="single" w:sz="8" w:color="D2EDF0"/>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80" w:type="dxa"/>
            <w:vAlign w:val="bottom"/>
            <w:tcBorders>
              <w:bottom w:val="single" w:sz="8" w:color="D2EDF0"/>
            </w:tcBorders>
          </w:tcPr>
          <w:p>
            <w:pPr>
              <w:spacing w:after="0"/>
              <w:rPr>
                <w:sz w:val="23"/>
                <w:szCs w:val="23"/>
                <w:color w:val="auto"/>
              </w:rPr>
            </w:pPr>
          </w:p>
        </w:tc>
        <w:tc>
          <w:tcPr>
            <w:tcW w:w="220" w:type="dxa"/>
            <w:vAlign w:val="bottom"/>
            <w:tcBorders>
              <w:bottom w:val="single" w:sz="8" w:color="D2EDF0"/>
            </w:tcBorders>
          </w:tcPr>
          <w:p>
            <w:pPr>
              <w:spacing w:after="0"/>
              <w:rPr>
                <w:sz w:val="23"/>
                <w:szCs w:val="23"/>
                <w:color w:val="auto"/>
              </w:rPr>
            </w:pPr>
          </w:p>
        </w:tc>
        <w:tc>
          <w:tcPr>
            <w:tcW w:w="780" w:type="dxa"/>
            <w:vAlign w:val="bottom"/>
            <w:tcBorders>
              <w:bottom w:val="single" w:sz="8" w:color="D2EDF0"/>
            </w:tcBorders>
          </w:tcPr>
          <w:p>
            <w:pPr>
              <w:jc w:val="right"/>
              <w:spacing w:after="0"/>
              <w:rPr>
                <w:sz w:val="20"/>
                <w:szCs w:val="20"/>
                <w:color w:val="auto"/>
              </w:rPr>
            </w:pPr>
            <w:r>
              <w:rPr>
                <w:rFonts w:ascii="Arial" w:cs="Arial" w:eastAsia="Arial" w:hAnsi="Arial"/>
                <w:sz w:val="20"/>
                <w:szCs w:val="20"/>
                <w:color w:val="auto"/>
              </w:rPr>
              <w:t>44.97</w:t>
            </w:r>
          </w:p>
        </w:tc>
        <w:tc>
          <w:tcPr>
            <w:tcW w:w="0" w:type="dxa"/>
            <w:vAlign w:val="bottom"/>
          </w:tcPr>
          <w:p>
            <w:pPr>
              <w:spacing w:after="0"/>
              <w:rPr>
                <w:sz w:val="1"/>
                <w:szCs w:val="1"/>
                <w:color w:val="auto"/>
              </w:rPr>
            </w:pPr>
          </w:p>
        </w:tc>
      </w:tr>
      <w:tr>
        <w:trPr>
          <w:trHeight w:val="198"/>
        </w:trPr>
        <w:tc>
          <w:tcPr>
            <w:tcW w:w="2220" w:type="dxa"/>
            <w:vAlign w:val="bottom"/>
            <w:shd w:val="clear" w:color="auto" w:fill="D2EDF0"/>
          </w:tcPr>
          <w:p>
            <w:pPr>
              <w:ind w:left="120"/>
              <w:spacing w:after="0" w:line="198" w:lineRule="exact"/>
              <w:rPr>
                <w:sz w:val="20"/>
                <w:szCs w:val="20"/>
                <w:color w:val="auto"/>
              </w:rPr>
            </w:pPr>
            <w:r>
              <w:rPr>
                <w:rFonts w:ascii="Arial" w:cs="Arial" w:eastAsia="Arial" w:hAnsi="Arial"/>
                <w:sz w:val="20"/>
                <w:szCs w:val="20"/>
                <w:color w:val="auto"/>
              </w:rPr>
              <w:t>Unvested balance at</w:t>
            </w:r>
          </w:p>
        </w:tc>
        <w:tc>
          <w:tcPr>
            <w:tcW w:w="1000" w:type="dxa"/>
            <w:vAlign w:val="bottom"/>
            <w:vMerge w:val="restart"/>
            <w:shd w:val="clear" w:color="auto" w:fill="D2EDF0"/>
          </w:tcPr>
          <w:p>
            <w:pPr>
              <w:jc w:val="right"/>
              <w:ind w:right="2"/>
              <w:spacing w:after="0"/>
              <w:rPr>
                <w:sz w:val="20"/>
                <w:szCs w:val="20"/>
                <w:color w:val="auto"/>
              </w:rPr>
            </w:pPr>
            <w:r>
              <w:rPr>
                <w:rFonts w:ascii="Arial" w:cs="Arial" w:eastAsia="Arial" w:hAnsi="Arial"/>
                <w:sz w:val="20"/>
                <w:szCs w:val="20"/>
                <w:color w:val="auto"/>
              </w:rPr>
              <w:t>—</w:t>
            </w:r>
          </w:p>
        </w:tc>
        <w:tc>
          <w:tcPr>
            <w:tcW w:w="100" w:type="dxa"/>
            <w:vAlign w:val="bottom"/>
            <w:shd w:val="clear" w:color="auto" w:fill="D2EDF0"/>
          </w:tcPr>
          <w:p>
            <w:pPr>
              <w:spacing w:after="0"/>
              <w:rPr>
                <w:sz w:val="17"/>
                <w:szCs w:val="17"/>
                <w:color w:val="auto"/>
              </w:rPr>
            </w:pPr>
          </w:p>
        </w:tc>
        <w:tc>
          <w:tcPr>
            <w:tcW w:w="220" w:type="dxa"/>
            <w:vAlign w:val="bottom"/>
            <w:shd w:val="clear" w:color="auto" w:fill="D2EDF0"/>
          </w:tcPr>
          <w:p>
            <w:pPr>
              <w:spacing w:after="0"/>
              <w:rPr>
                <w:sz w:val="17"/>
                <w:szCs w:val="17"/>
                <w:color w:val="auto"/>
              </w:rPr>
            </w:pPr>
          </w:p>
        </w:tc>
        <w:tc>
          <w:tcPr>
            <w:tcW w:w="8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vMerge w:val="restart"/>
            <w:shd w:val="clear" w:color="auto" w:fill="D2EDF0"/>
          </w:tcPr>
          <w:p>
            <w:pPr>
              <w:jc w:val="right"/>
              <w:ind w:right="5"/>
              <w:spacing w:after="0"/>
              <w:rPr>
                <w:sz w:val="20"/>
                <w:szCs w:val="20"/>
                <w:color w:val="auto"/>
              </w:rPr>
            </w:pPr>
            <w:r>
              <w:rPr>
                <w:rFonts w:ascii="Arial" w:cs="Arial" w:eastAsia="Arial" w:hAnsi="Arial"/>
                <w:sz w:val="20"/>
                <w:szCs w:val="20"/>
                <w:color w:val="auto"/>
              </w:rPr>
              <w:t>6,894</w:t>
            </w:r>
          </w:p>
        </w:tc>
        <w:tc>
          <w:tcPr>
            <w:tcW w:w="1080" w:type="dxa"/>
            <w:vAlign w:val="bottom"/>
            <w:gridSpan w:val="2"/>
            <w:vMerge w:val="restart"/>
            <w:shd w:val="clear" w:color="auto" w:fill="D2EDF0"/>
          </w:tcPr>
          <w:p>
            <w:pPr>
              <w:jc w:val="right"/>
              <w:spacing w:after="0"/>
              <w:rPr>
                <w:sz w:val="20"/>
                <w:szCs w:val="20"/>
                <w:color w:val="auto"/>
              </w:rPr>
            </w:pPr>
            <w:r>
              <w:rPr>
                <w:rFonts w:ascii="Arial" w:cs="Arial" w:eastAsia="Arial" w:hAnsi="Arial"/>
                <w:sz w:val="20"/>
                <w:szCs w:val="20"/>
                <w:color w:val="auto"/>
              </w:rPr>
              <w:t>43.26</w:t>
            </w:r>
          </w:p>
        </w:tc>
        <w:tc>
          <w:tcPr>
            <w:tcW w:w="1080" w:type="dxa"/>
            <w:vAlign w:val="bottom"/>
            <w:gridSpan w:val="2"/>
            <w:vMerge w:val="restart"/>
            <w:shd w:val="clear" w:color="auto" w:fill="D2EDF0"/>
          </w:tcPr>
          <w:p>
            <w:pPr>
              <w:jc w:val="right"/>
              <w:ind w:right="2"/>
              <w:spacing w:after="0"/>
              <w:rPr>
                <w:sz w:val="20"/>
                <w:szCs w:val="20"/>
                <w:color w:val="auto"/>
              </w:rPr>
            </w:pPr>
            <w:r>
              <w:rPr>
                <w:rFonts w:ascii="Arial" w:cs="Arial" w:eastAsia="Arial" w:hAnsi="Arial"/>
                <w:sz w:val="20"/>
                <w:szCs w:val="20"/>
                <w:color w:val="auto"/>
              </w:rPr>
              <w:t>196</w:t>
            </w:r>
          </w:p>
        </w:tc>
        <w:tc>
          <w:tcPr>
            <w:tcW w:w="80" w:type="dxa"/>
            <w:vAlign w:val="bottom"/>
            <w:shd w:val="clear" w:color="auto" w:fill="D2EDF0"/>
          </w:tcPr>
          <w:p>
            <w:pPr>
              <w:spacing w:after="0"/>
              <w:rPr>
                <w:sz w:val="17"/>
                <w:szCs w:val="17"/>
                <w:color w:val="auto"/>
              </w:rPr>
            </w:pPr>
          </w:p>
        </w:tc>
        <w:tc>
          <w:tcPr>
            <w:tcW w:w="220" w:type="dxa"/>
            <w:vAlign w:val="bottom"/>
            <w:shd w:val="clear" w:color="auto" w:fill="D2EDF0"/>
          </w:tcPr>
          <w:p>
            <w:pPr>
              <w:spacing w:after="0"/>
              <w:rPr>
                <w:sz w:val="17"/>
                <w:szCs w:val="17"/>
                <w:color w:val="auto"/>
              </w:rPr>
            </w:pPr>
          </w:p>
        </w:tc>
        <w:tc>
          <w:tcPr>
            <w:tcW w:w="78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44.97</w:t>
            </w:r>
          </w:p>
        </w:tc>
        <w:tc>
          <w:tcPr>
            <w:tcW w:w="0" w:type="dxa"/>
            <w:vAlign w:val="bottom"/>
          </w:tcPr>
          <w:p>
            <w:pPr>
              <w:spacing w:after="0"/>
              <w:rPr>
                <w:sz w:val="1"/>
                <w:szCs w:val="1"/>
                <w:color w:val="auto"/>
              </w:rPr>
            </w:pPr>
          </w:p>
        </w:tc>
      </w:tr>
      <w:tr>
        <w:trPr>
          <w:trHeight w:val="262"/>
        </w:trPr>
        <w:tc>
          <w:tcPr>
            <w:tcW w:w="2220" w:type="dxa"/>
            <w:vAlign w:val="bottom"/>
            <w:shd w:val="clear" w:color="auto" w:fill="D2EDF0"/>
          </w:tcPr>
          <w:p>
            <w:pPr>
              <w:ind w:left="120"/>
              <w:spacing w:after="0"/>
              <w:rPr>
                <w:sz w:val="20"/>
                <w:szCs w:val="20"/>
                <w:color w:val="auto"/>
              </w:rPr>
            </w:pPr>
            <w:r>
              <w:rPr>
                <w:rFonts w:ascii="Arial" w:cs="Arial" w:eastAsia="Arial" w:hAnsi="Arial"/>
                <w:sz w:val="20"/>
                <w:szCs w:val="20"/>
                <w:color w:val="auto"/>
              </w:rPr>
              <w:t>December 31, 2022</w:t>
            </w:r>
          </w:p>
        </w:tc>
        <w:tc>
          <w:tcPr>
            <w:tcW w:w="1000" w:type="dxa"/>
            <w:vAlign w:val="bottom"/>
            <w:vMerge w:val="continue"/>
            <w:shd w:val="clear" w:color="auto" w:fill="D2EDF0"/>
          </w:tcPr>
          <w:p>
            <w:pPr>
              <w:spacing w:after="0"/>
              <w:rPr>
                <w:sz w:val="22"/>
                <w:szCs w:val="22"/>
                <w:color w:val="auto"/>
              </w:rPr>
            </w:pPr>
          </w:p>
        </w:tc>
        <w:tc>
          <w:tcPr>
            <w:tcW w:w="100" w:type="dxa"/>
            <w:vAlign w:val="bottom"/>
            <w:shd w:val="clear" w:color="auto" w:fill="D2EDF0"/>
          </w:tcPr>
          <w:p>
            <w:pPr>
              <w:spacing w:after="0"/>
              <w:rPr>
                <w:sz w:val="22"/>
                <w:szCs w:val="22"/>
                <w:color w:val="auto"/>
              </w:rPr>
            </w:pPr>
          </w:p>
        </w:tc>
        <w:tc>
          <w:tcPr>
            <w:tcW w:w="220" w:type="dxa"/>
            <w:vAlign w:val="bottom"/>
            <w:shd w:val="clear" w:color="auto" w:fill="D2EDF0"/>
          </w:tcPr>
          <w:p>
            <w:pPr>
              <w:spacing w:after="0"/>
              <w:rPr>
                <w:sz w:val="22"/>
                <w:szCs w:val="22"/>
                <w:color w:val="auto"/>
              </w:rPr>
            </w:pPr>
          </w:p>
        </w:tc>
        <w:tc>
          <w:tcPr>
            <w:tcW w:w="800" w:type="dxa"/>
            <w:vAlign w:val="bottom"/>
            <w:vMerge w:val="continue"/>
            <w:shd w:val="clear" w:color="auto" w:fill="D2EDF0"/>
          </w:tcPr>
          <w:p>
            <w:pPr>
              <w:spacing w:after="0"/>
              <w:rPr>
                <w:sz w:val="22"/>
                <w:szCs w:val="22"/>
                <w:color w:val="auto"/>
              </w:rPr>
            </w:pPr>
          </w:p>
        </w:tc>
        <w:tc>
          <w:tcPr>
            <w:tcW w:w="1100" w:type="dxa"/>
            <w:vAlign w:val="bottom"/>
            <w:gridSpan w:val="2"/>
            <w:vMerge w:val="continue"/>
            <w:shd w:val="clear" w:color="auto" w:fill="D2EDF0"/>
          </w:tcPr>
          <w:p>
            <w:pPr>
              <w:spacing w:after="0"/>
              <w:rPr>
                <w:sz w:val="22"/>
                <w:szCs w:val="22"/>
                <w:color w:val="auto"/>
              </w:rPr>
            </w:pPr>
          </w:p>
        </w:tc>
        <w:tc>
          <w:tcPr>
            <w:tcW w:w="1080" w:type="dxa"/>
            <w:vAlign w:val="bottom"/>
            <w:gridSpan w:val="2"/>
            <w:vMerge w:val="continue"/>
            <w:shd w:val="clear" w:color="auto" w:fill="D2EDF0"/>
          </w:tcPr>
          <w:p>
            <w:pPr>
              <w:spacing w:after="0"/>
              <w:rPr>
                <w:sz w:val="22"/>
                <w:szCs w:val="22"/>
                <w:color w:val="auto"/>
              </w:rPr>
            </w:pPr>
          </w:p>
        </w:tc>
        <w:tc>
          <w:tcPr>
            <w:tcW w:w="1080" w:type="dxa"/>
            <w:vAlign w:val="bottom"/>
            <w:gridSpan w:val="2"/>
            <w:vMerge w:val="continue"/>
            <w:shd w:val="clear" w:color="auto" w:fill="D2EDF0"/>
          </w:tcPr>
          <w:p>
            <w:pPr>
              <w:spacing w:after="0"/>
              <w:rPr>
                <w:sz w:val="22"/>
                <w:szCs w:val="22"/>
                <w:color w:val="auto"/>
              </w:rPr>
            </w:pPr>
          </w:p>
        </w:tc>
        <w:tc>
          <w:tcPr>
            <w:tcW w:w="80" w:type="dxa"/>
            <w:vAlign w:val="bottom"/>
            <w:shd w:val="clear" w:color="auto" w:fill="D2EDF0"/>
          </w:tcPr>
          <w:p>
            <w:pPr>
              <w:spacing w:after="0"/>
              <w:rPr>
                <w:sz w:val="22"/>
                <w:szCs w:val="22"/>
                <w:color w:val="auto"/>
              </w:rPr>
            </w:pPr>
          </w:p>
        </w:tc>
        <w:tc>
          <w:tcPr>
            <w:tcW w:w="220" w:type="dxa"/>
            <w:vAlign w:val="bottom"/>
            <w:shd w:val="clear" w:color="auto" w:fill="D2EDF0"/>
          </w:tcPr>
          <w:p>
            <w:pPr>
              <w:spacing w:after="0"/>
              <w:rPr>
                <w:sz w:val="22"/>
                <w:szCs w:val="22"/>
                <w:color w:val="auto"/>
              </w:rPr>
            </w:pPr>
          </w:p>
        </w:tc>
        <w:tc>
          <w:tcPr>
            <w:tcW w:w="780" w:type="dxa"/>
            <w:vAlign w:val="bottom"/>
            <w:vMerge w:val="continue"/>
            <w:shd w:val="clear" w:color="auto" w:fill="D2EDF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D2EDF0"/>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EDF0"/>
            </w:tcBorders>
          </w:tcPr>
          <w:p>
            <w:pPr>
              <w:spacing w:after="0" w:line="20" w:lineRule="exact"/>
              <w:rPr>
                <w:sz w:val="1"/>
                <w:szCs w:val="1"/>
                <w:color w:val="auto"/>
              </w:rPr>
            </w:pPr>
          </w:p>
        </w:tc>
        <w:tc>
          <w:tcPr>
            <w:tcW w:w="220" w:type="dxa"/>
            <w:vAlign w:val="bottom"/>
            <w:tcBorders>
              <w:top w:val="single" w:sz="8" w:color="D2EDF0"/>
            </w:tcBorders>
          </w:tcPr>
          <w:p>
            <w:pPr>
              <w:spacing w:after="0" w:line="20" w:lineRule="exact"/>
              <w:rPr>
                <w:sz w:val="1"/>
                <w:szCs w:val="1"/>
                <w:color w:val="auto"/>
              </w:rPr>
            </w:pPr>
          </w:p>
        </w:tc>
        <w:tc>
          <w:tcPr>
            <w:tcW w:w="800" w:type="dxa"/>
            <w:vAlign w:val="bottom"/>
            <w:tcBorders>
              <w:top w:val="single" w:sz="8" w:color="D2EDF0"/>
            </w:tcBorders>
          </w:tcPr>
          <w:p>
            <w:pPr>
              <w:spacing w:after="0" w:line="20" w:lineRule="exact"/>
              <w:rPr>
                <w:sz w:val="1"/>
                <w:szCs w:val="1"/>
                <w:color w:val="auto"/>
              </w:rPr>
            </w:pPr>
          </w:p>
        </w:tc>
        <w:tc>
          <w:tcPr>
            <w:tcW w:w="100" w:type="dxa"/>
            <w:vAlign w:val="bottom"/>
            <w:tcBorders>
              <w:top w:val="single" w:sz="8" w:color="D2EDF0"/>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1000" w:type="dxa"/>
            <w:vAlign w:val="bottom"/>
            <w:tcBorders>
              <w:top w:val="single" w:sz="8" w:color="D2EDF0"/>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220" w:type="dxa"/>
            <w:vAlign w:val="bottom"/>
            <w:tcBorders>
              <w:top w:val="single" w:sz="8" w:color="D2EDF0"/>
            </w:tcBorders>
          </w:tcPr>
          <w:p>
            <w:pPr>
              <w:spacing w:after="0" w:line="20" w:lineRule="exact"/>
              <w:rPr>
                <w:sz w:val="1"/>
                <w:szCs w:val="1"/>
                <w:color w:val="auto"/>
              </w:rPr>
            </w:pPr>
          </w:p>
        </w:tc>
        <w:tc>
          <w:tcPr>
            <w:tcW w:w="780" w:type="dxa"/>
            <w:vAlign w:val="bottom"/>
            <w:tcBorders>
              <w:top w:val="single" w:sz="8" w:color="D2EDF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-37465</wp:posOffset>
            </wp:positionV>
            <wp:extent cx="63817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8175" cy="3810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-37465</wp:posOffset>
            </wp:positionV>
            <wp:extent cx="63817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8175" cy="3810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-37465</wp:posOffset>
            </wp:positionV>
            <wp:extent cx="63817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8175" cy="38100"/>
                    </a:xfrm>
                    <a:prstGeom prst="rect">
                      <a:avLst/>
                    </a:prstGeom>
                    <a:noFill/>
                  </pic:spPr>
                </pic:pic>
              </a:graphicData>
            </a:graphic>
          </wp:anchor>
        </w:drawing>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107</w:t>
      </w:r>
    </w:p>
    <w:p>
      <w:pPr>
        <w:sectPr>
          <w:pgSz w:w="11880" w:h="15480" w:orient="portrait"/>
          <w:cols w:equalWidth="0" w:num="1">
            <w:col w:w="9000"/>
          </w:cols>
          <w:pgMar w:left="1440" w:top="1204" w:right="1440" w:bottom="0" w:gutter="0" w:footer="0" w:header="0"/>
          <w:type w:val="continuous"/>
        </w:sectPr>
      </w:pPr>
    </w:p>
    <w:bookmarkStart w:id="199" w:name="page200"/>
    <w:bookmarkEnd w:id="199"/>
    <w:p>
      <w:pPr>
        <w:ind w:left="360"/>
        <w:spacing w:after="0"/>
        <w:rPr>
          <w:sz w:val="20"/>
          <w:szCs w:val="20"/>
          <w:color w:val="auto"/>
        </w:rPr>
      </w:pPr>
      <w:r>
        <w:rPr>
          <w:rFonts w:ascii="Arial" w:cs="Arial" w:eastAsia="Arial" w:hAnsi="Arial"/>
          <w:sz w:val="20"/>
          <w:szCs w:val="20"/>
          <w:b w:val="1"/>
          <w:bCs w:val="1"/>
          <w:i w:val="1"/>
          <w:iCs w:val="1"/>
          <w:color w:val="auto"/>
        </w:rPr>
        <w:t>Stock Options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summary of our stock option activity is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3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(in thousands, except for</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vMerge w:val="restart"/>
          </w:tcPr>
          <w:p>
            <w:pPr>
              <w:jc w:val="center"/>
              <w:ind w:right="82"/>
              <w:spacing w:after="0"/>
              <w:rPr>
                <w:sz w:val="20"/>
                <w:szCs w:val="20"/>
                <w:color w:val="auto"/>
              </w:rPr>
            </w:pPr>
            <w:r>
              <w:rPr>
                <w:rFonts w:ascii="Arial" w:cs="Arial" w:eastAsia="Arial" w:hAnsi="Arial"/>
                <w:sz w:val="18"/>
                <w:szCs w:val="18"/>
                <w:b w:val="1"/>
                <w:bCs w:val="1"/>
                <w:color w:val="auto"/>
                <w:w w:val="98"/>
              </w:rPr>
              <w:t>Weighted</w:t>
            </w:r>
          </w:p>
        </w:tc>
        <w:tc>
          <w:tcPr>
            <w:tcW w:w="120" w:type="dxa"/>
            <w:vAlign w:val="bottom"/>
          </w:tcPr>
          <w:p>
            <w:pPr>
              <w:spacing w:after="0"/>
              <w:rPr>
                <w:sz w:val="15"/>
                <w:szCs w:val="15"/>
                <w:color w:val="auto"/>
              </w:rPr>
            </w:pPr>
          </w:p>
        </w:tc>
        <w:tc>
          <w:tcPr>
            <w:tcW w:w="138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8"/>
              </w:rPr>
              <w:t>Average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80" w:type="dxa"/>
            <w:vAlign w:val="bottom"/>
            <w:vMerge w:val="continue"/>
          </w:tcPr>
          <w:p>
            <w:pPr>
              <w:spacing w:after="0"/>
              <w:rPr>
                <w:sz w:val="15"/>
                <w:szCs w:val="15"/>
                <w:color w:val="auto"/>
              </w:rPr>
            </w:pPr>
          </w:p>
        </w:tc>
        <w:tc>
          <w:tcPr>
            <w:tcW w:w="1680" w:type="dxa"/>
            <w:vAlign w:val="bottom"/>
            <w:vMerge w:val="restart"/>
          </w:tcPr>
          <w:p>
            <w:pPr>
              <w:jc w:val="right"/>
              <w:ind w:right="401"/>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Remaining</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vMerge w:val="restart"/>
          </w:tcPr>
          <w:p>
            <w:pPr>
              <w:jc w:val="right"/>
              <w:ind w:right="242"/>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80"/>
        </w:trPr>
        <w:tc>
          <w:tcPr>
            <w:tcW w:w="2380" w:type="dxa"/>
            <w:vAlign w:val="bottom"/>
          </w:tcPr>
          <w:p>
            <w:pPr>
              <w:ind w:left="60"/>
              <w:spacing w:after="0" w:line="180" w:lineRule="exact"/>
              <w:rPr>
                <w:sz w:val="20"/>
                <w:szCs w:val="20"/>
                <w:color w:val="auto"/>
              </w:rPr>
            </w:pPr>
            <w:r>
              <w:rPr>
                <w:rFonts w:ascii="Arial" w:cs="Arial" w:eastAsia="Arial" w:hAnsi="Arial"/>
                <w:sz w:val="18"/>
                <w:szCs w:val="18"/>
                <w:b w:val="1"/>
                <w:bCs w:val="1"/>
                <w:color w:val="auto"/>
              </w:rPr>
              <w:t>per share data and</w:t>
            </w:r>
          </w:p>
        </w:tc>
        <w:tc>
          <w:tcPr>
            <w:tcW w:w="1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center"/>
              <w:ind w:right="82"/>
              <w:spacing w:after="0" w:line="180"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5"/>
                <w:szCs w:val="15"/>
                <w:color w:val="auto"/>
              </w:rPr>
            </w:pPr>
          </w:p>
        </w:tc>
        <w:tc>
          <w:tcPr>
            <w:tcW w:w="138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Contractual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8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years)</w:t>
            </w:r>
          </w:p>
        </w:tc>
        <w:tc>
          <w:tcPr>
            <w:tcW w:w="1680" w:type="dxa"/>
            <w:vAlign w:val="bottom"/>
            <w:tcBorders>
              <w:bottom w:val="single" w:sz="8" w:color="auto"/>
            </w:tcBorders>
          </w:tcPr>
          <w:p>
            <w:pPr>
              <w:jc w:val="right"/>
              <w:ind w:right="341"/>
              <w:spacing w:after="0"/>
              <w:rPr>
                <w:sz w:val="20"/>
                <w:szCs w:val="20"/>
                <w:color w:val="auto"/>
              </w:rPr>
            </w:pPr>
            <w:r>
              <w:rPr>
                <w:rFonts w:ascii="Arial" w:cs="Arial" w:eastAsia="Arial" w:hAnsi="Arial"/>
                <w:sz w:val="18"/>
                <w:szCs w:val="18"/>
                <w:b w:val="1"/>
                <w:bCs w:val="1"/>
                <w:color w:val="auto"/>
              </w:rPr>
              <w:t>of Shares</w:t>
            </w:r>
          </w:p>
        </w:tc>
        <w:tc>
          <w:tcPr>
            <w:tcW w:w="120" w:type="dxa"/>
            <w:vAlign w:val="bottom"/>
            <w:tcBorders>
              <w:bottom w:val="single" w:sz="8" w:color="D2EDF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82"/>
              <w:spacing w:after="0"/>
              <w:rPr>
                <w:sz w:val="20"/>
                <w:szCs w:val="20"/>
                <w:color w:val="auto"/>
              </w:rPr>
            </w:pPr>
            <w:r>
              <w:rPr>
                <w:rFonts w:ascii="Arial" w:cs="Arial" w:eastAsia="Arial" w:hAnsi="Arial"/>
                <w:sz w:val="18"/>
                <w:szCs w:val="18"/>
                <w:b w:val="1"/>
                <w:bCs w:val="1"/>
                <w:color w:val="auto"/>
              </w:rPr>
              <w:t>Exercise Price</w:t>
            </w:r>
          </w:p>
        </w:tc>
        <w:tc>
          <w:tcPr>
            <w:tcW w:w="120" w:type="dxa"/>
            <w:vAlign w:val="bottom"/>
            <w:tcBorders>
              <w:bottom w:val="single" w:sz="8" w:color="D2EDF0"/>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Term (in years)</w:t>
            </w:r>
          </w:p>
        </w:tc>
        <w:tc>
          <w:tcPr>
            <w:tcW w:w="80" w:type="dxa"/>
            <w:vAlign w:val="bottom"/>
            <w:tcBorders>
              <w:bottom w:val="single" w:sz="8" w:color="D2EDF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b w:val="1"/>
                <w:bCs w:val="1"/>
                <w:color w:val="auto"/>
                <w:w w:val="99"/>
              </w:rPr>
              <w:t>Intrinsic Value</w:t>
            </w:r>
          </w:p>
        </w:tc>
        <w:tc>
          <w:tcPr>
            <w:tcW w:w="0" w:type="dxa"/>
            <w:vAlign w:val="bottom"/>
          </w:tcPr>
          <w:p>
            <w:pPr>
              <w:spacing w:after="0"/>
              <w:rPr>
                <w:sz w:val="1"/>
                <w:szCs w:val="1"/>
                <w:color w:val="auto"/>
              </w:rPr>
            </w:pPr>
          </w:p>
        </w:tc>
      </w:tr>
      <w:tr>
        <w:trPr>
          <w:trHeight w:val="198"/>
        </w:trPr>
        <w:tc>
          <w:tcPr>
            <w:tcW w:w="2380" w:type="dxa"/>
            <w:vAlign w:val="bottom"/>
            <w:shd w:val="clear" w:color="auto" w:fill="D2EDF0"/>
          </w:tcPr>
          <w:p>
            <w:pPr>
              <w:ind w:left="240"/>
              <w:spacing w:after="0" w:line="198" w:lineRule="exact"/>
              <w:rPr>
                <w:sz w:val="20"/>
                <w:szCs w:val="20"/>
                <w:color w:val="auto"/>
              </w:rPr>
            </w:pPr>
            <w:r>
              <w:rPr>
                <w:rFonts w:ascii="Arial" w:cs="Arial" w:eastAsia="Arial" w:hAnsi="Arial"/>
                <w:sz w:val="20"/>
                <w:szCs w:val="20"/>
                <w:color w:val="auto"/>
              </w:rPr>
              <w:t>Outstanding at</w:t>
            </w:r>
          </w:p>
        </w:tc>
        <w:tc>
          <w:tcPr>
            <w:tcW w:w="1680" w:type="dxa"/>
            <w:vAlign w:val="bottom"/>
            <w:vMerge w:val="restart"/>
            <w:shd w:val="clear" w:color="auto" w:fill="D2EDF0"/>
          </w:tcPr>
          <w:p>
            <w:pPr>
              <w:jc w:val="right"/>
              <w:ind w:right="1"/>
              <w:spacing w:after="0"/>
              <w:rPr>
                <w:sz w:val="20"/>
                <w:szCs w:val="20"/>
                <w:color w:val="auto"/>
              </w:rPr>
            </w:pPr>
            <w:r>
              <w:rPr>
                <w:rFonts w:ascii="Arial" w:cs="Arial" w:eastAsia="Arial" w:hAnsi="Arial"/>
                <w:sz w:val="20"/>
                <w:szCs w:val="20"/>
                <w:color w:val="auto"/>
              </w:rPr>
              <w:t>12,939</w:t>
            </w:r>
          </w:p>
        </w:tc>
        <w:tc>
          <w:tcPr>
            <w:tcW w:w="300" w:type="dxa"/>
            <w:vAlign w:val="bottom"/>
            <w:gridSpan w:val="2"/>
            <w:vMerge w:val="restart"/>
            <w:shd w:val="clear" w:color="auto" w:fill="D2EDF0"/>
          </w:tcPr>
          <w:p>
            <w:pPr>
              <w:jc w:val="right"/>
              <w:ind w:right="20"/>
              <w:spacing w:after="0"/>
              <w:rPr>
                <w:sz w:val="20"/>
                <w:szCs w:val="20"/>
                <w:color w:val="auto"/>
              </w:rPr>
            </w:pPr>
            <w:r>
              <w:rPr>
                <w:rFonts w:ascii="Arial" w:cs="Arial" w:eastAsia="Arial" w:hAnsi="Arial"/>
                <w:sz w:val="20"/>
                <w:szCs w:val="20"/>
                <w:color w:val="auto"/>
              </w:rPr>
              <w:t>$</w:t>
            </w:r>
          </w:p>
        </w:tc>
        <w:tc>
          <w:tcPr>
            <w:tcW w:w="15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8.38</w:t>
            </w:r>
          </w:p>
        </w:tc>
        <w:tc>
          <w:tcPr>
            <w:tcW w:w="1500" w:type="dxa"/>
            <w:vAlign w:val="bottom"/>
            <w:gridSpan w:val="2"/>
            <w:vMerge w:val="restart"/>
            <w:shd w:val="clear" w:color="auto" w:fill="D2EDF0"/>
          </w:tcPr>
          <w:p>
            <w:pPr>
              <w:jc w:val="center"/>
              <w:spacing w:after="0"/>
              <w:rPr>
                <w:sz w:val="20"/>
                <w:szCs w:val="20"/>
                <w:color w:val="auto"/>
              </w:rPr>
            </w:pPr>
            <w:r>
              <w:rPr>
                <w:rFonts w:ascii="Arial" w:cs="Arial" w:eastAsia="Arial" w:hAnsi="Arial"/>
                <w:sz w:val="20"/>
                <w:szCs w:val="20"/>
                <w:color w:val="auto"/>
              </w:rPr>
              <w:t>7.1</w:t>
            </w:r>
          </w:p>
        </w:tc>
        <w:tc>
          <w:tcPr>
            <w:tcW w:w="240" w:type="dxa"/>
            <w:vAlign w:val="bottom"/>
            <w:gridSpan w:val="2"/>
            <w:vMerge w:val="restart"/>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4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201,608</w:t>
            </w:r>
          </w:p>
        </w:tc>
        <w:tc>
          <w:tcPr>
            <w:tcW w:w="0" w:type="dxa"/>
            <w:vAlign w:val="bottom"/>
          </w:tcPr>
          <w:p>
            <w:pPr>
              <w:spacing w:after="0"/>
              <w:rPr>
                <w:sz w:val="1"/>
                <w:szCs w:val="1"/>
                <w:color w:val="auto"/>
              </w:rPr>
            </w:pPr>
          </w:p>
        </w:tc>
      </w:tr>
      <w:tr>
        <w:trPr>
          <w:trHeight w:val="272"/>
        </w:trPr>
        <w:tc>
          <w:tcPr>
            <w:tcW w:w="2380" w:type="dxa"/>
            <w:vAlign w:val="bottom"/>
            <w:shd w:val="clear" w:color="auto" w:fill="D2EDF0"/>
          </w:tcPr>
          <w:p>
            <w:pPr>
              <w:ind w:left="240"/>
              <w:spacing w:after="0"/>
              <w:rPr>
                <w:sz w:val="20"/>
                <w:szCs w:val="20"/>
                <w:color w:val="auto"/>
              </w:rPr>
            </w:pPr>
            <w:r>
              <w:rPr>
                <w:rFonts w:ascii="Arial" w:cs="Arial" w:eastAsia="Arial" w:hAnsi="Arial"/>
                <w:sz w:val="20"/>
                <w:szCs w:val="20"/>
                <w:color w:val="auto"/>
              </w:rPr>
              <w:t>December 31, 2019</w:t>
            </w:r>
          </w:p>
        </w:tc>
        <w:tc>
          <w:tcPr>
            <w:tcW w:w="1680" w:type="dxa"/>
            <w:vAlign w:val="bottom"/>
            <w:vMerge w:val="continue"/>
            <w:shd w:val="clear" w:color="auto" w:fill="D2EDF0"/>
          </w:tcPr>
          <w:p>
            <w:pPr>
              <w:spacing w:after="0"/>
              <w:rPr>
                <w:sz w:val="23"/>
                <w:szCs w:val="23"/>
                <w:color w:val="auto"/>
              </w:rPr>
            </w:pPr>
          </w:p>
        </w:tc>
        <w:tc>
          <w:tcPr>
            <w:tcW w:w="300" w:type="dxa"/>
            <w:vAlign w:val="bottom"/>
            <w:gridSpan w:val="2"/>
            <w:vMerge w:val="continue"/>
            <w:shd w:val="clear" w:color="auto" w:fill="D2EDF0"/>
          </w:tcPr>
          <w:p>
            <w:pPr>
              <w:spacing w:after="0"/>
              <w:rPr>
                <w:sz w:val="23"/>
                <w:szCs w:val="23"/>
                <w:color w:val="auto"/>
              </w:rPr>
            </w:pPr>
          </w:p>
        </w:tc>
        <w:tc>
          <w:tcPr>
            <w:tcW w:w="1500" w:type="dxa"/>
            <w:vAlign w:val="bottom"/>
            <w:vMerge w:val="continue"/>
            <w:shd w:val="clear" w:color="auto" w:fill="D2EDF0"/>
          </w:tcPr>
          <w:p>
            <w:pPr>
              <w:spacing w:after="0"/>
              <w:rPr>
                <w:sz w:val="23"/>
                <w:szCs w:val="23"/>
                <w:color w:val="auto"/>
              </w:rPr>
            </w:pPr>
          </w:p>
        </w:tc>
        <w:tc>
          <w:tcPr>
            <w:tcW w:w="1500" w:type="dxa"/>
            <w:vAlign w:val="bottom"/>
            <w:gridSpan w:val="2"/>
            <w:vMerge w:val="continue"/>
            <w:shd w:val="clear" w:color="auto" w:fill="D2EDF0"/>
          </w:tcPr>
          <w:p>
            <w:pPr>
              <w:spacing w:after="0"/>
              <w:rPr>
                <w:sz w:val="23"/>
                <w:szCs w:val="23"/>
                <w:color w:val="auto"/>
              </w:rPr>
            </w:pPr>
          </w:p>
        </w:tc>
        <w:tc>
          <w:tcPr>
            <w:tcW w:w="240" w:type="dxa"/>
            <w:vAlign w:val="bottom"/>
            <w:gridSpan w:val="2"/>
            <w:vMerge w:val="continue"/>
            <w:shd w:val="clear" w:color="auto" w:fill="D2EDF0"/>
          </w:tcPr>
          <w:p>
            <w:pPr>
              <w:spacing w:after="0"/>
              <w:rPr>
                <w:sz w:val="23"/>
                <w:szCs w:val="23"/>
                <w:color w:val="auto"/>
              </w:rPr>
            </w:pPr>
          </w:p>
        </w:tc>
        <w:tc>
          <w:tcPr>
            <w:tcW w:w="1400" w:type="dxa"/>
            <w:vAlign w:val="bottom"/>
            <w:vMerge w:val="continue"/>
            <w:shd w:val="clear" w:color="auto" w:fill="D2EDF0"/>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2380" w:type="dxa"/>
            <w:vAlign w:val="bottom"/>
          </w:tcPr>
          <w:p>
            <w:pPr>
              <w:ind w:left="240"/>
              <w:spacing w:after="0"/>
              <w:rPr>
                <w:sz w:val="20"/>
                <w:szCs w:val="20"/>
                <w:color w:val="auto"/>
              </w:rPr>
            </w:pPr>
            <w:r>
              <w:rPr>
                <w:rFonts w:ascii="Arial" w:cs="Arial" w:eastAsia="Arial" w:hAnsi="Arial"/>
                <w:sz w:val="20"/>
                <w:szCs w:val="20"/>
                <w:color w:val="auto"/>
              </w:rPr>
              <w:t>Granted</w:t>
            </w:r>
          </w:p>
        </w:tc>
        <w:tc>
          <w:tcPr>
            <w:tcW w:w="168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380" w:type="dxa"/>
            <w:vAlign w:val="bottom"/>
            <w:shd w:val="clear" w:color="auto" w:fill="D2EDF0"/>
          </w:tcPr>
          <w:p>
            <w:pPr>
              <w:ind w:left="240"/>
              <w:spacing w:after="0"/>
              <w:rPr>
                <w:sz w:val="20"/>
                <w:szCs w:val="20"/>
                <w:color w:val="auto"/>
              </w:rPr>
            </w:pPr>
            <w:r>
              <w:rPr>
                <w:rFonts w:ascii="Arial" w:cs="Arial" w:eastAsia="Arial" w:hAnsi="Arial"/>
                <w:sz w:val="20"/>
                <w:szCs w:val="20"/>
                <w:color w:val="auto"/>
              </w:rPr>
              <w:t>Exercised</w:t>
            </w:r>
          </w:p>
        </w:tc>
        <w:tc>
          <w:tcPr>
            <w:tcW w:w="1680" w:type="dxa"/>
            <w:vAlign w:val="bottom"/>
            <w:shd w:val="clear" w:color="auto" w:fill="D2EDF0"/>
          </w:tcPr>
          <w:p>
            <w:pPr>
              <w:jc w:val="right"/>
              <w:ind w:right="1"/>
              <w:spacing w:after="0"/>
              <w:rPr>
                <w:sz w:val="20"/>
                <w:szCs w:val="20"/>
                <w:color w:val="auto"/>
              </w:rPr>
            </w:pPr>
            <w:r>
              <w:rPr>
                <w:rFonts w:ascii="Arial" w:cs="Arial" w:eastAsia="Arial" w:hAnsi="Arial"/>
                <w:sz w:val="20"/>
                <w:szCs w:val="20"/>
                <w:color w:val="auto"/>
              </w:rPr>
              <w:t>(2,956)</w:t>
            </w:r>
          </w:p>
        </w:tc>
        <w:tc>
          <w:tcPr>
            <w:tcW w:w="120" w:type="dxa"/>
            <w:vAlign w:val="bottom"/>
            <w:shd w:val="clear" w:color="auto" w:fill="D2EDF0"/>
          </w:tcPr>
          <w:p>
            <w:pPr>
              <w:spacing w:after="0"/>
              <w:rPr>
                <w:sz w:val="24"/>
                <w:szCs w:val="24"/>
                <w:color w:val="auto"/>
              </w:rPr>
            </w:pPr>
          </w:p>
        </w:tc>
        <w:tc>
          <w:tcPr>
            <w:tcW w:w="180" w:type="dxa"/>
            <w:vAlign w:val="bottom"/>
            <w:shd w:val="clear" w:color="auto" w:fill="D2EDF0"/>
          </w:tcPr>
          <w:p>
            <w:pPr>
              <w:spacing w:after="0"/>
              <w:rPr>
                <w:sz w:val="24"/>
                <w:szCs w:val="24"/>
                <w:color w:val="auto"/>
              </w:rPr>
            </w:pPr>
          </w:p>
        </w:tc>
        <w:tc>
          <w:tcPr>
            <w:tcW w:w="15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7.34</w:t>
            </w:r>
          </w:p>
        </w:tc>
        <w:tc>
          <w:tcPr>
            <w:tcW w:w="120" w:type="dxa"/>
            <w:vAlign w:val="bottom"/>
            <w:shd w:val="clear" w:color="auto" w:fill="D2EDF0"/>
          </w:tcPr>
          <w:p>
            <w:pPr>
              <w:spacing w:after="0"/>
              <w:rPr>
                <w:sz w:val="24"/>
                <w:szCs w:val="24"/>
                <w:color w:val="auto"/>
              </w:rPr>
            </w:pPr>
          </w:p>
        </w:tc>
        <w:tc>
          <w:tcPr>
            <w:tcW w:w="138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160" w:type="dxa"/>
            <w:vAlign w:val="bottom"/>
            <w:shd w:val="clear" w:color="auto" w:fill="D2EDF0"/>
          </w:tcPr>
          <w:p>
            <w:pPr>
              <w:spacing w:after="0"/>
              <w:rPr>
                <w:sz w:val="24"/>
                <w:szCs w:val="24"/>
                <w:color w:val="auto"/>
              </w:rPr>
            </w:pPr>
          </w:p>
        </w:tc>
        <w:tc>
          <w:tcPr>
            <w:tcW w:w="14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73,277</w:t>
            </w:r>
          </w:p>
        </w:tc>
        <w:tc>
          <w:tcPr>
            <w:tcW w:w="0" w:type="dxa"/>
            <w:vAlign w:val="bottom"/>
          </w:tcPr>
          <w:p>
            <w:pPr>
              <w:spacing w:after="0"/>
              <w:rPr>
                <w:sz w:val="1"/>
                <w:szCs w:val="1"/>
                <w:color w:val="auto"/>
              </w:rPr>
            </w:pPr>
          </w:p>
        </w:tc>
      </w:tr>
      <w:tr>
        <w:trPr>
          <w:trHeight w:val="275"/>
        </w:trPr>
        <w:tc>
          <w:tcPr>
            <w:tcW w:w="2380" w:type="dxa"/>
            <w:vAlign w:val="bottom"/>
            <w:tcBorders>
              <w:bottom w:val="single" w:sz="8" w:color="D2EDF0"/>
            </w:tcBorders>
          </w:tcPr>
          <w:p>
            <w:pPr>
              <w:ind w:left="240"/>
              <w:spacing w:after="0"/>
              <w:rPr>
                <w:sz w:val="20"/>
                <w:szCs w:val="20"/>
                <w:color w:val="auto"/>
              </w:rPr>
            </w:pPr>
            <w:r>
              <w:rPr>
                <w:rFonts w:ascii="Arial" w:cs="Arial" w:eastAsia="Arial" w:hAnsi="Arial"/>
                <w:sz w:val="20"/>
                <w:szCs w:val="20"/>
                <w:color w:val="auto"/>
              </w:rPr>
              <w:t>Forfeited/canceled</w:t>
            </w: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(542)</w:t>
            </w:r>
          </w:p>
        </w:tc>
        <w:tc>
          <w:tcPr>
            <w:tcW w:w="120" w:type="dxa"/>
            <w:vAlign w:val="bottom"/>
            <w:tcBorders>
              <w:bottom w:val="single" w:sz="8" w:color="D2EDF0"/>
            </w:tcBorders>
          </w:tcPr>
          <w:p>
            <w:pPr>
              <w:spacing w:after="0"/>
              <w:rPr>
                <w:sz w:val="23"/>
                <w:szCs w:val="23"/>
                <w:color w:val="auto"/>
              </w:rPr>
            </w:pPr>
          </w:p>
        </w:tc>
        <w:tc>
          <w:tcPr>
            <w:tcW w:w="180" w:type="dxa"/>
            <w:vAlign w:val="bottom"/>
            <w:tcBorders>
              <w:bottom w:val="single" w:sz="8" w:color="D2EDF0"/>
            </w:tcBorders>
          </w:tcPr>
          <w:p>
            <w:pPr>
              <w:spacing w:after="0"/>
              <w:rPr>
                <w:sz w:val="23"/>
                <w:szCs w:val="23"/>
                <w:color w:val="auto"/>
              </w:rPr>
            </w:pPr>
          </w:p>
        </w:tc>
        <w:tc>
          <w:tcPr>
            <w:tcW w:w="1500" w:type="dxa"/>
            <w:vAlign w:val="bottom"/>
            <w:tcBorders>
              <w:bottom w:val="single" w:sz="8" w:color="D2EDF0"/>
            </w:tcBorders>
          </w:tcPr>
          <w:p>
            <w:pPr>
              <w:jc w:val="right"/>
              <w:spacing w:after="0"/>
              <w:rPr>
                <w:sz w:val="20"/>
                <w:szCs w:val="20"/>
                <w:color w:val="auto"/>
              </w:rPr>
            </w:pPr>
            <w:r>
              <w:rPr>
                <w:rFonts w:ascii="Arial" w:cs="Arial" w:eastAsia="Arial" w:hAnsi="Arial"/>
                <w:sz w:val="20"/>
                <w:szCs w:val="20"/>
                <w:color w:val="auto"/>
              </w:rPr>
              <w:t>10.80</w:t>
            </w:r>
          </w:p>
        </w:tc>
        <w:tc>
          <w:tcPr>
            <w:tcW w:w="120" w:type="dxa"/>
            <w:vAlign w:val="bottom"/>
            <w:tcBorders>
              <w:bottom w:val="single" w:sz="8" w:color="D2EDF0"/>
            </w:tcBorders>
          </w:tcPr>
          <w:p>
            <w:pPr>
              <w:spacing w:after="0"/>
              <w:rPr>
                <w:sz w:val="23"/>
                <w:szCs w:val="23"/>
                <w:color w:val="auto"/>
              </w:rPr>
            </w:pPr>
          </w:p>
        </w:tc>
        <w:tc>
          <w:tcPr>
            <w:tcW w:w="1380" w:type="dxa"/>
            <w:vAlign w:val="bottom"/>
            <w:tcBorders>
              <w:bottom w:val="single" w:sz="8" w:color="D2EDF0"/>
            </w:tcBorders>
          </w:tcPr>
          <w:p>
            <w:pPr>
              <w:spacing w:after="0"/>
              <w:rPr>
                <w:sz w:val="23"/>
                <w:szCs w:val="23"/>
                <w:color w:val="auto"/>
              </w:rPr>
            </w:pPr>
          </w:p>
        </w:tc>
        <w:tc>
          <w:tcPr>
            <w:tcW w:w="80" w:type="dxa"/>
            <w:vAlign w:val="bottom"/>
            <w:tcBorders>
              <w:bottom w:val="single" w:sz="8" w:color="D2EDF0"/>
            </w:tcBorders>
          </w:tcPr>
          <w:p>
            <w:pPr>
              <w:spacing w:after="0"/>
              <w:rPr>
                <w:sz w:val="23"/>
                <w:szCs w:val="23"/>
                <w:color w:val="auto"/>
              </w:rPr>
            </w:pPr>
          </w:p>
        </w:tc>
        <w:tc>
          <w:tcPr>
            <w:tcW w:w="160" w:type="dxa"/>
            <w:vAlign w:val="bottom"/>
            <w:tcBorders>
              <w:bottom w:val="single" w:sz="8" w:color="D2EDF0"/>
            </w:tcBorders>
          </w:tcPr>
          <w:p>
            <w:pPr>
              <w:spacing w:after="0"/>
              <w:rPr>
                <w:sz w:val="23"/>
                <w:szCs w:val="23"/>
                <w:color w:val="auto"/>
              </w:rPr>
            </w:pPr>
          </w:p>
        </w:tc>
        <w:tc>
          <w:tcPr>
            <w:tcW w:w="1400" w:type="dxa"/>
            <w:vAlign w:val="bottom"/>
            <w:tcBorders>
              <w:bottom w:val="single" w:sz="8" w:color="D2EDF0"/>
            </w:tcBorders>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380" w:type="dxa"/>
            <w:vAlign w:val="bottom"/>
            <w:shd w:val="clear" w:color="auto" w:fill="D2EDF0"/>
          </w:tcPr>
          <w:p>
            <w:pPr>
              <w:ind w:left="240"/>
              <w:spacing w:after="0" w:line="198" w:lineRule="exact"/>
              <w:rPr>
                <w:sz w:val="20"/>
                <w:szCs w:val="20"/>
                <w:color w:val="auto"/>
              </w:rPr>
            </w:pPr>
            <w:r>
              <w:rPr>
                <w:rFonts w:ascii="Arial" w:cs="Arial" w:eastAsia="Arial" w:hAnsi="Arial"/>
                <w:sz w:val="20"/>
                <w:szCs w:val="20"/>
                <w:color w:val="auto"/>
              </w:rPr>
              <w:t>Outstanding at</w:t>
            </w:r>
          </w:p>
        </w:tc>
        <w:tc>
          <w:tcPr>
            <w:tcW w:w="1680" w:type="dxa"/>
            <w:vAlign w:val="bottom"/>
            <w:vMerge w:val="restart"/>
            <w:shd w:val="clear" w:color="auto" w:fill="D2EDF0"/>
          </w:tcPr>
          <w:p>
            <w:pPr>
              <w:jc w:val="right"/>
              <w:ind w:right="1"/>
              <w:spacing w:after="0"/>
              <w:rPr>
                <w:sz w:val="20"/>
                <w:szCs w:val="20"/>
                <w:color w:val="auto"/>
              </w:rPr>
            </w:pPr>
            <w:r>
              <w:rPr>
                <w:rFonts w:ascii="Arial" w:cs="Arial" w:eastAsia="Arial" w:hAnsi="Arial"/>
                <w:sz w:val="20"/>
                <w:szCs w:val="20"/>
                <w:color w:val="auto"/>
              </w:rPr>
              <w:t>9,441</w:t>
            </w:r>
          </w:p>
        </w:tc>
        <w:tc>
          <w:tcPr>
            <w:tcW w:w="120" w:type="dxa"/>
            <w:vAlign w:val="bottom"/>
            <w:shd w:val="clear" w:color="auto" w:fill="D2EDF0"/>
          </w:tcPr>
          <w:p>
            <w:pPr>
              <w:spacing w:after="0"/>
              <w:rPr>
                <w:sz w:val="17"/>
                <w:szCs w:val="17"/>
                <w:color w:val="auto"/>
              </w:rPr>
            </w:pPr>
          </w:p>
        </w:tc>
        <w:tc>
          <w:tcPr>
            <w:tcW w:w="180" w:type="dxa"/>
            <w:vAlign w:val="bottom"/>
            <w:shd w:val="clear" w:color="auto" w:fill="D2EDF0"/>
          </w:tcPr>
          <w:p>
            <w:pPr>
              <w:spacing w:after="0"/>
              <w:rPr>
                <w:sz w:val="17"/>
                <w:szCs w:val="17"/>
                <w:color w:val="auto"/>
              </w:rPr>
            </w:pPr>
          </w:p>
        </w:tc>
        <w:tc>
          <w:tcPr>
            <w:tcW w:w="15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8.56</w:t>
            </w:r>
          </w:p>
        </w:tc>
        <w:tc>
          <w:tcPr>
            <w:tcW w:w="1500" w:type="dxa"/>
            <w:vAlign w:val="bottom"/>
            <w:gridSpan w:val="2"/>
            <w:vMerge w:val="restart"/>
            <w:shd w:val="clear" w:color="auto" w:fill="D2EDF0"/>
          </w:tcPr>
          <w:p>
            <w:pPr>
              <w:jc w:val="center"/>
              <w:spacing w:after="0"/>
              <w:rPr>
                <w:sz w:val="20"/>
                <w:szCs w:val="20"/>
                <w:color w:val="auto"/>
              </w:rPr>
            </w:pPr>
            <w:r>
              <w:rPr>
                <w:rFonts w:ascii="Arial" w:cs="Arial" w:eastAsia="Arial" w:hAnsi="Arial"/>
                <w:sz w:val="20"/>
                <w:szCs w:val="20"/>
                <w:color w:val="auto"/>
              </w:rPr>
              <w:t>6.4</w:t>
            </w:r>
          </w:p>
        </w:tc>
        <w:tc>
          <w:tcPr>
            <w:tcW w:w="80" w:type="dxa"/>
            <w:vAlign w:val="bottom"/>
            <w:shd w:val="clear" w:color="auto" w:fill="D2EDF0"/>
          </w:tcPr>
          <w:p>
            <w:pPr>
              <w:spacing w:after="0"/>
              <w:rPr>
                <w:sz w:val="17"/>
                <w:szCs w:val="17"/>
                <w:color w:val="auto"/>
              </w:rPr>
            </w:pPr>
          </w:p>
        </w:tc>
        <w:tc>
          <w:tcPr>
            <w:tcW w:w="160" w:type="dxa"/>
            <w:vAlign w:val="bottom"/>
            <w:shd w:val="clear" w:color="auto" w:fill="D2EDF0"/>
          </w:tcPr>
          <w:p>
            <w:pPr>
              <w:spacing w:after="0"/>
              <w:rPr>
                <w:sz w:val="17"/>
                <w:szCs w:val="17"/>
                <w:color w:val="auto"/>
              </w:rPr>
            </w:pPr>
          </w:p>
        </w:tc>
        <w:tc>
          <w:tcPr>
            <w:tcW w:w="14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412,547</w:t>
            </w:r>
          </w:p>
        </w:tc>
        <w:tc>
          <w:tcPr>
            <w:tcW w:w="0" w:type="dxa"/>
            <w:vAlign w:val="bottom"/>
          </w:tcPr>
          <w:p>
            <w:pPr>
              <w:spacing w:after="0"/>
              <w:rPr>
                <w:sz w:val="1"/>
                <w:szCs w:val="1"/>
                <w:color w:val="auto"/>
              </w:rPr>
            </w:pPr>
          </w:p>
        </w:tc>
      </w:tr>
      <w:tr>
        <w:trPr>
          <w:trHeight w:val="272"/>
        </w:trPr>
        <w:tc>
          <w:tcPr>
            <w:tcW w:w="2380" w:type="dxa"/>
            <w:vAlign w:val="bottom"/>
            <w:shd w:val="clear" w:color="auto" w:fill="D2EDF0"/>
          </w:tcPr>
          <w:p>
            <w:pPr>
              <w:ind w:left="240"/>
              <w:spacing w:after="0"/>
              <w:rPr>
                <w:sz w:val="20"/>
                <w:szCs w:val="20"/>
                <w:color w:val="auto"/>
              </w:rPr>
            </w:pPr>
            <w:r>
              <w:rPr>
                <w:rFonts w:ascii="Arial" w:cs="Arial" w:eastAsia="Arial" w:hAnsi="Arial"/>
                <w:sz w:val="20"/>
                <w:szCs w:val="20"/>
                <w:color w:val="auto"/>
              </w:rPr>
              <w:t>December 31, 2020</w:t>
            </w:r>
          </w:p>
        </w:tc>
        <w:tc>
          <w:tcPr>
            <w:tcW w:w="1680" w:type="dxa"/>
            <w:vAlign w:val="bottom"/>
            <w:vMerge w:val="continue"/>
            <w:shd w:val="clear" w:color="auto" w:fill="D2EDF0"/>
          </w:tcPr>
          <w:p>
            <w:pPr>
              <w:spacing w:after="0"/>
              <w:rPr>
                <w:sz w:val="23"/>
                <w:szCs w:val="23"/>
                <w:color w:val="auto"/>
              </w:rPr>
            </w:pPr>
          </w:p>
        </w:tc>
        <w:tc>
          <w:tcPr>
            <w:tcW w:w="120" w:type="dxa"/>
            <w:vAlign w:val="bottom"/>
            <w:shd w:val="clear" w:color="auto" w:fill="D2EDF0"/>
          </w:tcPr>
          <w:p>
            <w:pPr>
              <w:spacing w:after="0"/>
              <w:rPr>
                <w:sz w:val="23"/>
                <w:szCs w:val="23"/>
                <w:color w:val="auto"/>
              </w:rPr>
            </w:pPr>
          </w:p>
        </w:tc>
        <w:tc>
          <w:tcPr>
            <w:tcW w:w="180" w:type="dxa"/>
            <w:vAlign w:val="bottom"/>
            <w:shd w:val="clear" w:color="auto" w:fill="D2EDF0"/>
          </w:tcPr>
          <w:p>
            <w:pPr>
              <w:spacing w:after="0"/>
              <w:rPr>
                <w:sz w:val="23"/>
                <w:szCs w:val="23"/>
                <w:color w:val="auto"/>
              </w:rPr>
            </w:pPr>
          </w:p>
        </w:tc>
        <w:tc>
          <w:tcPr>
            <w:tcW w:w="1500" w:type="dxa"/>
            <w:vAlign w:val="bottom"/>
            <w:vMerge w:val="continue"/>
            <w:shd w:val="clear" w:color="auto" w:fill="D2EDF0"/>
          </w:tcPr>
          <w:p>
            <w:pPr>
              <w:spacing w:after="0"/>
              <w:rPr>
                <w:sz w:val="23"/>
                <w:szCs w:val="23"/>
                <w:color w:val="auto"/>
              </w:rPr>
            </w:pPr>
          </w:p>
        </w:tc>
        <w:tc>
          <w:tcPr>
            <w:tcW w:w="1500" w:type="dxa"/>
            <w:vAlign w:val="bottom"/>
            <w:gridSpan w:val="2"/>
            <w:vMerge w:val="continue"/>
            <w:shd w:val="clear" w:color="auto" w:fill="D2EDF0"/>
          </w:tcPr>
          <w:p>
            <w:pPr>
              <w:spacing w:after="0"/>
              <w:rPr>
                <w:sz w:val="23"/>
                <w:szCs w:val="23"/>
                <w:color w:val="auto"/>
              </w:rPr>
            </w:pPr>
          </w:p>
        </w:tc>
        <w:tc>
          <w:tcPr>
            <w:tcW w:w="80" w:type="dxa"/>
            <w:vAlign w:val="bottom"/>
            <w:shd w:val="clear" w:color="auto" w:fill="D2EDF0"/>
          </w:tcPr>
          <w:p>
            <w:pPr>
              <w:spacing w:after="0"/>
              <w:rPr>
                <w:sz w:val="23"/>
                <w:szCs w:val="23"/>
                <w:color w:val="auto"/>
              </w:rPr>
            </w:pPr>
          </w:p>
        </w:tc>
        <w:tc>
          <w:tcPr>
            <w:tcW w:w="160" w:type="dxa"/>
            <w:vAlign w:val="bottom"/>
            <w:shd w:val="clear" w:color="auto" w:fill="D2EDF0"/>
          </w:tcPr>
          <w:p>
            <w:pPr>
              <w:spacing w:after="0"/>
              <w:rPr>
                <w:sz w:val="23"/>
                <w:szCs w:val="23"/>
                <w:color w:val="auto"/>
              </w:rPr>
            </w:pPr>
          </w:p>
        </w:tc>
        <w:tc>
          <w:tcPr>
            <w:tcW w:w="1400" w:type="dxa"/>
            <w:vAlign w:val="bottom"/>
            <w:vMerge w:val="continue"/>
            <w:shd w:val="clear" w:color="auto" w:fill="D2EDF0"/>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2380" w:type="dxa"/>
            <w:vAlign w:val="bottom"/>
          </w:tcPr>
          <w:p>
            <w:pPr>
              <w:ind w:left="240"/>
              <w:spacing w:after="0"/>
              <w:rPr>
                <w:sz w:val="20"/>
                <w:szCs w:val="20"/>
                <w:color w:val="auto"/>
              </w:rPr>
            </w:pPr>
            <w:r>
              <w:rPr>
                <w:rFonts w:ascii="Arial" w:cs="Arial" w:eastAsia="Arial" w:hAnsi="Arial"/>
                <w:sz w:val="20"/>
                <w:szCs w:val="20"/>
                <w:color w:val="auto"/>
              </w:rPr>
              <w:t>Granted</w:t>
            </w:r>
          </w:p>
        </w:tc>
        <w:tc>
          <w:tcPr>
            <w:tcW w:w="168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380" w:type="dxa"/>
            <w:vAlign w:val="bottom"/>
            <w:shd w:val="clear" w:color="auto" w:fill="D2EDF0"/>
          </w:tcPr>
          <w:p>
            <w:pPr>
              <w:ind w:left="240"/>
              <w:spacing w:after="0"/>
              <w:rPr>
                <w:sz w:val="20"/>
                <w:szCs w:val="20"/>
                <w:color w:val="auto"/>
              </w:rPr>
            </w:pPr>
            <w:r>
              <w:rPr>
                <w:rFonts w:ascii="Arial" w:cs="Arial" w:eastAsia="Arial" w:hAnsi="Arial"/>
                <w:sz w:val="20"/>
                <w:szCs w:val="20"/>
                <w:color w:val="auto"/>
              </w:rPr>
              <w:t>Exercised</w:t>
            </w:r>
          </w:p>
        </w:tc>
        <w:tc>
          <w:tcPr>
            <w:tcW w:w="1680" w:type="dxa"/>
            <w:vAlign w:val="bottom"/>
            <w:shd w:val="clear" w:color="auto" w:fill="D2EDF0"/>
          </w:tcPr>
          <w:p>
            <w:pPr>
              <w:jc w:val="right"/>
              <w:ind w:right="1"/>
              <w:spacing w:after="0"/>
              <w:rPr>
                <w:sz w:val="20"/>
                <w:szCs w:val="20"/>
                <w:color w:val="auto"/>
              </w:rPr>
            </w:pPr>
            <w:r>
              <w:rPr>
                <w:rFonts w:ascii="Arial" w:cs="Arial" w:eastAsia="Arial" w:hAnsi="Arial"/>
                <w:sz w:val="20"/>
                <w:szCs w:val="20"/>
                <w:color w:val="auto"/>
              </w:rPr>
              <w:t>(2,671)</w:t>
            </w:r>
          </w:p>
        </w:tc>
        <w:tc>
          <w:tcPr>
            <w:tcW w:w="120" w:type="dxa"/>
            <w:vAlign w:val="bottom"/>
            <w:shd w:val="clear" w:color="auto" w:fill="D2EDF0"/>
          </w:tcPr>
          <w:p>
            <w:pPr>
              <w:spacing w:after="0"/>
              <w:rPr>
                <w:sz w:val="24"/>
                <w:szCs w:val="24"/>
                <w:color w:val="auto"/>
              </w:rPr>
            </w:pPr>
          </w:p>
        </w:tc>
        <w:tc>
          <w:tcPr>
            <w:tcW w:w="180" w:type="dxa"/>
            <w:vAlign w:val="bottom"/>
            <w:shd w:val="clear" w:color="auto" w:fill="D2EDF0"/>
          </w:tcPr>
          <w:p>
            <w:pPr>
              <w:spacing w:after="0"/>
              <w:rPr>
                <w:sz w:val="24"/>
                <w:szCs w:val="24"/>
                <w:color w:val="auto"/>
              </w:rPr>
            </w:pPr>
          </w:p>
        </w:tc>
        <w:tc>
          <w:tcPr>
            <w:tcW w:w="15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6.84</w:t>
            </w:r>
          </w:p>
        </w:tc>
        <w:tc>
          <w:tcPr>
            <w:tcW w:w="120" w:type="dxa"/>
            <w:vAlign w:val="bottom"/>
            <w:shd w:val="clear" w:color="auto" w:fill="D2EDF0"/>
          </w:tcPr>
          <w:p>
            <w:pPr>
              <w:spacing w:after="0"/>
              <w:rPr>
                <w:sz w:val="24"/>
                <w:szCs w:val="24"/>
                <w:color w:val="auto"/>
              </w:rPr>
            </w:pPr>
          </w:p>
        </w:tc>
        <w:tc>
          <w:tcPr>
            <w:tcW w:w="138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160" w:type="dxa"/>
            <w:vAlign w:val="bottom"/>
            <w:shd w:val="clear" w:color="auto" w:fill="D2EDF0"/>
          </w:tcPr>
          <w:p>
            <w:pPr>
              <w:spacing w:after="0"/>
              <w:rPr>
                <w:sz w:val="24"/>
                <w:szCs w:val="24"/>
                <w:color w:val="auto"/>
              </w:rPr>
            </w:pPr>
          </w:p>
        </w:tc>
        <w:tc>
          <w:tcPr>
            <w:tcW w:w="14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111,256</w:t>
            </w:r>
          </w:p>
        </w:tc>
        <w:tc>
          <w:tcPr>
            <w:tcW w:w="0" w:type="dxa"/>
            <w:vAlign w:val="bottom"/>
          </w:tcPr>
          <w:p>
            <w:pPr>
              <w:spacing w:after="0"/>
              <w:rPr>
                <w:sz w:val="1"/>
                <w:szCs w:val="1"/>
                <w:color w:val="auto"/>
              </w:rPr>
            </w:pPr>
          </w:p>
        </w:tc>
      </w:tr>
      <w:tr>
        <w:trPr>
          <w:trHeight w:val="275"/>
        </w:trPr>
        <w:tc>
          <w:tcPr>
            <w:tcW w:w="2380" w:type="dxa"/>
            <w:vAlign w:val="bottom"/>
            <w:tcBorders>
              <w:bottom w:val="single" w:sz="8" w:color="D2EDF0"/>
            </w:tcBorders>
          </w:tcPr>
          <w:p>
            <w:pPr>
              <w:ind w:left="240"/>
              <w:spacing w:after="0"/>
              <w:rPr>
                <w:sz w:val="20"/>
                <w:szCs w:val="20"/>
                <w:color w:val="auto"/>
              </w:rPr>
            </w:pPr>
            <w:r>
              <w:rPr>
                <w:rFonts w:ascii="Arial" w:cs="Arial" w:eastAsia="Arial" w:hAnsi="Arial"/>
                <w:sz w:val="20"/>
                <w:szCs w:val="20"/>
                <w:color w:val="auto"/>
              </w:rPr>
              <w:t>Forfeited/canceled</w:t>
            </w: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(39)</w:t>
            </w:r>
          </w:p>
        </w:tc>
        <w:tc>
          <w:tcPr>
            <w:tcW w:w="120" w:type="dxa"/>
            <w:vAlign w:val="bottom"/>
            <w:tcBorders>
              <w:bottom w:val="single" w:sz="8" w:color="D2EDF0"/>
            </w:tcBorders>
          </w:tcPr>
          <w:p>
            <w:pPr>
              <w:spacing w:after="0"/>
              <w:rPr>
                <w:sz w:val="23"/>
                <w:szCs w:val="23"/>
                <w:color w:val="auto"/>
              </w:rPr>
            </w:pPr>
          </w:p>
        </w:tc>
        <w:tc>
          <w:tcPr>
            <w:tcW w:w="180" w:type="dxa"/>
            <w:vAlign w:val="bottom"/>
            <w:tcBorders>
              <w:bottom w:val="single" w:sz="8" w:color="D2EDF0"/>
            </w:tcBorders>
          </w:tcPr>
          <w:p>
            <w:pPr>
              <w:spacing w:after="0"/>
              <w:rPr>
                <w:sz w:val="23"/>
                <w:szCs w:val="23"/>
                <w:color w:val="auto"/>
              </w:rPr>
            </w:pPr>
          </w:p>
        </w:tc>
        <w:tc>
          <w:tcPr>
            <w:tcW w:w="1500" w:type="dxa"/>
            <w:vAlign w:val="bottom"/>
            <w:tcBorders>
              <w:bottom w:val="single" w:sz="8" w:color="D2EDF0"/>
            </w:tcBorders>
          </w:tcPr>
          <w:p>
            <w:pPr>
              <w:jc w:val="right"/>
              <w:spacing w:after="0"/>
              <w:rPr>
                <w:sz w:val="20"/>
                <w:szCs w:val="20"/>
                <w:color w:val="auto"/>
              </w:rPr>
            </w:pPr>
            <w:r>
              <w:rPr>
                <w:rFonts w:ascii="Arial" w:cs="Arial" w:eastAsia="Arial" w:hAnsi="Arial"/>
                <w:sz w:val="20"/>
                <w:szCs w:val="20"/>
                <w:color w:val="auto"/>
              </w:rPr>
              <w:t>14.96</w:t>
            </w:r>
          </w:p>
        </w:tc>
        <w:tc>
          <w:tcPr>
            <w:tcW w:w="120" w:type="dxa"/>
            <w:vAlign w:val="bottom"/>
            <w:tcBorders>
              <w:bottom w:val="single" w:sz="8" w:color="D2EDF0"/>
            </w:tcBorders>
          </w:tcPr>
          <w:p>
            <w:pPr>
              <w:spacing w:after="0"/>
              <w:rPr>
                <w:sz w:val="23"/>
                <w:szCs w:val="23"/>
                <w:color w:val="auto"/>
              </w:rPr>
            </w:pPr>
          </w:p>
        </w:tc>
        <w:tc>
          <w:tcPr>
            <w:tcW w:w="1380" w:type="dxa"/>
            <w:vAlign w:val="bottom"/>
            <w:tcBorders>
              <w:bottom w:val="single" w:sz="8" w:color="D2EDF0"/>
            </w:tcBorders>
          </w:tcPr>
          <w:p>
            <w:pPr>
              <w:spacing w:after="0"/>
              <w:rPr>
                <w:sz w:val="23"/>
                <w:szCs w:val="23"/>
                <w:color w:val="auto"/>
              </w:rPr>
            </w:pPr>
          </w:p>
        </w:tc>
        <w:tc>
          <w:tcPr>
            <w:tcW w:w="80" w:type="dxa"/>
            <w:vAlign w:val="bottom"/>
            <w:tcBorders>
              <w:bottom w:val="single" w:sz="8" w:color="D2EDF0"/>
            </w:tcBorders>
          </w:tcPr>
          <w:p>
            <w:pPr>
              <w:spacing w:after="0"/>
              <w:rPr>
                <w:sz w:val="23"/>
                <w:szCs w:val="23"/>
                <w:color w:val="auto"/>
              </w:rPr>
            </w:pPr>
          </w:p>
        </w:tc>
        <w:tc>
          <w:tcPr>
            <w:tcW w:w="160" w:type="dxa"/>
            <w:vAlign w:val="bottom"/>
            <w:tcBorders>
              <w:bottom w:val="single" w:sz="8" w:color="D2EDF0"/>
            </w:tcBorders>
          </w:tcPr>
          <w:p>
            <w:pPr>
              <w:spacing w:after="0"/>
              <w:rPr>
                <w:sz w:val="23"/>
                <w:szCs w:val="23"/>
                <w:color w:val="auto"/>
              </w:rPr>
            </w:pPr>
          </w:p>
        </w:tc>
        <w:tc>
          <w:tcPr>
            <w:tcW w:w="1400" w:type="dxa"/>
            <w:vAlign w:val="bottom"/>
            <w:tcBorders>
              <w:bottom w:val="single" w:sz="8" w:color="D2EDF0"/>
            </w:tcBorders>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380" w:type="dxa"/>
            <w:vAlign w:val="bottom"/>
            <w:shd w:val="clear" w:color="auto" w:fill="D2EDF0"/>
          </w:tcPr>
          <w:p>
            <w:pPr>
              <w:ind w:left="240"/>
              <w:spacing w:after="0" w:line="198" w:lineRule="exact"/>
              <w:rPr>
                <w:sz w:val="20"/>
                <w:szCs w:val="20"/>
                <w:color w:val="auto"/>
              </w:rPr>
            </w:pPr>
            <w:r>
              <w:rPr>
                <w:rFonts w:ascii="Arial" w:cs="Arial" w:eastAsia="Arial" w:hAnsi="Arial"/>
                <w:sz w:val="20"/>
                <w:szCs w:val="20"/>
                <w:color w:val="auto"/>
              </w:rPr>
              <w:t>Outstanding at</w:t>
            </w:r>
          </w:p>
        </w:tc>
        <w:tc>
          <w:tcPr>
            <w:tcW w:w="1680" w:type="dxa"/>
            <w:vAlign w:val="bottom"/>
            <w:vMerge w:val="restart"/>
            <w:shd w:val="clear" w:color="auto" w:fill="D2EDF0"/>
          </w:tcPr>
          <w:p>
            <w:pPr>
              <w:jc w:val="right"/>
              <w:ind w:right="1"/>
              <w:spacing w:after="0"/>
              <w:rPr>
                <w:sz w:val="20"/>
                <w:szCs w:val="20"/>
                <w:color w:val="auto"/>
              </w:rPr>
            </w:pPr>
            <w:r>
              <w:rPr>
                <w:rFonts w:ascii="Arial" w:cs="Arial" w:eastAsia="Arial" w:hAnsi="Arial"/>
                <w:sz w:val="20"/>
                <w:szCs w:val="20"/>
                <w:color w:val="auto"/>
              </w:rPr>
              <w:t>6,731</w:t>
            </w:r>
          </w:p>
        </w:tc>
        <w:tc>
          <w:tcPr>
            <w:tcW w:w="120" w:type="dxa"/>
            <w:vAlign w:val="bottom"/>
            <w:shd w:val="clear" w:color="auto" w:fill="D2EDF0"/>
          </w:tcPr>
          <w:p>
            <w:pPr>
              <w:spacing w:after="0"/>
              <w:rPr>
                <w:sz w:val="17"/>
                <w:szCs w:val="17"/>
                <w:color w:val="auto"/>
              </w:rPr>
            </w:pPr>
          </w:p>
        </w:tc>
        <w:tc>
          <w:tcPr>
            <w:tcW w:w="180" w:type="dxa"/>
            <w:vAlign w:val="bottom"/>
            <w:shd w:val="clear" w:color="auto" w:fill="D2EDF0"/>
          </w:tcPr>
          <w:p>
            <w:pPr>
              <w:spacing w:after="0"/>
              <w:rPr>
                <w:sz w:val="17"/>
                <w:szCs w:val="17"/>
                <w:color w:val="auto"/>
              </w:rPr>
            </w:pPr>
          </w:p>
        </w:tc>
        <w:tc>
          <w:tcPr>
            <w:tcW w:w="15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9.21</w:t>
            </w:r>
          </w:p>
        </w:tc>
        <w:tc>
          <w:tcPr>
            <w:tcW w:w="1500" w:type="dxa"/>
            <w:vAlign w:val="bottom"/>
            <w:gridSpan w:val="2"/>
            <w:vMerge w:val="restart"/>
            <w:shd w:val="clear" w:color="auto" w:fill="D2EDF0"/>
          </w:tcPr>
          <w:p>
            <w:pPr>
              <w:jc w:val="center"/>
              <w:spacing w:after="0"/>
              <w:rPr>
                <w:sz w:val="20"/>
                <w:szCs w:val="20"/>
                <w:color w:val="auto"/>
              </w:rPr>
            </w:pPr>
            <w:r>
              <w:rPr>
                <w:rFonts w:ascii="Arial" w:cs="Arial" w:eastAsia="Arial" w:hAnsi="Arial"/>
                <w:sz w:val="20"/>
                <w:szCs w:val="20"/>
                <w:color w:val="auto"/>
              </w:rPr>
              <w:t>5.5</w:t>
            </w:r>
          </w:p>
        </w:tc>
        <w:tc>
          <w:tcPr>
            <w:tcW w:w="80" w:type="dxa"/>
            <w:vAlign w:val="bottom"/>
            <w:shd w:val="clear" w:color="auto" w:fill="D2EDF0"/>
          </w:tcPr>
          <w:p>
            <w:pPr>
              <w:spacing w:after="0"/>
              <w:rPr>
                <w:sz w:val="17"/>
                <w:szCs w:val="17"/>
                <w:color w:val="auto"/>
              </w:rPr>
            </w:pPr>
          </w:p>
        </w:tc>
        <w:tc>
          <w:tcPr>
            <w:tcW w:w="160" w:type="dxa"/>
            <w:vAlign w:val="bottom"/>
            <w:shd w:val="clear" w:color="auto" w:fill="D2EDF0"/>
          </w:tcPr>
          <w:p>
            <w:pPr>
              <w:spacing w:after="0"/>
              <w:rPr>
                <w:sz w:val="17"/>
                <w:szCs w:val="17"/>
                <w:color w:val="auto"/>
              </w:rPr>
            </w:pPr>
          </w:p>
        </w:tc>
        <w:tc>
          <w:tcPr>
            <w:tcW w:w="14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308,677</w:t>
            </w:r>
          </w:p>
        </w:tc>
        <w:tc>
          <w:tcPr>
            <w:tcW w:w="0" w:type="dxa"/>
            <w:vAlign w:val="bottom"/>
          </w:tcPr>
          <w:p>
            <w:pPr>
              <w:spacing w:after="0"/>
              <w:rPr>
                <w:sz w:val="1"/>
                <w:szCs w:val="1"/>
                <w:color w:val="auto"/>
              </w:rPr>
            </w:pPr>
          </w:p>
        </w:tc>
      </w:tr>
      <w:tr>
        <w:trPr>
          <w:trHeight w:val="272"/>
        </w:trPr>
        <w:tc>
          <w:tcPr>
            <w:tcW w:w="2380" w:type="dxa"/>
            <w:vAlign w:val="bottom"/>
            <w:shd w:val="clear" w:color="auto" w:fill="D2EDF0"/>
          </w:tcPr>
          <w:p>
            <w:pPr>
              <w:ind w:left="240"/>
              <w:spacing w:after="0"/>
              <w:rPr>
                <w:sz w:val="20"/>
                <w:szCs w:val="20"/>
                <w:color w:val="auto"/>
              </w:rPr>
            </w:pPr>
            <w:r>
              <w:rPr>
                <w:rFonts w:ascii="Arial" w:cs="Arial" w:eastAsia="Arial" w:hAnsi="Arial"/>
                <w:sz w:val="20"/>
                <w:szCs w:val="20"/>
                <w:color w:val="auto"/>
              </w:rPr>
              <w:t>December 31, 2021</w:t>
            </w:r>
          </w:p>
        </w:tc>
        <w:tc>
          <w:tcPr>
            <w:tcW w:w="1680" w:type="dxa"/>
            <w:vAlign w:val="bottom"/>
            <w:vMerge w:val="continue"/>
            <w:shd w:val="clear" w:color="auto" w:fill="D2EDF0"/>
          </w:tcPr>
          <w:p>
            <w:pPr>
              <w:spacing w:after="0"/>
              <w:rPr>
                <w:sz w:val="23"/>
                <w:szCs w:val="23"/>
                <w:color w:val="auto"/>
              </w:rPr>
            </w:pPr>
          </w:p>
        </w:tc>
        <w:tc>
          <w:tcPr>
            <w:tcW w:w="120" w:type="dxa"/>
            <w:vAlign w:val="bottom"/>
            <w:shd w:val="clear" w:color="auto" w:fill="D2EDF0"/>
          </w:tcPr>
          <w:p>
            <w:pPr>
              <w:spacing w:after="0"/>
              <w:rPr>
                <w:sz w:val="23"/>
                <w:szCs w:val="23"/>
                <w:color w:val="auto"/>
              </w:rPr>
            </w:pPr>
          </w:p>
        </w:tc>
        <w:tc>
          <w:tcPr>
            <w:tcW w:w="180" w:type="dxa"/>
            <w:vAlign w:val="bottom"/>
            <w:shd w:val="clear" w:color="auto" w:fill="D2EDF0"/>
          </w:tcPr>
          <w:p>
            <w:pPr>
              <w:spacing w:after="0"/>
              <w:rPr>
                <w:sz w:val="23"/>
                <w:szCs w:val="23"/>
                <w:color w:val="auto"/>
              </w:rPr>
            </w:pPr>
          </w:p>
        </w:tc>
        <w:tc>
          <w:tcPr>
            <w:tcW w:w="1500" w:type="dxa"/>
            <w:vAlign w:val="bottom"/>
            <w:vMerge w:val="continue"/>
            <w:shd w:val="clear" w:color="auto" w:fill="D2EDF0"/>
          </w:tcPr>
          <w:p>
            <w:pPr>
              <w:spacing w:after="0"/>
              <w:rPr>
                <w:sz w:val="23"/>
                <w:szCs w:val="23"/>
                <w:color w:val="auto"/>
              </w:rPr>
            </w:pPr>
          </w:p>
        </w:tc>
        <w:tc>
          <w:tcPr>
            <w:tcW w:w="1500" w:type="dxa"/>
            <w:vAlign w:val="bottom"/>
            <w:gridSpan w:val="2"/>
            <w:vMerge w:val="continue"/>
            <w:shd w:val="clear" w:color="auto" w:fill="D2EDF0"/>
          </w:tcPr>
          <w:p>
            <w:pPr>
              <w:spacing w:after="0"/>
              <w:rPr>
                <w:sz w:val="23"/>
                <w:szCs w:val="23"/>
                <w:color w:val="auto"/>
              </w:rPr>
            </w:pPr>
          </w:p>
        </w:tc>
        <w:tc>
          <w:tcPr>
            <w:tcW w:w="80" w:type="dxa"/>
            <w:vAlign w:val="bottom"/>
            <w:shd w:val="clear" w:color="auto" w:fill="D2EDF0"/>
          </w:tcPr>
          <w:p>
            <w:pPr>
              <w:spacing w:after="0"/>
              <w:rPr>
                <w:sz w:val="23"/>
                <w:szCs w:val="23"/>
                <w:color w:val="auto"/>
              </w:rPr>
            </w:pPr>
          </w:p>
        </w:tc>
        <w:tc>
          <w:tcPr>
            <w:tcW w:w="160" w:type="dxa"/>
            <w:vAlign w:val="bottom"/>
            <w:shd w:val="clear" w:color="auto" w:fill="D2EDF0"/>
          </w:tcPr>
          <w:p>
            <w:pPr>
              <w:spacing w:after="0"/>
              <w:rPr>
                <w:sz w:val="23"/>
                <w:szCs w:val="23"/>
                <w:color w:val="auto"/>
              </w:rPr>
            </w:pPr>
          </w:p>
        </w:tc>
        <w:tc>
          <w:tcPr>
            <w:tcW w:w="1400" w:type="dxa"/>
            <w:vAlign w:val="bottom"/>
            <w:vMerge w:val="continue"/>
            <w:shd w:val="clear" w:color="auto" w:fill="D2EDF0"/>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2380" w:type="dxa"/>
            <w:vAlign w:val="bottom"/>
          </w:tcPr>
          <w:p>
            <w:pPr>
              <w:ind w:left="240"/>
              <w:spacing w:after="0"/>
              <w:rPr>
                <w:sz w:val="20"/>
                <w:szCs w:val="20"/>
                <w:color w:val="auto"/>
              </w:rPr>
            </w:pPr>
            <w:r>
              <w:rPr>
                <w:rFonts w:ascii="Arial" w:cs="Arial" w:eastAsia="Arial" w:hAnsi="Arial"/>
                <w:sz w:val="20"/>
                <w:szCs w:val="20"/>
                <w:color w:val="auto"/>
              </w:rPr>
              <w:t>Granted</w:t>
            </w:r>
          </w:p>
        </w:tc>
        <w:tc>
          <w:tcPr>
            <w:tcW w:w="168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380" w:type="dxa"/>
            <w:vAlign w:val="bottom"/>
            <w:shd w:val="clear" w:color="auto" w:fill="D2EDF0"/>
          </w:tcPr>
          <w:p>
            <w:pPr>
              <w:ind w:left="240"/>
              <w:spacing w:after="0"/>
              <w:rPr>
                <w:sz w:val="20"/>
                <w:szCs w:val="20"/>
                <w:color w:val="auto"/>
              </w:rPr>
            </w:pPr>
            <w:r>
              <w:rPr>
                <w:rFonts w:ascii="Arial" w:cs="Arial" w:eastAsia="Arial" w:hAnsi="Arial"/>
                <w:sz w:val="20"/>
                <w:szCs w:val="20"/>
                <w:color w:val="auto"/>
              </w:rPr>
              <w:t>Exercised</w:t>
            </w:r>
          </w:p>
        </w:tc>
        <w:tc>
          <w:tcPr>
            <w:tcW w:w="1680" w:type="dxa"/>
            <w:vAlign w:val="bottom"/>
            <w:shd w:val="clear" w:color="auto" w:fill="D2EDF0"/>
          </w:tcPr>
          <w:p>
            <w:pPr>
              <w:jc w:val="right"/>
              <w:ind w:right="1"/>
              <w:spacing w:after="0"/>
              <w:rPr>
                <w:sz w:val="20"/>
                <w:szCs w:val="20"/>
                <w:color w:val="auto"/>
              </w:rPr>
            </w:pPr>
            <w:r>
              <w:rPr>
                <w:rFonts w:ascii="Arial" w:cs="Arial" w:eastAsia="Arial" w:hAnsi="Arial"/>
                <w:sz w:val="20"/>
                <w:szCs w:val="20"/>
                <w:color w:val="auto"/>
              </w:rPr>
              <w:t>(1,174)</w:t>
            </w:r>
          </w:p>
        </w:tc>
        <w:tc>
          <w:tcPr>
            <w:tcW w:w="120" w:type="dxa"/>
            <w:vAlign w:val="bottom"/>
            <w:shd w:val="clear" w:color="auto" w:fill="D2EDF0"/>
          </w:tcPr>
          <w:p>
            <w:pPr>
              <w:spacing w:after="0"/>
              <w:rPr>
                <w:sz w:val="24"/>
                <w:szCs w:val="24"/>
                <w:color w:val="auto"/>
              </w:rPr>
            </w:pPr>
          </w:p>
        </w:tc>
        <w:tc>
          <w:tcPr>
            <w:tcW w:w="180" w:type="dxa"/>
            <w:vAlign w:val="bottom"/>
            <w:shd w:val="clear" w:color="auto" w:fill="D2EDF0"/>
          </w:tcPr>
          <w:p>
            <w:pPr>
              <w:spacing w:after="0"/>
              <w:rPr>
                <w:sz w:val="24"/>
                <w:szCs w:val="24"/>
                <w:color w:val="auto"/>
              </w:rPr>
            </w:pPr>
          </w:p>
        </w:tc>
        <w:tc>
          <w:tcPr>
            <w:tcW w:w="15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9.98</w:t>
            </w:r>
          </w:p>
        </w:tc>
        <w:tc>
          <w:tcPr>
            <w:tcW w:w="120" w:type="dxa"/>
            <w:vAlign w:val="bottom"/>
            <w:shd w:val="clear" w:color="auto" w:fill="D2EDF0"/>
          </w:tcPr>
          <w:p>
            <w:pPr>
              <w:spacing w:after="0"/>
              <w:rPr>
                <w:sz w:val="24"/>
                <w:szCs w:val="24"/>
                <w:color w:val="auto"/>
              </w:rPr>
            </w:pPr>
          </w:p>
        </w:tc>
        <w:tc>
          <w:tcPr>
            <w:tcW w:w="138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160" w:type="dxa"/>
            <w:vAlign w:val="bottom"/>
            <w:shd w:val="clear" w:color="auto" w:fill="D2EDF0"/>
          </w:tcPr>
          <w:p>
            <w:pPr>
              <w:spacing w:after="0"/>
              <w:rPr>
                <w:sz w:val="24"/>
                <w:szCs w:val="24"/>
                <w:color w:val="auto"/>
              </w:rPr>
            </w:pPr>
          </w:p>
        </w:tc>
        <w:tc>
          <w:tcPr>
            <w:tcW w:w="14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47,880</w:t>
            </w:r>
          </w:p>
        </w:tc>
        <w:tc>
          <w:tcPr>
            <w:tcW w:w="0" w:type="dxa"/>
            <w:vAlign w:val="bottom"/>
          </w:tcPr>
          <w:p>
            <w:pPr>
              <w:spacing w:after="0"/>
              <w:rPr>
                <w:sz w:val="1"/>
                <w:szCs w:val="1"/>
                <w:color w:val="auto"/>
              </w:rPr>
            </w:pPr>
          </w:p>
        </w:tc>
      </w:tr>
      <w:tr>
        <w:trPr>
          <w:trHeight w:val="275"/>
        </w:trPr>
        <w:tc>
          <w:tcPr>
            <w:tcW w:w="2380" w:type="dxa"/>
            <w:vAlign w:val="bottom"/>
            <w:tcBorders>
              <w:bottom w:val="single" w:sz="8" w:color="D2EDF0"/>
            </w:tcBorders>
          </w:tcPr>
          <w:p>
            <w:pPr>
              <w:ind w:left="240"/>
              <w:spacing w:after="0"/>
              <w:rPr>
                <w:sz w:val="20"/>
                <w:szCs w:val="20"/>
                <w:color w:val="auto"/>
              </w:rPr>
            </w:pPr>
            <w:r>
              <w:rPr>
                <w:rFonts w:ascii="Arial" w:cs="Arial" w:eastAsia="Arial" w:hAnsi="Arial"/>
                <w:sz w:val="20"/>
                <w:szCs w:val="20"/>
                <w:color w:val="auto"/>
              </w:rPr>
              <w:t>Forfeited/canceled</w:t>
            </w: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(72)</w:t>
            </w:r>
          </w:p>
        </w:tc>
        <w:tc>
          <w:tcPr>
            <w:tcW w:w="120" w:type="dxa"/>
            <w:vAlign w:val="bottom"/>
            <w:tcBorders>
              <w:bottom w:val="single" w:sz="8" w:color="D2EDF0"/>
            </w:tcBorders>
          </w:tcPr>
          <w:p>
            <w:pPr>
              <w:spacing w:after="0"/>
              <w:rPr>
                <w:sz w:val="23"/>
                <w:szCs w:val="23"/>
                <w:color w:val="auto"/>
              </w:rPr>
            </w:pPr>
          </w:p>
        </w:tc>
        <w:tc>
          <w:tcPr>
            <w:tcW w:w="180" w:type="dxa"/>
            <w:vAlign w:val="bottom"/>
            <w:tcBorders>
              <w:bottom w:val="single" w:sz="8" w:color="D2EDF0"/>
            </w:tcBorders>
          </w:tcPr>
          <w:p>
            <w:pPr>
              <w:spacing w:after="0"/>
              <w:rPr>
                <w:sz w:val="23"/>
                <w:szCs w:val="23"/>
                <w:color w:val="auto"/>
              </w:rPr>
            </w:pPr>
          </w:p>
        </w:tc>
        <w:tc>
          <w:tcPr>
            <w:tcW w:w="1500" w:type="dxa"/>
            <w:vAlign w:val="bottom"/>
            <w:tcBorders>
              <w:bottom w:val="single" w:sz="8" w:color="D2EDF0"/>
            </w:tcBorders>
          </w:tcPr>
          <w:p>
            <w:pPr>
              <w:jc w:val="right"/>
              <w:spacing w:after="0"/>
              <w:rPr>
                <w:sz w:val="20"/>
                <w:szCs w:val="20"/>
                <w:color w:val="auto"/>
              </w:rPr>
            </w:pPr>
            <w:r>
              <w:rPr>
                <w:rFonts w:ascii="Arial" w:cs="Arial" w:eastAsia="Arial" w:hAnsi="Arial"/>
                <w:sz w:val="20"/>
                <w:szCs w:val="20"/>
                <w:color w:val="auto"/>
              </w:rPr>
              <w:t>16.15</w:t>
            </w:r>
          </w:p>
        </w:tc>
        <w:tc>
          <w:tcPr>
            <w:tcW w:w="120" w:type="dxa"/>
            <w:vAlign w:val="bottom"/>
            <w:tcBorders>
              <w:bottom w:val="single" w:sz="8" w:color="D2EDF0"/>
            </w:tcBorders>
          </w:tcPr>
          <w:p>
            <w:pPr>
              <w:spacing w:after="0"/>
              <w:rPr>
                <w:sz w:val="23"/>
                <w:szCs w:val="23"/>
                <w:color w:val="auto"/>
              </w:rPr>
            </w:pPr>
          </w:p>
        </w:tc>
        <w:tc>
          <w:tcPr>
            <w:tcW w:w="1380" w:type="dxa"/>
            <w:vAlign w:val="bottom"/>
            <w:tcBorders>
              <w:bottom w:val="single" w:sz="8" w:color="D2EDF0"/>
            </w:tcBorders>
          </w:tcPr>
          <w:p>
            <w:pPr>
              <w:spacing w:after="0"/>
              <w:rPr>
                <w:sz w:val="23"/>
                <w:szCs w:val="23"/>
                <w:color w:val="auto"/>
              </w:rPr>
            </w:pPr>
          </w:p>
        </w:tc>
        <w:tc>
          <w:tcPr>
            <w:tcW w:w="80" w:type="dxa"/>
            <w:vAlign w:val="bottom"/>
            <w:tcBorders>
              <w:bottom w:val="single" w:sz="8" w:color="D2EDF0"/>
            </w:tcBorders>
          </w:tcPr>
          <w:p>
            <w:pPr>
              <w:spacing w:after="0"/>
              <w:rPr>
                <w:sz w:val="23"/>
                <w:szCs w:val="23"/>
                <w:color w:val="auto"/>
              </w:rPr>
            </w:pPr>
          </w:p>
        </w:tc>
        <w:tc>
          <w:tcPr>
            <w:tcW w:w="160" w:type="dxa"/>
            <w:vAlign w:val="bottom"/>
            <w:tcBorders>
              <w:bottom w:val="single" w:sz="8" w:color="D2EDF0"/>
            </w:tcBorders>
          </w:tcPr>
          <w:p>
            <w:pPr>
              <w:spacing w:after="0"/>
              <w:rPr>
                <w:sz w:val="23"/>
                <w:szCs w:val="23"/>
                <w:color w:val="auto"/>
              </w:rPr>
            </w:pPr>
          </w:p>
        </w:tc>
        <w:tc>
          <w:tcPr>
            <w:tcW w:w="1400" w:type="dxa"/>
            <w:vAlign w:val="bottom"/>
            <w:tcBorders>
              <w:bottom w:val="single" w:sz="8" w:color="D2EDF0"/>
            </w:tcBorders>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2380" w:type="dxa"/>
            <w:vAlign w:val="bottom"/>
            <w:shd w:val="clear" w:color="auto" w:fill="D2EDF0"/>
          </w:tcPr>
          <w:p>
            <w:pPr>
              <w:ind w:left="240"/>
              <w:spacing w:after="0" w:line="193" w:lineRule="exact"/>
              <w:rPr>
                <w:sz w:val="20"/>
                <w:szCs w:val="20"/>
                <w:color w:val="auto"/>
              </w:rPr>
            </w:pPr>
            <w:r>
              <w:rPr>
                <w:rFonts w:ascii="Arial" w:cs="Arial" w:eastAsia="Arial" w:hAnsi="Arial"/>
                <w:sz w:val="20"/>
                <w:szCs w:val="20"/>
                <w:color w:val="auto"/>
              </w:rPr>
              <w:t>Outstanding and</w:t>
            </w:r>
          </w:p>
        </w:tc>
        <w:tc>
          <w:tcPr>
            <w:tcW w:w="1680" w:type="dxa"/>
            <w:vAlign w:val="bottom"/>
            <w:shd w:val="clear" w:color="auto" w:fill="D2EDF0"/>
          </w:tcPr>
          <w:p>
            <w:pPr>
              <w:spacing w:after="0"/>
              <w:rPr>
                <w:sz w:val="16"/>
                <w:szCs w:val="16"/>
                <w:color w:val="auto"/>
              </w:rPr>
            </w:pPr>
          </w:p>
        </w:tc>
        <w:tc>
          <w:tcPr>
            <w:tcW w:w="120" w:type="dxa"/>
            <w:vAlign w:val="bottom"/>
            <w:shd w:val="clear" w:color="auto" w:fill="D2EDF0"/>
          </w:tcPr>
          <w:p>
            <w:pPr>
              <w:spacing w:after="0"/>
              <w:rPr>
                <w:sz w:val="16"/>
                <w:szCs w:val="16"/>
                <w:color w:val="auto"/>
              </w:rPr>
            </w:pPr>
          </w:p>
        </w:tc>
        <w:tc>
          <w:tcPr>
            <w:tcW w:w="180" w:type="dxa"/>
            <w:vAlign w:val="bottom"/>
            <w:shd w:val="clear" w:color="auto" w:fill="D2EDF0"/>
          </w:tcPr>
          <w:p>
            <w:pPr>
              <w:spacing w:after="0"/>
              <w:rPr>
                <w:sz w:val="16"/>
                <w:szCs w:val="16"/>
                <w:color w:val="auto"/>
              </w:rPr>
            </w:pPr>
          </w:p>
        </w:tc>
        <w:tc>
          <w:tcPr>
            <w:tcW w:w="1500" w:type="dxa"/>
            <w:vAlign w:val="bottom"/>
            <w:shd w:val="clear" w:color="auto" w:fill="D2EDF0"/>
          </w:tcPr>
          <w:p>
            <w:pPr>
              <w:spacing w:after="0"/>
              <w:rPr>
                <w:sz w:val="16"/>
                <w:szCs w:val="16"/>
                <w:color w:val="auto"/>
              </w:rPr>
            </w:pPr>
          </w:p>
        </w:tc>
        <w:tc>
          <w:tcPr>
            <w:tcW w:w="120" w:type="dxa"/>
            <w:vAlign w:val="bottom"/>
            <w:shd w:val="clear" w:color="auto" w:fill="D2EDF0"/>
          </w:tcPr>
          <w:p>
            <w:pPr>
              <w:spacing w:after="0"/>
              <w:rPr>
                <w:sz w:val="16"/>
                <w:szCs w:val="16"/>
                <w:color w:val="auto"/>
              </w:rPr>
            </w:pPr>
          </w:p>
        </w:tc>
        <w:tc>
          <w:tcPr>
            <w:tcW w:w="1380" w:type="dxa"/>
            <w:vAlign w:val="bottom"/>
            <w:shd w:val="clear" w:color="auto" w:fill="D2EDF0"/>
          </w:tcPr>
          <w:p>
            <w:pPr>
              <w:spacing w:after="0"/>
              <w:rPr>
                <w:sz w:val="16"/>
                <w:szCs w:val="16"/>
                <w:color w:val="auto"/>
              </w:rPr>
            </w:pPr>
          </w:p>
        </w:tc>
        <w:tc>
          <w:tcPr>
            <w:tcW w:w="80" w:type="dxa"/>
            <w:vAlign w:val="bottom"/>
            <w:shd w:val="clear" w:color="auto" w:fill="D2EDF0"/>
          </w:tcPr>
          <w:p>
            <w:pPr>
              <w:spacing w:after="0"/>
              <w:rPr>
                <w:sz w:val="16"/>
                <w:szCs w:val="16"/>
                <w:color w:val="auto"/>
              </w:rPr>
            </w:pPr>
          </w:p>
        </w:tc>
        <w:tc>
          <w:tcPr>
            <w:tcW w:w="160" w:type="dxa"/>
            <w:vAlign w:val="bottom"/>
            <w:shd w:val="clear" w:color="auto" w:fill="D2EDF0"/>
          </w:tcPr>
          <w:p>
            <w:pPr>
              <w:spacing w:after="0"/>
              <w:rPr>
                <w:sz w:val="16"/>
                <w:szCs w:val="16"/>
                <w:color w:val="auto"/>
              </w:rPr>
            </w:pPr>
          </w:p>
        </w:tc>
        <w:tc>
          <w:tcPr>
            <w:tcW w:w="1400" w:type="dxa"/>
            <w:vAlign w:val="bottom"/>
            <w:shd w:val="clear" w:color="auto" w:fill="D2EDF0"/>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380" w:type="dxa"/>
            <w:vAlign w:val="bottom"/>
            <w:shd w:val="clear" w:color="auto" w:fill="D2EDF0"/>
          </w:tcPr>
          <w:p>
            <w:pPr>
              <w:ind w:left="240"/>
              <w:spacing w:after="0" w:line="200" w:lineRule="exact"/>
              <w:rPr>
                <w:sz w:val="20"/>
                <w:szCs w:val="20"/>
                <w:color w:val="auto"/>
              </w:rPr>
            </w:pPr>
            <w:r>
              <w:rPr>
                <w:rFonts w:ascii="Arial" w:cs="Arial" w:eastAsia="Arial" w:hAnsi="Arial"/>
                <w:sz w:val="20"/>
                <w:szCs w:val="20"/>
                <w:color w:val="auto"/>
              </w:rPr>
              <w:t>exercisable at</w:t>
            </w:r>
          </w:p>
        </w:tc>
        <w:tc>
          <w:tcPr>
            <w:tcW w:w="1680" w:type="dxa"/>
            <w:vAlign w:val="bottom"/>
            <w:vMerge w:val="restart"/>
            <w:shd w:val="clear" w:color="auto" w:fill="D2EDF0"/>
          </w:tcPr>
          <w:p>
            <w:pPr>
              <w:jc w:val="right"/>
              <w:ind w:right="1"/>
              <w:spacing w:after="0"/>
              <w:rPr>
                <w:sz w:val="20"/>
                <w:szCs w:val="20"/>
                <w:color w:val="auto"/>
              </w:rPr>
            </w:pPr>
            <w:r>
              <w:rPr>
                <w:rFonts w:ascii="Arial" w:cs="Arial" w:eastAsia="Arial" w:hAnsi="Arial"/>
                <w:sz w:val="20"/>
                <w:szCs w:val="20"/>
                <w:color w:val="auto"/>
              </w:rPr>
              <w:t>5,485</w:t>
            </w:r>
          </w:p>
        </w:tc>
        <w:tc>
          <w:tcPr>
            <w:tcW w:w="120" w:type="dxa"/>
            <w:vAlign w:val="bottom"/>
            <w:shd w:val="clear" w:color="auto" w:fill="D2EDF0"/>
          </w:tcPr>
          <w:p>
            <w:pPr>
              <w:spacing w:after="0"/>
              <w:rPr>
                <w:sz w:val="17"/>
                <w:szCs w:val="17"/>
                <w:color w:val="auto"/>
              </w:rPr>
            </w:pPr>
          </w:p>
        </w:tc>
        <w:tc>
          <w:tcPr>
            <w:tcW w:w="180" w:type="dxa"/>
            <w:vAlign w:val="bottom"/>
            <w:shd w:val="clear" w:color="auto" w:fill="D2EDF0"/>
          </w:tcPr>
          <w:p>
            <w:pPr>
              <w:spacing w:after="0"/>
              <w:rPr>
                <w:sz w:val="17"/>
                <w:szCs w:val="17"/>
                <w:color w:val="auto"/>
              </w:rPr>
            </w:pPr>
          </w:p>
        </w:tc>
        <w:tc>
          <w:tcPr>
            <w:tcW w:w="15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8.96</w:t>
            </w:r>
          </w:p>
        </w:tc>
        <w:tc>
          <w:tcPr>
            <w:tcW w:w="1500" w:type="dxa"/>
            <w:vAlign w:val="bottom"/>
            <w:gridSpan w:val="2"/>
            <w:vMerge w:val="restart"/>
            <w:shd w:val="clear" w:color="auto" w:fill="D2EDF0"/>
          </w:tcPr>
          <w:p>
            <w:pPr>
              <w:jc w:val="center"/>
              <w:spacing w:after="0"/>
              <w:rPr>
                <w:sz w:val="20"/>
                <w:szCs w:val="20"/>
                <w:color w:val="auto"/>
              </w:rPr>
            </w:pPr>
            <w:r>
              <w:rPr>
                <w:rFonts w:ascii="Arial" w:cs="Arial" w:eastAsia="Arial" w:hAnsi="Arial"/>
                <w:sz w:val="20"/>
                <w:szCs w:val="20"/>
                <w:color w:val="auto"/>
              </w:rPr>
              <w:t>4.5</w:t>
            </w:r>
          </w:p>
        </w:tc>
        <w:tc>
          <w:tcPr>
            <w:tcW w:w="80" w:type="dxa"/>
            <w:vAlign w:val="bottom"/>
            <w:shd w:val="clear" w:color="auto" w:fill="D2EDF0"/>
          </w:tcPr>
          <w:p>
            <w:pPr>
              <w:spacing w:after="0"/>
              <w:rPr>
                <w:sz w:val="17"/>
                <w:szCs w:val="17"/>
                <w:color w:val="auto"/>
              </w:rPr>
            </w:pPr>
          </w:p>
        </w:tc>
        <w:tc>
          <w:tcPr>
            <w:tcW w:w="160" w:type="dxa"/>
            <w:vAlign w:val="bottom"/>
            <w:shd w:val="clear" w:color="auto" w:fill="D2EDF0"/>
          </w:tcPr>
          <w:p>
            <w:pPr>
              <w:spacing w:after="0"/>
              <w:rPr>
                <w:sz w:val="17"/>
                <w:szCs w:val="17"/>
                <w:color w:val="auto"/>
              </w:rPr>
            </w:pPr>
          </w:p>
        </w:tc>
        <w:tc>
          <w:tcPr>
            <w:tcW w:w="14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160,135</w:t>
            </w:r>
          </w:p>
        </w:tc>
        <w:tc>
          <w:tcPr>
            <w:tcW w:w="0" w:type="dxa"/>
            <w:vAlign w:val="bottom"/>
          </w:tcPr>
          <w:p>
            <w:pPr>
              <w:spacing w:after="0"/>
              <w:rPr>
                <w:sz w:val="1"/>
                <w:szCs w:val="1"/>
                <w:color w:val="auto"/>
              </w:rPr>
            </w:pPr>
          </w:p>
        </w:tc>
      </w:tr>
      <w:tr>
        <w:trPr>
          <w:trHeight w:val="262"/>
        </w:trPr>
        <w:tc>
          <w:tcPr>
            <w:tcW w:w="2380" w:type="dxa"/>
            <w:vAlign w:val="bottom"/>
            <w:tcBorders>
              <w:bottom w:val="single" w:sz="8" w:color="D2EDF0"/>
            </w:tcBorders>
            <w:shd w:val="clear" w:color="auto" w:fill="D2EDF0"/>
          </w:tcPr>
          <w:p>
            <w:pPr>
              <w:ind w:left="240"/>
              <w:spacing w:after="0"/>
              <w:rPr>
                <w:sz w:val="20"/>
                <w:szCs w:val="20"/>
                <w:color w:val="auto"/>
              </w:rPr>
            </w:pPr>
            <w:r>
              <w:rPr>
                <w:rFonts w:ascii="Arial" w:cs="Arial" w:eastAsia="Arial" w:hAnsi="Arial"/>
                <w:sz w:val="20"/>
                <w:szCs w:val="20"/>
                <w:color w:val="auto"/>
              </w:rPr>
              <w:t>December 31, 2022</w:t>
            </w:r>
          </w:p>
        </w:tc>
        <w:tc>
          <w:tcPr>
            <w:tcW w:w="1680" w:type="dxa"/>
            <w:vAlign w:val="bottom"/>
            <w:tcBorders>
              <w:bottom w:val="single" w:sz="8" w:color="auto"/>
            </w:tcBorders>
            <w:vMerge w:val="continue"/>
            <w:shd w:val="clear" w:color="auto" w:fill="D2EDF0"/>
          </w:tcPr>
          <w:p>
            <w:pPr>
              <w:spacing w:after="0"/>
              <w:rPr>
                <w:sz w:val="22"/>
                <w:szCs w:val="22"/>
                <w:color w:val="auto"/>
              </w:rPr>
            </w:pPr>
          </w:p>
        </w:tc>
        <w:tc>
          <w:tcPr>
            <w:tcW w:w="120" w:type="dxa"/>
            <w:vAlign w:val="bottom"/>
            <w:tcBorders>
              <w:bottom w:val="single" w:sz="8" w:color="D2EDF0"/>
            </w:tcBorders>
            <w:shd w:val="clear" w:color="auto" w:fill="D2EDF0"/>
          </w:tcPr>
          <w:p>
            <w:pPr>
              <w:spacing w:after="0"/>
              <w:rPr>
                <w:sz w:val="22"/>
                <w:szCs w:val="22"/>
                <w:color w:val="auto"/>
              </w:rPr>
            </w:pPr>
          </w:p>
        </w:tc>
        <w:tc>
          <w:tcPr>
            <w:tcW w:w="180" w:type="dxa"/>
            <w:vAlign w:val="bottom"/>
            <w:tcBorders>
              <w:bottom w:val="single" w:sz="8" w:color="D2EDF0"/>
            </w:tcBorders>
            <w:shd w:val="clear" w:color="auto" w:fill="D2EDF0"/>
          </w:tcPr>
          <w:p>
            <w:pPr>
              <w:spacing w:after="0"/>
              <w:rPr>
                <w:sz w:val="22"/>
                <w:szCs w:val="22"/>
                <w:color w:val="auto"/>
              </w:rPr>
            </w:pPr>
          </w:p>
        </w:tc>
        <w:tc>
          <w:tcPr>
            <w:tcW w:w="1500" w:type="dxa"/>
            <w:vAlign w:val="bottom"/>
            <w:tcBorders>
              <w:bottom w:val="single" w:sz="8" w:color="D2EDF0"/>
            </w:tcBorders>
            <w:vMerge w:val="continue"/>
            <w:shd w:val="clear" w:color="auto" w:fill="D2EDF0"/>
          </w:tcPr>
          <w:p>
            <w:pPr>
              <w:spacing w:after="0"/>
              <w:rPr>
                <w:sz w:val="22"/>
                <w:szCs w:val="22"/>
                <w:color w:val="auto"/>
              </w:rPr>
            </w:pPr>
          </w:p>
        </w:tc>
        <w:tc>
          <w:tcPr>
            <w:tcW w:w="1500" w:type="dxa"/>
            <w:vAlign w:val="bottom"/>
            <w:tcBorders>
              <w:bottom w:val="single" w:sz="8" w:color="D2EDF0"/>
            </w:tcBorders>
            <w:gridSpan w:val="2"/>
            <w:vMerge w:val="continue"/>
            <w:shd w:val="clear" w:color="auto" w:fill="D2EDF0"/>
          </w:tcPr>
          <w:p>
            <w:pPr>
              <w:spacing w:after="0"/>
              <w:rPr>
                <w:sz w:val="22"/>
                <w:szCs w:val="22"/>
                <w:color w:val="auto"/>
              </w:rPr>
            </w:pPr>
          </w:p>
        </w:tc>
        <w:tc>
          <w:tcPr>
            <w:tcW w:w="80" w:type="dxa"/>
            <w:vAlign w:val="bottom"/>
            <w:tcBorders>
              <w:bottom w:val="single" w:sz="8" w:color="D2EDF0"/>
            </w:tcBorders>
            <w:shd w:val="clear" w:color="auto" w:fill="D2EDF0"/>
          </w:tcPr>
          <w:p>
            <w:pPr>
              <w:spacing w:after="0"/>
              <w:rPr>
                <w:sz w:val="22"/>
                <w:szCs w:val="22"/>
                <w:color w:val="auto"/>
              </w:rPr>
            </w:pPr>
          </w:p>
        </w:tc>
        <w:tc>
          <w:tcPr>
            <w:tcW w:w="160" w:type="dxa"/>
            <w:vAlign w:val="bottom"/>
            <w:tcBorders>
              <w:bottom w:val="single" w:sz="8" w:color="D2EDF0"/>
            </w:tcBorders>
            <w:shd w:val="clear" w:color="auto" w:fill="D2EDF0"/>
          </w:tcPr>
          <w:p>
            <w:pPr>
              <w:spacing w:after="0"/>
              <w:rPr>
                <w:sz w:val="22"/>
                <w:szCs w:val="22"/>
                <w:color w:val="auto"/>
              </w:rPr>
            </w:pPr>
          </w:p>
        </w:tc>
        <w:tc>
          <w:tcPr>
            <w:tcW w:w="1400" w:type="dxa"/>
            <w:vAlign w:val="bottom"/>
            <w:tcBorders>
              <w:bottom w:val="single" w:sz="8" w:color="D2EDF0"/>
            </w:tcBorders>
            <w:vMerge w:val="continue"/>
            <w:shd w:val="clear" w:color="auto" w:fill="D2EDF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D2EDF0"/>
            </w:tcBorders>
          </w:tcPr>
          <w:p>
            <w:pPr>
              <w:spacing w:after="0" w:line="20" w:lineRule="exact"/>
              <w:rPr>
                <w:sz w:val="1"/>
                <w:szCs w:val="1"/>
                <w:color w:val="auto"/>
              </w:rPr>
            </w:pPr>
          </w:p>
        </w:tc>
        <w:tc>
          <w:tcPr>
            <w:tcW w:w="1680" w:type="dxa"/>
            <w:vAlign w:val="bottom"/>
            <w:tcBorders>
              <w:top w:val="single" w:sz="8" w:color="D2EDF0"/>
              <w:bottom w:val="single" w:sz="8" w:color="auto"/>
            </w:tcBorders>
          </w:tcPr>
          <w:p>
            <w:pPr>
              <w:spacing w:after="0" w:line="20" w:lineRule="exact"/>
              <w:rPr>
                <w:sz w:val="1"/>
                <w:szCs w:val="1"/>
                <w:color w:val="auto"/>
              </w:rPr>
            </w:pPr>
          </w:p>
        </w:tc>
        <w:tc>
          <w:tcPr>
            <w:tcW w:w="120" w:type="dxa"/>
            <w:vAlign w:val="bottom"/>
            <w:tcBorders>
              <w:top w:val="single" w:sz="8" w:color="D2EDF0"/>
            </w:tcBorders>
          </w:tcPr>
          <w:p>
            <w:pPr>
              <w:spacing w:after="0" w:line="20" w:lineRule="exact"/>
              <w:rPr>
                <w:sz w:val="1"/>
                <w:szCs w:val="1"/>
                <w:color w:val="auto"/>
              </w:rPr>
            </w:pPr>
          </w:p>
        </w:tc>
        <w:tc>
          <w:tcPr>
            <w:tcW w:w="180" w:type="dxa"/>
            <w:vAlign w:val="bottom"/>
            <w:tcBorders>
              <w:top w:val="single" w:sz="8" w:color="D2EDF0"/>
            </w:tcBorders>
          </w:tcPr>
          <w:p>
            <w:pPr>
              <w:spacing w:after="0" w:line="20" w:lineRule="exact"/>
              <w:rPr>
                <w:sz w:val="1"/>
                <w:szCs w:val="1"/>
                <w:color w:val="auto"/>
              </w:rPr>
            </w:pPr>
          </w:p>
        </w:tc>
        <w:tc>
          <w:tcPr>
            <w:tcW w:w="1500" w:type="dxa"/>
            <w:vAlign w:val="bottom"/>
            <w:tcBorders>
              <w:top w:val="single" w:sz="8" w:color="D2EDF0"/>
            </w:tcBorders>
          </w:tcPr>
          <w:p>
            <w:pPr>
              <w:spacing w:after="0" w:line="20" w:lineRule="exact"/>
              <w:rPr>
                <w:sz w:val="1"/>
                <w:szCs w:val="1"/>
                <w:color w:val="auto"/>
              </w:rPr>
            </w:pPr>
          </w:p>
        </w:tc>
        <w:tc>
          <w:tcPr>
            <w:tcW w:w="120" w:type="dxa"/>
            <w:vAlign w:val="bottom"/>
            <w:tcBorders>
              <w:top w:val="single" w:sz="8" w:color="D2EDF0"/>
            </w:tcBorders>
          </w:tcPr>
          <w:p>
            <w:pPr>
              <w:spacing w:after="0" w:line="20" w:lineRule="exact"/>
              <w:rPr>
                <w:sz w:val="1"/>
                <w:szCs w:val="1"/>
                <w:color w:val="auto"/>
              </w:rPr>
            </w:pPr>
          </w:p>
        </w:tc>
        <w:tc>
          <w:tcPr>
            <w:tcW w:w="1380" w:type="dxa"/>
            <w:vAlign w:val="bottom"/>
            <w:tcBorders>
              <w:top w:val="single" w:sz="8" w:color="D2EDF0"/>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160" w:type="dxa"/>
            <w:vAlign w:val="bottom"/>
            <w:tcBorders>
              <w:top w:val="single" w:sz="8" w:color="D2EDF0"/>
            </w:tcBorders>
          </w:tcPr>
          <w:p>
            <w:pPr>
              <w:spacing w:after="0" w:line="20" w:lineRule="exact"/>
              <w:rPr>
                <w:sz w:val="1"/>
                <w:szCs w:val="1"/>
                <w:color w:val="auto"/>
              </w:rPr>
            </w:pPr>
          </w:p>
        </w:tc>
        <w:tc>
          <w:tcPr>
            <w:tcW w:w="1400" w:type="dxa"/>
            <w:vAlign w:val="bottom"/>
            <w:tcBorders>
              <w:top w:val="single" w:sz="8" w:color="D2EDF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-37465</wp:posOffset>
            </wp:positionV>
            <wp:extent cx="107632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76325" cy="38100"/>
                    </a:xfrm>
                    <a:prstGeom prst="rect">
                      <a:avLst/>
                    </a:prstGeom>
                    <a:noFill/>
                  </pic:spPr>
                </pic:pic>
              </a:graphicData>
            </a:graphic>
          </wp:anchor>
        </w:drawing>
      </w:r>
    </w:p>
    <w:p>
      <w:pPr>
        <w:spacing w:after="0" w:line="234" w:lineRule="exact"/>
        <w:rPr>
          <w:sz w:val="20"/>
          <w:szCs w:val="20"/>
          <w:color w:val="auto"/>
        </w:rPr>
      </w:pPr>
    </w:p>
    <w:p>
      <w:pPr>
        <w:ind w:right="400" w:firstLine="360"/>
        <w:spacing w:after="0" w:line="287" w:lineRule="auto"/>
        <w:rPr>
          <w:sz w:val="20"/>
          <w:szCs w:val="20"/>
          <w:color w:val="auto"/>
        </w:rPr>
      </w:pPr>
      <w:r>
        <w:rPr>
          <w:rFonts w:ascii="Arial" w:cs="Arial" w:eastAsia="Arial" w:hAnsi="Arial"/>
          <w:sz w:val="20"/>
          <w:szCs w:val="20"/>
          <w:color w:val="auto"/>
        </w:rPr>
        <w:t>At December 31, 2022, there were 5.5 million stock options outstanding that were vested and expected to vest.</w:t>
      </w:r>
    </w:p>
    <w:p>
      <w:pPr>
        <w:spacing w:after="0" w:line="170" w:lineRule="exact"/>
        <w:rPr>
          <w:sz w:val="20"/>
          <w:szCs w:val="20"/>
          <w:color w:val="auto"/>
        </w:rPr>
      </w:pPr>
    </w:p>
    <w:p>
      <w:pPr>
        <w:ind w:right="120" w:firstLine="360"/>
        <w:spacing w:after="0" w:line="268" w:lineRule="auto"/>
        <w:rPr>
          <w:sz w:val="20"/>
          <w:szCs w:val="20"/>
          <w:color w:val="auto"/>
        </w:rPr>
      </w:pPr>
      <w:r>
        <w:rPr>
          <w:rFonts w:ascii="Arial" w:cs="Arial" w:eastAsia="Arial" w:hAnsi="Arial"/>
          <w:sz w:val="20"/>
          <w:szCs w:val="20"/>
          <w:color w:val="auto"/>
        </w:rPr>
        <w:t>Stock options granted under our stock incentive plans have a maximum term of ten years, generally vest over a period of three to four years, and the exercise price cannot be less than the fair market value on the date of grant.</w:t>
      </w:r>
    </w:p>
    <w:p>
      <w:pPr>
        <w:spacing w:after="0" w:line="190" w:lineRule="exact"/>
        <w:rPr>
          <w:sz w:val="20"/>
          <w:szCs w:val="20"/>
          <w:color w:val="auto"/>
        </w:rPr>
      </w:pPr>
    </w:p>
    <w:p>
      <w:pPr>
        <w:jc w:val="both"/>
        <w:ind w:right="480" w:firstLine="360"/>
        <w:spacing w:after="0" w:line="268" w:lineRule="auto"/>
        <w:rPr>
          <w:sz w:val="20"/>
          <w:szCs w:val="20"/>
          <w:color w:val="auto"/>
        </w:rPr>
      </w:pPr>
      <w:r>
        <w:rPr>
          <w:rFonts w:ascii="Arial" w:cs="Arial" w:eastAsia="Arial" w:hAnsi="Arial"/>
          <w:sz w:val="20"/>
          <w:szCs w:val="20"/>
          <w:color w:val="auto"/>
        </w:rPr>
        <w:t>Estimating the fair value of stock options and ESPP purchase rights using the Black-Scholes option-pricing model requires assumptions as to the fair value of common stock, expected term, expected volatility, the risk-free interest rate and the expected dividend yield.</w:t>
      </w:r>
    </w:p>
    <w:p>
      <w:pPr>
        <w:spacing w:after="0" w:line="190" w:lineRule="exact"/>
        <w:rPr>
          <w:sz w:val="20"/>
          <w:szCs w:val="20"/>
          <w:color w:val="auto"/>
        </w:rPr>
      </w:pPr>
    </w:p>
    <w:p>
      <w:pPr>
        <w:ind w:right="20" w:firstLine="360"/>
        <w:spacing w:after="0" w:line="255" w:lineRule="auto"/>
        <w:rPr>
          <w:sz w:val="20"/>
          <w:szCs w:val="20"/>
          <w:color w:val="auto"/>
        </w:rPr>
      </w:pPr>
      <w:r>
        <w:rPr>
          <w:rFonts w:ascii="Arial" w:cs="Arial" w:eastAsia="Arial" w:hAnsi="Arial"/>
          <w:sz w:val="20"/>
          <w:szCs w:val="20"/>
          <w:i w:val="1"/>
          <w:iCs w:val="1"/>
          <w:color w:val="auto"/>
        </w:rPr>
        <w:t xml:space="preserve">Fair Value of Common Stock. </w:t>
      </w:r>
      <w:r>
        <w:rPr>
          <w:rFonts w:ascii="Arial" w:cs="Arial" w:eastAsia="Arial" w:hAnsi="Arial"/>
          <w:sz w:val="20"/>
          <w:szCs w:val="20"/>
          <w:color w:val="auto"/>
        </w:rPr>
        <w:t>Following our IPO, we use the market price of our common stock at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the date of grant. Prior to our IPO, the lack of an active public market for our common stock required an estimate of the fair value of the common stock for granting stock options and restricted shares, and for determining stock-based compensation expense. Contemporaneous third-party valuations were obtained to assist in determining the fair value of our common stock. The contemporaneous valuations were performed in accordance with applicable methodologies, approaches and assumptions of the technical practice-aid issued by the American Institute of Certified Public Accountants Practice Aid entitled </w:t>
      </w:r>
      <w:r>
        <w:rPr>
          <w:rFonts w:ascii="Arial" w:cs="Arial" w:eastAsia="Arial" w:hAnsi="Arial"/>
          <w:sz w:val="20"/>
          <w:szCs w:val="20"/>
          <w:i w:val="1"/>
          <w:iCs w:val="1"/>
          <w:color w:val="auto"/>
        </w:rPr>
        <w:t>Valuation of Privately-Held Company Equity Securities Issued as</w:t>
      </w:r>
      <w:r>
        <w:rPr>
          <w:rFonts w:ascii="Arial" w:cs="Arial" w:eastAsia="Arial" w:hAnsi="Arial"/>
          <w:sz w:val="20"/>
          <w:szCs w:val="20"/>
          <w:color w:val="auto"/>
        </w:rPr>
        <w:t xml:space="preserve"> </w:t>
      </w:r>
      <w:r>
        <w:rPr>
          <w:rFonts w:ascii="Arial" w:cs="Arial" w:eastAsia="Arial" w:hAnsi="Arial"/>
          <w:sz w:val="20"/>
          <w:szCs w:val="20"/>
          <w:i w:val="1"/>
          <w:iCs w:val="1"/>
          <w:color w:val="auto"/>
        </w:rPr>
        <w:t>Compensation.</w:t>
      </w:r>
    </w:p>
    <w:p>
      <w:pPr>
        <w:spacing w:after="0" w:line="201" w:lineRule="exact"/>
        <w:rPr>
          <w:sz w:val="20"/>
          <w:szCs w:val="20"/>
          <w:color w:val="auto"/>
        </w:rPr>
      </w:pPr>
    </w:p>
    <w:p>
      <w:pPr>
        <w:ind w:right="20" w:firstLine="360"/>
        <w:spacing w:after="0" w:line="268" w:lineRule="auto"/>
        <w:rPr>
          <w:sz w:val="20"/>
          <w:szCs w:val="20"/>
          <w:color w:val="auto"/>
        </w:rPr>
      </w:pPr>
      <w:r>
        <w:rPr>
          <w:rFonts w:ascii="Arial" w:cs="Arial" w:eastAsia="Arial" w:hAnsi="Arial"/>
          <w:sz w:val="20"/>
          <w:szCs w:val="20"/>
          <w:i w:val="1"/>
          <w:iCs w:val="1"/>
          <w:color w:val="auto"/>
        </w:rPr>
        <w:t xml:space="preserve">Expected Term. </w:t>
      </w:r>
      <w:r>
        <w:rPr>
          <w:rFonts w:ascii="Arial" w:cs="Arial" w:eastAsia="Arial" w:hAnsi="Arial"/>
          <w:sz w:val="20"/>
          <w:szCs w:val="20"/>
          <w:color w:val="auto"/>
        </w:rPr>
        <w:t>This is the period of time that the options granted are expected to remain</w:t>
      </w:r>
      <w:r>
        <w:rPr>
          <w:rFonts w:ascii="Arial" w:cs="Arial" w:eastAsia="Arial" w:hAnsi="Arial"/>
          <w:sz w:val="20"/>
          <w:szCs w:val="20"/>
          <w:i w:val="1"/>
          <w:iCs w:val="1"/>
          <w:color w:val="auto"/>
        </w:rPr>
        <w:t xml:space="preserve"> </w:t>
      </w:r>
      <w:r>
        <w:rPr>
          <w:rFonts w:ascii="Arial" w:cs="Arial" w:eastAsia="Arial" w:hAnsi="Arial"/>
          <w:sz w:val="20"/>
          <w:szCs w:val="20"/>
          <w:color w:val="auto"/>
        </w:rPr>
        <w:t>unexercised. We used the simplified method to calculate the average expected term for stock options. We use the actual purchase periods as the expected term in the 2018 ESPP.</w:t>
      </w:r>
    </w:p>
    <w:p>
      <w:pPr>
        <w:sectPr>
          <w:pgSz w:w="11880" w:h="15480" w:orient="portrait"/>
          <w:cols w:equalWidth="0" w:num="1">
            <w:col w:w="9000"/>
          </w:cols>
          <w:pgMar w:left="1440" w:top="12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108</w:t>
      </w:r>
    </w:p>
    <w:p>
      <w:pPr>
        <w:sectPr>
          <w:pgSz w:w="11880" w:h="15480" w:orient="portrait"/>
          <w:cols w:equalWidth="0" w:num="1">
            <w:col w:w="9000"/>
          </w:cols>
          <w:pgMar w:left="1440" w:top="1205" w:right="1440" w:bottom="0" w:gutter="0" w:footer="0" w:header="0"/>
          <w:type w:val="continuous"/>
        </w:sectPr>
      </w:pPr>
    </w:p>
    <w:bookmarkStart w:id="200" w:name="page201"/>
    <w:bookmarkEnd w:id="200"/>
    <w:p>
      <w:pPr>
        <w:ind w:right="40" w:firstLine="360"/>
        <w:spacing w:after="0" w:line="257" w:lineRule="auto"/>
        <w:rPr>
          <w:sz w:val="20"/>
          <w:szCs w:val="20"/>
          <w:color w:val="auto"/>
        </w:rPr>
      </w:pPr>
      <w:r>
        <w:rPr>
          <w:rFonts w:ascii="Arial" w:cs="Arial" w:eastAsia="Arial" w:hAnsi="Arial"/>
          <w:sz w:val="20"/>
          <w:szCs w:val="20"/>
          <w:i w:val="1"/>
          <w:iCs w:val="1"/>
          <w:color w:val="auto"/>
        </w:rPr>
        <w:t xml:space="preserve">Expected Volatility. </w:t>
      </w:r>
      <w:r>
        <w:rPr>
          <w:rFonts w:ascii="Arial" w:cs="Arial" w:eastAsia="Arial" w:hAnsi="Arial"/>
          <w:sz w:val="20"/>
          <w:szCs w:val="20"/>
          <w:color w:val="auto"/>
        </w:rPr>
        <w:t>Volatility is a measure of the amount by which a financial variable, such as a</w:t>
      </w:r>
      <w:r>
        <w:rPr>
          <w:rFonts w:ascii="Arial" w:cs="Arial" w:eastAsia="Arial" w:hAnsi="Arial"/>
          <w:sz w:val="20"/>
          <w:szCs w:val="20"/>
          <w:i w:val="1"/>
          <w:iCs w:val="1"/>
          <w:color w:val="auto"/>
        </w:rPr>
        <w:t xml:space="preserve"> </w:t>
      </w:r>
      <w:r>
        <w:rPr>
          <w:rFonts w:ascii="Arial" w:cs="Arial" w:eastAsia="Arial" w:hAnsi="Arial"/>
          <w:sz w:val="20"/>
          <w:szCs w:val="20"/>
          <w:color w:val="auto"/>
        </w:rPr>
        <w:t>share price, has fluctuated (historical volatility) or is expected to fluctuate (expected volatility) during a period. In 2021, we began using the volatility of our common stock to calculate expected volatility. Prior to 2021, we identified several public entities of similar size, complexity, and stage of development and estimated our volatility based on the volatility of the common stock of these companies.</w:t>
      </w:r>
    </w:p>
    <w:p>
      <w:pPr>
        <w:spacing w:after="0" w:line="202" w:lineRule="exact"/>
        <w:rPr>
          <w:sz w:val="20"/>
          <w:szCs w:val="20"/>
          <w:color w:val="auto"/>
        </w:rPr>
      </w:pPr>
    </w:p>
    <w:p>
      <w:pPr>
        <w:ind w:right="40" w:firstLine="360"/>
        <w:spacing w:after="0" w:line="287" w:lineRule="auto"/>
        <w:rPr>
          <w:sz w:val="20"/>
          <w:szCs w:val="20"/>
          <w:color w:val="auto"/>
        </w:rPr>
      </w:pPr>
      <w:r>
        <w:rPr>
          <w:rFonts w:ascii="Arial" w:cs="Arial" w:eastAsia="Arial" w:hAnsi="Arial"/>
          <w:sz w:val="20"/>
          <w:szCs w:val="20"/>
          <w:i w:val="1"/>
          <w:iCs w:val="1"/>
          <w:color w:val="auto"/>
        </w:rPr>
        <w:t xml:space="preserve">Risk-Free Interest Rate. </w:t>
      </w:r>
      <w:r>
        <w:rPr>
          <w:rFonts w:ascii="Arial" w:cs="Arial" w:eastAsia="Arial" w:hAnsi="Arial"/>
          <w:sz w:val="20"/>
          <w:szCs w:val="20"/>
          <w:color w:val="auto"/>
        </w:rPr>
        <w:t>This is the U.S. Treasury rate, having a term that most closely resembles</w:t>
      </w:r>
      <w:r>
        <w:rPr>
          <w:rFonts w:ascii="Arial" w:cs="Arial" w:eastAsia="Arial" w:hAnsi="Arial"/>
          <w:sz w:val="20"/>
          <w:szCs w:val="20"/>
          <w:i w:val="1"/>
          <w:iCs w:val="1"/>
          <w:color w:val="auto"/>
        </w:rPr>
        <w:t xml:space="preserve"> </w:t>
      </w:r>
      <w:r>
        <w:rPr>
          <w:rFonts w:ascii="Arial" w:cs="Arial" w:eastAsia="Arial" w:hAnsi="Arial"/>
          <w:sz w:val="20"/>
          <w:szCs w:val="20"/>
          <w:color w:val="auto"/>
        </w:rPr>
        <w:t>the expected life of the stock option.</w:t>
      </w:r>
    </w:p>
    <w:p>
      <w:pPr>
        <w:spacing w:after="0" w:line="170" w:lineRule="exact"/>
        <w:rPr>
          <w:sz w:val="20"/>
          <w:szCs w:val="20"/>
          <w:color w:val="auto"/>
        </w:rPr>
      </w:pPr>
    </w:p>
    <w:p>
      <w:pPr>
        <w:ind w:right="180" w:firstLine="360"/>
        <w:spacing w:after="0" w:line="287" w:lineRule="auto"/>
        <w:rPr>
          <w:sz w:val="20"/>
          <w:szCs w:val="20"/>
          <w:color w:val="auto"/>
        </w:rPr>
      </w:pPr>
      <w:r>
        <w:rPr>
          <w:rFonts w:ascii="Arial" w:cs="Arial" w:eastAsia="Arial" w:hAnsi="Arial"/>
          <w:sz w:val="20"/>
          <w:szCs w:val="20"/>
          <w:i w:val="1"/>
          <w:iCs w:val="1"/>
          <w:color w:val="auto"/>
        </w:rPr>
        <w:t xml:space="preserve">Expected Dividend Yield. </w:t>
      </w:r>
      <w:r>
        <w:rPr>
          <w:rFonts w:ascii="Arial" w:cs="Arial" w:eastAsia="Arial" w:hAnsi="Arial"/>
          <w:sz w:val="20"/>
          <w:szCs w:val="20"/>
          <w:color w:val="auto"/>
        </w:rPr>
        <w:t>We have never declared or paid dividends and have no plans to do so</w:t>
      </w:r>
      <w:r>
        <w:rPr>
          <w:rFonts w:ascii="Arial" w:cs="Arial" w:eastAsia="Arial" w:hAnsi="Arial"/>
          <w:sz w:val="20"/>
          <w:szCs w:val="20"/>
          <w:i w:val="1"/>
          <w:iCs w:val="1"/>
          <w:color w:val="auto"/>
        </w:rPr>
        <w:t xml:space="preserve"> </w:t>
      </w:r>
      <w:r>
        <w:rPr>
          <w:rFonts w:ascii="Arial" w:cs="Arial" w:eastAsia="Arial" w:hAnsi="Arial"/>
          <w:sz w:val="20"/>
          <w:szCs w:val="20"/>
          <w:color w:val="auto"/>
        </w:rPr>
        <w:t>in the foreseeable future.</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2018 Employee Stock Purchase Plan</w:t>
      </w:r>
    </w:p>
    <w:p>
      <w:pPr>
        <w:spacing w:after="0" w:line="249" w:lineRule="exact"/>
        <w:rPr>
          <w:sz w:val="20"/>
          <w:szCs w:val="20"/>
          <w:color w:val="auto"/>
        </w:rPr>
      </w:pPr>
    </w:p>
    <w:p>
      <w:pPr>
        <w:ind w:right="40" w:firstLine="360"/>
        <w:spacing w:after="0" w:line="262" w:lineRule="auto"/>
        <w:rPr>
          <w:sz w:val="20"/>
          <w:szCs w:val="20"/>
          <w:color w:val="auto"/>
        </w:rPr>
      </w:pPr>
      <w:r>
        <w:rPr>
          <w:rFonts w:ascii="Arial" w:cs="Arial" w:eastAsia="Arial" w:hAnsi="Arial"/>
          <w:sz w:val="20"/>
          <w:szCs w:val="20"/>
          <w:color w:val="auto"/>
        </w:rPr>
        <w:t>In 2018, our Board of Directors adopted, and our stockholders approved, our 2018 ESPP. Under the evergreen provision, in January 2022 we reserved an additional 1.6 million shares of our common stock for issuance. At December 31, 2022, there were 7.5 million shares reserved for issuance under the 2018 ESPP.</w:t>
      </w:r>
    </w:p>
    <w:p>
      <w:pPr>
        <w:spacing w:after="0" w:line="196" w:lineRule="exact"/>
        <w:rPr>
          <w:sz w:val="20"/>
          <w:szCs w:val="20"/>
          <w:color w:val="auto"/>
        </w:rPr>
      </w:pPr>
    </w:p>
    <w:p>
      <w:pPr>
        <w:ind w:right="160" w:firstLine="360"/>
        <w:spacing w:after="0" w:line="255" w:lineRule="auto"/>
        <w:rPr>
          <w:sz w:val="20"/>
          <w:szCs w:val="20"/>
          <w:color w:val="auto"/>
        </w:rPr>
      </w:pPr>
      <w:r>
        <w:rPr>
          <w:rFonts w:ascii="Arial" w:cs="Arial" w:eastAsia="Arial" w:hAnsi="Arial"/>
          <w:sz w:val="20"/>
          <w:szCs w:val="20"/>
          <w:color w:val="auto"/>
        </w:rPr>
        <w:t>Under our 2018 ESPP, employees may set aside up to 15% of their gross earnings, on an after-tax basis, to purchase our common stock at a discounted price, which is calculated at 85% of the lower of the fair market value of our common stock on the first day of an offering or on the date of purchase. The 2018 ESPP permits offerings up to 27 months in duration, with one or more purchase periods in each offering. Additionally, in cases where the fair market value of a share of our common stock on the first day of a new purchase period within an offering is less than or equal to the fair market value of a share of our common stock at the beginning of the offering, that offering will be terminated and participants will be automatically enrolled in a new offering with a new 24-month duration and purchase periods every six months.</w:t>
      </w:r>
    </w:p>
    <w:p>
      <w:pPr>
        <w:spacing w:after="0" w:line="201" w:lineRule="exact"/>
        <w:rPr>
          <w:sz w:val="20"/>
          <w:szCs w:val="20"/>
          <w:color w:val="auto"/>
        </w:rPr>
      </w:pPr>
    </w:p>
    <w:p>
      <w:pPr>
        <w:ind w:right="60" w:firstLine="360"/>
        <w:spacing w:after="0" w:line="287" w:lineRule="auto"/>
        <w:rPr>
          <w:sz w:val="20"/>
          <w:szCs w:val="20"/>
          <w:color w:val="auto"/>
        </w:rPr>
      </w:pPr>
      <w:r>
        <w:rPr>
          <w:rFonts w:ascii="Arial" w:cs="Arial" w:eastAsia="Arial" w:hAnsi="Arial"/>
          <w:sz w:val="20"/>
          <w:szCs w:val="20"/>
          <w:color w:val="auto"/>
        </w:rPr>
        <w:t>In 2022, employees purchased 442,629 shares of our common stock at a weighted average price of $33.42 per share, resulting in $14.8 million of cash proceeds.</w:t>
      </w:r>
    </w:p>
    <w:p>
      <w:pPr>
        <w:spacing w:after="0" w:line="170" w:lineRule="exact"/>
        <w:rPr>
          <w:sz w:val="20"/>
          <w:szCs w:val="20"/>
          <w:color w:val="auto"/>
        </w:rPr>
      </w:pPr>
    </w:p>
    <w:p>
      <w:pPr>
        <w:ind w:right="60" w:firstLine="360"/>
        <w:spacing w:after="0" w:line="287" w:lineRule="auto"/>
        <w:rPr>
          <w:sz w:val="20"/>
          <w:szCs w:val="20"/>
          <w:color w:val="auto"/>
        </w:rPr>
      </w:pPr>
      <w:r>
        <w:rPr>
          <w:rFonts w:ascii="Arial" w:cs="Arial" w:eastAsia="Arial" w:hAnsi="Arial"/>
          <w:sz w:val="20"/>
          <w:szCs w:val="20"/>
          <w:color w:val="auto"/>
        </w:rPr>
        <w:t>In 2021, employees purchased 670,534 shares of our common stock at a weighted average price of $20.48 per share resulting in $13.7 million of cash proceeds.</w:t>
      </w:r>
    </w:p>
    <w:p>
      <w:pPr>
        <w:spacing w:after="0" w:line="170" w:lineRule="exact"/>
        <w:rPr>
          <w:sz w:val="20"/>
          <w:szCs w:val="20"/>
          <w:color w:val="auto"/>
        </w:rPr>
      </w:pPr>
    </w:p>
    <w:p>
      <w:pPr>
        <w:ind w:right="60" w:firstLine="360"/>
        <w:spacing w:after="0" w:line="287" w:lineRule="auto"/>
        <w:rPr>
          <w:sz w:val="20"/>
          <w:szCs w:val="20"/>
          <w:color w:val="auto"/>
        </w:rPr>
      </w:pPr>
      <w:r>
        <w:rPr>
          <w:rFonts w:ascii="Arial" w:cs="Arial" w:eastAsia="Arial" w:hAnsi="Arial"/>
          <w:sz w:val="20"/>
          <w:szCs w:val="20"/>
          <w:color w:val="auto"/>
        </w:rPr>
        <w:t>In 2020, employees purchased 667,719 shares of our common stock at a weighted average price of $19.53 per share resulting in $13.0 million of cash proceeds.</w:t>
      </w:r>
    </w:p>
    <w:p>
      <w:pPr>
        <w:spacing w:after="0" w:line="170" w:lineRule="exact"/>
        <w:rPr>
          <w:sz w:val="20"/>
          <w:szCs w:val="20"/>
          <w:color w:val="auto"/>
        </w:rPr>
      </w:pPr>
    </w:p>
    <w:p>
      <w:pPr>
        <w:ind w:right="800" w:firstLine="360"/>
        <w:spacing w:after="0" w:line="287" w:lineRule="auto"/>
        <w:rPr>
          <w:sz w:val="20"/>
          <w:szCs w:val="20"/>
          <w:color w:val="auto"/>
        </w:rPr>
      </w:pPr>
      <w:r>
        <w:rPr>
          <w:rFonts w:ascii="Arial" w:cs="Arial" w:eastAsia="Arial" w:hAnsi="Arial"/>
          <w:sz w:val="20"/>
          <w:szCs w:val="20"/>
          <w:color w:val="auto"/>
        </w:rPr>
        <w:t>At December 31, 2022 and 2021 there were $6.8 million and $6.0 million, respectively, of employee contributions to the 2018 ESPP included in accrued compensation.</w:t>
      </w:r>
    </w:p>
    <w:p>
      <w:pPr>
        <w:spacing w:after="0" w:line="170" w:lineRule="exact"/>
        <w:rPr>
          <w:sz w:val="20"/>
          <w:szCs w:val="20"/>
          <w:color w:val="auto"/>
        </w:rPr>
      </w:pPr>
    </w:p>
    <w:p>
      <w:pPr>
        <w:ind w:right="340" w:firstLine="360"/>
        <w:spacing w:after="0" w:line="287" w:lineRule="auto"/>
        <w:rPr>
          <w:sz w:val="20"/>
          <w:szCs w:val="20"/>
          <w:color w:val="auto"/>
        </w:rPr>
      </w:pPr>
      <w:r>
        <w:rPr>
          <w:rFonts w:ascii="Arial" w:cs="Arial" w:eastAsia="Arial" w:hAnsi="Arial"/>
          <w:sz w:val="20"/>
          <w:szCs w:val="20"/>
          <w:color w:val="auto"/>
        </w:rPr>
        <w:t>The fair value of the 2018 ESPP purchase rights was estimated on the offering or modification dates using a Black-Scholes option-pricing model and the following assumptions: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20" w:type="dxa"/>
            <w:vAlign w:val="bottom"/>
            <w:gridSpan w:val="6"/>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5"/>
        </w:trPr>
        <w:tc>
          <w:tcPr>
            <w:tcW w:w="3280" w:type="dxa"/>
            <w:vAlign w:val="bottom"/>
          </w:tcPr>
          <w:p>
            <w:pPr>
              <w:spacing w:after="0"/>
              <w:rPr>
                <w:sz w:val="20"/>
                <w:szCs w:val="20"/>
                <w:color w:val="auto"/>
              </w:rPr>
            </w:pPr>
          </w:p>
        </w:tc>
        <w:tc>
          <w:tcPr>
            <w:tcW w:w="1700" w:type="dxa"/>
            <w:vAlign w:val="bottom"/>
            <w:tcBorders>
              <w:top w:val="single" w:sz="8" w:color="auto"/>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2021</w:t>
            </w: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700" w:type="dxa"/>
            <w:vAlign w:val="bottom"/>
            <w:tcBorders>
              <w:top w:val="single" w:sz="8" w:color="auto"/>
              <w:bottom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rPr>
              <w:t>2020</w:t>
            </w:r>
          </w:p>
        </w:tc>
      </w:tr>
      <w:tr>
        <w:trPr>
          <w:trHeight w:val="271"/>
        </w:trPr>
        <w:tc>
          <w:tcPr>
            <w:tcW w:w="3280" w:type="dxa"/>
            <w:vAlign w:val="bottom"/>
          </w:tcPr>
          <w:p>
            <w:pPr>
              <w:ind w:left="60"/>
              <w:spacing w:after="0"/>
              <w:rPr>
                <w:sz w:val="20"/>
                <w:szCs w:val="20"/>
                <w:color w:val="auto"/>
              </w:rPr>
            </w:pPr>
            <w:r>
              <w:rPr>
                <w:rFonts w:ascii="Arial" w:cs="Arial" w:eastAsia="Arial" w:hAnsi="Arial"/>
                <w:sz w:val="20"/>
                <w:szCs w:val="20"/>
                <w:color w:val="auto"/>
              </w:rPr>
              <w:t>Expected term (in years)</w:t>
            </w:r>
          </w:p>
        </w:tc>
        <w:tc>
          <w:tcPr>
            <w:tcW w:w="800" w:type="dxa"/>
            <w:vAlign w:val="bottom"/>
          </w:tcPr>
          <w:p>
            <w:pPr>
              <w:jc w:val="right"/>
              <w:spacing w:after="0"/>
              <w:rPr>
                <w:sz w:val="20"/>
                <w:szCs w:val="20"/>
                <w:color w:val="auto"/>
              </w:rPr>
            </w:pPr>
            <w:r>
              <w:rPr>
                <w:rFonts w:ascii="Arial" w:cs="Arial" w:eastAsia="Arial" w:hAnsi="Arial"/>
                <w:sz w:val="20"/>
                <w:szCs w:val="20"/>
                <w:color w:val="auto"/>
              </w:rPr>
              <w:t>0.5</w:t>
            </w:r>
          </w:p>
        </w:tc>
        <w:tc>
          <w:tcPr>
            <w:tcW w:w="900" w:type="dxa"/>
            <w:vAlign w:val="bottom"/>
          </w:tcPr>
          <w:p>
            <w:pPr>
              <w:ind w:left="20"/>
              <w:spacing w:after="0"/>
              <w:rPr>
                <w:sz w:val="20"/>
                <w:szCs w:val="20"/>
                <w:color w:val="auto"/>
              </w:rPr>
            </w:pPr>
            <w:r>
              <w:rPr>
                <w:rFonts w:ascii="Arial" w:cs="Arial" w:eastAsia="Arial" w:hAnsi="Arial"/>
                <w:sz w:val="20"/>
                <w:szCs w:val="20"/>
                <w:color w:val="auto"/>
              </w:rPr>
              <w:t>— 2.0</w:t>
            </w:r>
          </w:p>
        </w:tc>
        <w:tc>
          <w:tcPr>
            <w:tcW w:w="1040" w:type="dxa"/>
            <w:vAlign w:val="bottom"/>
            <w:gridSpan w:val="3"/>
          </w:tcPr>
          <w:p>
            <w:pPr>
              <w:jc w:val="right"/>
              <w:spacing w:after="0"/>
              <w:rPr>
                <w:sz w:val="20"/>
                <w:szCs w:val="20"/>
                <w:color w:val="auto"/>
              </w:rPr>
            </w:pPr>
            <w:r>
              <w:rPr>
                <w:rFonts w:ascii="Arial" w:cs="Arial" w:eastAsia="Arial" w:hAnsi="Arial"/>
                <w:sz w:val="20"/>
                <w:szCs w:val="20"/>
                <w:color w:val="auto"/>
              </w:rPr>
              <w:t>0.5</w:t>
            </w:r>
          </w:p>
        </w:tc>
        <w:tc>
          <w:tcPr>
            <w:tcW w:w="1280" w:type="dxa"/>
            <w:vAlign w:val="bottom"/>
            <w:gridSpan w:val="3"/>
          </w:tcPr>
          <w:p>
            <w:pPr>
              <w:ind w:left="20"/>
              <w:spacing w:after="0"/>
              <w:rPr>
                <w:sz w:val="20"/>
                <w:szCs w:val="20"/>
                <w:color w:val="auto"/>
              </w:rPr>
            </w:pPr>
            <w:r>
              <w:rPr>
                <w:rFonts w:ascii="Arial" w:cs="Arial" w:eastAsia="Arial" w:hAnsi="Arial"/>
                <w:sz w:val="20"/>
                <w:szCs w:val="20"/>
                <w:color w:val="auto"/>
              </w:rPr>
              <w:t>— 2.0</w:t>
            </w:r>
          </w:p>
        </w:tc>
        <w:tc>
          <w:tcPr>
            <w:tcW w:w="640" w:type="dxa"/>
            <w:vAlign w:val="bottom"/>
          </w:tcPr>
          <w:p>
            <w:pPr>
              <w:jc w:val="right"/>
              <w:spacing w:after="0"/>
              <w:rPr>
                <w:sz w:val="20"/>
                <w:szCs w:val="20"/>
                <w:color w:val="auto"/>
              </w:rPr>
            </w:pPr>
            <w:r>
              <w:rPr>
                <w:rFonts w:ascii="Arial" w:cs="Arial" w:eastAsia="Arial" w:hAnsi="Arial"/>
                <w:sz w:val="20"/>
                <w:szCs w:val="20"/>
                <w:color w:val="auto"/>
              </w:rPr>
              <w:t>0.5</w:t>
            </w:r>
          </w:p>
        </w:tc>
        <w:tc>
          <w:tcPr>
            <w:tcW w:w="1060" w:type="dxa"/>
            <w:vAlign w:val="bottom"/>
          </w:tcPr>
          <w:p>
            <w:pPr>
              <w:ind w:left="20"/>
              <w:spacing w:after="0"/>
              <w:rPr>
                <w:sz w:val="20"/>
                <w:szCs w:val="20"/>
                <w:color w:val="auto"/>
              </w:rPr>
            </w:pPr>
            <w:r>
              <w:rPr>
                <w:rFonts w:ascii="Arial" w:cs="Arial" w:eastAsia="Arial" w:hAnsi="Arial"/>
                <w:sz w:val="20"/>
                <w:szCs w:val="20"/>
                <w:color w:val="auto"/>
              </w:rPr>
              <w:t>— 2.0</w:t>
            </w:r>
          </w:p>
        </w:tc>
      </w:tr>
      <w:tr>
        <w:trPr>
          <w:trHeight w:val="289"/>
        </w:trPr>
        <w:tc>
          <w:tcPr>
            <w:tcW w:w="3280" w:type="dxa"/>
            <w:vAlign w:val="bottom"/>
            <w:shd w:val="clear" w:color="auto" w:fill="D2EDF0"/>
          </w:tcPr>
          <w:p>
            <w:pPr>
              <w:ind w:left="60"/>
              <w:spacing w:after="0"/>
              <w:rPr>
                <w:sz w:val="20"/>
                <w:szCs w:val="20"/>
                <w:color w:val="auto"/>
              </w:rPr>
            </w:pPr>
            <w:r>
              <w:rPr>
                <w:rFonts w:ascii="Arial" w:cs="Arial" w:eastAsia="Arial" w:hAnsi="Arial"/>
                <w:sz w:val="20"/>
                <w:szCs w:val="20"/>
                <w:color w:val="auto"/>
              </w:rPr>
              <w:t>Expected volatility</w:t>
            </w:r>
          </w:p>
        </w:tc>
        <w:tc>
          <w:tcPr>
            <w:tcW w:w="8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42.8%</w:t>
            </w:r>
          </w:p>
        </w:tc>
        <w:tc>
          <w:tcPr>
            <w:tcW w:w="900" w:type="dxa"/>
            <w:vAlign w:val="bottom"/>
            <w:shd w:val="clear" w:color="auto" w:fill="D2EDF0"/>
          </w:tcPr>
          <w:p>
            <w:pPr>
              <w:ind w:left="20"/>
              <w:spacing w:after="0"/>
              <w:rPr>
                <w:sz w:val="20"/>
                <w:szCs w:val="20"/>
                <w:color w:val="auto"/>
              </w:rPr>
            </w:pPr>
            <w:r>
              <w:rPr>
                <w:rFonts w:ascii="Arial" w:cs="Arial" w:eastAsia="Arial" w:hAnsi="Arial"/>
                <w:sz w:val="20"/>
                <w:szCs w:val="20"/>
                <w:color w:val="auto"/>
              </w:rPr>
              <w:t>— 61.0%</w:t>
            </w:r>
          </w:p>
        </w:tc>
        <w:tc>
          <w:tcPr>
            <w:tcW w:w="1040" w:type="dxa"/>
            <w:vAlign w:val="bottom"/>
            <w:gridSpan w:val="3"/>
            <w:shd w:val="clear" w:color="auto" w:fill="D2EDF0"/>
          </w:tcPr>
          <w:p>
            <w:pPr>
              <w:jc w:val="right"/>
              <w:spacing w:after="0"/>
              <w:rPr>
                <w:sz w:val="20"/>
                <w:szCs w:val="20"/>
                <w:color w:val="auto"/>
              </w:rPr>
            </w:pPr>
            <w:r>
              <w:rPr>
                <w:rFonts w:ascii="Arial" w:cs="Arial" w:eastAsia="Arial" w:hAnsi="Arial"/>
                <w:sz w:val="20"/>
                <w:szCs w:val="20"/>
                <w:color w:val="auto"/>
              </w:rPr>
              <w:t>37.2%</w:t>
            </w:r>
          </w:p>
        </w:tc>
        <w:tc>
          <w:tcPr>
            <w:tcW w:w="1280" w:type="dxa"/>
            <w:vAlign w:val="bottom"/>
            <w:gridSpan w:val="3"/>
            <w:shd w:val="clear" w:color="auto" w:fill="D2EDF0"/>
          </w:tcPr>
          <w:p>
            <w:pPr>
              <w:ind w:left="20"/>
              <w:spacing w:after="0"/>
              <w:rPr>
                <w:sz w:val="20"/>
                <w:szCs w:val="20"/>
                <w:color w:val="auto"/>
              </w:rPr>
            </w:pPr>
            <w:r>
              <w:rPr>
                <w:rFonts w:ascii="Arial" w:cs="Arial" w:eastAsia="Arial" w:hAnsi="Arial"/>
                <w:sz w:val="20"/>
                <w:szCs w:val="20"/>
                <w:color w:val="auto"/>
              </w:rPr>
              <w:t>— 59.4%</w:t>
            </w:r>
          </w:p>
        </w:tc>
        <w:tc>
          <w:tcPr>
            <w:tcW w:w="6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41.6%</w:t>
            </w:r>
          </w:p>
        </w:tc>
        <w:tc>
          <w:tcPr>
            <w:tcW w:w="1060" w:type="dxa"/>
            <w:vAlign w:val="bottom"/>
            <w:shd w:val="clear" w:color="auto" w:fill="D2EDF0"/>
          </w:tcPr>
          <w:p>
            <w:pPr>
              <w:ind w:left="20"/>
              <w:spacing w:after="0"/>
              <w:rPr>
                <w:sz w:val="20"/>
                <w:szCs w:val="20"/>
                <w:color w:val="auto"/>
              </w:rPr>
            </w:pPr>
            <w:r>
              <w:rPr>
                <w:rFonts w:ascii="Arial" w:cs="Arial" w:eastAsia="Arial" w:hAnsi="Arial"/>
                <w:sz w:val="20"/>
                <w:szCs w:val="20"/>
                <w:color w:val="auto"/>
              </w:rPr>
              <w:t>— 60.1%</w:t>
            </w:r>
          </w:p>
        </w:tc>
      </w:tr>
      <w:tr>
        <w:trPr>
          <w:trHeight w:val="281"/>
        </w:trPr>
        <w:tc>
          <w:tcPr>
            <w:tcW w:w="3280" w:type="dxa"/>
            <w:vAlign w:val="bottom"/>
          </w:tcPr>
          <w:p>
            <w:pPr>
              <w:ind w:left="60"/>
              <w:spacing w:after="0"/>
              <w:rPr>
                <w:sz w:val="20"/>
                <w:szCs w:val="20"/>
                <w:color w:val="auto"/>
              </w:rPr>
            </w:pPr>
            <w:r>
              <w:rPr>
                <w:rFonts w:ascii="Arial" w:cs="Arial" w:eastAsia="Arial" w:hAnsi="Arial"/>
                <w:sz w:val="20"/>
                <w:szCs w:val="20"/>
                <w:color w:val="auto"/>
              </w:rPr>
              <w:t>Risk-free interest rate</w:t>
            </w:r>
          </w:p>
        </w:tc>
        <w:tc>
          <w:tcPr>
            <w:tcW w:w="800" w:type="dxa"/>
            <w:vAlign w:val="bottom"/>
          </w:tcPr>
          <w:p>
            <w:pPr>
              <w:jc w:val="right"/>
              <w:spacing w:after="0"/>
              <w:rPr>
                <w:sz w:val="20"/>
                <w:szCs w:val="20"/>
                <w:color w:val="auto"/>
              </w:rPr>
            </w:pPr>
            <w:r>
              <w:rPr>
                <w:rFonts w:ascii="Arial" w:cs="Arial" w:eastAsia="Arial" w:hAnsi="Arial"/>
                <w:sz w:val="20"/>
                <w:szCs w:val="20"/>
                <w:color w:val="auto"/>
              </w:rPr>
              <w:t>0.1%</w:t>
            </w:r>
          </w:p>
        </w:tc>
        <w:tc>
          <w:tcPr>
            <w:tcW w:w="900" w:type="dxa"/>
            <w:vAlign w:val="bottom"/>
          </w:tcPr>
          <w:p>
            <w:pPr>
              <w:ind w:left="20"/>
              <w:spacing w:after="0"/>
              <w:rPr>
                <w:sz w:val="20"/>
                <w:szCs w:val="20"/>
                <w:color w:val="auto"/>
              </w:rPr>
            </w:pPr>
            <w:r>
              <w:rPr>
                <w:rFonts w:ascii="Arial" w:cs="Arial" w:eastAsia="Arial" w:hAnsi="Arial"/>
                <w:sz w:val="20"/>
                <w:szCs w:val="20"/>
                <w:color w:val="auto"/>
              </w:rPr>
              <w:t>— 3.4%</w:t>
            </w:r>
          </w:p>
        </w:tc>
        <w:tc>
          <w:tcPr>
            <w:tcW w:w="1040" w:type="dxa"/>
            <w:vAlign w:val="bottom"/>
            <w:gridSpan w:val="3"/>
          </w:tcPr>
          <w:p>
            <w:pPr>
              <w:jc w:val="right"/>
              <w:spacing w:after="0"/>
              <w:rPr>
                <w:sz w:val="20"/>
                <w:szCs w:val="20"/>
                <w:color w:val="auto"/>
              </w:rPr>
            </w:pPr>
            <w:r>
              <w:rPr>
                <w:rFonts w:ascii="Arial" w:cs="Arial" w:eastAsia="Arial" w:hAnsi="Arial"/>
                <w:sz w:val="20"/>
                <w:szCs w:val="20"/>
                <w:color w:val="auto"/>
              </w:rPr>
              <w:t>0.1%</w:t>
            </w:r>
          </w:p>
        </w:tc>
        <w:tc>
          <w:tcPr>
            <w:tcW w:w="1280" w:type="dxa"/>
            <w:vAlign w:val="bottom"/>
            <w:gridSpan w:val="3"/>
          </w:tcPr>
          <w:p>
            <w:pPr>
              <w:ind w:left="20"/>
              <w:spacing w:after="0"/>
              <w:rPr>
                <w:sz w:val="20"/>
                <w:szCs w:val="20"/>
                <w:color w:val="auto"/>
              </w:rPr>
            </w:pPr>
            <w:r>
              <w:rPr>
                <w:rFonts w:ascii="Arial" w:cs="Arial" w:eastAsia="Arial" w:hAnsi="Arial"/>
                <w:sz w:val="20"/>
                <w:szCs w:val="20"/>
                <w:color w:val="auto"/>
              </w:rPr>
              <w:t>— 0.2%</w:t>
            </w:r>
          </w:p>
        </w:tc>
        <w:tc>
          <w:tcPr>
            <w:tcW w:w="640" w:type="dxa"/>
            <w:vAlign w:val="bottom"/>
          </w:tcPr>
          <w:p>
            <w:pPr>
              <w:jc w:val="right"/>
              <w:spacing w:after="0"/>
              <w:rPr>
                <w:sz w:val="20"/>
                <w:szCs w:val="20"/>
                <w:color w:val="auto"/>
              </w:rPr>
            </w:pPr>
            <w:r>
              <w:rPr>
                <w:rFonts w:ascii="Arial" w:cs="Arial" w:eastAsia="Arial" w:hAnsi="Arial"/>
                <w:sz w:val="20"/>
                <w:szCs w:val="20"/>
                <w:color w:val="auto"/>
              </w:rPr>
              <w:t>0.1%</w:t>
            </w:r>
          </w:p>
        </w:tc>
        <w:tc>
          <w:tcPr>
            <w:tcW w:w="1060" w:type="dxa"/>
            <w:vAlign w:val="bottom"/>
          </w:tcPr>
          <w:p>
            <w:pPr>
              <w:ind w:left="20"/>
              <w:spacing w:after="0"/>
              <w:rPr>
                <w:sz w:val="20"/>
                <w:szCs w:val="20"/>
                <w:color w:val="auto"/>
              </w:rPr>
            </w:pPr>
            <w:r>
              <w:rPr>
                <w:rFonts w:ascii="Arial" w:cs="Arial" w:eastAsia="Arial" w:hAnsi="Arial"/>
                <w:sz w:val="20"/>
                <w:szCs w:val="20"/>
                <w:color w:val="auto"/>
              </w:rPr>
              <w:t>— 0.9%</w:t>
            </w:r>
          </w:p>
        </w:tc>
      </w:tr>
      <w:tr>
        <w:trPr>
          <w:trHeight w:val="289"/>
        </w:trPr>
        <w:tc>
          <w:tcPr>
            <w:tcW w:w="3280" w:type="dxa"/>
            <w:vAlign w:val="bottom"/>
            <w:shd w:val="clear" w:color="auto" w:fill="D2EDF0"/>
          </w:tcPr>
          <w:p>
            <w:pPr>
              <w:ind w:left="60"/>
              <w:spacing w:after="0"/>
              <w:rPr>
                <w:sz w:val="20"/>
                <w:szCs w:val="20"/>
                <w:color w:val="auto"/>
              </w:rPr>
            </w:pPr>
            <w:r>
              <w:rPr>
                <w:rFonts w:ascii="Arial" w:cs="Arial" w:eastAsia="Arial" w:hAnsi="Arial"/>
                <w:sz w:val="20"/>
                <w:szCs w:val="20"/>
                <w:color w:val="auto"/>
              </w:rPr>
              <w:t>Expected dividend yield</w:t>
            </w:r>
          </w:p>
        </w:tc>
        <w:tc>
          <w:tcPr>
            <w:tcW w:w="800" w:type="dxa"/>
            <w:vAlign w:val="bottom"/>
            <w:shd w:val="clear" w:color="auto" w:fill="D2EDF0"/>
          </w:tcPr>
          <w:p>
            <w:pPr>
              <w:spacing w:after="0"/>
              <w:rPr>
                <w:sz w:val="24"/>
                <w:szCs w:val="24"/>
                <w:color w:val="auto"/>
              </w:rPr>
            </w:pPr>
          </w:p>
        </w:tc>
        <w:tc>
          <w:tcPr>
            <w:tcW w:w="900" w:type="dxa"/>
            <w:vAlign w:val="bottom"/>
            <w:shd w:val="clear" w:color="auto" w:fill="D2EDF0"/>
          </w:tcPr>
          <w:p>
            <w:pPr>
              <w:jc w:val="center"/>
              <w:ind w:right="520"/>
              <w:spacing w:after="0"/>
              <w:rPr>
                <w:sz w:val="20"/>
                <w:szCs w:val="20"/>
                <w:color w:val="auto"/>
              </w:rPr>
            </w:pPr>
            <w:r>
              <w:rPr>
                <w:rFonts w:ascii="Arial" w:cs="Arial" w:eastAsia="Arial" w:hAnsi="Arial"/>
                <w:sz w:val="20"/>
                <w:szCs w:val="20"/>
                <w:color w:val="auto"/>
                <w:w w:val="99"/>
              </w:rPr>
              <w:t>—</w:t>
            </w:r>
          </w:p>
        </w:tc>
        <w:tc>
          <w:tcPr>
            <w:tcW w:w="16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800" w:type="dxa"/>
            <w:vAlign w:val="bottom"/>
            <w:shd w:val="clear" w:color="auto" w:fill="D2EDF0"/>
          </w:tcPr>
          <w:p>
            <w:pPr>
              <w:spacing w:after="0"/>
              <w:rPr>
                <w:sz w:val="24"/>
                <w:szCs w:val="24"/>
                <w:color w:val="auto"/>
              </w:rPr>
            </w:pPr>
          </w:p>
        </w:tc>
        <w:tc>
          <w:tcPr>
            <w:tcW w:w="1280" w:type="dxa"/>
            <w:vAlign w:val="bottom"/>
            <w:gridSpan w:val="3"/>
            <w:shd w:val="clear" w:color="auto" w:fill="D2EDF0"/>
          </w:tcPr>
          <w:p>
            <w:pPr>
              <w:jc w:val="center"/>
              <w:ind w:right="1000"/>
              <w:spacing w:after="0"/>
              <w:rPr>
                <w:sz w:val="20"/>
                <w:szCs w:val="20"/>
                <w:color w:val="auto"/>
              </w:rPr>
            </w:pPr>
            <w:r>
              <w:rPr>
                <w:rFonts w:ascii="Arial" w:cs="Arial" w:eastAsia="Arial" w:hAnsi="Arial"/>
                <w:sz w:val="20"/>
                <w:szCs w:val="20"/>
                <w:color w:val="auto"/>
                <w:w w:val="99"/>
              </w:rPr>
              <w:t>—</w:t>
            </w:r>
          </w:p>
        </w:tc>
        <w:tc>
          <w:tcPr>
            <w:tcW w:w="640" w:type="dxa"/>
            <w:vAlign w:val="bottom"/>
            <w:shd w:val="clear" w:color="auto" w:fill="D2EDF0"/>
          </w:tcPr>
          <w:p>
            <w:pPr>
              <w:spacing w:after="0"/>
              <w:rPr>
                <w:sz w:val="24"/>
                <w:szCs w:val="24"/>
                <w:color w:val="auto"/>
              </w:rPr>
            </w:pPr>
          </w:p>
        </w:tc>
        <w:tc>
          <w:tcPr>
            <w:tcW w:w="1060" w:type="dxa"/>
            <w:vAlign w:val="bottom"/>
            <w:shd w:val="clear" w:color="auto" w:fill="D2EDF0"/>
          </w:tcPr>
          <w:p>
            <w:pPr>
              <w:jc w:val="center"/>
              <w:ind w:right="680"/>
              <w:spacing w:after="0"/>
              <w:rPr>
                <w:sz w:val="20"/>
                <w:szCs w:val="20"/>
                <w:color w:val="auto"/>
              </w:rPr>
            </w:pPr>
            <w:r>
              <w:rPr>
                <w:rFonts w:ascii="Arial" w:cs="Arial" w:eastAsia="Arial" w:hAnsi="Arial"/>
                <w:sz w:val="20"/>
                <w:szCs w:val="20"/>
                <w:color w:val="auto"/>
                <w:w w:val="99"/>
              </w:rPr>
              <w:t>—</w:t>
            </w:r>
          </w:p>
        </w:tc>
      </w:tr>
    </w:tbl>
    <w:p>
      <w:pPr>
        <w:spacing w:after="0" w:line="200" w:lineRule="exact"/>
        <w:rPr>
          <w:sz w:val="20"/>
          <w:szCs w:val="20"/>
          <w:color w:val="auto"/>
        </w:rPr>
      </w:pP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109</w:t>
      </w:r>
    </w:p>
    <w:p>
      <w:pPr>
        <w:sectPr>
          <w:pgSz w:w="11880" w:h="15480" w:orient="portrait"/>
          <w:cols w:equalWidth="0" w:num="1">
            <w:col w:w="9000"/>
          </w:cols>
          <w:pgMar w:left="1440" w:top="1204" w:right="1440" w:bottom="0" w:gutter="0" w:footer="0" w:header="0"/>
          <w:type w:val="continuous"/>
        </w:sectPr>
      </w:pPr>
    </w:p>
    <w:bookmarkStart w:id="201" w:name="page202"/>
    <w:bookmarkEnd w:id="201"/>
    <w:p>
      <w:pPr>
        <w:ind w:left="360"/>
        <w:spacing w:after="0"/>
        <w:rPr>
          <w:sz w:val="20"/>
          <w:szCs w:val="20"/>
          <w:color w:val="auto"/>
        </w:rPr>
      </w:pPr>
      <w:r>
        <w:rPr>
          <w:rFonts w:ascii="Arial" w:cs="Arial" w:eastAsia="Arial" w:hAnsi="Arial"/>
          <w:sz w:val="20"/>
          <w:szCs w:val="20"/>
          <w:b w:val="1"/>
          <w:bCs w:val="1"/>
          <w:color w:val="auto"/>
        </w:rPr>
        <w:t>11. Income Taxes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U.S. and foreign components of the loss before income taxes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center"/>
              <w:ind w:left="503"/>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940" w:type="dxa"/>
            <w:vAlign w:val="bottom"/>
            <w:gridSpan w:val="2"/>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43"/>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21"/>
              <w:spacing w:after="0"/>
              <w:rPr>
                <w:sz w:val="20"/>
                <w:szCs w:val="20"/>
                <w:color w:val="auto"/>
              </w:rPr>
            </w:pPr>
            <w:r>
              <w:rPr>
                <w:rFonts w:ascii="Arial" w:cs="Arial" w:eastAsia="Arial" w:hAnsi="Arial"/>
                <w:sz w:val="18"/>
                <w:szCs w:val="18"/>
                <w:b w:val="1"/>
                <w:bCs w:val="1"/>
                <w:color w:val="auto"/>
                <w:w w:val="99"/>
              </w:rPr>
              <w:t>2021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90"/>
        </w:trPr>
        <w:tc>
          <w:tcPr>
            <w:tcW w:w="4940" w:type="dxa"/>
            <w:vAlign w:val="bottom"/>
            <w:gridSpan w:val="2"/>
          </w:tcPr>
          <w:p>
            <w:pPr>
              <w:ind w:left="60"/>
              <w:spacing w:after="0"/>
              <w:rPr>
                <w:sz w:val="20"/>
                <w:szCs w:val="20"/>
                <w:color w:val="auto"/>
              </w:rPr>
            </w:pPr>
            <w:r>
              <w:rPr>
                <w:rFonts w:ascii="Arial" w:cs="Arial" w:eastAsia="Arial" w:hAnsi="Arial"/>
                <w:sz w:val="20"/>
                <w:szCs w:val="20"/>
                <w:color w:val="auto"/>
              </w:rPr>
              <w:t>U.S. loss</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80" w:type="dxa"/>
            <w:vAlign w:val="bottom"/>
            <w:tcBorders>
              <w:right w:val="single" w:sz="8" w:color="D2EDF0"/>
            </w:tcBorders>
          </w:tcPr>
          <w:p>
            <w:pPr>
              <w:jc w:val="right"/>
              <w:ind w:right="3"/>
              <w:spacing w:after="0"/>
              <w:rPr>
                <w:sz w:val="20"/>
                <w:szCs w:val="20"/>
                <w:color w:val="auto"/>
              </w:rPr>
            </w:pPr>
            <w:r>
              <w:rPr>
                <w:rFonts w:ascii="Arial" w:cs="Arial" w:eastAsia="Arial" w:hAnsi="Arial"/>
                <w:sz w:val="20"/>
                <w:szCs w:val="20"/>
                <w:color w:val="auto"/>
              </w:rPr>
              <w:t>(23,768)</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(3,319)</w:t>
            </w:r>
          </w:p>
        </w:tc>
        <w:tc>
          <w:tcPr>
            <w:tcW w:w="480" w:type="dxa"/>
            <w:vAlign w:val="bottom"/>
            <w:gridSpan w:val="3"/>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(6,719)</w:t>
            </w:r>
          </w:p>
        </w:tc>
        <w:tc>
          <w:tcPr>
            <w:tcW w:w="0" w:type="dxa"/>
            <w:vAlign w:val="bottom"/>
          </w:tcPr>
          <w:p>
            <w:pPr>
              <w:spacing w:after="0"/>
              <w:rPr>
                <w:sz w:val="1"/>
                <w:szCs w:val="1"/>
                <w:color w:val="auto"/>
              </w:rPr>
            </w:pPr>
          </w:p>
        </w:tc>
      </w:tr>
      <w:tr>
        <w:trPr>
          <w:trHeight w:val="290"/>
        </w:trPr>
        <w:tc>
          <w:tcPr>
            <w:tcW w:w="4940" w:type="dxa"/>
            <w:vAlign w:val="bottom"/>
            <w:gridSpan w:val="2"/>
          </w:tcPr>
          <w:p>
            <w:pPr>
              <w:ind w:left="60"/>
              <w:spacing w:after="0"/>
              <w:rPr>
                <w:sz w:val="20"/>
                <w:szCs w:val="20"/>
                <w:color w:val="auto"/>
              </w:rPr>
            </w:pPr>
            <w:r>
              <w:rPr>
                <w:rFonts w:ascii="Arial" w:cs="Arial" w:eastAsia="Arial" w:hAnsi="Arial"/>
                <w:sz w:val="20"/>
                <w:szCs w:val="20"/>
                <w:color w:val="auto"/>
              </w:rPr>
              <w:t>Foreign loss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(61,521)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(47,310)</w:t>
            </w:r>
          </w:p>
        </w:tc>
        <w:tc>
          <w:tcPr>
            <w:tcW w:w="60" w:type="dxa"/>
            <w:vAlign w:val="bottom"/>
            <w:tcBorders>
              <w:bottom w:val="single" w:sz="8" w:color="D2EDF0"/>
            </w:tcBorders>
          </w:tcPr>
          <w:p>
            <w:pPr>
              <w:spacing w:after="0"/>
              <w:rPr>
                <w:sz w:val="24"/>
                <w:szCs w:val="24"/>
                <w:color w:val="auto"/>
              </w:rPr>
            </w:pPr>
          </w:p>
        </w:tc>
        <w:tc>
          <w:tcPr>
            <w:tcW w:w="20" w:type="dxa"/>
            <w:vAlign w:val="bottom"/>
            <w:tcBorders>
              <w:bottom w:val="single" w:sz="8" w:color="D2EDF0"/>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(30,355)</w:t>
            </w:r>
          </w:p>
        </w:tc>
        <w:tc>
          <w:tcPr>
            <w:tcW w:w="0" w:type="dxa"/>
            <w:vAlign w:val="bottom"/>
          </w:tcPr>
          <w:p>
            <w:pPr>
              <w:spacing w:after="0"/>
              <w:rPr>
                <w:sz w:val="1"/>
                <w:szCs w:val="1"/>
                <w:color w:val="auto"/>
              </w:rPr>
            </w:pPr>
          </w:p>
        </w:tc>
      </w:tr>
      <w:tr>
        <w:trPr>
          <w:trHeight w:val="280"/>
        </w:trPr>
        <w:tc>
          <w:tcPr>
            <w:tcW w:w="4940" w:type="dxa"/>
            <w:vAlign w:val="bottom"/>
            <w:gridSpan w:val="2"/>
          </w:tcPr>
          <w:p>
            <w:pPr>
              <w:ind w:left="180"/>
              <w:spacing w:after="0"/>
              <w:rPr>
                <w:sz w:val="20"/>
                <w:szCs w:val="20"/>
                <w:color w:val="auto"/>
              </w:rPr>
            </w:pPr>
            <w:r>
              <w:rPr>
                <w:rFonts w:ascii="Arial" w:cs="Arial" w:eastAsia="Arial" w:hAnsi="Arial"/>
                <w:sz w:val="20"/>
                <w:szCs w:val="20"/>
                <w:color w:val="auto"/>
              </w:rPr>
              <w:t>Total loss before income taxes</w:t>
            </w:r>
          </w:p>
        </w:tc>
        <w:tc>
          <w:tcPr>
            <w:tcW w:w="300" w:type="dxa"/>
            <w:vAlign w:val="bottom"/>
            <w:tcBorders>
              <w:bottom w:val="single" w:sz="8" w:color="auto"/>
            </w:tcBorders>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right w:val="single" w:sz="8" w:color="D2EDF0"/>
            </w:tcBorders>
            <w:shd w:val="clear" w:color="auto" w:fill="D2EDF0"/>
          </w:tcPr>
          <w:p>
            <w:pPr>
              <w:jc w:val="right"/>
              <w:ind w:right="3"/>
              <w:spacing w:after="0"/>
              <w:rPr>
                <w:sz w:val="20"/>
                <w:szCs w:val="20"/>
                <w:color w:val="auto"/>
              </w:rPr>
            </w:pPr>
            <w:r>
              <w:rPr>
                <w:rFonts w:ascii="Arial" w:cs="Arial" w:eastAsia="Arial" w:hAnsi="Arial"/>
                <w:sz w:val="20"/>
                <w:szCs w:val="20"/>
                <w:color w:val="auto"/>
              </w:rPr>
              <w:t>(85,289)</w:t>
            </w:r>
          </w:p>
        </w:tc>
        <w:tc>
          <w:tcPr>
            <w:tcW w:w="300" w:type="dxa"/>
            <w:vAlign w:val="bottom"/>
            <w:tcBorders>
              <w:bottom w:val="single" w:sz="8" w:color="auto"/>
            </w:tcBorders>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(50,629)</w:t>
            </w:r>
          </w:p>
        </w:tc>
        <w:tc>
          <w:tcPr>
            <w:tcW w:w="80" w:type="dxa"/>
            <w:vAlign w:val="bottom"/>
            <w:tcBorders>
              <w:bottom w:val="single" w:sz="8" w:color="D2EDF0"/>
            </w:tcBorders>
            <w:gridSpan w:val="2"/>
            <w:shd w:val="clear" w:color="auto" w:fill="D2EDF0"/>
          </w:tcPr>
          <w:p>
            <w:pPr>
              <w:spacing w:after="0"/>
              <w:rPr>
                <w:sz w:val="24"/>
                <w:szCs w:val="24"/>
                <w:color w:val="auto"/>
              </w:rPr>
            </w:pPr>
          </w:p>
        </w:tc>
        <w:tc>
          <w:tcPr>
            <w:tcW w:w="400" w:type="dxa"/>
            <w:vAlign w:val="bottom"/>
            <w:tcBorders>
              <w:bottom w:val="single" w:sz="8" w:color="auto"/>
            </w:tcBorders>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(37,074)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320" w:type="dxa"/>
            <w:vAlign w:val="bottom"/>
            <w:gridSpan w:val="4"/>
          </w:tcPr>
          <w:p>
            <w:pPr>
              <w:ind w:left="360"/>
              <w:spacing w:after="0"/>
              <w:rPr>
                <w:sz w:val="20"/>
                <w:szCs w:val="20"/>
                <w:color w:val="auto"/>
              </w:rPr>
            </w:pPr>
            <w:r>
              <w:rPr>
                <w:rFonts w:ascii="Arial" w:cs="Arial" w:eastAsia="Arial" w:hAnsi="Arial"/>
                <w:sz w:val="20"/>
                <w:szCs w:val="20"/>
                <w:color w:val="auto"/>
              </w:rPr>
              <w:t>The components of the provision for income taxes were as follows: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center"/>
              <w:ind w:left="483"/>
              <w:spacing w:after="0"/>
              <w:rPr>
                <w:sz w:val="20"/>
                <w:szCs w:val="20"/>
                <w:color w:val="auto"/>
              </w:rPr>
            </w:pPr>
            <w:r>
              <w:rPr>
                <w:rFonts w:ascii="Arial" w:cs="Arial" w:eastAsia="Arial" w:hAnsi="Arial"/>
                <w:sz w:val="18"/>
                <w:szCs w:val="18"/>
                <w:b w:val="1"/>
                <w:bCs w:val="1"/>
                <w:color w:val="auto"/>
                <w:w w:val="99"/>
              </w:rPr>
              <w:t>Year Ended 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92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43"/>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21"/>
              <w:spacing w:after="0"/>
              <w:rPr>
                <w:sz w:val="20"/>
                <w:szCs w:val="20"/>
                <w:color w:val="auto"/>
              </w:rPr>
            </w:pPr>
            <w:r>
              <w:rPr>
                <w:rFonts w:ascii="Arial" w:cs="Arial" w:eastAsia="Arial" w:hAnsi="Arial"/>
                <w:sz w:val="18"/>
                <w:szCs w:val="18"/>
                <w:b w:val="1"/>
                <w:bCs w:val="1"/>
                <w:color w:val="auto"/>
                <w:w w:val="99"/>
              </w:rPr>
              <w:t>2021</w:t>
            </w:r>
          </w:p>
        </w:tc>
        <w:tc>
          <w:tcPr>
            <w:tcW w:w="60" w:type="dxa"/>
            <w:vAlign w:val="bottom"/>
            <w:tcBorders>
              <w:bottom w:val="single" w:sz="8" w:color="D2EDF0"/>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5"/>
        </w:trPr>
        <w:tc>
          <w:tcPr>
            <w:tcW w:w="4940" w:type="dxa"/>
            <w:vAlign w:val="bottom"/>
            <w:gridSpan w:val="2"/>
            <w:shd w:val="clear" w:color="auto" w:fill="D2EDF0"/>
          </w:tcPr>
          <w:p>
            <w:pPr>
              <w:ind w:left="60"/>
              <w:spacing w:after="0"/>
              <w:rPr>
                <w:sz w:val="20"/>
                <w:szCs w:val="20"/>
                <w:color w:val="auto"/>
              </w:rPr>
            </w:pPr>
            <w:r>
              <w:rPr>
                <w:rFonts w:ascii="Arial" w:cs="Arial" w:eastAsia="Arial" w:hAnsi="Arial"/>
                <w:sz w:val="20"/>
                <w:szCs w:val="20"/>
                <w:b w:val="1"/>
                <w:bCs w:val="1"/>
                <w:color w:val="auto"/>
              </w:rPr>
              <w:t>Current</w:t>
            </w:r>
          </w:p>
        </w:tc>
        <w:tc>
          <w:tcPr>
            <w:tcW w:w="300" w:type="dxa"/>
            <w:vAlign w:val="bottom"/>
            <w:shd w:val="clear" w:color="auto" w:fill="D2EDF0"/>
          </w:tcPr>
          <w:p>
            <w:pPr>
              <w:spacing w:after="0"/>
              <w:rPr>
                <w:sz w:val="23"/>
                <w:szCs w:val="23"/>
                <w:color w:val="auto"/>
              </w:rPr>
            </w:pPr>
          </w:p>
        </w:tc>
        <w:tc>
          <w:tcPr>
            <w:tcW w:w="1080" w:type="dxa"/>
            <w:vAlign w:val="bottom"/>
            <w:tcBorders>
              <w:right w:val="single" w:sz="8" w:color="D2EDF0"/>
            </w:tcBorders>
            <w:shd w:val="clear" w:color="auto" w:fill="D2EDF0"/>
          </w:tcPr>
          <w:p>
            <w:pPr>
              <w:spacing w:after="0"/>
              <w:rPr>
                <w:sz w:val="23"/>
                <w:szCs w:val="23"/>
                <w:color w:val="auto"/>
              </w:rPr>
            </w:pPr>
          </w:p>
        </w:tc>
        <w:tc>
          <w:tcPr>
            <w:tcW w:w="300" w:type="dxa"/>
            <w:vAlign w:val="bottom"/>
            <w:shd w:val="clear" w:color="auto" w:fill="D2EDF0"/>
          </w:tcPr>
          <w:p>
            <w:pPr>
              <w:spacing w:after="0"/>
              <w:rPr>
                <w:sz w:val="23"/>
                <w:szCs w:val="23"/>
                <w:color w:val="auto"/>
              </w:rPr>
            </w:pPr>
          </w:p>
        </w:tc>
        <w:tc>
          <w:tcPr>
            <w:tcW w:w="1000" w:type="dxa"/>
            <w:vAlign w:val="bottom"/>
            <w:shd w:val="clear" w:color="auto" w:fill="D2EDF0"/>
          </w:tcPr>
          <w:p>
            <w:pPr>
              <w:spacing w:after="0"/>
              <w:rPr>
                <w:sz w:val="23"/>
                <w:szCs w:val="23"/>
                <w:color w:val="auto"/>
              </w:rPr>
            </w:pPr>
          </w:p>
        </w:tc>
        <w:tc>
          <w:tcPr>
            <w:tcW w:w="60" w:type="dxa"/>
            <w:vAlign w:val="bottom"/>
            <w:shd w:val="clear" w:color="auto" w:fill="D2EDF0"/>
          </w:tcPr>
          <w:p>
            <w:pPr>
              <w:spacing w:after="0"/>
              <w:rPr>
                <w:sz w:val="23"/>
                <w:szCs w:val="23"/>
                <w:color w:val="auto"/>
              </w:rPr>
            </w:pPr>
          </w:p>
        </w:tc>
        <w:tc>
          <w:tcPr>
            <w:tcW w:w="20" w:type="dxa"/>
            <w:vAlign w:val="bottom"/>
            <w:shd w:val="clear" w:color="auto" w:fill="D2EDF0"/>
          </w:tcPr>
          <w:p>
            <w:pPr>
              <w:spacing w:after="0"/>
              <w:rPr>
                <w:sz w:val="23"/>
                <w:szCs w:val="23"/>
                <w:color w:val="auto"/>
              </w:rPr>
            </w:pPr>
          </w:p>
        </w:tc>
        <w:tc>
          <w:tcPr>
            <w:tcW w:w="400" w:type="dxa"/>
            <w:vAlign w:val="bottom"/>
            <w:shd w:val="clear" w:color="auto" w:fill="D2EDF0"/>
          </w:tcPr>
          <w:p>
            <w:pPr>
              <w:spacing w:after="0"/>
              <w:rPr>
                <w:sz w:val="23"/>
                <w:szCs w:val="23"/>
                <w:color w:val="auto"/>
              </w:rPr>
            </w:pPr>
          </w:p>
        </w:tc>
        <w:tc>
          <w:tcPr>
            <w:tcW w:w="900" w:type="dxa"/>
            <w:vAlign w:val="bottom"/>
            <w:shd w:val="clear" w:color="auto" w:fill="D2EDF0"/>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4940" w:type="dxa"/>
            <w:vAlign w:val="bottom"/>
            <w:gridSpan w:val="2"/>
          </w:tcPr>
          <w:p>
            <w:pPr>
              <w:ind w:left="200"/>
              <w:spacing w:after="0"/>
              <w:rPr>
                <w:sz w:val="20"/>
                <w:szCs w:val="20"/>
                <w:color w:val="auto"/>
              </w:rPr>
            </w:pPr>
            <w:r>
              <w:rPr>
                <w:rFonts w:ascii="Arial" w:cs="Arial" w:eastAsia="Arial" w:hAnsi="Arial"/>
                <w:sz w:val="20"/>
                <w:szCs w:val="20"/>
                <w:color w:val="auto"/>
              </w:rPr>
              <w:t>Federal</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3"/>
              <w:spacing w:after="0"/>
              <w:rPr>
                <w:sz w:val="20"/>
                <w:szCs w:val="20"/>
                <w:color w:val="auto"/>
              </w:rPr>
            </w:pPr>
            <w:r>
              <w:rPr>
                <w:rFonts w:ascii="Arial" w:cs="Arial" w:eastAsia="Arial" w:hAnsi="Arial"/>
                <w:sz w:val="20"/>
                <w:szCs w:val="20"/>
                <w:color w:val="auto"/>
              </w:rPr>
              <w:t>3</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w:t>
            </w:r>
          </w:p>
        </w:tc>
        <w:tc>
          <w:tcPr>
            <w:tcW w:w="480" w:type="dxa"/>
            <w:vAlign w:val="bottom"/>
            <w:gridSpan w:val="3"/>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304"/>
        </w:trPr>
        <w:tc>
          <w:tcPr>
            <w:tcW w:w="4940" w:type="dxa"/>
            <w:vAlign w:val="bottom"/>
            <w:gridSpan w:val="2"/>
            <w:shd w:val="clear" w:color="auto" w:fill="D2EDF0"/>
          </w:tcPr>
          <w:p>
            <w:pPr>
              <w:ind w:left="200"/>
              <w:spacing w:after="0"/>
              <w:rPr>
                <w:sz w:val="20"/>
                <w:szCs w:val="20"/>
                <w:color w:val="auto"/>
              </w:rPr>
            </w:pPr>
            <w:r>
              <w:rPr>
                <w:rFonts w:ascii="Arial" w:cs="Arial" w:eastAsia="Arial" w:hAnsi="Arial"/>
                <w:sz w:val="20"/>
                <w:szCs w:val="20"/>
                <w:color w:val="auto"/>
              </w:rPr>
              <w:t>State</w:t>
            </w:r>
          </w:p>
        </w:tc>
        <w:tc>
          <w:tcPr>
            <w:tcW w:w="300" w:type="dxa"/>
            <w:vAlign w:val="bottom"/>
            <w:shd w:val="clear" w:color="auto" w:fill="D2EDF0"/>
          </w:tcPr>
          <w:p>
            <w:pPr>
              <w:spacing w:after="0"/>
              <w:rPr>
                <w:sz w:val="24"/>
                <w:szCs w:val="24"/>
                <w:color w:val="auto"/>
              </w:rPr>
            </w:pPr>
          </w:p>
        </w:tc>
        <w:tc>
          <w:tcPr>
            <w:tcW w:w="1080" w:type="dxa"/>
            <w:vAlign w:val="bottom"/>
            <w:tcBorders>
              <w:right w:val="single" w:sz="8" w:color="D2EDF0"/>
            </w:tcBorders>
            <w:shd w:val="clear" w:color="auto" w:fill="D2EDF0"/>
          </w:tcPr>
          <w:p>
            <w:pPr>
              <w:jc w:val="right"/>
              <w:ind w:right="63"/>
              <w:spacing w:after="0"/>
              <w:rPr>
                <w:sz w:val="20"/>
                <w:szCs w:val="20"/>
                <w:color w:val="auto"/>
              </w:rPr>
            </w:pPr>
            <w:r>
              <w:rPr>
                <w:rFonts w:ascii="Arial" w:cs="Arial" w:eastAsia="Arial" w:hAnsi="Arial"/>
                <w:sz w:val="20"/>
                <w:szCs w:val="20"/>
                <w:color w:val="auto"/>
              </w:rPr>
              <w:t>248</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100</w:t>
            </w:r>
          </w:p>
        </w:tc>
        <w:tc>
          <w:tcPr>
            <w:tcW w:w="60" w:type="dxa"/>
            <w:vAlign w:val="bottom"/>
            <w:shd w:val="clear" w:color="auto" w:fill="D2EDF0"/>
          </w:tcPr>
          <w:p>
            <w:pPr>
              <w:spacing w:after="0"/>
              <w:rPr>
                <w:sz w:val="24"/>
                <w:szCs w:val="24"/>
                <w:color w:val="auto"/>
              </w:rPr>
            </w:pPr>
          </w:p>
        </w:tc>
        <w:tc>
          <w:tcPr>
            <w:tcW w:w="20" w:type="dxa"/>
            <w:vAlign w:val="bottom"/>
            <w:shd w:val="clear" w:color="auto" w:fill="D2EDF0"/>
          </w:tcPr>
          <w:p>
            <w:pPr>
              <w:spacing w:after="0"/>
              <w:rPr>
                <w:sz w:val="24"/>
                <w:szCs w:val="24"/>
                <w:color w:val="auto"/>
              </w:rPr>
            </w:pPr>
          </w:p>
        </w:tc>
        <w:tc>
          <w:tcPr>
            <w:tcW w:w="400" w:type="dxa"/>
            <w:vAlign w:val="bottom"/>
            <w:shd w:val="clear" w:color="auto" w:fill="D2EDF0"/>
          </w:tcPr>
          <w:p>
            <w:pPr>
              <w:spacing w:after="0"/>
              <w:rPr>
                <w:sz w:val="24"/>
                <w:szCs w:val="24"/>
                <w:color w:val="auto"/>
              </w:rPr>
            </w:pP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90"/>
        </w:trPr>
        <w:tc>
          <w:tcPr>
            <w:tcW w:w="4920" w:type="dxa"/>
            <w:vAlign w:val="bottom"/>
            <w:tcBorders>
              <w:bottom w:val="single" w:sz="8" w:color="D2EDF0"/>
            </w:tcBorders>
          </w:tcPr>
          <w:p>
            <w:pPr>
              <w:ind w:left="200"/>
              <w:spacing w:after="0"/>
              <w:rPr>
                <w:sz w:val="20"/>
                <w:szCs w:val="20"/>
                <w:color w:val="auto"/>
              </w:rPr>
            </w:pPr>
            <w:r>
              <w:rPr>
                <w:rFonts w:ascii="Arial" w:cs="Arial" w:eastAsia="Arial" w:hAnsi="Arial"/>
                <w:sz w:val="20"/>
                <w:szCs w:val="20"/>
                <w:color w:val="auto"/>
              </w:rPr>
              <w:t>Foreign</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20"/>
                <w:szCs w:val="20"/>
                <w:color w:val="auto"/>
              </w:rPr>
              <w:t>10,142</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6,413</w:t>
            </w:r>
          </w:p>
        </w:tc>
        <w:tc>
          <w:tcPr>
            <w:tcW w:w="60" w:type="dxa"/>
            <w:vAlign w:val="bottom"/>
            <w:tcBorders>
              <w:bottom w:val="single" w:sz="8" w:color="D2EDF0"/>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5,476</w:t>
            </w:r>
          </w:p>
        </w:tc>
        <w:tc>
          <w:tcPr>
            <w:tcW w:w="0" w:type="dxa"/>
            <w:vAlign w:val="bottom"/>
          </w:tcPr>
          <w:p>
            <w:pPr>
              <w:spacing w:after="0"/>
              <w:rPr>
                <w:sz w:val="1"/>
                <w:szCs w:val="1"/>
                <w:color w:val="auto"/>
              </w:rPr>
            </w:pPr>
          </w:p>
        </w:tc>
      </w:tr>
      <w:tr>
        <w:trPr>
          <w:trHeight w:val="290"/>
        </w:trPr>
        <w:tc>
          <w:tcPr>
            <w:tcW w:w="4940" w:type="dxa"/>
            <w:vAlign w:val="bottom"/>
            <w:gridSpan w:val="2"/>
            <w:shd w:val="clear" w:color="auto" w:fill="D2EDF0"/>
          </w:tcPr>
          <w:p>
            <w:pPr>
              <w:ind w:left="60"/>
              <w:spacing w:after="0"/>
              <w:rPr>
                <w:sz w:val="20"/>
                <w:szCs w:val="20"/>
                <w:color w:val="auto"/>
              </w:rPr>
            </w:pPr>
            <w:r>
              <w:rPr>
                <w:rFonts w:ascii="Arial" w:cs="Arial" w:eastAsia="Arial" w:hAnsi="Arial"/>
                <w:sz w:val="20"/>
                <w:szCs w:val="20"/>
                <w:color w:val="auto"/>
              </w:rPr>
              <w:t>Total current tax expense</w:t>
            </w:r>
          </w:p>
        </w:tc>
        <w:tc>
          <w:tcPr>
            <w:tcW w:w="300" w:type="dxa"/>
            <w:vAlign w:val="bottom"/>
            <w:shd w:val="clear" w:color="auto" w:fill="D2EDF0"/>
          </w:tcPr>
          <w:p>
            <w:pPr>
              <w:spacing w:after="0"/>
              <w:rPr>
                <w:sz w:val="24"/>
                <w:szCs w:val="24"/>
                <w:color w:val="auto"/>
              </w:rPr>
            </w:pPr>
          </w:p>
        </w:tc>
        <w:tc>
          <w:tcPr>
            <w:tcW w:w="1080" w:type="dxa"/>
            <w:vAlign w:val="bottom"/>
            <w:tcBorders>
              <w:right w:val="single" w:sz="8" w:color="D2EDF0"/>
            </w:tcBorders>
            <w:shd w:val="clear" w:color="auto" w:fill="D2EDF0"/>
          </w:tcPr>
          <w:p>
            <w:pPr>
              <w:jc w:val="right"/>
              <w:ind w:right="63"/>
              <w:spacing w:after="0"/>
              <w:rPr>
                <w:sz w:val="20"/>
                <w:szCs w:val="20"/>
                <w:color w:val="auto"/>
              </w:rPr>
            </w:pPr>
            <w:r>
              <w:rPr>
                <w:rFonts w:ascii="Arial" w:cs="Arial" w:eastAsia="Arial" w:hAnsi="Arial"/>
                <w:sz w:val="20"/>
                <w:szCs w:val="20"/>
                <w:color w:val="auto"/>
              </w:rPr>
              <w:t>10,393</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6,516</w:t>
            </w:r>
          </w:p>
        </w:tc>
        <w:tc>
          <w:tcPr>
            <w:tcW w:w="60" w:type="dxa"/>
            <w:vAlign w:val="bottom"/>
            <w:shd w:val="clear" w:color="auto" w:fill="D2EDF0"/>
          </w:tcPr>
          <w:p>
            <w:pPr>
              <w:spacing w:after="0"/>
              <w:rPr>
                <w:sz w:val="24"/>
                <w:szCs w:val="24"/>
                <w:color w:val="auto"/>
              </w:rPr>
            </w:pPr>
          </w:p>
        </w:tc>
        <w:tc>
          <w:tcPr>
            <w:tcW w:w="20" w:type="dxa"/>
            <w:vAlign w:val="bottom"/>
            <w:shd w:val="clear" w:color="auto" w:fill="D2EDF0"/>
          </w:tcPr>
          <w:p>
            <w:pPr>
              <w:spacing w:after="0"/>
              <w:rPr>
                <w:sz w:val="24"/>
                <w:szCs w:val="24"/>
                <w:color w:val="auto"/>
              </w:rPr>
            </w:pPr>
          </w:p>
        </w:tc>
        <w:tc>
          <w:tcPr>
            <w:tcW w:w="400" w:type="dxa"/>
            <w:vAlign w:val="bottom"/>
            <w:shd w:val="clear" w:color="auto" w:fill="D2EDF0"/>
          </w:tcPr>
          <w:p>
            <w:pPr>
              <w:spacing w:after="0"/>
              <w:rPr>
                <w:sz w:val="24"/>
                <w:szCs w:val="24"/>
                <w:color w:val="auto"/>
              </w:rPr>
            </w:pP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5,496</w:t>
            </w:r>
          </w:p>
        </w:tc>
        <w:tc>
          <w:tcPr>
            <w:tcW w:w="0" w:type="dxa"/>
            <w:vAlign w:val="bottom"/>
          </w:tcPr>
          <w:p>
            <w:pPr>
              <w:spacing w:after="0"/>
              <w:rPr>
                <w:sz w:val="1"/>
                <w:szCs w:val="1"/>
                <w:color w:val="auto"/>
              </w:rPr>
            </w:pPr>
          </w:p>
        </w:tc>
      </w:tr>
      <w:tr>
        <w:trPr>
          <w:trHeight w:val="300"/>
        </w:trPr>
        <w:tc>
          <w:tcPr>
            <w:tcW w:w="4940" w:type="dxa"/>
            <w:vAlign w:val="bottom"/>
            <w:gridSpan w:val="2"/>
          </w:tcPr>
          <w:p>
            <w:pPr>
              <w:ind w:left="60"/>
              <w:spacing w:after="0"/>
              <w:rPr>
                <w:sz w:val="20"/>
                <w:szCs w:val="20"/>
                <w:color w:val="auto"/>
              </w:rPr>
            </w:pPr>
            <w:r>
              <w:rPr>
                <w:rFonts w:ascii="Arial" w:cs="Arial" w:eastAsia="Arial" w:hAnsi="Arial"/>
                <w:sz w:val="20"/>
                <w:szCs w:val="20"/>
                <w:b w:val="1"/>
                <w:bCs w:val="1"/>
                <w:color w:val="auto"/>
              </w:rPr>
              <w:t>Deferred</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940" w:type="dxa"/>
            <w:vAlign w:val="bottom"/>
            <w:gridSpan w:val="2"/>
            <w:shd w:val="clear" w:color="auto" w:fill="D2EDF0"/>
          </w:tcPr>
          <w:p>
            <w:pPr>
              <w:ind w:left="200"/>
              <w:spacing w:after="0"/>
              <w:rPr>
                <w:sz w:val="20"/>
                <w:szCs w:val="20"/>
                <w:color w:val="auto"/>
              </w:rPr>
            </w:pPr>
            <w:r>
              <w:rPr>
                <w:rFonts w:ascii="Arial" w:cs="Arial" w:eastAsia="Arial" w:hAnsi="Arial"/>
                <w:sz w:val="20"/>
                <w:szCs w:val="20"/>
                <w:color w:val="auto"/>
              </w:rPr>
              <w:t>Federal</w:t>
            </w:r>
          </w:p>
        </w:tc>
        <w:tc>
          <w:tcPr>
            <w:tcW w:w="300" w:type="dxa"/>
            <w:vAlign w:val="bottom"/>
            <w:shd w:val="clear" w:color="auto" w:fill="D2EDF0"/>
          </w:tcPr>
          <w:p>
            <w:pPr>
              <w:spacing w:after="0"/>
              <w:rPr>
                <w:sz w:val="24"/>
                <w:szCs w:val="24"/>
                <w:color w:val="auto"/>
              </w:rPr>
            </w:pPr>
          </w:p>
        </w:tc>
        <w:tc>
          <w:tcPr>
            <w:tcW w:w="1080" w:type="dxa"/>
            <w:vAlign w:val="bottom"/>
            <w:tcBorders>
              <w:right w:val="single" w:sz="8" w:color="D2EDF0"/>
            </w:tcBorders>
            <w:shd w:val="clear" w:color="auto" w:fill="D2EDF0"/>
          </w:tcPr>
          <w:p>
            <w:pPr>
              <w:jc w:val="right"/>
              <w:ind w:right="3"/>
              <w:spacing w:after="0"/>
              <w:rPr>
                <w:sz w:val="20"/>
                <w:szCs w:val="20"/>
                <w:color w:val="auto"/>
              </w:rPr>
            </w:pPr>
            <w:r>
              <w:rPr>
                <w:rFonts w:ascii="Arial" w:cs="Arial" w:eastAsia="Arial" w:hAnsi="Arial"/>
                <w:sz w:val="20"/>
                <w:szCs w:val="20"/>
                <w:color w:val="auto"/>
              </w:rPr>
              <w:t>(2,011)</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(7,016)</w:t>
            </w:r>
          </w:p>
        </w:tc>
        <w:tc>
          <w:tcPr>
            <w:tcW w:w="60" w:type="dxa"/>
            <w:vAlign w:val="bottom"/>
            <w:shd w:val="clear" w:color="auto" w:fill="D2EDF0"/>
          </w:tcPr>
          <w:p>
            <w:pPr>
              <w:spacing w:after="0"/>
              <w:rPr>
                <w:sz w:val="24"/>
                <w:szCs w:val="24"/>
                <w:color w:val="auto"/>
              </w:rPr>
            </w:pPr>
          </w:p>
        </w:tc>
        <w:tc>
          <w:tcPr>
            <w:tcW w:w="20" w:type="dxa"/>
            <w:vAlign w:val="bottom"/>
            <w:shd w:val="clear" w:color="auto" w:fill="D2EDF0"/>
          </w:tcPr>
          <w:p>
            <w:pPr>
              <w:spacing w:after="0"/>
              <w:rPr>
                <w:sz w:val="24"/>
                <w:szCs w:val="24"/>
                <w:color w:val="auto"/>
              </w:rPr>
            </w:pPr>
          </w:p>
        </w:tc>
        <w:tc>
          <w:tcPr>
            <w:tcW w:w="400" w:type="dxa"/>
            <w:vAlign w:val="bottom"/>
            <w:shd w:val="clear" w:color="auto" w:fill="D2EDF0"/>
          </w:tcPr>
          <w:p>
            <w:pPr>
              <w:spacing w:after="0"/>
              <w:rPr>
                <w:sz w:val="24"/>
                <w:szCs w:val="24"/>
                <w:color w:val="auto"/>
              </w:rPr>
            </w:pP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296"/>
        </w:trPr>
        <w:tc>
          <w:tcPr>
            <w:tcW w:w="4940" w:type="dxa"/>
            <w:vAlign w:val="bottom"/>
            <w:gridSpan w:val="2"/>
          </w:tcPr>
          <w:p>
            <w:pPr>
              <w:ind w:left="200"/>
              <w:spacing w:after="0"/>
              <w:rPr>
                <w:sz w:val="20"/>
                <w:szCs w:val="20"/>
                <w:color w:val="auto"/>
              </w:rPr>
            </w:pPr>
            <w:r>
              <w:rPr>
                <w:rFonts w:ascii="Arial" w:cs="Arial" w:eastAsia="Arial" w:hAnsi="Arial"/>
                <w:sz w:val="20"/>
                <w:szCs w:val="20"/>
                <w:color w:val="auto"/>
              </w:rPr>
              <w:t>State</w:t>
            </w:r>
          </w:p>
        </w:tc>
        <w:tc>
          <w:tcPr>
            <w:tcW w:w="300" w:type="dxa"/>
            <w:vAlign w:val="bottom"/>
          </w:tcPr>
          <w:p>
            <w:pPr>
              <w:spacing w:after="0"/>
              <w:rPr>
                <w:sz w:val="24"/>
                <w:szCs w:val="24"/>
                <w:color w:val="auto"/>
              </w:rPr>
            </w:pPr>
          </w:p>
        </w:tc>
        <w:tc>
          <w:tcPr>
            <w:tcW w:w="1080" w:type="dxa"/>
            <w:vAlign w:val="bottom"/>
          </w:tcPr>
          <w:p>
            <w:pPr>
              <w:jc w:val="right"/>
              <w:ind w:right="3"/>
              <w:spacing w:after="0"/>
              <w:rPr>
                <w:sz w:val="20"/>
                <w:szCs w:val="20"/>
                <w:color w:val="auto"/>
              </w:rPr>
            </w:pPr>
            <w:r>
              <w:rPr>
                <w:rFonts w:ascii="Arial" w:cs="Arial" w:eastAsia="Arial" w:hAnsi="Arial"/>
                <w:sz w:val="20"/>
                <w:szCs w:val="20"/>
                <w:color w:val="auto"/>
              </w:rPr>
              <w:t>(330)</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(827)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59</w:t>
            </w:r>
          </w:p>
        </w:tc>
        <w:tc>
          <w:tcPr>
            <w:tcW w:w="0" w:type="dxa"/>
            <w:vAlign w:val="bottom"/>
          </w:tcPr>
          <w:p>
            <w:pPr>
              <w:spacing w:after="0"/>
              <w:rPr>
                <w:sz w:val="1"/>
                <w:szCs w:val="1"/>
                <w:color w:val="auto"/>
              </w:rPr>
            </w:pPr>
          </w:p>
        </w:tc>
      </w:tr>
      <w:tr>
        <w:trPr>
          <w:trHeight w:val="294"/>
        </w:trPr>
        <w:tc>
          <w:tcPr>
            <w:tcW w:w="4920" w:type="dxa"/>
            <w:vAlign w:val="bottom"/>
            <w:tcBorders>
              <w:bottom w:val="single" w:sz="8" w:color="D2EDF0"/>
            </w:tcBorders>
            <w:shd w:val="clear" w:color="auto" w:fill="D2EDF0"/>
          </w:tcPr>
          <w:p>
            <w:pPr>
              <w:ind w:left="200"/>
              <w:spacing w:after="0"/>
              <w:rPr>
                <w:sz w:val="20"/>
                <w:szCs w:val="20"/>
                <w:color w:val="auto"/>
              </w:rPr>
            </w:pPr>
            <w:r>
              <w:rPr>
                <w:rFonts w:ascii="Arial" w:cs="Arial" w:eastAsia="Arial" w:hAnsi="Arial"/>
                <w:sz w:val="20"/>
                <w:szCs w:val="20"/>
                <w:color w:val="auto"/>
              </w:rPr>
              <w:t>Foreign</w:t>
            </w:r>
          </w:p>
        </w:tc>
        <w:tc>
          <w:tcPr>
            <w:tcW w:w="20" w:type="dxa"/>
            <w:vAlign w:val="bottom"/>
            <w:tcBorders>
              <w:bottom w:val="single" w:sz="8" w:color="auto"/>
            </w:tcBorders>
            <w:shd w:val="clear" w:color="auto" w:fill="D2EDF0"/>
          </w:tcPr>
          <w:p>
            <w:pPr>
              <w:spacing w:after="0"/>
              <w:rPr>
                <w:sz w:val="24"/>
                <w:szCs w:val="24"/>
                <w:color w:val="auto"/>
              </w:rPr>
            </w:pPr>
          </w:p>
        </w:tc>
        <w:tc>
          <w:tcPr>
            <w:tcW w:w="300" w:type="dxa"/>
            <w:vAlign w:val="bottom"/>
            <w:tcBorders>
              <w:bottom w:val="single" w:sz="8" w:color="auto"/>
            </w:tcBorders>
            <w:shd w:val="clear" w:color="auto" w:fill="D2EDF0"/>
          </w:tcPr>
          <w:p>
            <w:pPr>
              <w:spacing w:after="0"/>
              <w:rPr>
                <w:sz w:val="24"/>
                <w:szCs w:val="24"/>
                <w:color w:val="auto"/>
              </w:rPr>
            </w:pPr>
          </w:p>
        </w:tc>
        <w:tc>
          <w:tcPr>
            <w:tcW w:w="1080" w:type="dxa"/>
            <w:vAlign w:val="bottom"/>
            <w:tcBorders>
              <w:bottom w:val="single" w:sz="8" w:color="auto"/>
              <w:right w:val="single" w:sz="8" w:color="D2EDF0"/>
            </w:tcBorders>
            <w:shd w:val="clear" w:color="auto" w:fill="D2EDF0"/>
          </w:tcPr>
          <w:p>
            <w:pPr>
              <w:jc w:val="right"/>
              <w:ind w:right="3"/>
              <w:spacing w:after="0"/>
              <w:rPr>
                <w:sz w:val="20"/>
                <w:szCs w:val="20"/>
                <w:color w:val="auto"/>
              </w:rPr>
            </w:pPr>
            <w:r>
              <w:rPr>
                <w:rFonts w:ascii="Arial" w:cs="Arial" w:eastAsia="Arial" w:hAnsi="Arial"/>
                <w:sz w:val="20"/>
                <w:szCs w:val="20"/>
                <w:color w:val="auto"/>
              </w:rPr>
              <w:t>(1,119)</w:t>
            </w: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(2,625)</w:t>
            </w:r>
          </w:p>
        </w:tc>
        <w:tc>
          <w:tcPr>
            <w:tcW w:w="60" w:type="dxa"/>
            <w:vAlign w:val="bottom"/>
            <w:tcBorders>
              <w:bottom w:val="single" w:sz="8" w:color="D2EDF0"/>
            </w:tcBorders>
            <w:shd w:val="clear" w:color="auto" w:fill="D2EDF0"/>
          </w:tcPr>
          <w:p>
            <w:pPr>
              <w:spacing w:after="0"/>
              <w:rPr>
                <w:sz w:val="24"/>
                <w:szCs w:val="24"/>
                <w:color w:val="auto"/>
              </w:rPr>
            </w:pPr>
          </w:p>
        </w:tc>
        <w:tc>
          <w:tcPr>
            <w:tcW w:w="20" w:type="dxa"/>
            <w:vAlign w:val="bottom"/>
            <w:tcBorders>
              <w:bottom w:val="single" w:sz="8" w:color="auto"/>
            </w:tcBorders>
            <w:shd w:val="clear" w:color="auto" w:fill="D2EDF0"/>
          </w:tcPr>
          <w:p>
            <w:pPr>
              <w:spacing w:after="0"/>
              <w:rPr>
                <w:sz w:val="24"/>
                <w:szCs w:val="24"/>
                <w:color w:val="auto"/>
              </w:rPr>
            </w:pPr>
          </w:p>
        </w:tc>
        <w:tc>
          <w:tcPr>
            <w:tcW w:w="400" w:type="dxa"/>
            <w:vAlign w:val="bottom"/>
            <w:tcBorders>
              <w:bottom w:val="single" w:sz="8" w:color="auto"/>
            </w:tcBorders>
            <w:shd w:val="clear" w:color="auto" w:fill="D2EDF0"/>
          </w:tcPr>
          <w:p>
            <w:pPr>
              <w:spacing w:after="0"/>
              <w:rPr>
                <w:sz w:val="24"/>
                <w:szCs w:val="24"/>
                <w:color w:val="auto"/>
              </w:rPr>
            </w:pPr>
          </w:p>
        </w:tc>
        <w:tc>
          <w:tcPr>
            <w:tcW w:w="9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0"/>
        </w:trPr>
        <w:tc>
          <w:tcPr>
            <w:tcW w:w="4920" w:type="dxa"/>
            <w:vAlign w:val="bottom"/>
            <w:tcBorders>
              <w:bottom w:val="single" w:sz="8" w:color="D2EDF0"/>
            </w:tcBorders>
          </w:tcPr>
          <w:p>
            <w:pPr>
              <w:ind w:left="60"/>
              <w:spacing w:after="0"/>
              <w:rPr>
                <w:sz w:val="20"/>
                <w:szCs w:val="20"/>
                <w:color w:val="auto"/>
              </w:rPr>
            </w:pPr>
            <w:r>
              <w:rPr>
                <w:rFonts w:ascii="Arial" w:cs="Arial" w:eastAsia="Arial" w:hAnsi="Arial"/>
                <w:sz w:val="20"/>
                <w:szCs w:val="20"/>
                <w:color w:val="auto"/>
              </w:rPr>
              <w:t>Total deferred tax (benefit) expense</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20"/>
                <w:szCs w:val="20"/>
                <w:color w:val="auto"/>
              </w:rPr>
              <w:t>(3,460)</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(10,468)</w:t>
            </w:r>
          </w:p>
        </w:tc>
        <w:tc>
          <w:tcPr>
            <w:tcW w:w="60" w:type="dxa"/>
            <w:vAlign w:val="bottom"/>
            <w:tcBorders>
              <w:bottom w:val="single" w:sz="8" w:color="D2EDF0"/>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161</w:t>
            </w:r>
          </w:p>
        </w:tc>
        <w:tc>
          <w:tcPr>
            <w:tcW w:w="0" w:type="dxa"/>
            <w:vAlign w:val="bottom"/>
          </w:tcPr>
          <w:p>
            <w:pPr>
              <w:spacing w:after="0"/>
              <w:rPr>
                <w:sz w:val="1"/>
                <w:szCs w:val="1"/>
                <w:color w:val="auto"/>
              </w:rPr>
            </w:pPr>
          </w:p>
        </w:tc>
      </w:tr>
      <w:tr>
        <w:trPr>
          <w:trHeight w:val="280"/>
        </w:trPr>
        <w:tc>
          <w:tcPr>
            <w:tcW w:w="4940" w:type="dxa"/>
            <w:vAlign w:val="bottom"/>
            <w:gridSpan w:val="2"/>
            <w:shd w:val="clear" w:color="auto" w:fill="D2EDF0"/>
          </w:tcPr>
          <w:p>
            <w:pPr>
              <w:ind w:left="60"/>
              <w:spacing w:after="0"/>
              <w:rPr>
                <w:sz w:val="20"/>
                <w:szCs w:val="20"/>
                <w:color w:val="auto"/>
              </w:rPr>
            </w:pPr>
            <w:r>
              <w:rPr>
                <w:rFonts w:ascii="Arial" w:cs="Arial" w:eastAsia="Arial" w:hAnsi="Arial"/>
                <w:sz w:val="20"/>
                <w:szCs w:val="20"/>
                <w:color w:val="auto"/>
              </w:rPr>
              <w:t>Total provision (benefit) for income taxes</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80" w:type="dxa"/>
            <w:vAlign w:val="bottom"/>
            <w:tcBorders>
              <w:right w:val="single" w:sz="8" w:color="D2EDF0"/>
            </w:tcBorders>
            <w:shd w:val="clear" w:color="auto" w:fill="D2EDF0"/>
          </w:tcPr>
          <w:p>
            <w:pPr>
              <w:jc w:val="right"/>
              <w:ind w:right="63"/>
              <w:spacing w:after="0"/>
              <w:rPr>
                <w:sz w:val="20"/>
                <w:szCs w:val="20"/>
                <w:color w:val="auto"/>
              </w:rPr>
            </w:pPr>
            <w:r>
              <w:rPr>
                <w:rFonts w:ascii="Arial" w:cs="Arial" w:eastAsia="Arial" w:hAnsi="Arial"/>
                <w:sz w:val="20"/>
                <w:szCs w:val="20"/>
                <w:color w:val="auto"/>
              </w:rPr>
              <w:t>6,933</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(3,952)</w:t>
            </w:r>
          </w:p>
        </w:tc>
        <w:tc>
          <w:tcPr>
            <w:tcW w:w="480" w:type="dxa"/>
            <w:vAlign w:val="bottom"/>
            <w:gridSpan w:val="3"/>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5,657</w:t>
            </w:r>
          </w:p>
        </w:tc>
        <w:tc>
          <w:tcPr>
            <w:tcW w:w="0" w:type="dxa"/>
            <w:vAlign w:val="bottom"/>
          </w:tcPr>
          <w:p>
            <w:pPr>
              <w:spacing w:after="0"/>
              <w:rPr>
                <w:sz w:val="1"/>
                <w:szCs w:val="1"/>
                <w:color w:val="auto"/>
              </w:rPr>
            </w:pPr>
          </w:p>
        </w:tc>
      </w:tr>
      <w:tr>
        <w:trPr>
          <w:trHeight w:val="20"/>
        </w:trPr>
        <w:tc>
          <w:tcPr>
            <w:tcW w:w="4920" w:type="dxa"/>
            <w:vAlign w:val="bottom"/>
            <w:tcBorders>
              <w:top w:val="single" w:sz="8" w:color="D2EDF0"/>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2EDF0"/>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-3434715</wp:posOffset>
            </wp:positionV>
            <wp:extent cx="5740400" cy="6032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40400" cy="6032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-37465</wp:posOffset>
            </wp:positionV>
            <wp:extent cx="258127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81275" cy="38100"/>
                    </a:xfrm>
                    <a:prstGeom prst="rect">
                      <a:avLst/>
                    </a:prstGeom>
                    <a:noFill/>
                  </pic:spPr>
                </pic:pic>
              </a:graphicData>
            </a:graphic>
          </wp:anchor>
        </w:drawing>
      </w:r>
    </w:p>
    <w:p>
      <w:pPr>
        <w:spacing w:after="0" w:line="234" w:lineRule="exact"/>
        <w:rPr>
          <w:sz w:val="20"/>
          <w:szCs w:val="20"/>
          <w:color w:val="auto"/>
        </w:rPr>
      </w:pPr>
    </w:p>
    <w:p>
      <w:pPr>
        <w:ind w:right="180" w:firstLine="360"/>
        <w:spacing w:after="0" w:line="262" w:lineRule="auto"/>
        <w:rPr>
          <w:sz w:val="20"/>
          <w:szCs w:val="20"/>
          <w:color w:val="auto"/>
        </w:rPr>
      </w:pPr>
      <w:r>
        <w:rPr>
          <w:rFonts w:ascii="Arial" w:cs="Arial" w:eastAsia="Arial" w:hAnsi="Arial"/>
          <w:sz w:val="20"/>
          <w:szCs w:val="20"/>
          <w:color w:val="auto"/>
        </w:rPr>
        <w:t>In connection with the 2022 acquisition of Bit Discovery, we elected to first offset our existing deferred tax assets with acquired deferred tax liabilities. This resulted in releasing $2.5 million of the federal and state valuation allowance, which was recorded as a component of our deferred tax benefit.</w:t>
      </w:r>
    </w:p>
    <w:p>
      <w:pPr>
        <w:spacing w:after="0" w:line="196" w:lineRule="exact"/>
        <w:rPr>
          <w:sz w:val="20"/>
          <w:szCs w:val="20"/>
          <w:color w:val="auto"/>
        </w:rPr>
      </w:pPr>
    </w:p>
    <w:p>
      <w:pPr>
        <w:ind w:right="100" w:firstLine="360"/>
        <w:spacing w:after="0" w:line="289" w:lineRule="auto"/>
        <w:rPr>
          <w:sz w:val="20"/>
          <w:szCs w:val="20"/>
          <w:color w:val="auto"/>
        </w:rPr>
      </w:pPr>
      <w:r>
        <w:rPr>
          <w:rFonts w:ascii="Arial" w:cs="Arial" w:eastAsia="Arial" w:hAnsi="Arial"/>
          <w:sz w:val="19"/>
          <w:szCs w:val="19"/>
          <w:color w:val="auto"/>
        </w:rPr>
        <w:t>In connection with the 2021 acquisition of Accurics, we elected to first offset our existing deferred tax assets with acquired deferred tax liabilities. This resulted in releasing $7.9 million of the federal and state valuation allowance, which was recorded as a component of our deferred tax benefit.</w:t>
      </w:r>
    </w:p>
    <w:p>
      <w:pPr>
        <w:spacing w:after="0" w:line="171" w:lineRule="exact"/>
        <w:rPr>
          <w:sz w:val="20"/>
          <w:szCs w:val="20"/>
          <w:color w:val="auto"/>
        </w:rPr>
      </w:pPr>
    </w:p>
    <w:p>
      <w:pPr>
        <w:ind w:right="320" w:firstLine="360"/>
        <w:spacing w:after="0" w:line="287" w:lineRule="auto"/>
        <w:rPr>
          <w:sz w:val="20"/>
          <w:szCs w:val="20"/>
          <w:color w:val="auto"/>
        </w:rPr>
      </w:pPr>
      <w:r>
        <w:rPr>
          <w:rFonts w:ascii="Arial" w:cs="Arial" w:eastAsia="Arial" w:hAnsi="Arial"/>
          <w:sz w:val="20"/>
          <w:szCs w:val="20"/>
          <w:color w:val="auto"/>
        </w:rPr>
        <w:t>In 2022 and 2021, we restructured our operations in Israel through intercompany transactions, which resulted in $2.7 million and $2.8 million, respectively, of current tax expense.</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110</w:t>
      </w:r>
    </w:p>
    <w:p>
      <w:pPr>
        <w:sectPr>
          <w:pgSz w:w="11880" w:h="15480" w:orient="portrait"/>
          <w:cols w:equalWidth="0" w:num="1">
            <w:col w:w="9000"/>
          </w:cols>
          <w:pgMar w:left="1440" w:top="1203" w:right="1440" w:bottom="0" w:gutter="0" w:footer="0" w:header="0"/>
          <w:type w:val="continuous"/>
        </w:sectPr>
      </w:pPr>
    </w:p>
    <w:bookmarkStart w:id="202" w:name="page203"/>
    <w:bookmarkEnd w:id="202"/>
    <w:p>
      <w:pPr>
        <w:ind w:right="160" w:firstLine="360"/>
        <w:spacing w:after="0" w:line="287" w:lineRule="auto"/>
        <w:rPr>
          <w:sz w:val="20"/>
          <w:szCs w:val="20"/>
          <w:color w:val="auto"/>
        </w:rPr>
      </w:pPr>
      <w:r>
        <w:rPr>
          <w:rFonts w:ascii="Arial" w:cs="Arial" w:eastAsia="Arial" w:hAnsi="Arial"/>
          <w:sz w:val="20"/>
          <w:szCs w:val="20"/>
          <w:color w:val="auto"/>
        </w:rPr>
        <w:t>The items accounting for the difference between income taxes computed at the federal statutory rate and our effective tax rate were as follows:</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4900" w:type="dxa"/>
            <w:vAlign w:val="bottom"/>
          </w:tcPr>
          <w:p>
            <w:pPr>
              <w:spacing w:after="0"/>
              <w:rPr>
                <w:sz w:val="20"/>
                <w:szCs w:val="20"/>
                <w:color w:val="auto"/>
              </w:rPr>
            </w:pPr>
          </w:p>
        </w:tc>
        <w:tc>
          <w:tcPr>
            <w:tcW w:w="3180" w:type="dxa"/>
            <w:vAlign w:val="bottom"/>
            <w:tcBorders>
              <w:bottom w:val="single" w:sz="8" w:color="auto"/>
            </w:tcBorders>
            <w:gridSpan w:val="5"/>
          </w:tcPr>
          <w:p>
            <w:pPr>
              <w:ind w:left="92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r>
      <w:tr>
        <w:trPr>
          <w:trHeight w:val="220"/>
        </w:trPr>
        <w:tc>
          <w:tcPr>
            <w:tcW w:w="4900" w:type="dxa"/>
            <w:vAlign w:val="bottom"/>
            <w:tcBorders>
              <w:bottom w:val="single" w:sz="8" w:color="D2EDF0"/>
            </w:tcBorders>
          </w:tcPr>
          <w:p>
            <w:pPr>
              <w:spacing w:after="0"/>
              <w:rPr>
                <w:sz w:val="19"/>
                <w:szCs w:val="19"/>
                <w:color w:val="auto"/>
              </w:rPr>
            </w:pPr>
          </w:p>
        </w:tc>
        <w:tc>
          <w:tcPr>
            <w:tcW w:w="1300" w:type="dxa"/>
            <w:vAlign w:val="bottom"/>
            <w:tcBorders>
              <w:bottom w:val="single" w:sz="8" w:color="auto"/>
            </w:tcBorders>
          </w:tcPr>
          <w:p>
            <w:pPr>
              <w:jc w:val="right"/>
              <w:ind w:right="34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19"/>
                <w:szCs w:val="19"/>
                <w:color w:val="auto"/>
              </w:rPr>
            </w:pPr>
          </w:p>
        </w:tc>
        <w:tc>
          <w:tcPr>
            <w:tcW w:w="1300" w:type="dxa"/>
            <w:vAlign w:val="bottom"/>
            <w:tcBorders>
              <w:bottom w:val="single" w:sz="8" w:color="auto"/>
            </w:tcBorders>
          </w:tcPr>
          <w:p>
            <w:pPr>
              <w:jc w:val="right"/>
              <w:ind w:right="343"/>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8"/>
                <w:szCs w:val="18"/>
                <w:b w:val="1"/>
                <w:bCs w:val="1"/>
                <w:color w:val="auto"/>
              </w:rPr>
              <w:t>2020</w:t>
            </w:r>
          </w:p>
        </w:tc>
      </w:tr>
      <w:tr>
        <w:trPr>
          <w:trHeight w:val="290"/>
        </w:trPr>
        <w:tc>
          <w:tcPr>
            <w:tcW w:w="4900" w:type="dxa"/>
            <w:vAlign w:val="bottom"/>
            <w:shd w:val="clear" w:color="auto" w:fill="D2EDF0"/>
          </w:tcPr>
          <w:p>
            <w:pPr>
              <w:ind w:left="40"/>
              <w:spacing w:after="0"/>
              <w:rPr>
                <w:sz w:val="20"/>
                <w:szCs w:val="20"/>
                <w:color w:val="auto"/>
              </w:rPr>
            </w:pPr>
            <w:r>
              <w:rPr>
                <w:rFonts w:ascii="Arial" w:cs="Arial" w:eastAsia="Arial" w:hAnsi="Arial"/>
                <w:sz w:val="20"/>
                <w:szCs w:val="20"/>
                <w:color w:val="auto"/>
              </w:rPr>
              <w:t>U.S. federal statutory tax rate</w:t>
            </w:r>
          </w:p>
        </w:tc>
        <w:tc>
          <w:tcPr>
            <w:tcW w:w="13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21.0 %</w:t>
            </w:r>
          </w:p>
        </w:tc>
        <w:tc>
          <w:tcPr>
            <w:tcW w:w="13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21.0 %</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21.0 %</w:t>
            </w:r>
          </w:p>
        </w:tc>
      </w:tr>
      <w:tr>
        <w:trPr>
          <w:trHeight w:val="296"/>
        </w:trPr>
        <w:tc>
          <w:tcPr>
            <w:tcW w:w="4900" w:type="dxa"/>
            <w:vAlign w:val="bottom"/>
          </w:tcPr>
          <w:p>
            <w:pPr>
              <w:ind w:left="40"/>
              <w:spacing w:after="0"/>
              <w:rPr>
                <w:sz w:val="20"/>
                <w:szCs w:val="20"/>
                <w:color w:val="auto"/>
              </w:rPr>
            </w:pPr>
            <w:r>
              <w:rPr>
                <w:rFonts w:ascii="Arial" w:cs="Arial" w:eastAsia="Arial" w:hAnsi="Arial"/>
                <w:sz w:val="20"/>
                <w:szCs w:val="20"/>
                <w:color w:val="auto"/>
              </w:rPr>
              <w:t>State and local taxes</w:t>
            </w:r>
          </w:p>
        </w:tc>
        <w:tc>
          <w:tcPr>
            <w:tcW w:w="1300" w:type="dxa"/>
            <w:vAlign w:val="bottom"/>
          </w:tcPr>
          <w:p>
            <w:pPr>
              <w:jc w:val="right"/>
              <w:ind w:right="161"/>
              <w:spacing w:after="0"/>
              <w:rPr>
                <w:sz w:val="20"/>
                <w:szCs w:val="20"/>
                <w:color w:val="auto"/>
              </w:rPr>
            </w:pPr>
            <w:r>
              <w:rPr>
                <w:rFonts w:ascii="Arial" w:cs="Arial" w:eastAsia="Arial" w:hAnsi="Arial"/>
                <w:sz w:val="20"/>
                <w:szCs w:val="20"/>
                <w:color w:val="auto"/>
              </w:rPr>
              <w:t>3.1</w:t>
            </w:r>
          </w:p>
        </w:tc>
        <w:tc>
          <w:tcPr>
            <w:tcW w:w="1380" w:type="dxa"/>
            <w:vAlign w:val="bottom"/>
            <w:gridSpan w:val="2"/>
          </w:tcPr>
          <w:p>
            <w:pPr>
              <w:jc w:val="right"/>
              <w:ind w:right="163"/>
              <w:spacing w:after="0"/>
              <w:rPr>
                <w:sz w:val="20"/>
                <w:szCs w:val="20"/>
                <w:color w:val="auto"/>
              </w:rPr>
            </w:pPr>
            <w:r>
              <w:rPr>
                <w:rFonts w:ascii="Arial" w:cs="Arial" w:eastAsia="Arial" w:hAnsi="Arial"/>
                <w:sz w:val="20"/>
                <w:szCs w:val="20"/>
                <w:color w:val="auto"/>
              </w:rPr>
              <w:t>2.6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ind w:right="161"/>
              <w:spacing w:after="0"/>
              <w:rPr>
                <w:sz w:val="20"/>
                <w:szCs w:val="20"/>
                <w:color w:val="auto"/>
              </w:rPr>
            </w:pPr>
            <w:r>
              <w:rPr>
                <w:rFonts w:ascii="Arial" w:cs="Arial" w:eastAsia="Arial" w:hAnsi="Arial"/>
                <w:sz w:val="20"/>
                <w:szCs w:val="20"/>
                <w:color w:val="auto"/>
              </w:rPr>
              <w:t>10.8</w:t>
            </w:r>
          </w:p>
        </w:tc>
      </w:tr>
      <w:tr>
        <w:trPr>
          <w:trHeight w:val="304"/>
        </w:trPr>
        <w:tc>
          <w:tcPr>
            <w:tcW w:w="4900" w:type="dxa"/>
            <w:vAlign w:val="bottom"/>
            <w:shd w:val="clear" w:color="auto" w:fill="D2EDF0"/>
          </w:tcPr>
          <w:p>
            <w:pPr>
              <w:ind w:left="40"/>
              <w:spacing w:after="0"/>
              <w:rPr>
                <w:sz w:val="20"/>
                <w:szCs w:val="20"/>
                <w:color w:val="auto"/>
              </w:rPr>
            </w:pPr>
            <w:r>
              <w:rPr>
                <w:rFonts w:ascii="Arial" w:cs="Arial" w:eastAsia="Arial" w:hAnsi="Arial"/>
                <w:sz w:val="20"/>
                <w:szCs w:val="20"/>
                <w:color w:val="auto"/>
              </w:rPr>
              <w:t>Research and development tax credit</w:t>
            </w:r>
          </w:p>
        </w:tc>
        <w:tc>
          <w:tcPr>
            <w:tcW w:w="1300" w:type="dxa"/>
            <w:vAlign w:val="bottom"/>
            <w:shd w:val="clear" w:color="auto" w:fill="D2EDF0"/>
          </w:tcPr>
          <w:p>
            <w:pPr>
              <w:jc w:val="right"/>
              <w:ind w:right="161"/>
              <w:spacing w:after="0"/>
              <w:rPr>
                <w:sz w:val="20"/>
                <w:szCs w:val="20"/>
                <w:color w:val="auto"/>
              </w:rPr>
            </w:pPr>
            <w:r>
              <w:rPr>
                <w:rFonts w:ascii="Arial" w:cs="Arial" w:eastAsia="Arial" w:hAnsi="Arial"/>
                <w:sz w:val="20"/>
                <w:szCs w:val="20"/>
                <w:color w:val="auto"/>
              </w:rPr>
              <w:t>4.3</w:t>
            </w:r>
          </w:p>
        </w:tc>
        <w:tc>
          <w:tcPr>
            <w:tcW w:w="1380" w:type="dxa"/>
            <w:vAlign w:val="bottom"/>
            <w:gridSpan w:val="2"/>
            <w:shd w:val="clear" w:color="auto" w:fill="D2EDF0"/>
          </w:tcPr>
          <w:p>
            <w:pPr>
              <w:jc w:val="right"/>
              <w:ind w:right="163"/>
              <w:spacing w:after="0"/>
              <w:rPr>
                <w:sz w:val="20"/>
                <w:szCs w:val="20"/>
                <w:color w:val="auto"/>
              </w:rPr>
            </w:pPr>
            <w:r>
              <w:rPr>
                <w:rFonts w:ascii="Arial" w:cs="Arial" w:eastAsia="Arial" w:hAnsi="Arial"/>
                <w:sz w:val="20"/>
                <w:szCs w:val="20"/>
                <w:color w:val="auto"/>
              </w:rPr>
              <w:t>4.5</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ind w:right="161"/>
              <w:spacing w:after="0"/>
              <w:rPr>
                <w:sz w:val="20"/>
                <w:szCs w:val="20"/>
                <w:color w:val="auto"/>
              </w:rPr>
            </w:pPr>
            <w:r>
              <w:rPr>
                <w:rFonts w:ascii="Arial" w:cs="Arial" w:eastAsia="Arial" w:hAnsi="Arial"/>
                <w:sz w:val="20"/>
                <w:szCs w:val="20"/>
                <w:color w:val="auto"/>
              </w:rPr>
              <w:t>11.1</w:t>
            </w:r>
          </w:p>
        </w:tc>
      </w:tr>
      <w:tr>
        <w:trPr>
          <w:trHeight w:val="296"/>
        </w:trPr>
        <w:tc>
          <w:tcPr>
            <w:tcW w:w="4900" w:type="dxa"/>
            <w:vAlign w:val="bottom"/>
          </w:tcPr>
          <w:p>
            <w:pPr>
              <w:ind w:left="40"/>
              <w:spacing w:after="0"/>
              <w:rPr>
                <w:sz w:val="20"/>
                <w:szCs w:val="20"/>
                <w:color w:val="auto"/>
              </w:rPr>
            </w:pPr>
            <w:r>
              <w:rPr>
                <w:rFonts w:ascii="Arial" w:cs="Arial" w:eastAsia="Arial" w:hAnsi="Arial"/>
                <w:sz w:val="20"/>
                <w:szCs w:val="20"/>
                <w:color w:val="auto"/>
              </w:rPr>
              <w:t>Stock-based compensation</w:t>
            </w:r>
          </w:p>
        </w:tc>
        <w:tc>
          <w:tcPr>
            <w:tcW w:w="1300" w:type="dxa"/>
            <w:vAlign w:val="bottom"/>
          </w:tcPr>
          <w:p>
            <w:pPr>
              <w:jc w:val="right"/>
              <w:ind w:right="161"/>
              <w:spacing w:after="0"/>
              <w:rPr>
                <w:sz w:val="20"/>
                <w:szCs w:val="20"/>
                <w:color w:val="auto"/>
              </w:rPr>
            </w:pPr>
            <w:r>
              <w:rPr>
                <w:rFonts w:ascii="Arial" w:cs="Arial" w:eastAsia="Arial" w:hAnsi="Arial"/>
                <w:sz w:val="20"/>
                <w:szCs w:val="20"/>
                <w:color w:val="auto"/>
              </w:rPr>
              <w:t>7.0</w:t>
            </w:r>
          </w:p>
        </w:tc>
        <w:tc>
          <w:tcPr>
            <w:tcW w:w="1380" w:type="dxa"/>
            <w:vAlign w:val="bottom"/>
            <w:gridSpan w:val="2"/>
          </w:tcPr>
          <w:p>
            <w:pPr>
              <w:jc w:val="right"/>
              <w:ind w:right="163"/>
              <w:spacing w:after="0"/>
              <w:rPr>
                <w:sz w:val="20"/>
                <w:szCs w:val="20"/>
                <w:color w:val="auto"/>
              </w:rPr>
            </w:pPr>
            <w:r>
              <w:rPr>
                <w:rFonts w:ascii="Arial" w:cs="Arial" w:eastAsia="Arial" w:hAnsi="Arial"/>
                <w:sz w:val="20"/>
                <w:szCs w:val="20"/>
                <w:color w:val="auto"/>
              </w:rPr>
              <w:t>49.5</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ind w:right="161"/>
              <w:spacing w:after="0"/>
              <w:rPr>
                <w:sz w:val="20"/>
                <w:szCs w:val="20"/>
                <w:color w:val="auto"/>
              </w:rPr>
            </w:pPr>
            <w:r>
              <w:rPr>
                <w:rFonts w:ascii="Arial" w:cs="Arial" w:eastAsia="Arial" w:hAnsi="Arial"/>
                <w:sz w:val="20"/>
                <w:szCs w:val="20"/>
                <w:color w:val="auto"/>
              </w:rPr>
              <w:t>34.4</w:t>
            </w:r>
          </w:p>
        </w:tc>
      </w:tr>
      <w:tr>
        <w:trPr>
          <w:trHeight w:val="304"/>
        </w:trPr>
        <w:tc>
          <w:tcPr>
            <w:tcW w:w="4900" w:type="dxa"/>
            <w:vAlign w:val="bottom"/>
            <w:shd w:val="clear" w:color="auto" w:fill="D2EDF0"/>
          </w:tcPr>
          <w:p>
            <w:pPr>
              <w:ind w:left="40"/>
              <w:spacing w:after="0"/>
              <w:rPr>
                <w:sz w:val="20"/>
                <w:szCs w:val="20"/>
                <w:color w:val="auto"/>
              </w:rPr>
            </w:pPr>
            <w:r>
              <w:rPr>
                <w:rFonts w:ascii="Arial" w:cs="Arial" w:eastAsia="Arial" w:hAnsi="Arial"/>
                <w:sz w:val="20"/>
                <w:szCs w:val="20"/>
                <w:color w:val="auto"/>
              </w:rPr>
              <w:t>Foreign tax rate differential</w:t>
            </w:r>
          </w:p>
        </w:tc>
        <w:tc>
          <w:tcPr>
            <w:tcW w:w="1300" w:type="dxa"/>
            <w:vAlign w:val="bottom"/>
            <w:shd w:val="clear" w:color="auto" w:fill="D2EDF0"/>
          </w:tcPr>
          <w:p>
            <w:pPr>
              <w:jc w:val="right"/>
              <w:ind w:right="81"/>
              <w:spacing w:after="0"/>
              <w:rPr>
                <w:sz w:val="20"/>
                <w:szCs w:val="20"/>
                <w:color w:val="auto"/>
              </w:rPr>
            </w:pPr>
            <w:r>
              <w:rPr>
                <w:rFonts w:ascii="Arial" w:cs="Arial" w:eastAsia="Arial" w:hAnsi="Arial"/>
                <w:sz w:val="20"/>
                <w:szCs w:val="20"/>
                <w:color w:val="auto"/>
              </w:rPr>
              <w:t>(4.0)</w:t>
            </w:r>
          </w:p>
        </w:tc>
        <w:tc>
          <w:tcPr>
            <w:tcW w:w="1380" w:type="dxa"/>
            <w:vAlign w:val="bottom"/>
            <w:gridSpan w:val="2"/>
            <w:shd w:val="clear" w:color="auto" w:fill="D2EDF0"/>
          </w:tcPr>
          <w:p>
            <w:pPr>
              <w:jc w:val="right"/>
              <w:ind w:right="83"/>
              <w:spacing w:after="0"/>
              <w:rPr>
                <w:sz w:val="20"/>
                <w:szCs w:val="20"/>
                <w:color w:val="auto"/>
              </w:rPr>
            </w:pPr>
            <w:r>
              <w:rPr>
                <w:rFonts w:ascii="Arial" w:cs="Arial" w:eastAsia="Arial" w:hAnsi="Arial"/>
                <w:sz w:val="20"/>
                <w:szCs w:val="20"/>
                <w:color w:val="auto"/>
              </w:rPr>
              <w:t>(1.2)</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ind w:right="81"/>
              <w:spacing w:after="0"/>
              <w:rPr>
                <w:sz w:val="20"/>
                <w:szCs w:val="20"/>
                <w:color w:val="auto"/>
              </w:rPr>
            </w:pPr>
            <w:r>
              <w:rPr>
                <w:rFonts w:ascii="Arial" w:cs="Arial" w:eastAsia="Arial" w:hAnsi="Arial"/>
                <w:sz w:val="20"/>
                <w:szCs w:val="20"/>
                <w:color w:val="auto"/>
              </w:rPr>
              <w:t>(10.6)</w:t>
            </w:r>
          </w:p>
        </w:tc>
      </w:tr>
      <w:tr>
        <w:trPr>
          <w:trHeight w:val="296"/>
        </w:trPr>
        <w:tc>
          <w:tcPr>
            <w:tcW w:w="4900" w:type="dxa"/>
            <w:vAlign w:val="bottom"/>
          </w:tcPr>
          <w:p>
            <w:pPr>
              <w:ind w:left="40"/>
              <w:spacing w:after="0"/>
              <w:rPr>
                <w:sz w:val="20"/>
                <w:szCs w:val="20"/>
                <w:color w:val="auto"/>
              </w:rPr>
            </w:pPr>
            <w:r>
              <w:rPr>
                <w:rFonts w:ascii="Arial" w:cs="Arial" w:eastAsia="Arial" w:hAnsi="Arial"/>
                <w:sz w:val="20"/>
                <w:szCs w:val="20"/>
                <w:color w:val="auto"/>
              </w:rPr>
              <w:t>Change in valuation allowance</w:t>
            </w: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(28.3)</w:t>
            </w:r>
          </w:p>
        </w:tc>
        <w:tc>
          <w:tcPr>
            <w:tcW w:w="1380" w:type="dxa"/>
            <w:vAlign w:val="bottom"/>
            <w:gridSpan w:val="2"/>
          </w:tcPr>
          <w:p>
            <w:pPr>
              <w:jc w:val="right"/>
              <w:ind w:right="83"/>
              <w:spacing w:after="0"/>
              <w:rPr>
                <w:sz w:val="20"/>
                <w:szCs w:val="20"/>
                <w:color w:val="auto"/>
              </w:rPr>
            </w:pPr>
            <w:r>
              <w:rPr>
                <w:rFonts w:ascii="Arial" w:cs="Arial" w:eastAsia="Arial" w:hAnsi="Arial"/>
                <w:sz w:val="20"/>
                <w:szCs w:val="20"/>
                <w:color w:val="auto"/>
              </w:rPr>
              <w:t>(55.7)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ind w:right="81"/>
              <w:spacing w:after="0"/>
              <w:rPr>
                <w:sz w:val="20"/>
                <w:szCs w:val="20"/>
                <w:color w:val="auto"/>
              </w:rPr>
            </w:pPr>
            <w:r>
              <w:rPr>
                <w:rFonts w:ascii="Arial" w:cs="Arial" w:eastAsia="Arial" w:hAnsi="Arial"/>
                <w:sz w:val="20"/>
                <w:szCs w:val="20"/>
                <w:color w:val="auto"/>
              </w:rPr>
              <w:t>(81.2)</w:t>
            </w:r>
          </w:p>
        </w:tc>
      </w:tr>
      <w:tr>
        <w:trPr>
          <w:trHeight w:val="304"/>
        </w:trPr>
        <w:tc>
          <w:tcPr>
            <w:tcW w:w="4900" w:type="dxa"/>
            <w:vAlign w:val="bottom"/>
            <w:shd w:val="clear" w:color="auto" w:fill="D2EDF0"/>
          </w:tcPr>
          <w:p>
            <w:pPr>
              <w:ind w:left="40"/>
              <w:spacing w:after="0"/>
              <w:rPr>
                <w:sz w:val="20"/>
                <w:szCs w:val="20"/>
                <w:color w:val="auto"/>
              </w:rPr>
            </w:pPr>
            <w:r>
              <w:rPr>
                <w:rFonts w:ascii="Arial" w:cs="Arial" w:eastAsia="Arial" w:hAnsi="Arial"/>
                <w:sz w:val="20"/>
                <w:szCs w:val="20"/>
                <w:color w:val="auto"/>
              </w:rPr>
              <w:t>Gain on intercompany sale</w:t>
            </w:r>
          </w:p>
        </w:tc>
        <w:tc>
          <w:tcPr>
            <w:tcW w:w="1300" w:type="dxa"/>
            <w:vAlign w:val="bottom"/>
            <w:shd w:val="clear" w:color="auto" w:fill="D2EDF0"/>
          </w:tcPr>
          <w:p>
            <w:pPr>
              <w:jc w:val="right"/>
              <w:ind w:right="81"/>
              <w:spacing w:after="0"/>
              <w:rPr>
                <w:sz w:val="20"/>
                <w:szCs w:val="20"/>
                <w:color w:val="auto"/>
              </w:rPr>
            </w:pPr>
            <w:r>
              <w:rPr>
                <w:rFonts w:ascii="Arial" w:cs="Arial" w:eastAsia="Arial" w:hAnsi="Arial"/>
                <w:sz w:val="20"/>
                <w:szCs w:val="20"/>
                <w:color w:val="auto"/>
              </w:rPr>
              <w:t>(2.9)</w:t>
            </w:r>
          </w:p>
        </w:tc>
        <w:tc>
          <w:tcPr>
            <w:tcW w:w="1380" w:type="dxa"/>
            <w:vAlign w:val="bottom"/>
            <w:gridSpan w:val="2"/>
            <w:shd w:val="clear" w:color="auto" w:fill="D2EDF0"/>
          </w:tcPr>
          <w:p>
            <w:pPr>
              <w:jc w:val="right"/>
              <w:ind w:right="83"/>
              <w:spacing w:after="0"/>
              <w:rPr>
                <w:sz w:val="20"/>
                <w:szCs w:val="20"/>
                <w:color w:val="auto"/>
              </w:rPr>
            </w:pPr>
            <w:r>
              <w:rPr>
                <w:rFonts w:ascii="Arial" w:cs="Arial" w:eastAsia="Arial" w:hAnsi="Arial"/>
                <w:sz w:val="20"/>
                <w:szCs w:val="20"/>
                <w:color w:val="auto"/>
              </w:rPr>
              <w:t>(5.1)</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ind w:right="161"/>
              <w:spacing w:after="0"/>
              <w:rPr>
                <w:sz w:val="20"/>
                <w:szCs w:val="20"/>
                <w:color w:val="auto"/>
              </w:rPr>
            </w:pPr>
            <w:r>
              <w:rPr>
                <w:rFonts w:ascii="Arial" w:cs="Arial" w:eastAsia="Arial" w:hAnsi="Arial"/>
                <w:sz w:val="20"/>
                <w:szCs w:val="20"/>
                <w:color w:val="auto"/>
              </w:rPr>
              <w:t>—</w:t>
            </w:r>
          </w:p>
        </w:tc>
      </w:tr>
      <w:tr>
        <w:trPr>
          <w:trHeight w:val="296"/>
        </w:trPr>
        <w:tc>
          <w:tcPr>
            <w:tcW w:w="4900" w:type="dxa"/>
            <w:vAlign w:val="bottom"/>
          </w:tcPr>
          <w:p>
            <w:pPr>
              <w:ind w:left="40"/>
              <w:spacing w:after="0"/>
              <w:rPr>
                <w:sz w:val="20"/>
                <w:szCs w:val="20"/>
                <w:color w:val="auto"/>
              </w:rPr>
            </w:pPr>
            <w:r>
              <w:rPr>
                <w:rFonts w:ascii="Arial" w:cs="Arial" w:eastAsia="Arial" w:hAnsi="Arial"/>
                <w:sz w:val="20"/>
                <w:szCs w:val="20"/>
                <w:color w:val="auto"/>
              </w:rPr>
              <w:t>Foreign withholding tax</w:t>
            </w: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(3.3)</w:t>
            </w:r>
          </w:p>
        </w:tc>
        <w:tc>
          <w:tcPr>
            <w:tcW w:w="1380" w:type="dxa"/>
            <w:vAlign w:val="bottom"/>
            <w:gridSpan w:val="2"/>
          </w:tcPr>
          <w:p>
            <w:pPr>
              <w:jc w:val="right"/>
              <w:ind w:right="83"/>
              <w:spacing w:after="0"/>
              <w:rPr>
                <w:sz w:val="20"/>
                <w:szCs w:val="20"/>
                <w:color w:val="auto"/>
              </w:rPr>
            </w:pPr>
            <w:r>
              <w:rPr>
                <w:rFonts w:ascii="Arial" w:cs="Arial" w:eastAsia="Arial" w:hAnsi="Arial"/>
                <w:sz w:val="20"/>
                <w:szCs w:val="20"/>
                <w:color w:val="auto"/>
              </w:rPr>
              <w:t>(2.0)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ind w:right="81"/>
              <w:spacing w:after="0"/>
              <w:rPr>
                <w:sz w:val="20"/>
                <w:szCs w:val="20"/>
                <w:color w:val="auto"/>
              </w:rPr>
            </w:pPr>
            <w:r>
              <w:rPr>
                <w:rFonts w:ascii="Arial" w:cs="Arial" w:eastAsia="Arial" w:hAnsi="Arial"/>
                <w:sz w:val="20"/>
                <w:szCs w:val="20"/>
                <w:color w:val="auto"/>
              </w:rPr>
              <w:t>(3.3)</w:t>
            </w:r>
          </w:p>
        </w:tc>
      </w:tr>
      <w:tr>
        <w:trPr>
          <w:trHeight w:val="304"/>
        </w:trPr>
        <w:tc>
          <w:tcPr>
            <w:tcW w:w="4900" w:type="dxa"/>
            <w:vAlign w:val="bottom"/>
            <w:shd w:val="clear" w:color="auto" w:fill="D2EDF0"/>
          </w:tcPr>
          <w:p>
            <w:pPr>
              <w:ind w:left="40"/>
              <w:spacing w:after="0"/>
              <w:rPr>
                <w:sz w:val="20"/>
                <w:szCs w:val="20"/>
                <w:color w:val="auto"/>
              </w:rPr>
            </w:pPr>
            <w:r>
              <w:rPr>
                <w:rFonts w:ascii="Arial" w:cs="Arial" w:eastAsia="Arial" w:hAnsi="Arial"/>
                <w:sz w:val="20"/>
                <w:szCs w:val="20"/>
                <w:color w:val="auto"/>
              </w:rPr>
              <w:t>Foreign deferred FX remeasurement</w:t>
            </w:r>
          </w:p>
        </w:tc>
        <w:tc>
          <w:tcPr>
            <w:tcW w:w="1300" w:type="dxa"/>
            <w:vAlign w:val="bottom"/>
            <w:shd w:val="clear" w:color="auto" w:fill="D2EDF0"/>
          </w:tcPr>
          <w:p>
            <w:pPr>
              <w:jc w:val="right"/>
              <w:ind w:right="81"/>
              <w:spacing w:after="0"/>
              <w:rPr>
                <w:sz w:val="20"/>
                <w:szCs w:val="20"/>
                <w:color w:val="auto"/>
              </w:rPr>
            </w:pPr>
            <w:r>
              <w:rPr>
                <w:rFonts w:ascii="Arial" w:cs="Arial" w:eastAsia="Arial" w:hAnsi="Arial"/>
                <w:sz w:val="20"/>
                <w:szCs w:val="20"/>
                <w:color w:val="auto"/>
              </w:rPr>
              <w:t>(4.4)</w:t>
            </w:r>
          </w:p>
        </w:tc>
        <w:tc>
          <w:tcPr>
            <w:tcW w:w="80" w:type="dxa"/>
            <w:vAlign w:val="bottom"/>
            <w:shd w:val="clear" w:color="auto" w:fill="D2EDF0"/>
          </w:tcPr>
          <w:p>
            <w:pPr>
              <w:spacing w:after="0"/>
              <w:rPr>
                <w:sz w:val="24"/>
                <w:szCs w:val="24"/>
                <w:color w:val="auto"/>
              </w:rPr>
            </w:pPr>
          </w:p>
        </w:tc>
        <w:tc>
          <w:tcPr>
            <w:tcW w:w="1800" w:type="dxa"/>
            <w:vAlign w:val="bottom"/>
            <w:gridSpan w:val="3"/>
            <w:shd w:val="clear" w:color="auto" w:fill="D2EDF0"/>
          </w:tcPr>
          <w:p>
            <w:pPr>
              <w:jc w:val="right"/>
              <w:ind w:right="760"/>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DF0"/>
          </w:tcPr>
          <w:p>
            <w:pPr>
              <w:jc w:val="right"/>
              <w:ind w:right="161"/>
              <w:spacing w:after="0"/>
              <w:rPr>
                <w:sz w:val="20"/>
                <w:szCs w:val="20"/>
                <w:color w:val="auto"/>
              </w:rPr>
            </w:pPr>
            <w:r>
              <w:rPr>
                <w:rFonts w:ascii="Arial" w:cs="Arial" w:eastAsia="Arial" w:hAnsi="Arial"/>
                <w:sz w:val="20"/>
                <w:szCs w:val="20"/>
                <w:color w:val="auto"/>
              </w:rPr>
              <w:t>—</w:t>
            </w:r>
          </w:p>
        </w:tc>
      </w:tr>
      <w:tr>
        <w:trPr>
          <w:trHeight w:val="296"/>
        </w:trPr>
        <w:tc>
          <w:tcPr>
            <w:tcW w:w="4900" w:type="dxa"/>
            <w:vAlign w:val="bottom"/>
          </w:tcPr>
          <w:p>
            <w:pPr>
              <w:ind w:left="40"/>
              <w:spacing w:after="0"/>
              <w:rPr>
                <w:sz w:val="20"/>
                <w:szCs w:val="20"/>
                <w:color w:val="auto"/>
              </w:rPr>
            </w:pPr>
            <w:r>
              <w:rPr>
                <w:rFonts w:ascii="Arial" w:cs="Arial" w:eastAsia="Arial" w:hAnsi="Arial"/>
                <w:sz w:val="20"/>
                <w:szCs w:val="20"/>
                <w:color w:val="auto"/>
              </w:rPr>
              <w:t>Transaction costs</w:t>
            </w:r>
          </w:p>
        </w:tc>
        <w:tc>
          <w:tcPr>
            <w:tcW w:w="1300" w:type="dxa"/>
            <w:vAlign w:val="bottom"/>
          </w:tcPr>
          <w:p>
            <w:pPr>
              <w:jc w:val="right"/>
              <w:ind w:right="81"/>
              <w:spacing w:after="0"/>
              <w:rPr>
                <w:sz w:val="20"/>
                <w:szCs w:val="20"/>
                <w:color w:val="auto"/>
              </w:rPr>
            </w:pPr>
            <w:r>
              <w:rPr>
                <w:rFonts w:ascii="Arial" w:cs="Arial" w:eastAsia="Arial" w:hAnsi="Arial"/>
                <w:sz w:val="20"/>
                <w:szCs w:val="20"/>
                <w:color w:val="auto"/>
              </w:rPr>
              <w:t>(0.6)</w:t>
            </w:r>
          </w:p>
        </w:tc>
        <w:tc>
          <w:tcPr>
            <w:tcW w:w="1380" w:type="dxa"/>
            <w:vAlign w:val="bottom"/>
            <w:gridSpan w:val="2"/>
          </w:tcPr>
          <w:p>
            <w:pPr>
              <w:jc w:val="right"/>
              <w:ind w:right="83"/>
              <w:spacing w:after="0"/>
              <w:rPr>
                <w:sz w:val="20"/>
                <w:szCs w:val="20"/>
                <w:color w:val="auto"/>
              </w:rPr>
            </w:pPr>
            <w:r>
              <w:rPr>
                <w:rFonts w:ascii="Arial" w:cs="Arial" w:eastAsia="Arial" w:hAnsi="Arial"/>
                <w:sz w:val="20"/>
                <w:szCs w:val="20"/>
                <w:color w:val="auto"/>
              </w:rPr>
              <w:t>(1.6)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ind w:right="161"/>
              <w:spacing w:after="0"/>
              <w:rPr>
                <w:sz w:val="20"/>
                <w:szCs w:val="20"/>
                <w:color w:val="auto"/>
              </w:rPr>
            </w:pPr>
            <w:r>
              <w:rPr>
                <w:rFonts w:ascii="Arial" w:cs="Arial" w:eastAsia="Arial" w:hAnsi="Arial"/>
                <w:sz w:val="20"/>
                <w:szCs w:val="20"/>
                <w:color w:val="auto"/>
              </w:rPr>
              <w:t>—</w:t>
            </w:r>
          </w:p>
        </w:tc>
      </w:tr>
      <w:tr>
        <w:trPr>
          <w:trHeight w:val="294"/>
        </w:trPr>
        <w:tc>
          <w:tcPr>
            <w:tcW w:w="4900" w:type="dxa"/>
            <w:vAlign w:val="bottom"/>
            <w:tcBorders>
              <w:bottom w:val="single" w:sz="8" w:color="D2EDF0"/>
            </w:tcBorders>
            <w:shd w:val="clear" w:color="auto" w:fill="D2EDF0"/>
          </w:tcPr>
          <w:p>
            <w:pPr>
              <w:ind w:left="40"/>
              <w:spacing w:after="0"/>
              <w:rPr>
                <w:sz w:val="20"/>
                <w:szCs w:val="20"/>
                <w:color w:val="auto"/>
              </w:rPr>
            </w:pPr>
            <w:r>
              <w:rPr>
                <w:rFonts w:ascii="Arial" w:cs="Arial" w:eastAsia="Arial" w:hAnsi="Arial"/>
                <w:sz w:val="20"/>
                <w:szCs w:val="20"/>
                <w:color w:val="auto"/>
              </w:rPr>
              <w:t>Other</w:t>
            </w:r>
          </w:p>
        </w:tc>
        <w:tc>
          <w:tcPr>
            <w:tcW w:w="1300" w:type="dxa"/>
            <w:vAlign w:val="bottom"/>
            <w:tcBorders>
              <w:bottom w:val="single" w:sz="8" w:color="auto"/>
            </w:tcBorders>
            <w:shd w:val="clear" w:color="auto" w:fill="D2EDF0"/>
          </w:tcPr>
          <w:p>
            <w:pPr>
              <w:jc w:val="right"/>
              <w:ind w:right="161"/>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D2EDF0"/>
            </w:tcBorders>
            <w:shd w:val="clear" w:color="auto" w:fill="D2EDF0"/>
          </w:tcPr>
          <w:p>
            <w:pPr>
              <w:spacing w:after="0"/>
              <w:rPr>
                <w:sz w:val="24"/>
                <w:szCs w:val="24"/>
                <w:color w:val="auto"/>
              </w:rPr>
            </w:pPr>
          </w:p>
        </w:tc>
        <w:tc>
          <w:tcPr>
            <w:tcW w:w="1300" w:type="dxa"/>
            <w:vAlign w:val="bottom"/>
            <w:tcBorders>
              <w:bottom w:val="single" w:sz="8" w:color="auto"/>
            </w:tcBorders>
            <w:shd w:val="clear" w:color="auto" w:fill="D2EDF0"/>
          </w:tcPr>
          <w:p>
            <w:pPr>
              <w:jc w:val="right"/>
              <w:ind w:right="83"/>
              <w:spacing w:after="0"/>
              <w:rPr>
                <w:sz w:val="20"/>
                <w:szCs w:val="20"/>
                <w:color w:val="auto"/>
              </w:rPr>
            </w:pPr>
            <w:r>
              <w:rPr>
                <w:rFonts w:ascii="Arial" w:cs="Arial" w:eastAsia="Arial" w:hAnsi="Arial"/>
                <w:sz w:val="20"/>
                <w:szCs w:val="20"/>
                <w:color w:val="auto"/>
              </w:rPr>
              <w:t>(4.2)</w:t>
            </w:r>
          </w:p>
        </w:tc>
        <w:tc>
          <w:tcPr>
            <w:tcW w:w="80" w:type="dxa"/>
            <w:vAlign w:val="bottom"/>
            <w:tcBorders>
              <w:bottom w:val="single" w:sz="8" w:color="D2EDF0"/>
            </w:tcBorders>
            <w:shd w:val="clear" w:color="auto" w:fill="D2EDF0"/>
          </w:tcPr>
          <w:p>
            <w:pPr>
              <w:spacing w:after="0"/>
              <w:rPr>
                <w:sz w:val="24"/>
                <w:szCs w:val="24"/>
                <w:color w:val="auto"/>
              </w:rPr>
            </w:pPr>
          </w:p>
        </w:tc>
        <w:tc>
          <w:tcPr>
            <w:tcW w:w="420" w:type="dxa"/>
            <w:vAlign w:val="bottom"/>
            <w:tcBorders>
              <w:bottom w:val="single" w:sz="8" w:color="auto"/>
            </w:tcBorders>
            <w:shd w:val="clear" w:color="auto" w:fill="D2EDF0"/>
          </w:tcPr>
          <w:p>
            <w:pPr>
              <w:spacing w:after="0"/>
              <w:rPr>
                <w:sz w:val="24"/>
                <w:szCs w:val="24"/>
                <w:color w:val="auto"/>
              </w:rPr>
            </w:pPr>
          </w:p>
        </w:tc>
        <w:tc>
          <w:tcPr>
            <w:tcW w:w="880" w:type="dxa"/>
            <w:vAlign w:val="bottom"/>
            <w:tcBorders>
              <w:bottom w:val="single" w:sz="8" w:color="auto"/>
            </w:tcBorders>
            <w:shd w:val="clear" w:color="auto" w:fill="D2EDF0"/>
          </w:tcPr>
          <w:p>
            <w:pPr>
              <w:jc w:val="right"/>
              <w:ind w:right="161"/>
              <w:spacing w:after="0"/>
              <w:rPr>
                <w:sz w:val="20"/>
                <w:szCs w:val="20"/>
                <w:color w:val="auto"/>
              </w:rPr>
            </w:pPr>
            <w:r>
              <w:rPr>
                <w:rFonts w:ascii="Arial" w:cs="Arial" w:eastAsia="Arial" w:hAnsi="Arial"/>
                <w:sz w:val="20"/>
                <w:szCs w:val="20"/>
                <w:color w:val="auto"/>
              </w:rPr>
              <w:t>2.5</w:t>
            </w:r>
          </w:p>
        </w:tc>
      </w:tr>
      <w:tr>
        <w:trPr>
          <w:trHeight w:val="260"/>
        </w:trPr>
        <w:tc>
          <w:tcPr>
            <w:tcW w:w="4900" w:type="dxa"/>
            <w:vAlign w:val="bottom"/>
          </w:tcPr>
          <w:p>
            <w:pPr>
              <w:ind w:left="160"/>
              <w:spacing w:after="0"/>
              <w:rPr>
                <w:sz w:val="20"/>
                <w:szCs w:val="20"/>
                <w:color w:val="auto"/>
              </w:rPr>
            </w:pPr>
            <w:r>
              <w:rPr>
                <w:rFonts w:ascii="Arial" w:cs="Arial" w:eastAsia="Arial" w:hAnsi="Arial"/>
                <w:sz w:val="20"/>
                <w:szCs w:val="20"/>
                <w:color w:val="auto"/>
              </w:rPr>
              <w:t>Effective tax rate</w:t>
            </w:r>
          </w:p>
        </w:tc>
        <w:tc>
          <w:tcPr>
            <w:tcW w:w="1300" w:type="dxa"/>
            <w:vAlign w:val="bottom"/>
          </w:tcPr>
          <w:p>
            <w:pPr>
              <w:jc w:val="right"/>
              <w:spacing w:after="0"/>
              <w:rPr>
                <w:sz w:val="20"/>
                <w:szCs w:val="20"/>
                <w:color w:val="auto"/>
              </w:rPr>
            </w:pPr>
            <w:r>
              <w:rPr>
                <w:rFonts w:ascii="Arial" w:cs="Arial" w:eastAsia="Arial" w:hAnsi="Arial"/>
                <w:sz w:val="20"/>
                <w:szCs w:val="20"/>
                <w:color w:val="auto"/>
              </w:rPr>
              <w:t>(8.1)%</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7.8 %</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(15.3)%</w:t>
            </w:r>
          </w:p>
        </w:tc>
      </w:tr>
      <w:tr>
        <w:trPr>
          <w:trHeight w:val="20"/>
        </w:trPr>
        <w:tc>
          <w:tcPr>
            <w:tcW w:w="49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3124200</wp:posOffset>
            </wp:positionH>
            <wp:positionV relativeFrom="paragraph">
              <wp:posOffset>-37465</wp:posOffset>
            </wp:positionV>
            <wp:extent cx="258127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81275" cy="38100"/>
                    </a:xfrm>
                    <a:prstGeom prst="rect">
                      <a:avLst/>
                    </a:prstGeom>
                    <a:noFill/>
                  </pic:spPr>
                </pic:pic>
              </a:graphicData>
            </a:graphic>
          </wp:anchor>
        </w:drawing>
      </w:r>
    </w:p>
    <w:p>
      <w:pPr>
        <w:spacing w:after="0" w:line="234" w:lineRule="exact"/>
        <w:rPr>
          <w:sz w:val="20"/>
          <w:szCs w:val="20"/>
          <w:color w:val="auto"/>
        </w:rPr>
      </w:pPr>
    </w:p>
    <w:p>
      <w:pPr>
        <w:ind w:right="220" w:firstLine="360"/>
        <w:spacing w:after="0" w:line="268" w:lineRule="auto"/>
        <w:rPr>
          <w:sz w:val="20"/>
          <w:szCs w:val="20"/>
          <w:color w:val="auto"/>
        </w:rPr>
      </w:pPr>
      <w:r>
        <w:rPr>
          <w:rFonts w:ascii="Arial" w:cs="Arial" w:eastAsia="Arial" w:hAnsi="Arial"/>
          <w:sz w:val="20"/>
          <w:szCs w:val="20"/>
          <w:color w:val="auto"/>
        </w:rPr>
        <w:t>We maintain a valuation allowance on U.S. federal, state and foreign net deferred tax assets as the realization of our deferred tax assets is dependent upon future earnings, if any, the timing and amount of which are uncertain.</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111</w:t>
      </w:r>
    </w:p>
    <w:p>
      <w:pPr>
        <w:sectPr>
          <w:pgSz w:w="11880" w:h="15480" w:orient="portrait"/>
          <w:cols w:equalWidth="0" w:num="1">
            <w:col w:w="9000"/>
          </w:cols>
          <w:pgMar w:left="1440" w:top="1204" w:right="1440" w:bottom="0" w:gutter="0" w:footer="0" w:header="0"/>
          <w:type w:val="continuous"/>
        </w:sectPr>
      </w:pPr>
    </w:p>
    <w:bookmarkStart w:id="203" w:name="page204"/>
    <w:bookmarkEnd w:id="203"/>
    <w:p>
      <w:pPr>
        <w:ind w:left="360"/>
        <w:spacing w:after="0"/>
        <w:rPr>
          <w:sz w:val="20"/>
          <w:szCs w:val="20"/>
          <w:color w:val="auto"/>
        </w:rPr>
      </w:pPr>
      <w:r>
        <w:rPr>
          <w:rFonts w:ascii="Arial" w:cs="Arial" w:eastAsia="Arial" w:hAnsi="Arial"/>
          <w:sz w:val="20"/>
          <w:szCs w:val="20"/>
          <w:color w:val="auto"/>
        </w:rPr>
        <w:t>The components of the deferred tax assets and liabilities were as follows: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6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61"/>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0"/>
        </w:trPr>
        <w:tc>
          <w:tcPr>
            <w:tcW w:w="6280" w:type="dxa"/>
            <w:vAlign w:val="bottom"/>
            <w:tcBorders>
              <w:bottom w:val="single" w:sz="8" w:color="D2EDF0"/>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90"/>
        </w:trPr>
        <w:tc>
          <w:tcPr>
            <w:tcW w:w="6280" w:type="dxa"/>
            <w:vAlign w:val="bottom"/>
            <w:shd w:val="clear" w:color="auto" w:fill="D2EDF0"/>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spacing w:after="0"/>
              <w:rPr>
                <w:sz w:val="24"/>
                <w:szCs w:val="24"/>
                <w:color w:val="auto"/>
              </w:rPr>
            </w:pP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280" w:type="dxa"/>
            <w:vAlign w:val="bottom"/>
          </w:tcPr>
          <w:p>
            <w:pPr>
              <w:ind w:left="180"/>
              <w:spacing w:after="0"/>
              <w:rPr>
                <w:sz w:val="20"/>
                <w:szCs w:val="20"/>
                <w:color w:val="auto"/>
              </w:rPr>
            </w:pPr>
            <w:r>
              <w:rPr>
                <w:rFonts w:ascii="Arial" w:cs="Arial" w:eastAsia="Arial" w:hAnsi="Arial"/>
                <w:sz w:val="20"/>
                <w:szCs w:val="20"/>
                <w:color w:val="auto"/>
              </w:rPr>
              <w:t>Net operating losses</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136,087</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134,503</w:t>
            </w:r>
          </w:p>
        </w:tc>
        <w:tc>
          <w:tcPr>
            <w:tcW w:w="0" w:type="dxa"/>
            <w:vAlign w:val="bottom"/>
          </w:tcPr>
          <w:p>
            <w:pPr>
              <w:spacing w:after="0"/>
              <w:rPr>
                <w:sz w:val="1"/>
                <w:szCs w:val="1"/>
                <w:color w:val="auto"/>
              </w:rPr>
            </w:pPr>
          </w:p>
        </w:tc>
      </w:tr>
      <w:tr>
        <w:trPr>
          <w:trHeight w:val="304"/>
        </w:trPr>
        <w:tc>
          <w:tcPr>
            <w:tcW w:w="6280" w:type="dxa"/>
            <w:vAlign w:val="bottom"/>
            <w:shd w:val="clear" w:color="auto" w:fill="D2EDF0"/>
          </w:tcPr>
          <w:p>
            <w:pPr>
              <w:ind w:left="180"/>
              <w:spacing w:after="0"/>
              <w:rPr>
                <w:sz w:val="20"/>
                <w:szCs w:val="20"/>
                <w:color w:val="auto"/>
              </w:rPr>
            </w:pPr>
            <w:r>
              <w:rPr>
                <w:rFonts w:ascii="Arial" w:cs="Arial" w:eastAsia="Arial" w:hAnsi="Arial"/>
                <w:sz w:val="20"/>
                <w:szCs w:val="20"/>
                <w:color w:val="auto"/>
              </w:rPr>
              <w:t>Deferred revenue</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15,907</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13,598</w:t>
            </w:r>
          </w:p>
        </w:tc>
        <w:tc>
          <w:tcPr>
            <w:tcW w:w="0" w:type="dxa"/>
            <w:vAlign w:val="bottom"/>
          </w:tcPr>
          <w:p>
            <w:pPr>
              <w:spacing w:after="0"/>
              <w:rPr>
                <w:sz w:val="1"/>
                <w:szCs w:val="1"/>
                <w:color w:val="auto"/>
              </w:rPr>
            </w:pPr>
          </w:p>
        </w:tc>
      </w:tr>
      <w:tr>
        <w:trPr>
          <w:trHeight w:val="296"/>
        </w:trPr>
        <w:tc>
          <w:tcPr>
            <w:tcW w:w="6280" w:type="dxa"/>
            <w:vAlign w:val="bottom"/>
          </w:tcPr>
          <w:p>
            <w:pPr>
              <w:ind w:left="180"/>
              <w:spacing w:after="0"/>
              <w:rPr>
                <w:sz w:val="20"/>
                <w:szCs w:val="20"/>
                <w:color w:val="auto"/>
              </w:rPr>
            </w:pPr>
            <w:r>
              <w:rPr>
                <w:rFonts w:ascii="Arial" w:cs="Arial" w:eastAsia="Arial" w:hAnsi="Arial"/>
                <w:sz w:val="20"/>
                <w:szCs w:val="20"/>
                <w:color w:val="auto"/>
              </w:rPr>
              <w:t>Stock-based compensation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17,599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14,157</w:t>
            </w:r>
          </w:p>
        </w:tc>
        <w:tc>
          <w:tcPr>
            <w:tcW w:w="0" w:type="dxa"/>
            <w:vAlign w:val="bottom"/>
          </w:tcPr>
          <w:p>
            <w:pPr>
              <w:spacing w:after="0"/>
              <w:rPr>
                <w:sz w:val="1"/>
                <w:szCs w:val="1"/>
                <w:color w:val="auto"/>
              </w:rPr>
            </w:pPr>
          </w:p>
        </w:tc>
      </w:tr>
      <w:tr>
        <w:trPr>
          <w:trHeight w:val="304"/>
        </w:trPr>
        <w:tc>
          <w:tcPr>
            <w:tcW w:w="6280" w:type="dxa"/>
            <w:vAlign w:val="bottom"/>
            <w:shd w:val="clear" w:color="auto" w:fill="D2EDF0"/>
          </w:tcPr>
          <w:p>
            <w:pPr>
              <w:ind w:left="180"/>
              <w:spacing w:after="0"/>
              <w:rPr>
                <w:sz w:val="20"/>
                <w:szCs w:val="20"/>
                <w:color w:val="auto"/>
              </w:rPr>
            </w:pPr>
            <w:r>
              <w:rPr>
                <w:rFonts w:ascii="Arial" w:cs="Arial" w:eastAsia="Arial" w:hAnsi="Arial"/>
                <w:sz w:val="20"/>
                <w:szCs w:val="20"/>
                <w:color w:val="auto"/>
              </w:rPr>
              <w:t>Tax credits</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18,674</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15,142</w:t>
            </w:r>
          </w:p>
        </w:tc>
        <w:tc>
          <w:tcPr>
            <w:tcW w:w="0" w:type="dxa"/>
            <w:vAlign w:val="bottom"/>
          </w:tcPr>
          <w:p>
            <w:pPr>
              <w:spacing w:after="0"/>
              <w:rPr>
                <w:sz w:val="1"/>
                <w:szCs w:val="1"/>
                <w:color w:val="auto"/>
              </w:rPr>
            </w:pPr>
          </w:p>
        </w:tc>
      </w:tr>
      <w:tr>
        <w:trPr>
          <w:trHeight w:val="296"/>
        </w:trPr>
        <w:tc>
          <w:tcPr>
            <w:tcW w:w="6280" w:type="dxa"/>
            <w:vAlign w:val="bottom"/>
          </w:tcPr>
          <w:p>
            <w:pPr>
              <w:ind w:left="180"/>
              <w:spacing w:after="0"/>
              <w:rPr>
                <w:sz w:val="20"/>
                <w:szCs w:val="20"/>
                <w:color w:val="auto"/>
              </w:rPr>
            </w:pPr>
            <w:r>
              <w:rPr>
                <w:rFonts w:ascii="Arial" w:cs="Arial" w:eastAsia="Arial" w:hAnsi="Arial"/>
                <w:sz w:val="20"/>
                <w:szCs w:val="20"/>
                <w:color w:val="auto"/>
              </w:rPr>
              <w:t>Leases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13,167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12,929</w:t>
            </w:r>
          </w:p>
        </w:tc>
        <w:tc>
          <w:tcPr>
            <w:tcW w:w="0" w:type="dxa"/>
            <w:vAlign w:val="bottom"/>
          </w:tcPr>
          <w:p>
            <w:pPr>
              <w:spacing w:after="0"/>
              <w:rPr>
                <w:sz w:val="1"/>
                <w:szCs w:val="1"/>
                <w:color w:val="auto"/>
              </w:rPr>
            </w:pPr>
          </w:p>
        </w:tc>
      </w:tr>
      <w:tr>
        <w:trPr>
          <w:trHeight w:val="304"/>
        </w:trPr>
        <w:tc>
          <w:tcPr>
            <w:tcW w:w="6280" w:type="dxa"/>
            <w:vAlign w:val="bottom"/>
            <w:shd w:val="clear" w:color="auto" w:fill="D2EDF0"/>
          </w:tcPr>
          <w:p>
            <w:pPr>
              <w:ind w:left="180"/>
              <w:spacing w:after="0"/>
              <w:rPr>
                <w:sz w:val="20"/>
                <w:szCs w:val="20"/>
                <w:color w:val="auto"/>
              </w:rPr>
            </w:pPr>
            <w:r>
              <w:rPr>
                <w:rFonts w:ascii="Arial" w:cs="Arial" w:eastAsia="Arial" w:hAnsi="Arial"/>
                <w:sz w:val="20"/>
                <w:szCs w:val="20"/>
                <w:color w:val="auto"/>
              </w:rPr>
              <w:t>Accrued compensation</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1,869</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1,600</w:t>
            </w:r>
          </w:p>
        </w:tc>
        <w:tc>
          <w:tcPr>
            <w:tcW w:w="0" w:type="dxa"/>
            <w:vAlign w:val="bottom"/>
          </w:tcPr>
          <w:p>
            <w:pPr>
              <w:spacing w:after="0"/>
              <w:rPr>
                <w:sz w:val="1"/>
                <w:szCs w:val="1"/>
                <w:color w:val="auto"/>
              </w:rPr>
            </w:pPr>
          </w:p>
        </w:tc>
      </w:tr>
      <w:tr>
        <w:trPr>
          <w:trHeight w:val="296"/>
        </w:trPr>
        <w:tc>
          <w:tcPr>
            <w:tcW w:w="6280" w:type="dxa"/>
            <w:vAlign w:val="bottom"/>
          </w:tcPr>
          <w:p>
            <w:pPr>
              <w:ind w:left="180"/>
              <w:spacing w:after="0"/>
              <w:rPr>
                <w:sz w:val="20"/>
                <w:szCs w:val="20"/>
                <w:color w:val="auto"/>
              </w:rPr>
            </w:pPr>
            <w:r>
              <w:rPr>
                <w:rFonts w:ascii="Arial" w:cs="Arial" w:eastAsia="Arial" w:hAnsi="Arial"/>
                <w:sz w:val="20"/>
                <w:szCs w:val="20"/>
                <w:color w:val="auto"/>
              </w:rPr>
              <w:t>Interest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4,678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304"/>
        </w:trPr>
        <w:tc>
          <w:tcPr>
            <w:tcW w:w="6280" w:type="dxa"/>
            <w:vAlign w:val="bottom"/>
            <w:shd w:val="clear" w:color="auto" w:fill="D2EDF0"/>
          </w:tcPr>
          <w:p>
            <w:pPr>
              <w:ind w:left="180"/>
              <w:spacing w:after="0"/>
              <w:rPr>
                <w:sz w:val="20"/>
                <w:szCs w:val="20"/>
                <w:color w:val="auto"/>
              </w:rPr>
            </w:pPr>
            <w:r>
              <w:rPr>
                <w:rFonts w:ascii="Arial" w:cs="Arial" w:eastAsia="Arial" w:hAnsi="Arial"/>
                <w:sz w:val="20"/>
                <w:szCs w:val="20"/>
                <w:color w:val="auto"/>
              </w:rPr>
              <w:t>Capitalized research and development</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14,076</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0"/>
        </w:trPr>
        <w:tc>
          <w:tcPr>
            <w:tcW w:w="6280" w:type="dxa"/>
            <w:vAlign w:val="bottom"/>
            <w:tcBorders>
              <w:bottom w:val="single" w:sz="8" w:color="D2EDF0"/>
            </w:tcBorders>
          </w:tcPr>
          <w:p>
            <w:pPr>
              <w:ind w:left="180"/>
              <w:spacing w:after="0"/>
              <w:rPr>
                <w:sz w:val="20"/>
                <w:szCs w:val="20"/>
                <w:color w:val="auto"/>
              </w:rPr>
            </w:pPr>
            <w:r>
              <w:rPr>
                <w:rFonts w:ascii="Arial" w:cs="Arial" w:eastAsia="Arial" w:hAnsi="Arial"/>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231</w:t>
            </w:r>
          </w:p>
        </w:tc>
        <w:tc>
          <w:tcPr>
            <w:tcW w:w="0" w:type="dxa"/>
            <w:vAlign w:val="bottom"/>
          </w:tcPr>
          <w:p>
            <w:pPr>
              <w:spacing w:after="0"/>
              <w:rPr>
                <w:sz w:val="1"/>
                <w:szCs w:val="1"/>
                <w:color w:val="auto"/>
              </w:rPr>
            </w:pPr>
          </w:p>
        </w:tc>
      </w:tr>
      <w:tr>
        <w:trPr>
          <w:trHeight w:val="290"/>
        </w:trPr>
        <w:tc>
          <w:tcPr>
            <w:tcW w:w="6280" w:type="dxa"/>
            <w:vAlign w:val="bottom"/>
            <w:shd w:val="clear" w:color="auto" w:fill="D2EDF0"/>
          </w:tcPr>
          <w:p>
            <w:pPr>
              <w:ind w:left="40"/>
              <w:spacing w:after="0"/>
              <w:rPr>
                <w:sz w:val="20"/>
                <w:szCs w:val="20"/>
                <w:color w:val="auto"/>
              </w:rPr>
            </w:pPr>
            <w:r>
              <w:rPr>
                <w:rFonts w:ascii="Arial" w:cs="Arial" w:eastAsia="Arial" w:hAnsi="Arial"/>
                <w:sz w:val="20"/>
                <w:szCs w:val="20"/>
                <w:color w:val="auto"/>
              </w:rPr>
              <w:t>Total deferred tax assets</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222,106</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194,173</w:t>
            </w:r>
          </w:p>
        </w:tc>
        <w:tc>
          <w:tcPr>
            <w:tcW w:w="0" w:type="dxa"/>
            <w:vAlign w:val="bottom"/>
          </w:tcPr>
          <w:p>
            <w:pPr>
              <w:spacing w:after="0"/>
              <w:rPr>
                <w:sz w:val="1"/>
                <w:szCs w:val="1"/>
                <w:color w:val="auto"/>
              </w:rPr>
            </w:pPr>
          </w:p>
        </w:tc>
      </w:tr>
      <w:tr>
        <w:trPr>
          <w:trHeight w:val="290"/>
        </w:trPr>
        <w:tc>
          <w:tcPr>
            <w:tcW w:w="6280" w:type="dxa"/>
            <w:vAlign w:val="bottom"/>
            <w:tcBorders>
              <w:bottom w:val="single" w:sz="8" w:color="D2EDF0"/>
            </w:tcBorders>
          </w:tcPr>
          <w:p>
            <w:pPr>
              <w:ind w:left="180"/>
              <w:spacing w:after="0"/>
              <w:rPr>
                <w:sz w:val="20"/>
                <w:szCs w:val="20"/>
                <w:color w:val="auto"/>
              </w:rPr>
            </w:pPr>
            <w:r>
              <w:rPr>
                <w:rFonts w:ascii="Arial" w:cs="Arial" w:eastAsia="Arial" w:hAnsi="Arial"/>
                <w:sz w:val="20"/>
                <w:szCs w:val="20"/>
                <w:color w:val="auto"/>
              </w:rPr>
              <w:t>Valuation allowance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(172,987)</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(147,040)</w:t>
            </w:r>
          </w:p>
        </w:tc>
        <w:tc>
          <w:tcPr>
            <w:tcW w:w="0" w:type="dxa"/>
            <w:vAlign w:val="bottom"/>
          </w:tcPr>
          <w:p>
            <w:pPr>
              <w:spacing w:after="0"/>
              <w:rPr>
                <w:sz w:val="1"/>
                <w:szCs w:val="1"/>
                <w:color w:val="auto"/>
              </w:rPr>
            </w:pPr>
          </w:p>
        </w:tc>
      </w:tr>
      <w:tr>
        <w:trPr>
          <w:trHeight w:val="290"/>
        </w:trPr>
        <w:tc>
          <w:tcPr>
            <w:tcW w:w="6280" w:type="dxa"/>
            <w:vAlign w:val="bottom"/>
            <w:shd w:val="clear" w:color="auto" w:fill="D2EDF0"/>
          </w:tcPr>
          <w:p>
            <w:pPr>
              <w:ind w:left="40"/>
              <w:spacing w:after="0"/>
              <w:rPr>
                <w:sz w:val="20"/>
                <w:szCs w:val="20"/>
                <w:color w:val="auto"/>
              </w:rPr>
            </w:pPr>
            <w:r>
              <w:rPr>
                <w:rFonts w:ascii="Arial" w:cs="Arial" w:eastAsia="Arial" w:hAnsi="Arial"/>
                <w:sz w:val="20"/>
                <w:szCs w:val="20"/>
                <w:color w:val="auto"/>
              </w:rPr>
              <w:t>Net deferred tax assets</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49,119</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47,133</w:t>
            </w:r>
          </w:p>
        </w:tc>
        <w:tc>
          <w:tcPr>
            <w:tcW w:w="0" w:type="dxa"/>
            <w:vAlign w:val="bottom"/>
          </w:tcPr>
          <w:p>
            <w:pPr>
              <w:spacing w:after="0"/>
              <w:rPr>
                <w:sz w:val="1"/>
                <w:szCs w:val="1"/>
                <w:color w:val="auto"/>
              </w:rPr>
            </w:pPr>
          </w:p>
        </w:tc>
      </w:tr>
      <w:tr>
        <w:trPr>
          <w:trHeight w:val="299"/>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280" w:type="dxa"/>
            <w:vAlign w:val="bottom"/>
            <w:shd w:val="clear" w:color="auto" w:fill="D2EDF0"/>
          </w:tcPr>
          <w:p>
            <w:pPr>
              <w:ind w:left="180"/>
              <w:spacing w:after="0"/>
              <w:rPr>
                <w:sz w:val="20"/>
                <w:szCs w:val="20"/>
                <w:color w:val="auto"/>
              </w:rPr>
            </w:pPr>
            <w:r>
              <w:rPr>
                <w:rFonts w:ascii="Arial" w:cs="Arial" w:eastAsia="Arial" w:hAnsi="Arial"/>
                <w:sz w:val="20"/>
                <w:szCs w:val="20"/>
                <w:color w:val="auto"/>
              </w:rPr>
              <w:t>Deferred commissions</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(22,112)</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(19,423)</w:t>
            </w:r>
          </w:p>
        </w:tc>
        <w:tc>
          <w:tcPr>
            <w:tcW w:w="0" w:type="dxa"/>
            <w:vAlign w:val="bottom"/>
          </w:tcPr>
          <w:p>
            <w:pPr>
              <w:spacing w:after="0"/>
              <w:rPr>
                <w:sz w:val="1"/>
                <w:szCs w:val="1"/>
                <w:color w:val="auto"/>
              </w:rPr>
            </w:pPr>
          </w:p>
        </w:tc>
      </w:tr>
      <w:tr>
        <w:trPr>
          <w:trHeight w:val="296"/>
        </w:trPr>
        <w:tc>
          <w:tcPr>
            <w:tcW w:w="6280" w:type="dxa"/>
            <w:vAlign w:val="bottom"/>
          </w:tcPr>
          <w:p>
            <w:pPr>
              <w:ind w:left="180"/>
              <w:spacing w:after="0"/>
              <w:rPr>
                <w:sz w:val="20"/>
                <w:szCs w:val="20"/>
                <w:color w:val="auto"/>
              </w:rPr>
            </w:pPr>
            <w:r>
              <w:rPr>
                <w:rFonts w:ascii="Arial" w:cs="Arial" w:eastAsia="Arial" w:hAnsi="Arial"/>
                <w:sz w:val="20"/>
                <w:szCs w:val="20"/>
                <w:color w:val="auto"/>
              </w:rPr>
              <w:t>Property and equipment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(13,573)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(13,720)</w:t>
            </w:r>
          </w:p>
        </w:tc>
        <w:tc>
          <w:tcPr>
            <w:tcW w:w="0" w:type="dxa"/>
            <w:vAlign w:val="bottom"/>
          </w:tcPr>
          <w:p>
            <w:pPr>
              <w:spacing w:after="0"/>
              <w:rPr>
                <w:sz w:val="1"/>
                <w:szCs w:val="1"/>
                <w:color w:val="auto"/>
              </w:rPr>
            </w:pPr>
          </w:p>
        </w:tc>
      </w:tr>
      <w:tr>
        <w:trPr>
          <w:trHeight w:val="304"/>
        </w:trPr>
        <w:tc>
          <w:tcPr>
            <w:tcW w:w="6280" w:type="dxa"/>
            <w:vAlign w:val="bottom"/>
            <w:shd w:val="clear" w:color="auto" w:fill="D2EDF0"/>
          </w:tcPr>
          <w:p>
            <w:pPr>
              <w:ind w:left="180"/>
              <w:spacing w:after="0"/>
              <w:rPr>
                <w:sz w:val="20"/>
                <w:szCs w:val="20"/>
                <w:color w:val="auto"/>
              </w:rPr>
            </w:pPr>
            <w:r>
              <w:rPr>
                <w:rFonts w:ascii="Arial" w:cs="Arial" w:eastAsia="Arial" w:hAnsi="Arial"/>
                <w:sz w:val="20"/>
                <w:szCs w:val="20"/>
                <w:color w:val="auto"/>
              </w:rPr>
              <w:t>Intangible assets</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(14,539)</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(15,253)</w:t>
            </w:r>
          </w:p>
        </w:tc>
        <w:tc>
          <w:tcPr>
            <w:tcW w:w="0" w:type="dxa"/>
            <w:vAlign w:val="bottom"/>
          </w:tcPr>
          <w:p>
            <w:pPr>
              <w:spacing w:after="0"/>
              <w:rPr>
                <w:sz w:val="1"/>
                <w:szCs w:val="1"/>
                <w:color w:val="auto"/>
              </w:rPr>
            </w:pPr>
          </w:p>
        </w:tc>
      </w:tr>
      <w:tr>
        <w:trPr>
          <w:trHeight w:val="290"/>
        </w:trPr>
        <w:tc>
          <w:tcPr>
            <w:tcW w:w="6280" w:type="dxa"/>
            <w:vAlign w:val="bottom"/>
            <w:tcBorders>
              <w:bottom w:val="single" w:sz="8" w:color="D2EDF0"/>
            </w:tcBorders>
          </w:tcPr>
          <w:p>
            <w:pPr>
              <w:ind w:left="180"/>
              <w:spacing w:after="0"/>
              <w:rPr>
                <w:sz w:val="20"/>
                <w:szCs w:val="20"/>
                <w:color w:val="auto"/>
              </w:rPr>
            </w:pPr>
            <w:r>
              <w:rPr>
                <w:rFonts w:ascii="Arial" w:cs="Arial" w:eastAsia="Arial" w:hAnsi="Arial"/>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(194)</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(486)</w:t>
            </w:r>
          </w:p>
        </w:tc>
        <w:tc>
          <w:tcPr>
            <w:tcW w:w="0" w:type="dxa"/>
            <w:vAlign w:val="bottom"/>
          </w:tcPr>
          <w:p>
            <w:pPr>
              <w:spacing w:after="0"/>
              <w:rPr>
                <w:sz w:val="1"/>
                <w:szCs w:val="1"/>
                <w:color w:val="auto"/>
              </w:rPr>
            </w:pPr>
          </w:p>
        </w:tc>
      </w:tr>
      <w:tr>
        <w:trPr>
          <w:trHeight w:val="280"/>
        </w:trPr>
        <w:tc>
          <w:tcPr>
            <w:tcW w:w="6280" w:type="dxa"/>
            <w:vAlign w:val="bottom"/>
            <w:tcBorders>
              <w:bottom w:val="single" w:sz="8" w:color="D2EDF0"/>
            </w:tcBorders>
            <w:shd w:val="clear" w:color="auto" w:fill="D2EDF0"/>
          </w:tcPr>
          <w:p>
            <w:pPr>
              <w:ind w:left="40"/>
              <w:spacing w:after="0"/>
              <w:rPr>
                <w:sz w:val="20"/>
                <w:szCs w:val="20"/>
                <w:color w:val="auto"/>
              </w:rPr>
            </w:pPr>
            <w:r>
              <w:rPr>
                <w:rFonts w:ascii="Arial" w:cs="Arial" w:eastAsia="Arial" w:hAnsi="Arial"/>
                <w:sz w:val="20"/>
                <w:szCs w:val="20"/>
                <w:color w:val="auto"/>
              </w:rPr>
              <w:t>Total deferred tax liabilities</w:t>
            </w: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(50,418)</w:t>
            </w:r>
          </w:p>
        </w:tc>
        <w:tc>
          <w:tcPr>
            <w:tcW w:w="80" w:type="dxa"/>
            <w:vAlign w:val="bottom"/>
            <w:tcBorders>
              <w:bottom w:val="single" w:sz="8" w:color="D2EDF0"/>
            </w:tcBorders>
            <w:shd w:val="clear" w:color="auto" w:fill="D2EDF0"/>
          </w:tcPr>
          <w:p>
            <w:pPr>
              <w:spacing w:after="0"/>
              <w:rPr>
                <w:sz w:val="24"/>
                <w:szCs w:val="24"/>
                <w:color w:val="auto"/>
              </w:rPr>
            </w:pP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(48,882)</w:t>
            </w:r>
          </w:p>
        </w:tc>
        <w:tc>
          <w:tcPr>
            <w:tcW w:w="0" w:type="dxa"/>
            <w:vAlign w:val="bottom"/>
          </w:tcPr>
          <w:p>
            <w:pPr>
              <w:spacing w:after="0"/>
              <w:rPr>
                <w:sz w:val="1"/>
                <w:szCs w:val="1"/>
                <w:color w:val="auto"/>
              </w:rPr>
            </w:pPr>
          </w:p>
        </w:tc>
      </w:tr>
      <w:tr>
        <w:trPr>
          <w:trHeight w:val="260"/>
        </w:trPr>
        <w:tc>
          <w:tcPr>
            <w:tcW w:w="6280" w:type="dxa"/>
            <w:vAlign w:val="bottom"/>
          </w:tcPr>
          <w:p>
            <w:pPr>
              <w:ind w:left="40"/>
              <w:spacing w:after="0"/>
              <w:rPr>
                <w:sz w:val="20"/>
                <w:szCs w:val="20"/>
                <w:color w:val="auto"/>
              </w:rPr>
            </w:pPr>
            <w:r>
              <w:rPr>
                <w:rFonts w:ascii="Arial" w:cs="Arial" w:eastAsia="Arial" w:hAnsi="Arial"/>
                <w:sz w:val="20"/>
                <w:szCs w:val="20"/>
                <w:color w:val="auto"/>
              </w:rPr>
              <w:t>Net deferred tax liabilities</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(1,299)</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(1,749)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4000500</wp:posOffset>
            </wp:positionH>
            <wp:positionV relativeFrom="paragraph">
              <wp:posOffset>-37465</wp:posOffset>
            </wp:positionV>
            <wp:extent cx="170497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04975" cy="38100"/>
                    </a:xfrm>
                    <a:prstGeom prst="rect">
                      <a:avLst/>
                    </a:prstGeom>
                    <a:noFill/>
                  </pic:spPr>
                </pic:pic>
              </a:graphicData>
            </a:graphic>
          </wp:anchor>
        </w:drawing>
      </w:r>
    </w:p>
    <w:p>
      <w:pPr>
        <w:spacing w:after="0" w:line="234" w:lineRule="exact"/>
        <w:rPr>
          <w:sz w:val="20"/>
          <w:szCs w:val="20"/>
          <w:color w:val="auto"/>
        </w:rPr>
      </w:pPr>
    </w:p>
    <w:p>
      <w:pPr>
        <w:ind w:right="40" w:firstLine="360"/>
        <w:spacing w:after="0" w:line="257" w:lineRule="auto"/>
        <w:rPr>
          <w:sz w:val="20"/>
          <w:szCs w:val="20"/>
          <w:color w:val="auto"/>
        </w:rPr>
      </w:pPr>
      <w:r>
        <w:rPr>
          <w:rFonts w:ascii="Arial" w:cs="Arial" w:eastAsia="Arial" w:hAnsi="Arial"/>
          <w:sz w:val="20"/>
          <w:szCs w:val="20"/>
          <w:color w:val="auto"/>
        </w:rPr>
        <w:t>At December 31, 2022, we had net operating loss (“NOL”) carryforwards for federal, state and foreign tax purposes of $407.4 million, $233.5 million, and $315.5 million, respectively, which will begin to expire in 2030, as well as $21.6 million of federal, state and foreign research and development tax credits, foreign tax credits, minimum tax credits and certain states’ job creation tax credits. The federal research and development and foreign tax credits will begin to expire in 2032 and the state job creation tax credits will begin to expire in 2023.</w:t>
      </w:r>
    </w:p>
    <w:p>
      <w:pPr>
        <w:spacing w:after="0" w:line="202" w:lineRule="exact"/>
        <w:rPr>
          <w:sz w:val="20"/>
          <w:szCs w:val="20"/>
          <w:color w:val="auto"/>
        </w:rPr>
      </w:pPr>
    </w:p>
    <w:p>
      <w:pPr>
        <w:ind w:right="20" w:firstLine="360"/>
        <w:spacing w:after="0" w:line="257" w:lineRule="auto"/>
        <w:rPr>
          <w:sz w:val="20"/>
          <w:szCs w:val="20"/>
          <w:color w:val="auto"/>
        </w:rPr>
      </w:pPr>
      <w:r>
        <w:rPr>
          <w:rFonts w:ascii="Arial" w:cs="Arial" w:eastAsia="Arial" w:hAnsi="Arial"/>
          <w:sz w:val="20"/>
          <w:szCs w:val="20"/>
          <w:color w:val="auto"/>
        </w:rPr>
        <w:t>We are currently subject to the annual limitation under Sections 382 and 383 of the Internal Revenue Code. We will not be precluded from realizing the NOL carryforward and tax credits but may be limited in the amount we could utilize in any given tax year in the event that the federal and state taxable income will exceed the limitation imposed by Section 382. The amount of the annual limitation is determined based on our value immediately prior to the ownership change. Subsequent ownership changes may further affect the limitation in future years.</w:t>
      </w:r>
    </w:p>
    <w:p>
      <w:pPr>
        <w:spacing w:after="0" w:line="202" w:lineRule="exact"/>
        <w:rPr>
          <w:sz w:val="20"/>
          <w:szCs w:val="20"/>
          <w:color w:val="auto"/>
        </w:rPr>
      </w:pPr>
    </w:p>
    <w:p>
      <w:pPr>
        <w:ind w:right="60" w:firstLine="360"/>
        <w:spacing w:after="0" w:line="280" w:lineRule="auto"/>
        <w:rPr>
          <w:sz w:val="20"/>
          <w:szCs w:val="20"/>
          <w:color w:val="auto"/>
        </w:rPr>
      </w:pPr>
      <w:r>
        <w:rPr>
          <w:rFonts w:ascii="Arial" w:cs="Arial" w:eastAsia="Arial" w:hAnsi="Arial"/>
          <w:sz w:val="19"/>
          <w:szCs w:val="19"/>
          <w:color w:val="auto"/>
        </w:rPr>
        <w:t>At December 31, 2022 and 2021, the total amount of gross unrecognized tax benefits was $7.8 million and $7.6 million, respectively, which, if recognized, would impact our effective tax rate by approximately $0.2 million in each year. Interest and penalties associated with uncertain tax positions recognized as a component of income tax expense were immaterial in 2022, 2021 and 2020.</w:t>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112</w:t>
      </w:r>
    </w:p>
    <w:p>
      <w:pPr>
        <w:sectPr>
          <w:pgSz w:w="11880" w:h="15480" w:orient="portrait"/>
          <w:cols w:equalWidth="0" w:num="1">
            <w:col w:w="9000"/>
          </w:cols>
          <w:pgMar w:left="1440" w:top="1204" w:right="1440" w:bottom="0" w:gutter="0" w:footer="0" w:header="0"/>
          <w:type w:val="continuous"/>
        </w:sectPr>
      </w:pPr>
    </w:p>
    <w:bookmarkStart w:id="204" w:name="page205"/>
    <w:bookmarkEnd w:id="204"/>
    <w:p>
      <w:pPr>
        <w:ind w:left="360"/>
        <w:spacing w:after="0"/>
        <w:rPr>
          <w:sz w:val="20"/>
          <w:szCs w:val="20"/>
          <w:color w:val="auto"/>
        </w:rPr>
      </w:pPr>
      <w:r>
        <w:rPr>
          <w:rFonts w:ascii="Arial" w:cs="Arial" w:eastAsia="Arial" w:hAnsi="Arial"/>
          <w:sz w:val="20"/>
          <w:szCs w:val="20"/>
          <w:color w:val="auto"/>
        </w:rPr>
        <w:t>The change in gross unrecognized tax benefits, excluding accrued interest, were as follows: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4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900" w:type="dxa"/>
            <w:vAlign w:val="bottom"/>
            <w:tcBorders>
              <w:bottom w:val="single" w:sz="8" w:color="D2EDF0"/>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3"/>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8"/>
        </w:trPr>
        <w:tc>
          <w:tcPr>
            <w:tcW w:w="4900" w:type="dxa"/>
            <w:vAlign w:val="bottom"/>
            <w:shd w:val="clear" w:color="auto" w:fill="D2EDF0"/>
          </w:tcPr>
          <w:p>
            <w:pPr>
              <w:ind w:left="40"/>
              <w:spacing w:after="0" w:line="198" w:lineRule="exact"/>
              <w:rPr>
                <w:sz w:val="20"/>
                <w:szCs w:val="20"/>
                <w:color w:val="auto"/>
              </w:rPr>
            </w:pPr>
            <w:r>
              <w:rPr>
                <w:rFonts w:ascii="Arial" w:cs="Arial" w:eastAsia="Arial" w:hAnsi="Arial"/>
                <w:sz w:val="20"/>
                <w:szCs w:val="20"/>
                <w:color w:val="auto"/>
              </w:rPr>
              <w:t>Unrecognized tax benefits at the beginning of the</w:t>
            </w:r>
          </w:p>
        </w:tc>
        <w:tc>
          <w:tcPr>
            <w:tcW w:w="300" w:type="dxa"/>
            <w:vAlign w:val="bottom"/>
            <w:vMerge w:val="restart"/>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7,575</w:t>
            </w:r>
          </w:p>
        </w:tc>
        <w:tc>
          <w:tcPr>
            <w:tcW w:w="380" w:type="dxa"/>
            <w:vAlign w:val="bottom"/>
            <w:gridSpan w:val="2"/>
            <w:vMerge w:val="restart"/>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7,123</w:t>
            </w:r>
          </w:p>
        </w:tc>
        <w:tc>
          <w:tcPr>
            <w:tcW w:w="500" w:type="dxa"/>
            <w:vAlign w:val="bottom"/>
            <w:gridSpan w:val="2"/>
            <w:vMerge w:val="restart"/>
            <w:shd w:val="clear" w:color="auto" w:fill="D2EDF0"/>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7,163</w:t>
            </w:r>
          </w:p>
        </w:tc>
        <w:tc>
          <w:tcPr>
            <w:tcW w:w="0" w:type="dxa"/>
            <w:vAlign w:val="bottom"/>
          </w:tcPr>
          <w:p>
            <w:pPr>
              <w:spacing w:after="0"/>
              <w:rPr>
                <w:sz w:val="1"/>
                <w:szCs w:val="1"/>
                <w:color w:val="auto"/>
              </w:rPr>
            </w:pPr>
          </w:p>
        </w:tc>
      </w:tr>
      <w:tr>
        <w:trPr>
          <w:trHeight w:val="272"/>
        </w:trPr>
        <w:tc>
          <w:tcPr>
            <w:tcW w:w="4900" w:type="dxa"/>
            <w:vAlign w:val="bottom"/>
            <w:shd w:val="clear" w:color="auto" w:fill="D2EDF0"/>
          </w:tcPr>
          <w:p>
            <w:pPr>
              <w:ind w:left="40"/>
              <w:spacing w:after="0"/>
              <w:rPr>
                <w:sz w:val="20"/>
                <w:szCs w:val="20"/>
                <w:color w:val="auto"/>
              </w:rPr>
            </w:pPr>
            <w:r>
              <w:rPr>
                <w:rFonts w:ascii="Arial" w:cs="Arial" w:eastAsia="Arial" w:hAnsi="Arial"/>
                <w:sz w:val="20"/>
                <w:szCs w:val="20"/>
                <w:color w:val="auto"/>
              </w:rPr>
              <w:t>period</w:t>
            </w:r>
          </w:p>
        </w:tc>
        <w:tc>
          <w:tcPr>
            <w:tcW w:w="300" w:type="dxa"/>
            <w:vAlign w:val="bottom"/>
            <w:vMerge w:val="continue"/>
            <w:shd w:val="clear" w:color="auto" w:fill="D2EDF0"/>
          </w:tcPr>
          <w:p>
            <w:pPr>
              <w:spacing w:after="0"/>
              <w:rPr>
                <w:sz w:val="23"/>
                <w:szCs w:val="23"/>
                <w:color w:val="auto"/>
              </w:rPr>
            </w:pPr>
          </w:p>
        </w:tc>
        <w:tc>
          <w:tcPr>
            <w:tcW w:w="1000" w:type="dxa"/>
            <w:vAlign w:val="bottom"/>
            <w:vMerge w:val="continue"/>
            <w:shd w:val="clear" w:color="auto" w:fill="D2EDF0"/>
          </w:tcPr>
          <w:p>
            <w:pPr>
              <w:spacing w:after="0"/>
              <w:rPr>
                <w:sz w:val="23"/>
                <w:szCs w:val="23"/>
                <w:color w:val="auto"/>
              </w:rPr>
            </w:pPr>
          </w:p>
        </w:tc>
        <w:tc>
          <w:tcPr>
            <w:tcW w:w="380" w:type="dxa"/>
            <w:vAlign w:val="bottom"/>
            <w:gridSpan w:val="2"/>
            <w:vMerge w:val="continue"/>
            <w:shd w:val="clear" w:color="auto" w:fill="D2EDF0"/>
          </w:tcPr>
          <w:p>
            <w:pPr>
              <w:spacing w:after="0"/>
              <w:rPr>
                <w:sz w:val="23"/>
                <w:szCs w:val="23"/>
                <w:color w:val="auto"/>
              </w:rPr>
            </w:pPr>
          </w:p>
        </w:tc>
        <w:tc>
          <w:tcPr>
            <w:tcW w:w="1000" w:type="dxa"/>
            <w:vAlign w:val="bottom"/>
            <w:vMerge w:val="continue"/>
            <w:shd w:val="clear" w:color="auto" w:fill="D2EDF0"/>
          </w:tcPr>
          <w:p>
            <w:pPr>
              <w:spacing w:after="0"/>
              <w:rPr>
                <w:sz w:val="23"/>
                <w:szCs w:val="23"/>
                <w:color w:val="auto"/>
              </w:rPr>
            </w:pPr>
          </w:p>
        </w:tc>
        <w:tc>
          <w:tcPr>
            <w:tcW w:w="500" w:type="dxa"/>
            <w:vAlign w:val="bottom"/>
            <w:gridSpan w:val="2"/>
            <w:vMerge w:val="continue"/>
            <w:shd w:val="clear" w:color="auto" w:fill="D2EDF0"/>
          </w:tcPr>
          <w:p>
            <w:pPr>
              <w:spacing w:after="0"/>
              <w:rPr>
                <w:sz w:val="23"/>
                <w:szCs w:val="23"/>
                <w:color w:val="auto"/>
              </w:rPr>
            </w:pPr>
          </w:p>
        </w:tc>
        <w:tc>
          <w:tcPr>
            <w:tcW w:w="880" w:type="dxa"/>
            <w:vAlign w:val="bottom"/>
            <w:vMerge w:val="continue"/>
            <w:shd w:val="clear" w:color="auto" w:fill="D2EDF0"/>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4900" w:type="dxa"/>
            <w:vAlign w:val="bottom"/>
          </w:tcPr>
          <w:p>
            <w:pPr>
              <w:ind w:left="40"/>
              <w:spacing w:after="0"/>
              <w:rPr>
                <w:sz w:val="20"/>
                <w:szCs w:val="20"/>
                <w:color w:val="auto"/>
              </w:rPr>
            </w:pPr>
            <w:r>
              <w:rPr>
                <w:rFonts w:ascii="Arial" w:cs="Arial" w:eastAsia="Arial" w:hAnsi="Arial"/>
                <w:sz w:val="20"/>
                <w:szCs w:val="20"/>
                <w:color w:val="auto"/>
              </w:rPr>
              <w:t>Additions for tax positions in the current year</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245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194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232</w:t>
            </w:r>
          </w:p>
        </w:tc>
        <w:tc>
          <w:tcPr>
            <w:tcW w:w="0" w:type="dxa"/>
            <w:vAlign w:val="bottom"/>
          </w:tcPr>
          <w:p>
            <w:pPr>
              <w:spacing w:after="0"/>
              <w:rPr>
                <w:sz w:val="1"/>
                <w:szCs w:val="1"/>
                <w:color w:val="auto"/>
              </w:rPr>
            </w:pPr>
          </w:p>
        </w:tc>
      </w:tr>
      <w:tr>
        <w:trPr>
          <w:trHeight w:val="289"/>
        </w:trPr>
        <w:tc>
          <w:tcPr>
            <w:tcW w:w="4900" w:type="dxa"/>
            <w:vAlign w:val="bottom"/>
            <w:shd w:val="clear" w:color="auto" w:fill="D2EDF0"/>
          </w:tcPr>
          <w:p>
            <w:pPr>
              <w:ind w:left="40"/>
              <w:spacing w:after="0"/>
              <w:rPr>
                <w:sz w:val="20"/>
                <w:szCs w:val="20"/>
                <w:color w:val="auto"/>
              </w:rPr>
            </w:pPr>
            <w:r>
              <w:rPr>
                <w:rFonts w:ascii="Arial" w:cs="Arial" w:eastAsia="Arial" w:hAnsi="Arial"/>
                <w:sz w:val="20"/>
                <w:szCs w:val="20"/>
                <w:color w:val="auto"/>
              </w:rPr>
              <w:t>Increase in prior year positions</w:t>
            </w: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D2EDF0"/>
          </w:tcPr>
          <w:p>
            <w:pPr>
              <w:spacing w:after="0"/>
              <w:rPr>
                <w:sz w:val="24"/>
                <w:szCs w:val="24"/>
                <w:color w:val="auto"/>
              </w:rPr>
            </w:pPr>
          </w:p>
        </w:tc>
        <w:tc>
          <w:tcPr>
            <w:tcW w:w="300" w:type="dxa"/>
            <w:vAlign w:val="bottom"/>
            <w:shd w:val="clear" w:color="auto" w:fill="D2EDF0"/>
          </w:tcPr>
          <w:p>
            <w:pPr>
              <w:spacing w:after="0"/>
              <w:rPr>
                <w:sz w:val="24"/>
                <w:szCs w:val="24"/>
                <w:color w:val="auto"/>
              </w:rPr>
            </w:pP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64</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62</w:t>
            </w:r>
          </w:p>
        </w:tc>
        <w:tc>
          <w:tcPr>
            <w:tcW w:w="0" w:type="dxa"/>
            <w:vAlign w:val="bottom"/>
          </w:tcPr>
          <w:p>
            <w:pPr>
              <w:spacing w:after="0"/>
              <w:rPr>
                <w:sz w:val="1"/>
                <w:szCs w:val="1"/>
                <w:color w:val="auto"/>
              </w:rPr>
            </w:pPr>
          </w:p>
        </w:tc>
      </w:tr>
      <w:tr>
        <w:trPr>
          <w:trHeight w:val="281"/>
        </w:trPr>
        <w:tc>
          <w:tcPr>
            <w:tcW w:w="4900" w:type="dxa"/>
            <w:vAlign w:val="bottom"/>
          </w:tcPr>
          <w:p>
            <w:pPr>
              <w:ind w:left="40"/>
              <w:spacing w:after="0"/>
              <w:rPr>
                <w:sz w:val="20"/>
                <w:szCs w:val="20"/>
                <w:color w:val="auto"/>
              </w:rPr>
            </w:pPr>
            <w:r>
              <w:rPr>
                <w:rFonts w:ascii="Arial" w:cs="Arial" w:eastAsia="Arial" w:hAnsi="Arial"/>
                <w:sz w:val="20"/>
                <w:szCs w:val="20"/>
                <w:color w:val="auto"/>
              </w:rPr>
              <w:t>Decrease in prior year positions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(334)</w:t>
            </w:r>
          </w:p>
        </w:tc>
        <w:tc>
          <w:tcPr>
            <w:tcW w:w="0" w:type="dxa"/>
            <w:vAlign w:val="bottom"/>
          </w:tcPr>
          <w:p>
            <w:pPr>
              <w:spacing w:after="0"/>
              <w:rPr>
                <w:sz w:val="1"/>
                <w:szCs w:val="1"/>
                <w:color w:val="auto"/>
              </w:rPr>
            </w:pPr>
          </w:p>
        </w:tc>
      </w:tr>
      <w:tr>
        <w:trPr>
          <w:trHeight w:val="279"/>
        </w:trPr>
        <w:tc>
          <w:tcPr>
            <w:tcW w:w="4900" w:type="dxa"/>
            <w:vAlign w:val="bottom"/>
            <w:tcBorders>
              <w:bottom w:val="single" w:sz="8" w:color="D2EDF0"/>
            </w:tcBorders>
            <w:shd w:val="clear" w:color="auto" w:fill="D2EDF0"/>
          </w:tcPr>
          <w:p>
            <w:pPr>
              <w:ind w:left="40"/>
              <w:spacing w:after="0"/>
              <w:rPr>
                <w:sz w:val="20"/>
                <w:szCs w:val="20"/>
                <w:color w:val="auto"/>
              </w:rPr>
            </w:pPr>
            <w:r>
              <w:rPr>
                <w:rFonts w:ascii="Arial" w:cs="Arial" w:eastAsia="Arial" w:hAnsi="Arial"/>
                <w:sz w:val="20"/>
                <w:szCs w:val="20"/>
                <w:color w:val="auto"/>
              </w:rPr>
              <w:t>Acquisitions</w:t>
            </w: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D2EDF0"/>
            </w:tcBorders>
            <w:shd w:val="clear" w:color="auto" w:fill="D2EDF0"/>
          </w:tcPr>
          <w:p>
            <w:pPr>
              <w:spacing w:after="0"/>
              <w:rPr>
                <w:sz w:val="24"/>
                <w:szCs w:val="24"/>
                <w:color w:val="auto"/>
              </w:rPr>
            </w:pP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242</w:t>
            </w:r>
          </w:p>
        </w:tc>
        <w:tc>
          <w:tcPr>
            <w:tcW w:w="80" w:type="dxa"/>
            <w:vAlign w:val="bottom"/>
            <w:tcBorders>
              <w:bottom w:val="single" w:sz="8" w:color="D2EDF0"/>
            </w:tcBorders>
            <w:shd w:val="clear" w:color="auto" w:fill="D2EDF0"/>
          </w:tcPr>
          <w:p>
            <w:pPr>
              <w:spacing w:after="0"/>
              <w:rPr>
                <w:sz w:val="24"/>
                <w:szCs w:val="24"/>
                <w:color w:val="auto"/>
              </w:rPr>
            </w:pPr>
          </w:p>
        </w:tc>
        <w:tc>
          <w:tcPr>
            <w:tcW w:w="420" w:type="dxa"/>
            <w:vAlign w:val="bottom"/>
            <w:tcBorders>
              <w:bottom w:val="single" w:sz="8" w:color="auto"/>
            </w:tcBorders>
            <w:shd w:val="clear" w:color="auto" w:fill="D2EDF0"/>
          </w:tcPr>
          <w:p>
            <w:pPr>
              <w:spacing w:after="0"/>
              <w:rPr>
                <w:sz w:val="24"/>
                <w:szCs w:val="24"/>
                <w:color w:val="auto"/>
              </w:rPr>
            </w:pPr>
          </w:p>
        </w:tc>
        <w:tc>
          <w:tcPr>
            <w:tcW w:w="88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40"/>
        </w:trPr>
        <w:tc>
          <w:tcPr>
            <w:tcW w:w="4900" w:type="dxa"/>
            <w:vAlign w:val="bottom"/>
          </w:tcPr>
          <w:p>
            <w:pPr>
              <w:ind w:left="160"/>
              <w:spacing w:after="0"/>
              <w:rPr>
                <w:sz w:val="20"/>
                <w:szCs w:val="20"/>
                <w:color w:val="auto"/>
              </w:rPr>
            </w:pPr>
            <w:r>
              <w:rPr>
                <w:rFonts w:ascii="Arial" w:cs="Arial" w:eastAsia="Arial" w:hAnsi="Arial"/>
                <w:sz w:val="20"/>
                <w:szCs w:val="20"/>
                <w:color w:val="auto"/>
              </w:rPr>
              <w:t>Unrecognized tax benefits at the end of the period</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7,820</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7,575</w:t>
            </w:r>
          </w:p>
        </w:tc>
        <w:tc>
          <w:tcPr>
            <w:tcW w:w="5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7,123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3124200</wp:posOffset>
            </wp:positionH>
            <wp:positionV relativeFrom="paragraph">
              <wp:posOffset>-37465</wp:posOffset>
            </wp:positionV>
            <wp:extent cx="258127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81275" cy="38100"/>
                    </a:xfrm>
                    <a:prstGeom prst="rect">
                      <a:avLst/>
                    </a:prstGeom>
                    <a:noFill/>
                  </pic:spPr>
                </pic:pic>
              </a:graphicData>
            </a:graphic>
          </wp:anchor>
        </w:drawing>
      </w:r>
    </w:p>
    <w:p>
      <w:pPr>
        <w:spacing w:after="0" w:line="234" w:lineRule="exact"/>
        <w:rPr>
          <w:sz w:val="20"/>
          <w:szCs w:val="20"/>
          <w:color w:val="auto"/>
        </w:rPr>
      </w:pPr>
    </w:p>
    <w:p>
      <w:pPr>
        <w:ind w:right="40" w:firstLine="360"/>
        <w:spacing w:after="0" w:line="259" w:lineRule="auto"/>
        <w:rPr>
          <w:sz w:val="20"/>
          <w:szCs w:val="20"/>
          <w:color w:val="auto"/>
        </w:rPr>
      </w:pPr>
      <w:r>
        <w:rPr>
          <w:rFonts w:ascii="Arial" w:cs="Arial" w:eastAsia="Arial" w:hAnsi="Arial"/>
          <w:sz w:val="20"/>
          <w:szCs w:val="20"/>
          <w:color w:val="auto"/>
        </w:rPr>
        <w:t>We file income tax returns in the United States, including various state jurisdictions. Our subsidiaries file income tax returns in various foreign jurisdictions. Tax years after 2014 remain open to examination by the major taxing jurisdictions in which we are subject to tax. At December 31, 2022, we were not under examination for income tax audits by the Internal Revenue Service or any state or foreign tax jurisdiction.</w:t>
      </w:r>
    </w:p>
    <w:p>
      <w:pPr>
        <w:spacing w:after="0" w:line="199" w:lineRule="exact"/>
        <w:rPr>
          <w:sz w:val="20"/>
          <w:szCs w:val="20"/>
          <w:color w:val="auto"/>
        </w:rPr>
      </w:pPr>
    </w:p>
    <w:p>
      <w:pPr>
        <w:ind w:right="160" w:firstLine="360"/>
        <w:spacing w:after="0" w:line="259" w:lineRule="auto"/>
        <w:rPr>
          <w:sz w:val="20"/>
          <w:szCs w:val="20"/>
          <w:color w:val="auto"/>
        </w:rPr>
      </w:pPr>
      <w:r>
        <w:rPr>
          <w:rFonts w:ascii="Arial" w:cs="Arial" w:eastAsia="Arial" w:hAnsi="Arial"/>
          <w:sz w:val="20"/>
          <w:szCs w:val="20"/>
          <w:color w:val="auto"/>
        </w:rPr>
        <w:t>Depending on the jurisdiction, distributions of earnings could be subject to withholding taxes at rates applicable to the distributing jurisdiction. As we intend to continue to reinvest the earnings of foreign subsidiaries indefinitely, we have not provided for a U.S. income tax liability and foreign withholding taxes on undistributed foreign earnings of foreign subsidiaries. It is not practicable for us to determine the amount of unrecognized tax expense on these reinvested foreign earnings.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12. Net Loss Per Share</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sets forth the computation of basic and diluted net loss per share: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 except per share data)</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4"/>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3"/>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8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Net loss</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(92,222)</w:t>
            </w:r>
          </w:p>
        </w:tc>
        <w:tc>
          <w:tcPr>
            <w:tcW w:w="380" w:type="dxa"/>
            <w:vAlign w:val="bottom"/>
            <w:gridSpan w:val="2"/>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(46,677)</w:t>
            </w:r>
          </w:p>
        </w:tc>
        <w:tc>
          <w:tcPr>
            <w:tcW w:w="500" w:type="dxa"/>
            <w:vAlign w:val="bottom"/>
            <w:gridSpan w:val="2"/>
            <w:shd w:val="clear" w:color="auto" w:fill="D2EDF0"/>
          </w:tcPr>
          <w:p>
            <w:pPr>
              <w:jc w:val="right"/>
              <w:ind w:right="160"/>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(42,731)</w:t>
            </w:r>
          </w:p>
        </w:tc>
        <w:tc>
          <w:tcPr>
            <w:tcW w:w="0" w:type="dxa"/>
            <w:vAlign w:val="bottom"/>
          </w:tcPr>
          <w:p>
            <w:pPr>
              <w:spacing w:after="0"/>
              <w:rPr>
                <w:sz w:val="1"/>
                <w:szCs w:val="1"/>
                <w:color w:val="auto"/>
              </w:rPr>
            </w:pPr>
          </w:p>
        </w:tc>
      </w:tr>
      <w:tr>
        <w:trPr>
          <w:trHeight w:val="20"/>
        </w:trPr>
        <w:tc>
          <w:tcPr>
            <w:tcW w:w="494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940" w:type="dxa"/>
            <w:vAlign w:val="bottom"/>
            <w:shd w:val="clear" w:color="auto" w:fill="D2EDF0"/>
          </w:tcPr>
          <w:p>
            <w:pPr>
              <w:ind w:left="60"/>
              <w:spacing w:after="0" w:line="193" w:lineRule="exact"/>
              <w:rPr>
                <w:sz w:val="20"/>
                <w:szCs w:val="20"/>
                <w:color w:val="auto"/>
              </w:rPr>
            </w:pPr>
            <w:r>
              <w:rPr>
                <w:rFonts w:ascii="Arial" w:cs="Arial" w:eastAsia="Arial" w:hAnsi="Arial"/>
                <w:sz w:val="20"/>
                <w:szCs w:val="20"/>
                <w:color w:val="auto"/>
              </w:rPr>
              <w:t>Weighted-average shares used to compute net loss</w:t>
            </w:r>
          </w:p>
        </w:tc>
        <w:tc>
          <w:tcPr>
            <w:tcW w:w="300" w:type="dxa"/>
            <w:vAlign w:val="bottom"/>
            <w:shd w:val="clear" w:color="auto" w:fill="D2EDF0"/>
          </w:tcPr>
          <w:p>
            <w:pPr>
              <w:spacing w:after="0"/>
              <w:rPr>
                <w:sz w:val="16"/>
                <w:szCs w:val="16"/>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111,321</w:t>
            </w:r>
          </w:p>
        </w:tc>
        <w:tc>
          <w:tcPr>
            <w:tcW w:w="80" w:type="dxa"/>
            <w:vAlign w:val="bottom"/>
            <w:shd w:val="clear" w:color="auto" w:fill="D2EDF0"/>
          </w:tcPr>
          <w:p>
            <w:pPr>
              <w:spacing w:after="0"/>
              <w:rPr>
                <w:sz w:val="16"/>
                <w:szCs w:val="16"/>
                <w:color w:val="auto"/>
              </w:rPr>
            </w:pPr>
          </w:p>
        </w:tc>
        <w:tc>
          <w:tcPr>
            <w:tcW w:w="300" w:type="dxa"/>
            <w:vAlign w:val="bottom"/>
            <w:shd w:val="clear" w:color="auto" w:fill="D2EDF0"/>
          </w:tcPr>
          <w:p>
            <w:pPr>
              <w:spacing w:after="0"/>
              <w:rPr>
                <w:sz w:val="16"/>
                <w:szCs w:val="16"/>
                <w:color w:val="auto"/>
              </w:rPr>
            </w:pPr>
          </w:p>
        </w:tc>
        <w:tc>
          <w:tcPr>
            <w:tcW w:w="100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106,387</w:t>
            </w:r>
          </w:p>
        </w:tc>
        <w:tc>
          <w:tcPr>
            <w:tcW w:w="80" w:type="dxa"/>
            <w:vAlign w:val="bottom"/>
            <w:shd w:val="clear" w:color="auto" w:fill="D2EDF0"/>
          </w:tcPr>
          <w:p>
            <w:pPr>
              <w:spacing w:after="0"/>
              <w:rPr>
                <w:sz w:val="16"/>
                <w:szCs w:val="16"/>
                <w:color w:val="auto"/>
              </w:rPr>
            </w:pPr>
          </w:p>
        </w:tc>
        <w:tc>
          <w:tcPr>
            <w:tcW w:w="420" w:type="dxa"/>
            <w:vAlign w:val="bottom"/>
            <w:shd w:val="clear" w:color="auto" w:fill="D2EDF0"/>
          </w:tcPr>
          <w:p>
            <w:pPr>
              <w:spacing w:after="0"/>
              <w:rPr>
                <w:sz w:val="16"/>
                <w:szCs w:val="16"/>
                <w:color w:val="auto"/>
              </w:rPr>
            </w:pPr>
          </w:p>
        </w:tc>
        <w:tc>
          <w:tcPr>
            <w:tcW w:w="880" w:type="dxa"/>
            <w:vAlign w:val="bottom"/>
            <w:vMerge w:val="restart"/>
            <w:shd w:val="clear" w:color="auto" w:fill="D2EDF0"/>
          </w:tcPr>
          <w:p>
            <w:pPr>
              <w:jc w:val="right"/>
              <w:spacing w:after="0"/>
              <w:rPr>
                <w:sz w:val="20"/>
                <w:szCs w:val="20"/>
                <w:color w:val="auto"/>
              </w:rPr>
            </w:pPr>
            <w:r>
              <w:rPr>
                <w:rFonts w:ascii="Arial" w:cs="Arial" w:eastAsia="Arial" w:hAnsi="Arial"/>
                <w:sz w:val="20"/>
                <w:szCs w:val="20"/>
                <w:color w:val="auto"/>
              </w:rPr>
              <w:t>101,009</w:t>
            </w:r>
          </w:p>
        </w:tc>
        <w:tc>
          <w:tcPr>
            <w:tcW w:w="0" w:type="dxa"/>
            <w:vAlign w:val="bottom"/>
          </w:tcPr>
          <w:p>
            <w:pPr>
              <w:spacing w:after="0"/>
              <w:rPr>
                <w:sz w:val="1"/>
                <w:szCs w:val="1"/>
                <w:color w:val="auto"/>
              </w:rPr>
            </w:pPr>
          </w:p>
        </w:tc>
      </w:tr>
      <w:tr>
        <w:trPr>
          <w:trHeight w:val="262"/>
        </w:trPr>
        <w:tc>
          <w:tcPr>
            <w:tcW w:w="4940" w:type="dxa"/>
            <w:vAlign w:val="bottom"/>
            <w:tcBorders>
              <w:bottom w:val="single" w:sz="8" w:color="D2EDF0"/>
            </w:tcBorders>
            <w:shd w:val="clear" w:color="auto" w:fill="D2EDF0"/>
          </w:tcPr>
          <w:p>
            <w:pPr>
              <w:ind w:left="140"/>
              <w:spacing w:after="0"/>
              <w:rPr>
                <w:sz w:val="20"/>
                <w:szCs w:val="20"/>
                <w:color w:val="auto"/>
              </w:rPr>
            </w:pPr>
            <w:r>
              <w:rPr>
                <w:rFonts w:ascii="Arial" w:cs="Arial" w:eastAsia="Arial" w:hAnsi="Arial"/>
                <w:sz w:val="20"/>
                <w:szCs w:val="20"/>
                <w:color w:val="auto"/>
              </w:rPr>
              <w:t>per share, basic and diluted</w:t>
            </w:r>
          </w:p>
        </w:tc>
        <w:tc>
          <w:tcPr>
            <w:tcW w:w="300" w:type="dxa"/>
            <w:vAlign w:val="bottom"/>
            <w:tcBorders>
              <w:bottom w:val="single" w:sz="8" w:color="auto"/>
            </w:tcBorders>
            <w:shd w:val="clear" w:color="auto" w:fill="D2EDF0"/>
          </w:tcPr>
          <w:p>
            <w:pPr>
              <w:spacing w:after="0"/>
              <w:rPr>
                <w:sz w:val="22"/>
                <w:szCs w:val="22"/>
                <w:color w:val="auto"/>
              </w:rPr>
            </w:pPr>
          </w:p>
        </w:tc>
        <w:tc>
          <w:tcPr>
            <w:tcW w:w="1000" w:type="dxa"/>
            <w:vAlign w:val="bottom"/>
            <w:tcBorders>
              <w:bottom w:val="single" w:sz="8" w:color="auto"/>
            </w:tcBorders>
            <w:vMerge w:val="continue"/>
            <w:shd w:val="clear" w:color="auto" w:fill="D2EDF0"/>
          </w:tcPr>
          <w:p>
            <w:pPr>
              <w:spacing w:after="0"/>
              <w:rPr>
                <w:sz w:val="22"/>
                <w:szCs w:val="22"/>
                <w:color w:val="auto"/>
              </w:rPr>
            </w:pPr>
          </w:p>
        </w:tc>
        <w:tc>
          <w:tcPr>
            <w:tcW w:w="80" w:type="dxa"/>
            <w:vAlign w:val="bottom"/>
            <w:tcBorders>
              <w:bottom w:val="single" w:sz="8" w:color="D2EDF0"/>
            </w:tcBorders>
            <w:shd w:val="clear" w:color="auto" w:fill="D2EDF0"/>
          </w:tcPr>
          <w:p>
            <w:pPr>
              <w:spacing w:after="0"/>
              <w:rPr>
                <w:sz w:val="22"/>
                <w:szCs w:val="22"/>
                <w:color w:val="auto"/>
              </w:rPr>
            </w:pPr>
          </w:p>
        </w:tc>
        <w:tc>
          <w:tcPr>
            <w:tcW w:w="300" w:type="dxa"/>
            <w:vAlign w:val="bottom"/>
            <w:tcBorders>
              <w:bottom w:val="single" w:sz="8" w:color="auto"/>
            </w:tcBorders>
            <w:shd w:val="clear" w:color="auto" w:fill="D2EDF0"/>
          </w:tcPr>
          <w:p>
            <w:pPr>
              <w:spacing w:after="0"/>
              <w:rPr>
                <w:sz w:val="22"/>
                <w:szCs w:val="22"/>
                <w:color w:val="auto"/>
              </w:rPr>
            </w:pPr>
          </w:p>
        </w:tc>
        <w:tc>
          <w:tcPr>
            <w:tcW w:w="1000" w:type="dxa"/>
            <w:vAlign w:val="bottom"/>
            <w:tcBorders>
              <w:bottom w:val="single" w:sz="8" w:color="auto"/>
            </w:tcBorders>
            <w:vMerge w:val="continue"/>
            <w:shd w:val="clear" w:color="auto" w:fill="D2EDF0"/>
          </w:tcPr>
          <w:p>
            <w:pPr>
              <w:spacing w:after="0"/>
              <w:rPr>
                <w:sz w:val="22"/>
                <w:szCs w:val="22"/>
                <w:color w:val="auto"/>
              </w:rPr>
            </w:pPr>
          </w:p>
        </w:tc>
        <w:tc>
          <w:tcPr>
            <w:tcW w:w="80" w:type="dxa"/>
            <w:vAlign w:val="bottom"/>
            <w:tcBorders>
              <w:bottom w:val="single" w:sz="8" w:color="D2EDF0"/>
            </w:tcBorders>
            <w:shd w:val="clear" w:color="auto" w:fill="D2EDF0"/>
          </w:tcPr>
          <w:p>
            <w:pPr>
              <w:spacing w:after="0"/>
              <w:rPr>
                <w:sz w:val="22"/>
                <w:szCs w:val="22"/>
                <w:color w:val="auto"/>
              </w:rPr>
            </w:pPr>
          </w:p>
        </w:tc>
        <w:tc>
          <w:tcPr>
            <w:tcW w:w="420" w:type="dxa"/>
            <w:vAlign w:val="bottom"/>
            <w:tcBorders>
              <w:bottom w:val="single" w:sz="8" w:color="auto"/>
            </w:tcBorders>
            <w:shd w:val="clear" w:color="auto" w:fill="D2EDF0"/>
          </w:tcPr>
          <w:p>
            <w:pPr>
              <w:spacing w:after="0"/>
              <w:rPr>
                <w:sz w:val="22"/>
                <w:szCs w:val="22"/>
                <w:color w:val="auto"/>
              </w:rPr>
            </w:pPr>
          </w:p>
        </w:tc>
        <w:tc>
          <w:tcPr>
            <w:tcW w:w="880" w:type="dxa"/>
            <w:vAlign w:val="bottom"/>
            <w:tcBorders>
              <w:bottom w:val="single" w:sz="8" w:color="auto"/>
            </w:tcBorders>
            <w:vMerge w:val="continue"/>
            <w:shd w:val="clear" w:color="auto" w:fill="D2EDF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D2EDF0"/>
            </w:tcBorders>
            <w:vMerge w:val="restart"/>
          </w:tcPr>
          <w:p>
            <w:pPr>
              <w:ind w:left="60"/>
              <w:spacing w:after="0"/>
              <w:rPr>
                <w:sz w:val="20"/>
                <w:szCs w:val="20"/>
                <w:color w:val="auto"/>
              </w:rPr>
            </w:pPr>
            <w:r>
              <w:rPr>
                <w:rFonts w:ascii="Arial" w:cs="Arial" w:eastAsia="Arial" w:hAnsi="Arial"/>
                <w:sz w:val="20"/>
                <w:szCs w:val="20"/>
                <w:color w:val="auto"/>
              </w:rPr>
              <w:t>Net loss per share, basic and diluted</w:t>
            </w:r>
          </w:p>
        </w:tc>
        <w:tc>
          <w:tcPr>
            <w:tcW w:w="300" w:type="dxa"/>
            <w:vAlign w:val="bottom"/>
            <w:tcBorders>
              <w:top w:val="single" w:sz="8" w:color="D2EDF0"/>
            </w:tcBorders>
          </w:tcPr>
          <w:p>
            <w:pPr>
              <w:spacing w:after="0" w:line="20" w:lineRule="exact"/>
              <w:rPr>
                <w:sz w:val="1"/>
                <w:szCs w:val="1"/>
                <w:color w:val="auto"/>
              </w:rPr>
            </w:pPr>
          </w:p>
        </w:tc>
        <w:tc>
          <w:tcPr>
            <w:tcW w:w="1000" w:type="dxa"/>
            <w:vAlign w:val="bottom"/>
            <w:tcBorders>
              <w:top w:val="single" w:sz="8" w:color="D2EDF0"/>
            </w:tcBorders>
          </w:tcPr>
          <w:p>
            <w:pPr>
              <w:spacing w:after="0" w:line="20" w:lineRule="exact"/>
              <w:rPr>
                <w:sz w:val="1"/>
                <w:szCs w:val="1"/>
                <w:color w:val="auto"/>
              </w:rPr>
            </w:pPr>
          </w:p>
        </w:tc>
        <w:tc>
          <w:tcPr>
            <w:tcW w:w="380" w:type="dxa"/>
            <w:vAlign w:val="bottom"/>
            <w:tcBorders>
              <w:top w:val="single" w:sz="8" w:color="D2EDF0"/>
            </w:tcBorders>
            <w:gridSpan w:val="2"/>
          </w:tcPr>
          <w:p>
            <w:pPr>
              <w:spacing w:after="0" w:line="20" w:lineRule="exact"/>
              <w:rPr>
                <w:sz w:val="1"/>
                <w:szCs w:val="1"/>
                <w:color w:val="auto"/>
              </w:rPr>
            </w:pPr>
          </w:p>
        </w:tc>
        <w:tc>
          <w:tcPr>
            <w:tcW w:w="1000" w:type="dxa"/>
            <w:vAlign w:val="bottom"/>
            <w:tcBorders>
              <w:top w:val="single" w:sz="8" w:color="D2EDF0"/>
            </w:tcBorders>
          </w:tcPr>
          <w:p>
            <w:pPr>
              <w:spacing w:after="0" w:line="20" w:lineRule="exact"/>
              <w:rPr>
                <w:sz w:val="1"/>
                <w:szCs w:val="1"/>
                <w:color w:val="auto"/>
              </w:rPr>
            </w:pPr>
          </w:p>
        </w:tc>
        <w:tc>
          <w:tcPr>
            <w:tcW w:w="500" w:type="dxa"/>
            <w:vAlign w:val="bottom"/>
            <w:tcBorders>
              <w:top w:val="single" w:sz="8" w:color="D2EDF0"/>
            </w:tcBorders>
            <w:gridSpan w:val="2"/>
          </w:tcPr>
          <w:p>
            <w:pPr>
              <w:spacing w:after="0" w:line="20" w:lineRule="exact"/>
              <w:rPr>
                <w:sz w:val="1"/>
                <w:szCs w:val="1"/>
                <w:color w:val="auto"/>
              </w:rPr>
            </w:pPr>
          </w:p>
        </w:tc>
        <w:tc>
          <w:tcPr>
            <w:tcW w:w="880" w:type="dxa"/>
            <w:vAlign w:val="bottom"/>
            <w:tcBorders>
              <w:top w:val="single" w:sz="8" w:color="D2EDF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940" w:type="dxa"/>
            <w:vAlign w:val="bottom"/>
            <w:tcBorders>
              <w:top w:val="single" w:sz="8" w:color="D2EDF0"/>
            </w:tcBorders>
            <w:vMerge w:val="continue"/>
          </w:tcPr>
          <w:p>
            <w:pPr>
              <w:spacing w:after="0"/>
              <w:rPr>
                <w:sz w:val="19"/>
                <w:szCs w:val="19"/>
                <w:color w:val="auto"/>
              </w:rPr>
            </w:pPr>
          </w:p>
        </w:tc>
        <w:tc>
          <w:tcPr>
            <w:tcW w:w="300" w:type="dxa"/>
            <w:vAlign w:val="bottom"/>
            <w:tcBorders>
              <w:top w:val="single" w:sz="8" w:color="auto"/>
              <w:bottom w:val="single" w:sz="8" w:color="auto"/>
            </w:tcBorders>
          </w:tcPr>
          <w:p>
            <w:pPr>
              <w:jc w:val="right"/>
              <w:ind w:right="40"/>
              <w:spacing w:after="0" w:line="220" w:lineRule="exact"/>
              <w:rPr>
                <w:sz w:val="20"/>
                <w:szCs w:val="20"/>
                <w:color w:val="auto"/>
              </w:rPr>
            </w:pPr>
            <w:r>
              <w:rPr>
                <w:rFonts w:ascii="Arial" w:cs="Arial" w:eastAsia="Arial" w:hAnsi="Arial"/>
                <w:sz w:val="20"/>
                <w:szCs w:val="20"/>
                <w:color w:val="auto"/>
              </w:rPr>
              <w:t>$</w:t>
            </w:r>
          </w:p>
        </w:tc>
        <w:tc>
          <w:tcPr>
            <w:tcW w:w="10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(0.83)</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40"/>
              <w:spacing w:after="0" w:line="220" w:lineRule="exact"/>
              <w:rPr>
                <w:sz w:val="20"/>
                <w:szCs w:val="20"/>
                <w:color w:val="auto"/>
              </w:rPr>
            </w:pPr>
            <w:r>
              <w:rPr>
                <w:rFonts w:ascii="Arial" w:cs="Arial" w:eastAsia="Arial" w:hAnsi="Arial"/>
                <w:sz w:val="20"/>
                <w:szCs w:val="20"/>
                <w:color w:val="auto"/>
              </w:rPr>
              <w:t>$</w:t>
            </w:r>
          </w:p>
        </w:tc>
        <w:tc>
          <w:tcPr>
            <w:tcW w:w="10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(0.44)</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160"/>
              <w:spacing w:after="0" w:line="220" w:lineRule="exact"/>
              <w:rPr>
                <w:sz w:val="20"/>
                <w:szCs w:val="20"/>
                <w:color w:val="auto"/>
              </w:rPr>
            </w:pPr>
            <w:r>
              <w:rPr>
                <w:rFonts w:ascii="Arial" w:cs="Arial" w:eastAsia="Arial" w:hAnsi="Arial"/>
                <w:sz w:val="20"/>
                <w:szCs w:val="20"/>
                <w:color w:val="auto"/>
              </w:rPr>
              <w:t>$</w:t>
            </w:r>
          </w:p>
        </w:tc>
        <w:tc>
          <w:tcPr>
            <w:tcW w:w="8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color w:val="auto"/>
              </w:rPr>
              <w:t>(0.42)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-713740</wp:posOffset>
            </wp:positionV>
            <wp:extent cx="258127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81275" cy="3810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-227965</wp:posOffset>
            </wp:positionV>
            <wp:extent cx="258127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81275" cy="3810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-37465</wp:posOffset>
            </wp:positionV>
            <wp:extent cx="258127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81275" cy="38100"/>
                    </a:xfrm>
                    <a:prstGeom prst="rect">
                      <a:avLst/>
                    </a:prstGeom>
                    <a:noFill/>
                  </pic:spPr>
                </pic:pic>
              </a:graphicData>
            </a:graphic>
          </wp:anchor>
        </w:drawing>
      </w:r>
    </w:p>
    <w:p>
      <w:pPr>
        <w:spacing w:after="0" w:line="234" w:lineRule="exact"/>
        <w:rPr>
          <w:sz w:val="20"/>
          <w:szCs w:val="20"/>
          <w:color w:val="auto"/>
        </w:rPr>
      </w:pPr>
    </w:p>
    <w:p>
      <w:pPr>
        <w:ind w:right="760" w:firstLine="360"/>
        <w:spacing w:after="0" w:line="287" w:lineRule="auto"/>
        <w:rPr>
          <w:sz w:val="20"/>
          <w:szCs w:val="20"/>
          <w:color w:val="auto"/>
        </w:rPr>
      </w:pPr>
      <w:r>
        <w:rPr>
          <w:rFonts w:ascii="Arial" w:cs="Arial" w:eastAsia="Arial" w:hAnsi="Arial"/>
          <w:sz w:val="20"/>
          <w:szCs w:val="20"/>
          <w:color w:val="auto"/>
        </w:rPr>
        <w:t>The following potentially dilutive securities have been excluded from the diluted per share calculations because they would have been antidilutive: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40" w:type="dxa"/>
            <w:vAlign w:val="bottom"/>
          </w:tcPr>
          <w:p>
            <w:pPr>
              <w:spacing w:after="0"/>
              <w:rPr>
                <w:sz w:val="20"/>
                <w:szCs w:val="20"/>
                <w:color w:val="auto"/>
              </w:rPr>
            </w:pPr>
          </w:p>
        </w:tc>
        <w:tc>
          <w:tcPr>
            <w:tcW w:w="3180" w:type="dxa"/>
            <w:vAlign w:val="bottom"/>
            <w:tcBorders>
              <w:bottom w:val="single" w:sz="8" w:color="auto"/>
            </w:tcBorders>
            <w:gridSpan w:val="5"/>
          </w:tcPr>
          <w:p>
            <w:pPr>
              <w:ind w:left="92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r>
      <w:tr>
        <w:trPr>
          <w:trHeight w:val="280"/>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1300" w:type="dxa"/>
            <w:vAlign w:val="bottom"/>
            <w:tcBorders>
              <w:bottom w:val="single" w:sz="8" w:color="auto"/>
            </w:tcBorders>
          </w:tcPr>
          <w:p>
            <w:pPr>
              <w:jc w:val="right"/>
              <w:ind w:right="363"/>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4"/>
                <w:szCs w:val="24"/>
                <w:color w:val="auto"/>
              </w:rPr>
            </w:pPr>
          </w:p>
        </w:tc>
        <w:tc>
          <w:tcPr>
            <w:tcW w:w="1300" w:type="dxa"/>
            <w:vAlign w:val="bottom"/>
            <w:tcBorders>
              <w:bottom w:val="single" w:sz="8" w:color="auto"/>
            </w:tcBorders>
          </w:tcPr>
          <w:p>
            <w:pPr>
              <w:jc w:val="right"/>
              <w:ind w:right="363"/>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8"/>
                <w:szCs w:val="18"/>
                <w:b w:val="1"/>
                <w:bCs w:val="1"/>
                <w:color w:val="auto"/>
                <w:w w:val="99"/>
              </w:rPr>
              <w:t>2020</w:t>
            </w:r>
          </w:p>
        </w:tc>
      </w:tr>
      <w:tr>
        <w:trPr>
          <w:trHeight w:val="29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RSUs</w:t>
            </w:r>
          </w:p>
        </w:tc>
        <w:tc>
          <w:tcPr>
            <w:tcW w:w="13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6,894</w:t>
            </w:r>
          </w:p>
        </w:tc>
        <w:tc>
          <w:tcPr>
            <w:tcW w:w="13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5,781</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4,490</w:t>
            </w:r>
          </w:p>
        </w:tc>
      </w:tr>
      <w:tr>
        <w:trPr>
          <w:trHeight w:val="296"/>
        </w:trPr>
        <w:tc>
          <w:tcPr>
            <w:tcW w:w="4940" w:type="dxa"/>
            <w:vAlign w:val="bottom"/>
          </w:tcPr>
          <w:p>
            <w:pPr>
              <w:ind w:left="60"/>
              <w:spacing w:after="0"/>
              <w:rPr>
                <w:sz w:val="20"/>
                <w:szCs w:val="20"/>
                <w:color w:val="auto"/>
              </w:rPr>
            </w:pPr>
            <w:r>
              <w:rPr>
                <w:rFonts w:ascii="Arial" w:cs="Arial" w:eastAsia="Arial" w:hAnsi="Arial"/>
                <w:sz w:val="20"/>
                <w:szCs w:val="20"/>
                <w:color w:val="auto"/>
              </w:rPr>
              <w:t>Stock options</w:t>
            </w:r>
          </w:p>
        </w:tc>
        <w:tc>
          <w:tcPr>
            <w:tcW w:w="1300" w:type="dxa"/>
            <w:vAlign w:val="bottom"/>
          </w:tcPr>
          <w:p>
            <w:pPr>
              <w:jc w:val="right"/>
              <w:spacing w:after="0"/>
              <w:rPr>
                <w:sz w:val="20"/>
                <w:szCs w:val="20"/>
                <w:color w:val="auto"/>
              </w:rPr>
            </w:pPr>
            <w:r>
              <w:rPr>
                <w:rFonts w:ascii="Arial" w:cs="Arial" w:eastAsia="Arial" w:hAnsi="Arial"/>
                <w:sz w:val="20"/>
                <w:szCs w:val="20"/>
                <w:color w:val="auto"/>
              </w:rPr>
              <w:t>5,485</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6,731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9,441</w:t>
            </w:r>
          </w:p>
        </w:tc>
      </w:tr>
      <w:tr>
        <w:trPr>
          <w:trHeight w:val="304"/>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Shares to be issued under the 2018 ESPP</w:t>
            </w:r>
          </w:p>
        </w:tc>
        <w:tc>
          <w:tcPr>
            <w:tcW w:w="13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223</w:t>
            </w:r>
          </w:p>
        </w:tc>
        <w:tc>
          <w:tcPr>
            <w:tcW w:w="1380" w:type="dxa"/>
            <w:vAlign w:val="bottom"/>
            <w:gridSpan w:val="2"/>
            <w:shd w:val="clear" w:color="auto" w:fill="D2EDF0"/>
          </w:tcPr>
          <w:p>
            <w:pPr>
              <w:jc w:val="right"/>
              <w:spacing w:after="0"/>
              <w:rPr>
                <w:sz w:val="20"/>
                <w:szCs w:val="20"/>
                <w:color w:val="auto"/>
              </w:rPr>
            </w:pPr>
            <w:r>
              <w:rPr>
                <w:rFonts w:ascii="Arial" w:cs="Arial" w:eastAsia="Arial" w:hAnsi="Arial"/>
                <w:sz w:val="20"/>
                <w:szCs w:val="20"/>
                <w:color w:val="auto"/>
              </w:rPr>
              <w:t>181</w:t>
            </w:r>
          </w:p>
        </w:tc>
        <w:tc>
          <w:tcPr>
            <w:tcW w:w="80" w:type="dxa"/>
            <w:vAlign w:val="bottom"/>
            <w:shd w:val="clear" w:color="auto" w:fill="D2EDF0"/>
          </w:tcPr>
          <w:p>
            <w:pPr>
              <w:spacing w:after="0"/>
              <w:rPr>
                <w:sz w:val="24"/>
                <w:szCs w:val="24"/>
                <w:color w:val="auto"/>
              </w:rPr>
            </w:pPr>
          </w:p>
        </w:tc>
        <w:tc>
          <w:tcPr>
            <w:tcW w:w="42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321</w:t>
            </w:r>
          </w:p>
        </w:tc>
      </w:tr>
      <w:tr>
        <w:trPr>
          <w:trHeight w:val="296"/>
        </w:trPr>
        <w:tc>
          <w:tcPr>
            <w:tcW w:w="4940" w:type="dxa"/>
            <w:vAlign w:val="bottom"/>
          </w:tcPr>
          <w:p>
            <w:pPr>
              <w:ind w:left="60"/>
              <w:spacing w:after="0"/>
              <w:rPr>
                <w:sz w:val="20"/>
                <w:szCs w:val="20"/>
                <w:color w:val="auto"/>
              </w:rPr>
            </w:pPr>
            <w:r>
              <w:rPr>
                <w:rFonts w:ascii="Arial" w:cs="Arial" w:eastAsia="Arial" w:hAnsi="Arial"/>
                <w:sz w:val="20"/>
                <w:szCs w:val="20"/>
                <w:color w:val="auto"/>
              </w:rPr>
              <w:t>PSUs</w:t>
            </w:r>
          </w:p>
        </w:tc>
        <w:tc>
          <w:tcPr>
            <w:tcW w:w="1300" w:type="dxa"/>
            <w:vAlign w:val="bottom"/>
          </w:tcPr>
          <w:p>
            <w:pPr>
              <w:jc w:val="right"/>
              <w:spacing w:after="0"/>
              <w:rPr>
                <w:sz w:val="20"/>
                <w:szCs w:val="20"/>
                <w:color w:val="auto"/>
              </w:rPr>
            </w:pPr>
            <w:r>
              <w:rPr>
                <w:rFonts w:ascii="Arial" w:cs="Arial" w:eastAsia="Arial" w:hAnsi="Arial"/>
                <w:sz w:val="20"/>
                <w:szCs w:val="20"/>
                <w:color w:val="auto"/>
              </w:rPr>
              <w:t>196</w:t>
            </w:r>
          </w:p>
        </w:tc>
        <w:tc>
          <w:tcPr>
            <w:tcW w:w="80" w:type="dxa"/>
            <w:vAlign w:val="bottom"/>
          </w:tcPr>
          <w:p>
            <w:pPr>
              <w:spacing w:after="0"/>
              <w:rPr>
                <w:sz w:val="24"/>
                <w:szCs w:val="24"/>
                <w:color w:val="auto"/>
              </w:rPr>
            </w:pPr>
          </w:p>
        </w:tc>
        <w:tc>
          <w:tcPr>
            <w:tcW w:w="1800" w:type="dxa"/>
            <w:vAlign w:val="bottom"/>
            <w:gridSpan w:val="3"/>
          </w:tcPr>
          <w:p>
            <w:pPr>
              <w:jc w:val="right"/>
              <w:ind w:right="58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94"/>
        </w:trPr>
        <w:tc>
          <w:tcPr>
            <w:tcW w:w="494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20"/>
                <w:szCs w:val="20"/>
                <w:color w:val="auto"/>
              </w:rPr>
              <w:t>Restricted stock</w:t>
            </w:r>
          </w:p>
        </w:tc>
        <w:tc>
          <w:tcPr>
            <w:tcW w:w="13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D2EDF0"/>
            </w:tcBorders>
            <w:shd w:val="clear" w:color="auto" w:fill="D2EDF0"/>
          </w:tcPr>
          <w:p>
            <w:pPr>
              <w:spacing w:after="0"/>
              <w:rPr>
                <w:sz w:val="24"/>
                <w:szCs w:val="24"/>
                <w:color w:val="auto"/>
              </w:rPr>
            </w:pPr>
          </w:p>
        </w:tc>
        <w:tc>
          <w:tcPr>
            <w:tcW w:w="13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D2EDF0"/>
            </w:tcBorders>
            <w:shd w:val="clear" w:color="auto" w:fill="D2EDF0"/>
          </w:tcPr>
          <w:p>
            <w:pPr>
              <w:spacing w:after="0"/>
              <w:rPr>
                <w:sz w:val="24"/>
                <w:szCs w:val="24"/>
                <w:color w:val="auto"/>
              </w:rPr>
            </w:pPr>
          </w:p>
        </w:tc>
        <w:tc>
          <w:tcPr>
            <w:tcW w:w="420" w:type="dxa"/>
            <w:vAlign w:val="bottom"/>
            <w:tcBorders>
              <w:bottom w:val="single" w:sz="8" w:color="auto"/>
            </w:tcBorders>
            <w:shd w:val="clear" w:color="auto" w:fill="D2EDF0"/>
          </w:tcPr>
          <w:p>
            <w:pPr>
              <w:spacing w:after="0"/>
              <w:rPr>
                <w:sz w:val="24"/>
                <w:szCs w:val="24"/>
                <w:color w:val="auto"/>
              </w:rPr>
            </w:pPr>
          </w:p>
        </w:tc>
        <w:tc>
          <w:tcPr>
            <w:tcW w:w="88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99</w:t>
            </w:r>
          </w:p>
        </w:tc>
      </w:tr>
      <w:tr>
        <w:trPr>
          <w:trHeight w:val="260"/>
        </w:trPr>
        <w:tc>
          <w:tcPr>
            <w:tcW w:w="4940" w:type="dxa"/>
            <w:vAlign w:val="bottom"/>
          </w:tcPr>
          <w:p>
            <w:pPr>
              <w:ind w:left="280"/>
              <w:spacing w:after="0"/>
              <w:rPr>
                <w:sz w:val="20"/>
                <w:szCs w:val="20"/>
                <w:color w:val="auto"/>
              </w:rPr>
            </w:pPr>
            <w:r>
              <w:rPr>
                <w:rFonts w:ascii="Arial" w:cs="Arial" w:eastAsia="Arial" w:hAnsi="Arial"/>
                <w:sz w:val="20"/>
                <w:szCs w:val="20"/>
                <w:color w:val="auto"/>
              </w:rPr>
              <w:t>Total</w:t>
            </w:r>
          </w:p>
        </w:tc>
        <w:tc>
          <w:tcPr>
            <w:tcW w:w="1300" w:type="dxa"/>
            <w:vAlign w:val="bottom"/>
          </w:tcPr>
          <w:p>
            <w:pPr>
              <w:jc w:val="right"/>
              <w:spacing w:after="0"/>
              <w:rPr>
                <w:sz w:val="20"/>
                <w:szCs w:val="20"/>
                <w:color w:val="auto"/>
              </w:rPr>
            </w:pPr>
            <w:r>
              <w:rPr>
                <w:rFonts w:ascii="Arial" w:cs="Arial" w:eastAsia="Arial" w:hAnsi="Arial"/>
                <w:sz w:val="20"/>
                <w:szCs w:val="20"/>
                <w:color w:val="auto"/>
              </w:rPr>
              <w:t>12,798</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12,693</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14,351</w:t>
            </w:r>
          </w:p>
        </w:tc>
      </w:tr>
      <w:tr>
        <w:trPr>
          <w:trHeight w:val="20"/>
        </w:trPr>
        <w:tc>
          <w:tcPr>
            <w:tcW w:w="49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-37465</wp:posOffset>
            </wp:positionV>
            <wp:extent cx="258127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81275" cy="38100"/>
                    </a:xfrm>
                    <a:prstGeom prst="rect">
                      <a:avLst/>
                    </a:prstGeom>
                    <a:noFill/>
                  </pic:spPr>
                </pic:pic>
              </a:graphicData>
            </a:graphic>
          </wp:anchor>
        </w:drawing>
      </w:r>
    </w:p>
    <w:p>
      <w:pPr>
        <w:sectPr>
          <w:pgSz w:w="11880" w:h="15480" w:orient="portrait"/>
          <w:cols w:equalWidth="0" w:num="1">
            <w:col w:w="9000"/>
          </w:cols>
          <w:pgMar w:left="1440" w:top="120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113</w:t>
      </w:r>
    </w:p>
    <w:p>
      <w:pPr>
        <w:sectPr>
          <w:pgSz w:w="11880" w:h="15480" w:orient="portrait"/>
          <w:cols w:equalWidth="0" w:num="1">
            <w:col w:w="9000"/>
          </w:cols>
          <w:pgMar w:left="1440" w:top="1204" w:right="1440" w:bottom="0" w:gutter="0" w:footer="0" w:header="0"/>
          <w:type w:val="continuous"/>
        </w:sectPr>
      </w:pPr>
    </w:p>
    <w:bookmarkStart w:id="205" w:name="page206"/>
    <w:bookmarkEnd w:id="205"/>
    <w:p>
      <w:pPr>
        <w:ind w:left="360"/>
        <w:spacing w:after="0"/>
        <w:rPr>
          <w:sz w:val="20"/>
          <w:szCs w:val="20"/>
          <w:color w:val="auto"/>
        </w:rPr>
      </w:pPr>
      <w:r>
        <w:rPr>
          <w:rFonts w:ascii="Arial" w:cs="Arial" w:eastAsia="Arial" w:hAnsi="Arial"/>
          <w:sz w:val="20"/>
          <w:szCs w:val="20"/>
          <w:b w:val="1"/>
          <w:bCs w:val="1"/>
          <w:color w:val="auto"/>
        </w:rPr>
        <w:t>13. Geographic Information</w:t>
      </w:r>
    </w:p>
    <w:p>
      <w:pPr>
        <w:spacing w:after="0" w:line="251" w:lineRule="exact"/>
        <w:rPr>
          <w:sz w:val="20"/>
          <w:szCs w:val="20"/>
          <w:color w:val="auto"/>
        </w:rPr>
      </w:pPr>
    </w:p>
    <w:p>
      <w:pPr>
        <w:ind w:right="340" w:firstLine="360"/>
        <w:spacing w:after="0" w:line="268" w:lineRule="auto"/>
        <w:rPr>
          <w:sz w:val="20"/>
          <w:szCs w:val="20"/>
          <w:color w:val="auto"/>
        </w:rPr>
      </w:pPr>
      <w:r>
        <w:rPr>
          <w:rFonts w:ascii="Arial" w:cs="Arial" w:eastAsia="Arial" w:hAnsi="Arial"/>
          <w:sz w:val="20"/>
          <w:szCs w:val="20"/>
          <w:color w:val="auto"/>
        </w:rPr>
        <w:t>We operate as one operating segment. Our Chief Executive Officer, who is our chief operating decision maker, reviews financial information on a consolidated basis for purposes of making operating decisions, allocating resources, and evaluating financial performance.</w:t>
      </w:r>
    </w:p>
    <w:p>
      <w:pPr>
        <w:spacing w:after="0" w:line="190" w:lineRule="exact"/>
        <w:rPr>
          <w:sz w:val="20"/>
          <w:szCs w:val="20"/>
          <w:color w:val="auto"/>
        </w:rPr>
      </w:pPr>
    </w:p>
    <w:p>
      <w:pPr>
        <w:ind w:right="20" w:firstLine="360"/>
        <w:spacing w:after="0" w:line="287" w:lineRule="auto"/>
        <w:rPr>
          <w:sz w:val="20"/>
          <w:szCs w:val="20"/>
          <w:color w:val="auto"/>
        </w:rPr>
      </w:pPr>
      <w:r>
        <w:rPr>
          <w:rFonts w:ascii="Arial" w:cs="Arial" w:eastAsia="Arial" w:hAnsi="Arial"/>
          <w:sz w:val="20"/>
          <w:szCs w:val="20"/>
          <w:color w:val="auto"/>
        </w:rPr>
        <w:t>Revenue by region, based on the address of the end user as specified in our subscription, license or service agreements, was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r>
      <w:tr>
        <w:trPr>
          <w:trHeight w:val="235"/>
        </w:trPr>
        <w:tc>
          <w:tcPr>
            <w:tcW w:w="494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63"/>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2EDF0"/>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8"/>
                <w:szCs w:val="18"/>
                <w:b w:val="1"/>
                <w:bCs w:val="1"/>
                <w:color w:val="auto"/>
                <w:w w:val="99"/>
              </w:rPr>
              <w:t>2020</w:t>
            </w:r>
          </w:p>
        </w:tc>
      </w:tr>
      <w:tr>
        <w:trPr>
          <w:trHeight w:val="290"/>
        </w:trPr>
        <w:tc>
          <w:tcPr>
            <w:tcW w:w="4940" w:type="dxa"/>
            <w:vAlign w:val="bottom"/>
            <w:shd w:val="clear" w:color="auto" w:fill="D2EDF0"/>
          </w:tcPr>
          <w:p>
            <w:pPr>
              <w:ind w:left="60"/>
              <w:spacing w:after="0"/>
              <w:rPr>
                <w:sz w:val="20"/>
                <w:szCs w:val="20"/>
                <w:color w:val="auto"/>
              </w:rPr>
            </w:pPr>
            <w:r>
              <w:rPr>
                <w:rFonts w:ascii="Arial" w:cs="Arial" w:eastAsia="Arial" w:hAnsi="Arial"/>
                <w:sz w:val="20"/>
                <w:szCs w:val="20"/>
                <w:color w:val="auto"/>
              </w:rPr>
              <w:t>The Americas</w:t>
            </w:r>
          </w:p>
        </w:tc>
        <w:tc>
          <w:tcPr>
            <w:tcW w:w="300" w:type="dxa"/>
            <w:vAlign w:val="bottom"/>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432,734</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347,724</w:t>
            </w:r>
          </w:p>
        </w:tc>
        <w:tc>
          <w:tcPr>
            <w:tcW w:w="500" w:type="dxa"/>
            <w:vAlign w:val="bottom"/>
            <w:gridSpan w:val="2"/>
            <w:shd w:val="clear" w:color="auto" w:fill="D2EDF0"/>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293,734</w:t>
            </w:r>
          </w:p>
        </w:tc>
      </w:tr>
      <w:tr>
        <w:trPr>
          <w:trHeight w:val="296"/>
        </w:trPr>
        <w:tc>
          <w:tcPr>
            <w:tcW w:w="4940" w:type="dxa"/>
            <w:vAlign w:val="bottom"/>
          </w:tcPr>
          <w:p>
            <w:pPr>
              <w:ind w:left="60"/>
              <w:spacing w:after="0"/>
              <w:rPr>
                <w:sz w:val="20"/>
                <w:szCs w:val="20"/>
                <w:color w:val="auto"/>
              </w:rPr>
            </w:pPr>
            <w:r>
              <w:rPr>
                <w:rFonts w:ascii="Arial" w:cs="Arial" w:eastAsia="Arial" w:hAnsi="Arial"/>
                <w:sz w:val="20"/>
                <w:szCs w:val="20"/>
                <w:color w:val="auto"/>
              </w:rPr>
              <w:t>Europe, Middle East and Africa</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175,767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135,176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102,155</w:t>
            </w:r>
          </w:p>
        </w:tc>
      </w:tr>
      <w:tr>
        <w:trPr>
          <w:trHeight w:val="294"/>
        </w:trPr>
        <w:tc>
          <w:tcPr>
            <w:tcW w:w="4940" w:type="dxa"/>
            <w:vAlign w:val="bottom"/>
            <w:tcBorders>
              <w:bottom w:val="single" w:sz="8" w:color="D2EDF0"/>
            </w:tcBorders>
            <w:shd w:val="clear" w:color="auto" w:fill="D2EDF0"/>
          </w:tcPr>
          <w:p>
            <w:pPr>
              <w:ind w:left="60"/>
              <w:spacing w:after="0"/>
              <w:rPr>
                <w:sz w:val="20"/>
                <w:szCs w:val="20"/>
                <w:color w:val="auto"/>
              </w:rPr>
            </w:pPr>
            <w:r>
              <w:rPr>
                <w:rFonts w:ascii="Arial" w:cs="Arial" w:eastAsia="Arial" w:hAnsi="Arial"/>
                <w:sz w:val="20"/>
                <w:szCs w:val="20"/>
                <w:color w:val="auto"/>
              </w:rPr>
              <w:t>Asia Pacific</w:t>
            </w: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74,690</w:t>
            </w:r>
          </w:p>
        </w:tc>
        <w:tc>
          <w:tcPr>
            <w:tcW w:w="80" w:type="dxa"/>
            <w:vAlign w:val="bottom"/>
            <w:tcBorders>
              <w:bottom w:val="single" w:sz="8" w:color="D2EDF0"/>
            </w:tcBorders>
            <w:shd w:val="clear" w:color="auto" w:fill="D2EDF0"/>
          </w:tcPr>
          <w:p>
            <w:pPr>
              <w:spacing w:after="0"/>
              <w:rPr>
                <w:sz w:val="24"/>
                <w:szCs w:val="24"/>
                <w:color w:val="auto"/>
              </w:rPr>
            </w:pPr>
          </w:p>
        </w:tc>
        <w:tc>
          <w:tcPr>
            <w:tcW w:w="300" w:type="dxa"/>
            <w:vAlign w:val="bottom"/>
            <w:tcBorders>
              <w:bottom w:val="single" w:sz="8" w:color="auto"/>
            </w:tcBorders>
            <w:shd w:val="clear" w:color="auto" w:fill="D2EDF0"/>
          </w:tcPr>
          <w:p>
            <w:pPr>
              <w:spacing w:after="0"/>
              <w:rPr>
                <w:sz w:val="24"/>
                <w:szCs w:val="24"/>
                <w:color w:val="auto"/>
              </w:rPr>
            </w:pPr>
          </w:p>
        </w:tc>
        <w:tc>
          <w:tcPr>
            <w:tcW w:w="100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58,230</w:t>
            </w:r>
          </w:p>
        </w:tc>
        <w:tc>
          <w:tcPr>
            <w:tcW w:w="80" w:type="dxa"/>
            <w:vAlign w:val="bottom"/>
            <w:tcBorders>
              <w:bottom w:val="single" w:sz="8" w:color="D2EDF0"/>
            </w:tcBorders>
            <w:shd w:val="clear" w:color="auto" w:fill="D2EDF0"/>
          </w:tcPr>
          <w:p>
            <w:pPr>
              <w:spacing w:after="0"/>
              <w:rPr>
                <w:sz w:val="24"/>
                <w:szCs w:val="24"/>
                <w:color w:val="auto"/>
              </w:rPr>
            </w:pPr>
          </w:p>
        </w:tc>
        <w:tc>
          <w:tcPr>
            <w:tcW w:w="420" w:type="dxa"/>
            <w:vAlign w:val="bottom"/>
            <w:tcBorders>
              <w:bottom w:val="single" w:sz="8" w:color="auto"/>
            </w:tcBorders>
            <w:shd w:val="clear" w:color="auto" w:fill="D2EDF0"/>
          </w:tcPr>
          <w:p>
            <w:pPr>
              <w:spacing w:after="0"/>
              <w:rPr>
                <w:sz w:val="24"/>
                <w:szCs w:val="24"/>
                <w:color w:val="auto"/>
              </w:rPr>
            </w:pPr>
          </w:p>
        </w:tc>
        <w:tc>
          <w:tcPr>
            <w:tcW w:w="880" w:type="dxa"/>
            <w:vAlign w:val="bottom"/>
            <w:tcBorders>
              <w:bottom w:val="single" w:sz="8" w:color="auto"/>
            </w:tcBorders>
            <w:shd w:val="clear" w:color="auto" w:fill="D2EDF0"/>
          </w:tcPr>
          <w:p>
            <w:pPr>
              <w:jc w:val="right"/>
              <w:spacing w:after="0"/>
              <w:rPr>
                <w:sz w:val="20"/>
                <w:szCs w:val="20"/>
                <w:color w:val="auto"/>
              </w:rPr>
            </w:pPr>
            <w:r>
              <w:rPr>
                <w:rFonts w:ascii="Arial" w:cs="Arial" w:eastAsia="Arial" w:hAnsi="Arial"/>
                <w:sz w:val="20"/>
                <w:szCs w:val="20"/>
                <w:color w:val="auto"/>
              </w:rPr>
              <w:t>44,332</w:t>
            </w:r>
          </w:p>
        </w:tc>
      </w:tr>
      <w:tr>
        <w:trPr>
          <w:trHeight w:val="260"/>
        </w:trPr>
        <w:tc>
          <w:tcPr>
            <w:tcW w:w="4940" w:type="dxa"/>
            <w:vAlign w:val="bottom"/>
          </w:tcPr>
          <w:p>
            <w:pPr>
              <w:ind w:left="280"/>
              <w:spacing w:after="0"/>
              <w:rPr>
                <w:sz w:val="20"/>
                <w:szCs w:val="20"/>
                <w:color w:val="auto"/>
              </w:rPr>
            </w:pPr>
            <w:r>
              <w:rPr>
                <w:rFonts w:ascii="Arial" w:cs="Arial" w:eastAsia="Arial" w:hAnsi="Arial"/>
                <w:sz w:val="20"/>
                <w:szCs w:val="20"/>
                <w:color w:val="auto"/>
              </w:rPr>
              <w:t>Revenue</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683,191</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541,130</w:t>
            </w:r>
          </w:p>
        </w:tc>
        <w:tc>
          <w:tcPr>
            <w:tcW w:w="5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440,221</w:t>
            </w:r>
          </w:p>
        </w:tc>
      </w:tr>
      <w:tr>
        <w:trPr>
          <w:trHeight w:val="20"/>
        </w:trPr>
        <w:tc>
          <w:tcPr>
            <w:tcW w:w="4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-37465</wp:posOffset>
            </wp:positionV>
            <wp:extent cx="258127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81275" cy="38100"/>
                    </a:xfrm>
                    <a:prstGeom prst="rect">
                      <a:avLst/>
                    </a:prstGeom>
                    <a:noFill/>
                  </pic:spPr>
                </pic:pic>
              </a:graphicData>
            </a:graphic>
          </wp:anchor>
        </w:drawing>
      </w:r>
    </w:p>
    <w:p>
      <w:pPr>
        <w:spacing w:after="0" w:line="234" w:lineRule="exact"/>
        <w:rPr>
          <w:sz w:val="20"/>
          <w:szCs w:val="20"/>
          <w:color w:val="auto"/>
        </w:rPr>
      </w:pPr>
    </w:p>
    <w:p>
      <w:pPr>
        <w:ind w:right="200" w:firstLine="360"/>
        <w:spacing w:after="0" w:line="268" w:lineRule="auto"/>
        <w:rPr>
          <w:sz w:val="20"/>
          <w:szCs w:val="20"/>
          <w:color w:val="auto"/>
        </w:rPr>
      </w:pPr>
      <w:r>
        <w:rPr>
          <w:rFonts w:ascii="Arial" w:cs="Arial" w:eastAsia="Arial" w:hAnsi="Arial"/>
          <w:sz w:val="20"/>
          <w:szCs w:val="20"/>
          <w:color w:val="auto"/>
        </w:rPr>
        <w:t>Customers located in the United States accounted for 56%, 58% and 61% of revenue in 2022, 2021 and 2020, respectively. No other country accounted for 10% or more of revenue in the periods presented.</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Our property and equipment, net by geographic area is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6260" w:type="dxa"/>
            <w:vAlign w:val="bottom"/>
            <w:tcBorders>
              <w:bottom w:val="single" w:sz="8" w:color="D2EDF0"/>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84"/>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D2EDF0"/>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63"/>
              <w:spacing w:after="0"/>
              <w:rPr>
                <w:sz w:val="20"/>
                <w:szCs w:val="20"/>
                <w:color w:val="auto"/>
              </w:rPr>
            </w:pPr>
            <w:r>
              <w:rPr>
                <w:rFonts w:ascii="Arial" w:cs="Arial" w:eastAsia="Arial" w:hAnsi="Arial"/>
                <w:sz w:val="18"/>
                <w:szCs w:val="18"/>
                <w:b w:val="1"/>
                <w:bCs w:val="1"/>
                <w:color w:val="auto"/>
              </w:rPr>
              <w:t>2021</w:t>
            </w:r>
          </w:p>
        </w:tc>
      </w:tr>
      <w:tr>
        <w:trPr>
          <w:trHeight w:val="290"/>
        </w:trPr>
        <w:tc>
          <w:tcPr>
            <w:tcW w:w="6260" w:type="dxa"/>
            <w:vAlign w:val="bottom"/>
            <w:shd w:val="clear" w:color="auto" w:fill="D2EDF0"/>
          </w:tcPr>
          <w:p>
            <w:pPr>
              <w:ind w:left="60"/>
              <w:spacing w:after="0"/>
              <w:rPr>
                <w:sz w:val="20"/>
                <w:szCs w:val="20"/>
                <w:color w:val="auto"/>
              </w:rPr>
            </w:pPr>
            <w:r>
              <w:rPr>
                <w:rFonts w:ascii="Arial" w:cs="Arial" w:eastAsia="Arial" w:hAnsi="Arial"/>
                <w:sz w:val="20"/>
                <w:szCs w:val="20"/>
                <w:color w:val="auto"/>
              </w:rPr>
              <w:t>United States</w:t>
            </w:r>
          </w:p>
        </w:tc>
        <w:tc>
          <w:tcPr>
            <w:tcW w:w="320" w:type="dxa"/>
            <w:vAlign w:val="bottom"/>
            <w:shd w:val="clear" w:color="auto" w:fill="D2EDF0"/>
          </w:tcPr>
          <w:p>
            <w:pPr>
              <w:jc w:val="right"/>
              <w:ind w:right="60"/>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39,843</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33,579</w:t>
            </w:r>
          </w:p>
        </w:tc>
      </w:tr>
      <w:tr>
        <w:trPr>
          <w:trHeight w:val="290"/>
        </w:trPr>
        <w:tc>
          <w:tcPr>
            <w:tcW w:w="6260" w:type="dxa"/>
            <w:vAlign w:val="bottom"/>
            <w:tcBorders>
              <w:bottom w:val="single" w:sz="8" w:color="D2EDF0"/>
            </w:tcBorders>
          </w:tcPr>
          <w:p>
            <w:pPr>
              <w:ind w:left="60"/>
              <w:spacing w:after="0"/>
              <w:rPr>
                <w:sz w:val="20"/>
                <w:szCs w:val="20"/>
                <w:color w:val="auto"/>
              </w:rPr>
            </w:pPr>
            <w:r>
              <w:rPr>
                <w:rFonts w:ascii="Arial" w:cs="Arial" w:eastAsia="Arial" w:hAnsi="Arial"/>
                <w:sz w:val="20"/>
                <w:szCs w:val="20"/>
                <w:color w:val="auto"/>
              </w:rPr>
              <w:t>International</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6,883</w:t>
            </w:r>
          </w:p>
        </w:tc>
        <w:tc>
          <w:tcPr>
            <w:tcW w:w="80" w:type="dxa"/>
            <w:vAlign w:val="bottom"/>
            <w:tcBorders>
              <w:bottom w:val="single" w:sz="8" w:color="D2EDF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3,254</w:t>
            </w:r>
          </w:p>
        </w:tc>
      </w:tr>
      <w:tr>
        <w:trPr>
          <w:trHeight w:val="280"/>
        </w:trPr>
        <w:tc>
          <w:tcPr>
            <w:tcW w:w="6260" w:type="dxa"/>
            <w:vAlign w:val="bottom"/>
            <w:shd w:val="clear" w:color="auto" w:fill="D2EDF0"/>
          </w:tcPr>
          <w:p>
            <w:pPr>
              <w:ind w:left="280"/>
              <w:spacing w:after="0"/>
              <w:rPr>
                <w:sz w:val="20"/>
                <w:szCs w:val="20"/>
                <w:color w:val="auto"/>
              </w:rPr>
            </w:pPr>
            <w:r>
              <w:rPr>
                <w:rFonts w:ascii="Arial" w:cs="Arial" w:eastAsia="Arial" w:hAnsi="Arial"/>
                <w:sz w:val="20"/>
                <w:szCs w:val="20"/>
                <w:color w:val="auto"/>
              </w:rPr>
              <w:t>Property and equipment, net</w:t>
            </w:r>
          </w:p>
        </w:tc>
        <w:tc>
          <w:tcPr>
            <w:tcW w:w="320" w:type="dxa"/>
            <w:vAlign w:val="bottom"/>
            <w:shd w:val="clear" w:color="auto" w:fill="D2EDF0"/>
          </w:tcPr>
          <w:p>
            <w:pPr>
              <w:jc w:val="right"/>
              <w:ind w:right="60"/>
              <w:spacing w:after="0"/>
              <w:rPr>
                <w:sz w:val="20"/>
                <w:szCs w:val="20"/>
                <w:color w:val="auto"/>
              </w:rPr>
            </w:pPr>
            <w:r>
              <w:rPr>
                <w:rFonts w:ascii="Arial" w:cs="Arial" w:eastAsia="Arial" w:hAnsi="Arial"/>
                <w:sz w:val="20"/>
                <w:szCs w:val="20"/>
                <w:color w:val="auto"/>
              </w:rPr>
              <w:t>$</w:t>
            </w:r>
          </w:p>
        </w:tc>
        <w:tc>
          <w:tcPr>
            <w:tcW w:w="1040" w:type="dxa"/>
            <w:vAlign w:val="bottom"/>
            <w:shd w:val="clear" w:color="auto" w:fill="D2EDF0"/>
          </w:tcPr>
          <w:p>
            <w:pPr>
              <w:jc w:val="right"/>
              <w:spacing w:after="0"/>
              <w:rPr>
                <w:sz w:val="20"/>
                <w:szCs w:val="20"/>
                <w:color w:val="auto"/>
              </w:rPr>
            </w:pPr>
            <w:r>
              <w:rPr>
                <w:rFonts w:ascii="Arial" w:cs="Arial" w:eastAsia="Arial" w:hAnsi="Arial"/>
                <w:sz w:val="20"/>
                <w:szCs w:val="20"/>
                <w:color w:val="auto"/>
              </w:rPr>
              <w:t>46,726</w:t>
            </w:r>
          </w:p>
        </w:tc>
        <w:tc>
          <w:tcPr>
            <w:tcW w:w="380" w:type="dxa"/>
            <w:vAlign w:val="bottom"/>
            <w:gridSpan w:val="2"/>
            <w:shd w:val="clear" w:color="auto" w:fill="D2EDF0"/>
          </w:tcPr>
          <w:p>
            <w:pPr>
              <w:jc w:val="right"/>
              <w:ind w:right="140"/>
              <w:spacing w:after="0"/>
              <w:rPr>
                <w:sz w:val="20"/>
                <w:szCs w:val="20"/>
                <w:color w:val="auto"/>
              </w:rPr>
            </w:pPr>
            <w:r>
              <w:rPr>
                <w:rFonts w:ascii="Arial" w:cs="Arial" w:eastAsia="Arial" w:hAnsi="Arial"/>
                <w:sz w:val="20"/>
                <w:szCs w:val="20"/>
                <w:color w:val="auto"/>
              </w:rPr>
              <w:t>$</w:t>
            </w:r>
          </w:p>
        </w:tc>
        <w:tc>
          <w:tcPr>
            <w:tcW w:w="1000" w:type="dxa"/>
            <w:vAlign w:val="bottom"/>
            <w:shd w:val="clear" w:color="auto" w:fill="D2EDF0"/>
          </w:tcPr>
          <w:p>
            <w:pPr>
              <w:jc w:val="right"/>
              <w:spacing w:after="0"/>
              <w:rPr>
                <w:sz w:val="20"/>
                <w:szCs w:val="20"/>
                <w:color w:val="auto"/>
              </w:rPr>
            </w:pPr>
            <w:r>
              <w:rPr>
                <w:rFonts w:ascii="Arial" w:cs="Arial" w:eastAsia="Arial" w:hAnsi="Arial"/>
                <w:sz w:val="20"/>
                <w:szCs w:val="20"/>
                <w:color w:val="auto"/>
              </w:rPr>
              <w:t>36,833</w:t>
            </w:r>
          </w:p>
        </w:tc>
      </w:tr>
      <w:tr>
        <w:trPr>
          <w:trHeight w:val="20"/>
        </w:trPr>
        <w:tc>
          <w:tcPr>
            <w:tcW w:w="6260" w:type="dxa"/>
            <w:vAlign w:val="bottom"/>
            <w:tcBorders>
              <w:top w:val="single" w:sz="8" w:color="D2EDF0"/>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EDF0"/>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3971925</wp:posOffset>
            </wp:positionH>
            <wp:positionV relativeFrom="paragraph">
              <wp:posOffset>-37465</wp:posOffset>
            </wp:positionV>
            <wp:extent cx="174307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43075" cy="38100"/>
                    </a:xfrm>
                    <a:prstGeom prst="rect">
                      <a:avLst/>
                    </a:prstGeom>
                    <a:noFill/>
                  </pic:spPr>
                </pic:pic>
              </a:graphicData>
            </a:graphic>
          </wp:anchor>
        </w:drawing>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14. Benefit Plans</w:t>
      </w:r>
    </w:p>
    <w:p>
      <w:pPr>
        <w:spacing w:after="0" w:line="251" w:lineRule="exact"/>
        <w:rPr>
          <w:sz w:val="20"/>
          <w:szCs w:val="20"/>
          <w:color w:val="auto"/>
        </w:rPr>
      </w:pPr>
    </w:p>
    <w:p>
      <w:pPr>
        <w:ind w:right="340" w:firstLine="360"/>
        <w:spacing w:after="0" w:line="262" w:lineRule="auto"/>
        <w:rPr>
          <w:sz w:val="20"/>
          <w:szCs w:val="20"/>
          <w:color w:val="auto"/>
        </w:rPr>
      </w:pPr>
      <w:r>
        <w:rPr>
          <w:rFonts w:ascii="Arial" w:cs="Arial" w:eastAsia="Arial" w:hAnsi="Arial"/>
          <w:sz w:val="20"/>
          <w:szCs w:val="20"/>
          <w:color w:val="auto"/>
        </w:rPr>
        <w:t>We maintain a contributory defined contribution 401(k) plan for our U.S. employees, where company-matched contributions are fully vested. Additional contributory plans are in effect internationally, including in the U.K. and Ireland. Our contribution expense for such plans was $9.7 million, $7.6 million and $6.5 million in 2022, 2021 and 2020, respectively.</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114</w:t>
      </w:r>
    </w:p>
    <w:p>
      <w:pPr>
        <w:sectPr>
          <w:pgSz w:w="11880" w:h="15480" w:orient="portrait"/>
          <w:cols w:equalWidth="0" w:num="1">
            <w:col w:w="9000"/>
          </w:cols>
          <w:pgMar w:left="1440" w:top="1203" w:right="1440" w:bottom="0" w:gutter="0" w:footer="0" w:header="0"/>
          <w:type w:val="continuous"/>
        </w:sectPr>
      </w:pPr>
    </w:p>
    <w:bookmarkStart w:id="206" w:name="page207"/>
    <w:bookmarkEnd w:id="206"/>
    <w:p>
      <w:pPr>
        <w:ind w:right="80"/>
        <w:spacing w:after="0" w:line="298" w:lineRule="auto"/>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None.</w:t>
      </w:r>
    </w:p>
    <w:p>
      <w:pPr>
        <w:spacing w:after="0" w:line="249"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9"/>
          <w:szCs w:val="19"/>
          <w:b w:val="1"/>
          <w:bCs w:val="1"/>
          <w:color w:val="auto"/>
        </w:rPr>
        <w:t>Controls and Procedures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Evaluation of Disclosure Controls and Procedures</w:t>
      </w:r>
    </w:p>
    <w:p>
      <w:pPr>
        <w:spacing w:after="0" w:line="249" w:lineRule="exact"/>
        <w:rPr>
          <w:sz w:val="20"/>
          <w:szCs w:val="20"/>
          <w:color w:val="auto"/>
        </w:rPr>
      </w:pPr>
    </w:p>
    <w:p>
      <w:pPr>
        <w:ind w:right="100" w:firstLine="360"/>
        <w:spacing w:after="0" w:line="255" w:lineRule="auto"/>
        <w:rPr>
          <w:sz w:val="20"/>
          <w:szCs w:val="20"/>
          <w:color w:val="auto"/>
        </w:rPr>
      </w:pPr>
      <w:r>
        <w:rPr>
          <w:rFonts w:ascii="Arial" w:cs="Arial" w:eastAsia="Arial" w:hAnsi="Arial"/>
          <w:sz w:val="20"/>
          <w:szCs w:val="20"/>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201" w:lineRule="exact"/>
        <w:rPr>
          <w:sz w:val="20"/>
          <w:szCs w:val="20"/>
          <w:color w:val="auto"/>
        </w:rPr>
      </w:pPr>
    </w:p>
    <w:p>
      <w:pPr>
        <w:ind w:right="40" w:firstLine="360"/>
        <w:spacing w:after="0" w:line="263" w:lineRule="auto"/>
        <w:rPr>
          <w:sz w:val="20"/>
          <w:szCs w:val="20"/>
          <w:color w:val="auto"/>
        </w:rPr>
      </w:pPr>
      <w:r>
        <w:rPr>
          <w:rFonts w:ascii="Arial" w:cs="Arial" w:eastAsia="Arial" w:hAnsi="Arial"/>
          <w:sz w:val="19"/>
          <w:szCs w:val="19"/>
          <w:color w:val="auto"/>
        </w:rPr>
        <w:t>Our management, with the participation of our Chief Executive Officer and Chief Financial Officer, has evaluated the effectiveness of our disclosure controls and procedures (as defined in Rules</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color w:val="auto"/>
        </w:rPr>
        <w:t>13a-15(e) and 15d-15(e) under the Exchange Act ), as of the end of the period covered by this Form 10-K. Based on such evaluation, our Chief Executive Officer and Chief Financial Officer have concluded that as of December 31, 2022, our disclosure controls and procedures were effective to provide reasonable assurance that the information required to be disclosed by us in this Form 10-K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Management's Report on Internal Control Over Financial Reporting</w:t>
      </w:r>
    </w:p>
    <w:p>
      <w:pPr>
        <w:spacing w:after="0" w:line="249" w:lineRule="exact"/>
        <w:rPr>
          <w:sz w:val="20"/>
          <w:szCs w:val="20"/>
          <w:color w:val="auto"/>
        </w:rPr>
      </w:pPr>
    </w:p>
    <w:p>
      <w:pPr>
        <w:ind w:right="80" w:firstLine="360"/>
        <w:spacing w:after="0" w:line="257" w:lineRule="auto"/>
        <w:rPr>
          <w:sz w:val="20"/>
          <w:szCs w:val="20"/>
          <w:color w:val="auto"/>
        </w:rPr>
      </w:pPr>
      <w:r>
        <w:rPr>
          <w:rFonts w:ascii="Arial" w:cs="Arial" w:eastAsia="Arial" w:hAnsi="Arial"/>
          <w:sz w:val="20"/>
          <w:szCs w:val="20"/>
          <w:color w:val="auto"/>
        </w:rPr>
        <w:t xml:space="preserve">Our management is responsible for establishing and maintaining adequate internal control over financial reporting, as defined in Rule 13a-15(f) of the Exchange Act. Our management evaluated the effectiveness of our internal control over financial reporting based on the framework in </w:t>
      </w:r>
      <w:r>
        <w:rPr>
          <w:rFonts w:ascii="Arial" w:cs="Arial" w:eastAsia="Arial" w:hAnsi="Arial"/>
          <w:sz w:val="20"/>
          <w:szCs w:val="20"/>
          <w:i w:val="1"/>
          <w:iCs w:val="1"/>
          <w:color w:val="auto"/>
        </w:rPr>
        <w:t>Internal</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Control—Integrated Framework (2013) </w:t>
      </w:r>
      <w:r>
        <w:rPr>
          <w:rFonts w:ascii="Arial" w:cs="Arial" w:eastAsia="Arial" w:hAnsi="Arial"/>
          <w:sz w:val="20"/>
          <w:szCs w:val="20"/>
          <w:color w:val="auto"/>
        </w:rPr>
        <w:t>issued by the Committee of Sponsoring Organizations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Treadway Commission, and concluded that our internal control over financial reporting was effective at December 31, 2022.</w:t>
      </w:r>
    </w:p>
    <w:p>
      <w:pPr>
        <w:spacing w:after="0" w:line="202"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Our independent registered public accounting firm, Ernst &amp; Young LLP (PCAOB ID: 42), has</w:t>
      </w:r>
    </w:p>
    <w:p>
      <w:pPr>
        <w:spacing w:after="0" w:line="10" w:lineRule="exact"/>
        <w:rPr>
          <w:sz w:val="20"/>
          <w:szCs w:val="20"/>
          <w:color w:val="auto"/>
        </w:rPr>
      </w:pPr>
    </w:p>
    <w:p>
      <w:pPr>
        <w:ind w:right="140"/>
        <w:spacing w:after="0" w:line="287" w:lineRule="auto"/>
        <w:rPr>
          <w:sz w:val="20"/>
          <w:szCs w:val="20"/>
          <w:color w:val="auto"/>
        </w:rPr>
      </w:pPr>
      <w:r>
        <w:rPr>
          <w:rFonts w:ascii="Arial" w:cs="Arial" w:eastAsia="Arial" w:hAnsi="Arial"/>
          <w:sz w:val="20"/>
          <w:szCs w:val="20"/>
          <w:color w:val="auto"/>
        </w:rPr>
        <w:t>issued an audit report with respect to our internal control over financial reporting as of December 31, 2022, which is included in Part II, Item 8 of this Annual Report on Form 10-K.</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Changes in Internal Control Over Financial Reporting</w:t>
      </w:r>
    </w:p>
    <w:p>
      <w:pPr>
        <w:spacing w:after="0" w:line="249" w:lineRule="exact"/>
        <w:rPr>
          <w:sz w:val="20"/>
          <w:szCs w:val="20"/>
          <w:color w:val="auto"/>
        </w:rPr>
      </w:pPr>
    </w:p>
    <w:p>
      <w:pPr>
        <w:ind w:right="120" w:firstLine="360"/>
        <w:spacing w:after="0" w:line="262" w:lineRule="auto"/>
        <w:rPr>
          <w:sz w:val="20"/>
          <w:szCs w:val="20"/>
          <w:color w:val="auto"/>
        </w:rPr>
      </w:pPr>
      <w:r>
        <w:rPr>
          <w:rFonts w:ascii="Arial" w:cs="Arial" w:eastAsia="Arial" w:hAnsi="Arial"/>
          <w:sz w:val="20"/>
          <w:szCs w:val="20"/>
          <w:color w:val="auto"/>
        </w:rPr>
        <w:t>There were no changes in our internal control over financial reporting identified in management’s evaluation pursuant to Rules 13a-15(d) or 15d-15(d) of the Exchange Act during the three months ended December 31, 2022 that materially affected, or are reasonably likely to materially affect, our internal control over financial reporting.</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115</w:t>
      </w:r>
    </w:p>
    <w:p>
      <w:pPr>
        <w:sectPr>
          <w:pgSz w:w="11880" w:h="15480" w:orient="portrait"/>
          <w:cols w:equalWidth="0" w:num="1">
            <w:col w:w="9000"/>
          </w:cols>
          <w:pgMar w:left="1440" w:top="1203" w:right="1440" w:bottom="0" w:gutter="0" w:footer="0" w:header="0"/>
          <w:type w:val="continuous"/>
        </w:sectPr>
      </w:pPr>
    </w:p>
    <w:bookmarkStart w:id="207" w:name="page208"/>
    <w:bookmarkEnd w:id="207"/>
    <w:p>
      <w:pPr>
        <w:ind w:left="360"/>
        <w:spacing w:after="0"/>
        <w:rPr>
          <w:sz w:val="20"/>
          <w:szCs w:val="20"/>
          <w:color w:val="auto"/>
        </w:rPr>
      </w:pPr>
      <w:r>
        <w:rPr>
          <w:rFonts w:ascii="Arial" w:cs="Arial" w:eastAsia="Arial" w:hAnsi="Arial"/>
          <w:sz w:val="20"/>
          <w:szCs w:val="20"/>
          <w:b w:val="1"/>
          <w:bCs w:val="1"/>
          <w:i w:val="1"/>
          <w:iCs w:val="1"/>
          <w:color w:val="auto"/>
        </w:rPr>
        <w:t>Inherent Limitations on Effectiveness of Internal Controls</w:t>
      </w:r>
    </w:p>
    <w:p>
      <w:pPr>
        <w:spacing w:after="0" w:line="249" w:lineRule="exact"/>
        <w:rPr>
          <w:sz w:val="20"/>
          <w:szCs w:val="20"/>
          <w:color w:val="auto"/>
        </w:rPr>
      </w:pPr>
    </w:p>
    <w:p>
      <w:pPr>
        <w:ind w:right="20" w:firstLine="360"/>
        <w:spacing w:after="0" w:line="254" w:lineRule="auto"/>
        <w:rPr>
          <w:sz w:val="20"/>
          <w:szCs w:val="20"/>
          <w:color w:val="auto"/>
        </w:rPr>
      </w:pPr>
      <w:r>
        <w:rPr>
          <w:rFonts w:ascii="Arial" w:cs="Arial" w:eastAsia="Arial" w:hAnsi="Arial"/>
          <w:sz w:val="20"/>
          <w:szCs w:val="20"/>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2"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19"/>
          <w:szCs w:val="19"/>
          <w:b w:val="1"/>
          <w:bCs w:val="1"/>
          <w:color w:val="auto"/>
        </w:rPr>
        <w:t>Other Information</w:t>
      </w:r>
    </w:p>
    <w:p>
      <w:pPr>
        <w:spacing w:after="0" w:line="251" w:lineRule="exact"/>
        <w:rPr>
          <w:sz w:val="20"/>
          <w:szCs w:val="20"/>
          <w:color w:val="auto"/>
        </w:rPr>
      </w:pPr>
    </w:p>
    <w:p>
      <w:pPr>
        <w:ind w:right="160" w:firstLine="360"/>
        <w:spacing w:after="0" w:line="262" w:lineRule="auto"/>
        <w:rPr>
          <w:sz w:val="20"/>
          <w:szCs w:val="20"/>
          <w:color w:val="auto"/>
        </w:rPr>
      </w:pPr>
      <w:r>
        <w:rPr>
          <w:rFonts w:ascii="Arial" w:cs="Arial" w:eastAsia="Arial" w:hAnsi="Arial"/>
          <w:sz w:val="20"/>
          <w:szCs w:val="20"/>
          <w:color w:val="auto"/>
        </w:rPr>
        <w:t>On February 23, 2023, our Board determined that the duties and responsibilities of Mark Thurmond, our Chief Operating Officer, have evolved such that he is an “executive officer” within the meaning of Rule 3b-7 under the Securities Exchange Act of 1934, as amended. The Board also determined that Mr. Thurmond will begin serving as an executive officer effective immediately.</w:t>
      </w:r>
    </w:p>
    <w:p>
      <w:pPr>
        <w:spacing w:after="0" w:line="196" w:lineRule="exact"/>
        <w:rPr>
          <w:sz w:val="20"/>
          <w:szCs w:val="20"/>
          <w:color w:val="auto"/>
        </w:rPr>
      </w:pPr>
    </w:p>
    <w:p>
      <w:pPr>
        <w:ind w:right="20" w:firstLine="360"/>
        <w:spacing w:after="0" w:line="259" w:lineRule="auto"/>
        <w:rPr>
          <w:sz w:val="20"/>
          <w:szCs w:val="20"/>
          <w:color w:val="auto"/>
        </w:rPr>
      </w:pPr>
      <w:r>
        <w:rPr>
          <w:rFonts w:ascii="Arial" w:cs="Arial" w:eastAsia="Arial" w:hAnsi="Arial"/>
          <w:sz w:val="20"/>
          <w:szCs w:val="20"/>
          <w:color w:val="auto"/>
        </w:rPr>
        <w:t>Mr. Thurmond, age 53, has served as our Chief Operating Officer since February 2020. Prior to joining Tenable, Mr. Thurmond served as the Chief Operating Officer of Turbonomic Inc. from September 2017 to February 2020 and as the Executive Vice President, Worldwide Sales and Services of QlikTech International AB from August 2015 to August 2017. Mr. Thurmond holds a B.S. in Psychology from Hofstra University.</w:t>
      </w:r>
    </w:p>
    <w:p>
      <w:pPr>
        <w:spacing w:after="0" w:line="199" w:lineRule="exact"/>
        <w:rPr>
          <w:sz w:val="20"/>
          <w:szCs w:val="20"/>
          <w:color w:val="auto"/>
        </w:rPr>
      </w:pPr>
    </w:p>
    <w:p>
      <w:pPr>
        <w:ind w:right="40" w:firstLine="360"/>
        <w:spacing w:after="0" w:line="259" w:lineRule="auto"/>
        <w:rPr>
          <w:sz w:val="20"/>
          <w:szCs w:val="20"/>
          <w:color w:val="auto"/>
        </w:rPr>
      </w:pPr>
      <w:r>
        <w:rPr>
          <w:rFonts w:ascii="Arial" w:cs="Arial" w:eastAsia="Arial" w:hAnsi="Arial"/>
          <w:sz w:val="20"/>
          <w:szCs w:val="20"/>
          <w:color w:val="auto"/>
        </w:rPr>
        <w:t>There are no arrangements or understandings between Mr. Thurmond and any other person pursuant to which he was selected as an officer of the Company, and there is no family relationship between Mr. Thurmond and any of our other directors or executive officers. There are no related party transactions between Mr. Thurmond and the Company that would require disclosure under Item 404(a) of Regulation S-K.</w:t>
      </w:r>
    </w:p>
    <w:p>
      <w:pPr>
        <w:spacing w:after="0" w:line="198"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9C.</w:t>
      </w:r>
      <w:r>
        <w:rPr>
          <w:sz w:val="20"/>
          <w:szCs w:val="20"/>
          <w:color w:val="auto"/>
        </w:rPr>
        <w:tab/>
      </w:r>
      <w:r>
        <w:rPr>
          <w:rFonts w:ascii="Arial" w:cs="Arial" w:eastAsia="Arial" w:hAnsi="Arial"/>
          <w:sz w:val="19"/>
          <w:szCs w:val="19"/>
          <w:b w:val="1"/>
          <w:bCs w:val="1"/>
          <w:color w:val="auto"/>
        </w:rPr>
        <w:t>Disclosure Regarding Foreign Jurisdictions that Prevent Inspections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9000"/>
          </w:cols>
          <w:pgMar w:left="1440" w:top="12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116</w:t>
      </w:r>
    </w:p>
    <w:p>
      <w:pPr>
        <w:sectPr>
          <w:pgSz w:w="11880" w:h="15480" w:orient="portrait"/>
          <w:cols w:equalWidth="0" w:num="1">
            <w:col w:w="9000"/>
          </w:cols>
          <w:pgMar w:left="1440" w:top="1205" w:right="1440" w:bottom="0" w:gutter="0" w:footer="0" w:header="0"/>
          <w:type w:val="continuous"/>
        </w:sectPr>
      </w:pPr>
    </w:p>
    <w:bookmarkStart w:id="208" w:name="page209"/>
    <w:bookmarkEnd w:id="208"/>
    <w:p>
      <w:pPr>
        <w:jc w:val="center"/>
        <w:spacing w:after="0"/>
        <w:rPr>
          <w:sz w:val="20"/>
          <w:szCs w:val="20"/>
          <w:color w:val="auto"/>
        </w:rPr>
      </w:pPr>
      <w:r>
        <w:rPr>
          <w:rFonts w:ascii="Arial" w:cs="Arial" w:eastAsia="Arial" w:hAnsi="Arial"/>
          <w:sz w:val="20"/>
          <w:szCs w:val="20"/>
          <w:b w:val="1"/>
          <w:bCs w:val="1"/>
          <w:color w:val="auto"/>
        </w:rPr>
        <w:t>PART III</w:t>
      </w:r>
    </w:p>
    <w:p>
      <w:pPr>
        <w:spacing w:after="0" w:line="250"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9"/>
          <w:szCs w:val="19"/>
          <w:b w:val="1"/>
          <w:bCs w:val="1"/>
          <w:color w:val="auto"/>
        </w:rPr>
        <w:t>Directors, Executive Officers and Corporate Governance</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Executive Officers and Directors</w:t>
      </w:r>
    </w:p>
    <w:p>
      <w:pPr>
        <w:spacing w:after="0" w:line="251" w:lineRule="exact"/>
        <w:rPr>
          <w:sz w:val="20"/>
          <w:szCs w:val="20"/>
          <w:color w:val="auto"/>
        </w:rPr>
      </w:pPr>
    </w:p>
    <w:p>
      <w:pPr>
        <w:ind w:right="60" w:firstLine="360"/>
        <w:spacing w:after="0" w:line="257" w:lineRule="auto"/>
        <w:rPr>
          <w:sz w:val="20"/>
          <w:szCs w:val="20"/>
          <w:color w:val="auto"/>
        </w:rPr>
      </w:pPr>
      <w:r>
        <w:rPr>
          <w:rFonts w:ascii="Arial" w:cs="Arial" w:eastAsia="Arial" w:hAnsi="Arial"/>
          <w:sz w:val="20"/>
          <w:szCs w:val="20"/>
          <w:color w:val="auto"/>
        </w:rPr>
        <w:t>The information required by this item will be contained in our definitive proxy statement to be filed with the SEC in connection with our 2023 annual meeting of stockholders, or the Proxy Statement, which is expected to be filed not later than 120 days after the end of our fiscal year ended December 31, 2022, under the captions "Information Regarding the Board of Directors and Corporate Governance," "Election of Directors" and "Executive Officers" and is incorporated in this report by reference.</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Code of Ethics</w:t>
      </w:r>
    </w:p>
    <w:p>
      <w:pPr>
        <w:spacing w:after="0" w:line="251" w:lineRule="exact"/>
        <w:rPr>
          <w:sz w:val="20"/>
          <w:szCs w:val="20"/>
          <w:color w:val="auto"/>
        </w:rPr>
      </w:pPr>
    </w:p>
    <w:p>
      <w:pPr>
        <w:ind w:right="280" w:firstLine="360"/>
        <w:spacing w:after="0" w:line="259" w:lineRule="auto"/>
        <w:rPr>
          <w:sz w:val="20"/>
          <w:szCs w:val="20"/>
          <w:color w:val="auto"/>
        </w:rPr>
      </w:pPr>
      <w:r>
        <w:rPr>
          <w:rFonts w:ascii="Arial" w:cs="Arial" w:eastAsia="Arial" w:hAnsi="Arial"/>
          <w:sz w:val="20"/>
          <w:szCs w:val="20"/>
          <w:color w:val="auto"/>
        </w:rPr>
        <w:t>We have adopted the Tenable Code of Business Conduct and Ethics that applies to all officers, directors and employees. The Code of Business Conduct and Ethics is available on our website at https://investors.tenable.com. If we make any substantive amendments to the Code of Business Conduct and Ethics or grant any waiver from a provision of the Code to any executive officer or director, we will promptly disclose the nature of the amendment or waiver on our website.</w:t>
      </w:r>
    </w:p>
    <w:p>
      <w:pPr>
        <w:spacing w:after="0" w:line="198"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20"/>
          <w:szCs w:val="20"/>
          <w:b w:val="1"/>
          <w:bCs w:val="1"/>
          <w:color w:val="auto"/>
        </w:rPr>
        <w:t>Executive Compensation</w:t>
      </w:r>
    </w:p>
    <w:p>
      <w:pPr>
        <w:spacing w:after="0" w:line="251" w:lineRule="exact"/>
        <w:rPr>
          <w:sz w:val="20"/>
          <w:szCs w:val="20"/>
          <w:color w:val="auto"/>
        </w:rPr>
      </w:pPr>
    </w:p>
    <w:p>
      <w:pPr>
        <w:jc w:val="both"/>
        <w:ind w:right="240" w:firstLine="360"/>
        <w:spacing w:after="0" w:line="314" w:lineRule="auto"/>
        <w:rPr>
          <w:sz w:val="20"/>
          <w:szCs w:val="20"/>
          <w:color w:val="auto"/>
        </w:rPr>
      </w:pPr>
      <w:r>
        <w:rPr>
          <w:rFonts w:ascii="Arial" w:cs="Arial" w:eastAsia="Arial" w:hAnsi="Arial"/>
          <w:sz w:val="19"/>
          <w:szCs w:val="19"/>
          <w:color w:val="auto"/>
        </w:rPr>
        <w:t>The information required by this item will be set forth in the Proxy Statement under the captions "Executive Compensation" and "Director Compensation" and is incorporated herein by reference.</w:t>
      </w:r>
    </w:p>
    <w:p>
      <w:pPr>
        <w:spacing w:after="0" w:line="147" w:lineRule="exact"/>
        <w:rPr>
          <w:sz w:val="20"/>
          <w:szCs w:val="20"/>
          <w:color w:val="auto"/>
        </w:rPr>
      </w:pPr>
    </w:p>
    <w:p>
      <w:pPr>
        <w:ind w:right="40"/>
        <w:spacing w:after="0" w:line="298"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50" w:lineRule="exact"/>
        <w:rPr>
          <w:sz w:val="20"/>
          <w:szCs w:val="20"/>
          <w:color w:val="auto"/>
        </w:rPr>
      </w:pPr>
    </w:p>
    <w:p>
      <w:pPr>
        <w:jc w:val="both"/>
        <w:ind w:right="240" w:firstLine="360"/>
        <w:spacing w:after="0" w:line="289" w:lineRule="auto"/>
        <w:rPr>
          <w:sz w:val="20"/>
          <w:szCs w:val="20"/>
          <w:color w:val="auto"/>
        </w:rPr>
      </w:pPr>
      <w:r>
        <w:rPr>
          <w:rFonts w:ascii="Arial" w:cs="Arial" w:eastAsia="Arial" w:hAnsi="Arial"/>
          <w:sz w:val="19"/>
          <w:szCs w:val="19"/>
          <w:color w:val="auto"/>
        </w:rPr>
        <w:t>The information required by this item will be set forth in the Proxy Statement under the captions "Security Ownership of Certain Beneficial Owners and Management" and "Securities Authorized for Issuance under Equity Compensation Plans" and is incorporated herein by reference.</w:t>
      </w:r>
    </w:p>
    <w:p>
      <w:pPr>
        <w:spacing w:after="0" w:line="170"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19"/>
          <w:szCs w:val="19"/>
          <w:b w:val="1"/>
          <w:bCs w:val="1"/>
          <w:color w:val="auto"/>
        </w:rPr>
        <w:t>Certain Relationships and Related Transactions and Director Independence</w:t>
      </w:r>
    </w:p>
    <w:p>
      <w:pPr>
        <w:spacing w:after="0" w:line="251" w:lineRule="exact"/>
        <w:rPr>
          <w:sz w:val="20"/>
          <w:szCs w:val="20"/>
          <w:color w:val="auto"/>
        </w:rPr>
      </w:pPr>
    </w:p>
    <w:p>
      <w:pPr>
        <w:ind w:right="240" w:firstLine="360"/>
        <w:spacing w:after="0" w:line="268" w:lineRule="auto"/>
        <w:rPr>
          <w:sz w:val="20"/>
          <w:szCs w:val="20"/>
          <w:color w:val="auto"/>
        </w:rPr>
      </w:pPr>
      <w:r>
        <w:rPr>
          <w:rFonts w:ascii="Arial" w:cs="Arial" w:eastAsia="Arial" w:hAnsi="Arial"/>
          <w:sz w:val="20"/>
          <w:szCs w:val="20"/>
          <w:color w:val="auto"/>
        </w:rPr>
        <w:t>The information required by this item will be set forth in the Proxy Statement under the captions "Transactions with Related Persons and Indemnification" and "Independence of the Board of Directors" and is incorporated herein by reference.</w:t>
      </w:r>
    </w:p>
    <w:p>
      <w:pPr>
        <w:spacing w:after="0" w:line="189"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9"/>
          <w:szCs w:val="19"/>
          <w:b w:val="1"/>
          <w:bCs w:val="1"/>
          <w:color w:val="auto"/>
        </w:rPr>
        <w:t>Principal Accountant Fees and Services</w:t>
      </w:r>
    </w:p>
    <w:p>
      <w:pPr>
        <w:spacing w:after="0" w:line="251" w:lineRule="exact"/>
        <w:rPr>
          <w:sz w:val="20"/>
          <w:szCs w:val="20"/>
          <w:color w:val="auto"/>
        </w:rPr>
      </w:pPr>
    </w:p>
    <w:p>
      <w:pPr>
        <w:ind w:right="340" w:firstLine="360"/>
        <w:spacing w:after="0" w:line="268" w:lineRule="auto"/>
        <w:rPr>
          <w:sz w:val="20"/>
          <w:szCs w:val="20"/>
          <w:color w:val="auto"/>
        </w:rPr>
      </w:pPr>
      <w:r>
        <w:rPr>
          <w:rFonts w:ascii="Arial" w:cs="Arial" w:eastAsia="Arial" w:hAnsi="Arial"/>
          <w:sz w:val="20"/>
          <w:szCs w:val="20"/>
          <w:color w:val="auto"/>
        </w:rPr>
        <w:t>The information required by this item will be set forth in the Proxy Statement under the caption "Ratification of Selection of Independent Registered Public Accounting Firm" and is incorporated herein by reference.</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117</w:t>
      </w:r>
    </w:p>
    <w:p>
      <w:pPr>
        <w:sectPr>
          <w:pgSz w:w="11880" w:h="15480" w:orient="portrait"/>
          <w:cols w:equalWidth="0" w:num="1">
            <w:col w:w="9000"/>
          </w:cols>
          <w:pgMar w:left="1440" w:top="1203" w:right="1440" w:bottom="0" w:gutter="0" w:footer="0" w:header="0"/>
          <w:type w:val="continuous"/>
        </w:sectPr>
      </w:pPr>
    </w:p>
    <w:bookmarkStart w:id="209" w:name="page210"/>
    <w:bookmarkEnd w:id="209"/>
    <w:p>
      <w:pPr>
        <w:jc w:val="center"/>
        <w:spacing w:after="0"/>
        <w:rPr>
          <w:sz w:val="20"/>
          <w:szCs w:val="20"/>
          <w:color w:val="auto"/>
        </w:rPr>
      </w:pPr>
      <w:r>
        <w:rPr>
          <w:rFonts w:ascii="Arial" w:cs="Arial" w:eastAsia="Arial" w:hAnsi="Arial"/>
          <w:sz w:val="20"/>
          <w:szCs w:val="20"/>
          <w:b w:val="1"/>
          <w:bCs w:val="1"/>
          <w:color w:val="auto"/>
        </w:rPr>
        <w:t>PART IV</w:t>
      </w:r>
    </w:p>
    <w:p>
      <w:pPr>
        <w:spacing w:after="0" w:line="250"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20"/>
          <w:szCs w:val="20"/>
          <w:b w:val="1"/>
          <w:bCs w:val="1"/>
          <w:color w:val="auto"/>
        </w:rPr>
        <w:t>Exhibits, Financial Statement Schedules</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(a)(1) Financial Statements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See the Index to Consolidated Financial Statements in Item 8 of this Annual Report on Form 10-</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K.</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(a)(2) Financial Statement Schedules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SUPPLEMENTARY CONSOLIDATED FINANCIAL STATEMENT SCHEDULE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VALUATION AND QUALIFYING ACCOUNTS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vMerge w:val="restart"/>
          </w:tcPr>
          <w:p>
            <w:pPr>
              <w:jc w:val="center"/>
              <w:ind w:right="85"/>
              <w:spacing w:after="0"/>
              <w:rPr>
                <w:sz w:val="20"/>
                <w:szCs w:val="20"/>
                <w:color w:val="auto"/>
              </w:rPr>
            </w:pPr>
            <w:r>
              <w:rPr>
                <w:rFonts w:ascii="Arial" w:cs="Arial" w:eastAsia="Arial" w:hAnsi="Arial"/>
                <w:sz w:val="18"/>
                <w:szCs w:val="18"/>
                <w:b w:val="1"/>
                <w:bCs w:val="1"/>
                <w:color w:val="auto"/>
                <w:w w:val="99"/>
              </w:rPr>
              <w:t>Balance at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06"/>
              <w:spacing w:after="0"/>
              <w:rPr>
                <w:sz w:val="20"/>
                <w:szCs w:val="20"/>
                <w:color w:val="auto"/>
              </w:rPr>
            </w:pPr>
            <w:r>
              <w:rPr>
                <w:rFonts w:ascii="Arial" w:cs="Arial" w:eastAsia="Arial" w:hAnsi="Arial"/>
                <w:sz w:val="18"/>
                <w:szCs w:val="18"/>
                <w:b w:val="1"/>
                <w:bCs w:val="1"/>
                <w:color w:val="auto"/>
              </w:rPr>
              <w:t>Additions</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06"/>
              <w:spacing w:after="0" w:line="180" w:lineRule="exact"/>
              <w:rPr>
                <w:sz w:val="20"/>
                <w:szCs w:val="20"/>
                <w:color w:val="auto"/>
              </w:rPr>
            </w:pPr>
            <w:r>
              <w:rPr>
                <w:rFonts w:ascii="Arial" w:cs="Arial" w:eastAsia="Arial" w:hAnsi="Arial"/>
                <w:sz w:val="18"/>
                <w:szCs w:val="18"/>
                <w:b w:val="1"/>
                <w:bCs w:val="1"/>
                <w:color w:val="auto"/>
              </w:rPr>
              <w:t>Charged to</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ind w:right="184"/>
              <w:spacing w:after="0"/>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180"/>
        </w:trPr>
        <w:tc>
          <w:tcPr>
            <w:tcW w:w="30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5"/>
                <w:szCs w:val="15"/>
                <w:color w:val="auto"/>
              </w:rPr>
            </w:pPr>
          </w:p>
        </w:tc>
        <w:tc>
          <w:tcPr>
            <w:tcW w:w="1280" w:type="dxa"/>
            <w:vAlign w:val="bottom"/>
          </w:tcPr>
          <w:p>
            <w:pPr>
              <w:jc w:val="center"/>
              <w:ind w:right="85"/>
              <w:spacing w:after="0" w:line="180" w:lineRule="exact"/>
              <w:rPr>
                <w:sz w:val="20"/>
                <w:szCs w:val="20"/>
                <w:color w:val="auto"/>
              </w:rPr>
            </w:pPr>
            <w:r>
              <w:rPr>
                <w:rFonts w:ascii="Arial" w:cs="Arial" w:eastAsia="Arial" w:hAnsi="Arial"/>
                <w:sz w:val="18"/>
                <w:szCs w:val="18"/>
                <w:b w:val="1"/>
                <w:bCs w:val="1"/>
                <w:color w:val="auto"/>
                <w:w w:val="99"/>
              </w:rPr>
              <w:t>Beginning of</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06"/>
              <w:spacing w:after="0" w:line="180" w:lineRule="exact"/>
              <w:rPr>
                <w:sz w:val="20"/>
                <w:szCs w:val="20"/>
                <w:color w:val="auto"/>
              </w:rPr>
            </w:pPr>
            <w:r>
              <w:rPr>
                <w:rFonts w:ascii="Arial" w:cs="Arial" w:eastAsia="Arial" w:hAnsi="Arial"/>
                <w:sz w:val="18"/>
                <w:szCs w:val="18"/>
                <w:b w:val="1"/>
                <w:bCs w:val="1"/>
                <w:color w:val="auto"/>
              </w:rPr>
              <w:t>Costs and</w:t>
            </w:r>
          </w:p>
        </w:tc>
        <w:tc>
          <w:tcPr>
            <w:tcW w:w="60" w:type="dxa"/>
            <w:vAlign w:val="bottom"/>
          </w:tcPr>
          <w:p>
            <w:pPr>
              <w:spacing w:after="0"/>
              <w:rPr>
                <w:sz w:val="15"/>
                <w:szCs w:val="15"/>
                <w:color w:val="auto"/>
              </w:rPr>
            </w:pPr>
          </w:p>
        </w:tc>
        <w:tc>
          <w:tcPr>
            <w:tcW w:w="144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Deductions</w:t>
            </w:r>
            <w:r>
              <w:rPr>
                <w:rFonts w:ascii="Arial" w:cs="Arial" w:eastAsia="Arial" w:hAnsi="Arial"/>
                <w:sz w:val="23"/>
                <w:szCs w:val="23"/>
                <w:b w:val="1"/>
                <w:bCs w:val="1"/>
                <w:color w:val="auto"/>
                <w:vertAlign w:val="superscript"/>
              </w:rPr>
              <w:t>(1)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04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65"/>
              <w:spacing w:after="0"/>
              <w:rPr>
                <w:sz w:val="20"/>
                <w:szCs w:val="20"/>
                <w:color w:val="auto"/>
              </w:rPr>
            </w:pPr>
            <w:r>
              <w:rPr>
                <w:rFonts w:ascii="Arial" w:cs="Arial" w:eastAsia="Arial" w:hAnsi="Arial"/>
                <w:sz w:val="18"/>
                <w:szCs w:val="18"/>
                <w:b w:val="1"/>
                <w:bCs w:val="1"/>
                <w:color w:val="auto"/>
              </w:rPr>
              <w:t>Year</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06"/>
              <w:spacing w:after="0"/>
              <w:rPr>
                <w:sz w:val="20"/>
                <w:szCs w:val="20"/>
                <w:color w:val="auto"/>
              </w:rPr>
            </w:pPr>
            <w:r>
              <w:rPr>
                <w:rFonts w:ascii="Arial" w:cs="Arial" w:eastAsia="Arial" w:hAnsi="Arial"/>
                <w:sz w:val="18"/>
                <w:szCs w:val="18"/>
                <w:b w:val="1"/>
                <w:bCs w:val="1"/>
                <w:color w:val="auto"/>
                <w:w w:val="99"/>
              </w:rPr>
              <w:t>Expenses</w:t>
            </w:r>
          </w:p>
        </w:tc>
        <w:tc>
          <w:tcPr>
            <w:tcW w:w="60" w:type="dxa"/>
            <w:vAlign w:val="bottom"/>
          </w:tcPr>
          <w:p>
            <w:pPr>
              <w:spacing w:after="0"/>
              <w:rPr>
                <w:sz w:val="20"/>
                <w:szCs w:val="20"/>
                <w:color w:val="auto"/>
              </w:rPr>
            </w:pPr>
          </w:p>
        </w:tc>
        <w:tc>
          <w:tcPr>
            <w:tcW w:w="1440" w:type="dxa"/>
            <w:vAlign w:val="bottom"/>
            <w:tcBorders>
              <w:bottom w:val="single" w:sz="8" w:color="auto"/>
            </w:tcBorders>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24"/>
              <w:spacing w:after="0"/>
              <w:rPr>
                <w:sz w:val="20"/>
                <w:szCs w:val="20"/>
                <w:color w:val="auto"/>
              </w:rPr>
            </w:pPr>
            <w:r>
              <w:rPr>
                <w:rFonts w:ascii="Arial" w:cs="Arial" w:eastAsia="Arial" w:hAnsi="Arial"/>
                <w:sz w:val="18"/>
                <w:szCs w:val="18"/>
                <w:b w:val="1"/>
                <w:bCs w:val="1"/>
                <w:color w:val="auto"/>
                <w:w w:val="99"/>
              </w:rPr>
              <w:t>End of Year</w:t>
            </w:r>
          </w:p>
        </w:tc>
        <w:tc>
          <w:tcPr>
            <w:tcW w:w="0" w:type="dxa"/>
            <w:vAlign w:val="bottom"/>
          </w:tcPr>
          <w:p>
            <w:pPr>
              <w:spacing w:after="0"/>
              <w:rPr>
                <w:sz w:val="1"/>
                <w:szCs w:val="1"/>
                <w:color w:val="auto"/>
              </w:rPr>
            </w:pPr>
          </w:p>
        </w:tc>
      </w:tr>
      <w:tr>
        <w:trPr>
          <w:trHeight w:val="274"/>
        </w:trPr>
        <w:tc>
          <w:tcPr>
            <w:tcW w:w="3040" w:type="dxa"/>
            <w:vAlign w:val="bottom"/>
          </w:tcPr>
          <w:p>
            <w:pPr>
              <w:ind w:left="60"/>
              <w:spacing w:after="0"/>
              <w:rPr>
                <w:sz w:val="20"/>
                <w:szCs w:val="20"/>
                <w:color w:val="auto"/>
              </w:rPr>
            </w:pPr>
            <w:r>
              <w:rPr>
                <w:rFonts w:ascii="Arial" w:cs="Arial" w:eastAsia="Arial" w:hAnsi="Arial"/>
                <w:sz w:val="18"/>
                <w:szCs w:val="18"/>
                <w:b w:val="1"/>
                <w:bCs w:val="1"/>
                <w:color w:val="auto"/>
              </w:rPr>
              <w:t>Allowance for Doubtful Accounts</w:t>
            </w: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1"/>
        </w:trPr>
        <w:tc>
          <w:tcPr>
            <w:tcW w:w="3040" w:type="dxa"/>
            <w:vAlign w:val="bottom"/>
            <w:shd w:val="clear" w:color="auto" w:fill="D2EDF0"/>
          </w:tcPr>
          <w:p>
            <w:pPr>
              <w:ind w:left="60"/>
              <w:spacing w:after="0"/>
              <w:rPr>
                <w:sz w:val="20"/>
                <w:szCs w:val="20"/>
                <w:color w:val="auto"/>
              </w:rPr>
            </w:pPr>
            <w:r>
              <w:rPr>
                <w:rFonts w:ascii="Arial" w:cs="Arial" w:eastAsia="Arial" w:hAnsi="Arial"/>
                <w:sz w:val="20"/>
                <w:szCs w:val="20"/>
                <w:color w:val="auto"/>
              </w:rPr>
              <w:t>Year Ended December 31, 2022</w:t>
            </w:r>
          </w:p>
        </w:tc>
        <w:tc>
          <w:tcPr>
            <w:tcW w:w="160" w:type="dxa"/>
            <w:vAlign w:val="bottom"/>
            <w:shd w:val="clear" w:color="auto" w:fill="D2EDF0"/>
          </w:tcPr>
          <w:p>
            <w:pPr>
              <w:jc w:val="right"/>
              <w:spacing w:after="0"/>
              <w:rPr>
                <w:sz w:val="20"/>
                <w:szCs w:val="20"/>
                <w:color w:val="auto"/>
              </w:rPr>
            </w:pPr>
            <w:r>
              <w:rPr>
                <w:rFonts w:ascii="Arial" w:cs="Arial" w:eastAsia="Arial" w:hAnsi="Arial"/>
                <w:sz w:val="20"/>
                <w:szCs w:val="20"/>
                <w:color w:val="auto"/>
              </w:rPr>
              <w:t>$</w:t>
            </w:r>
          </w:p>
        </w:tc>
        <w:tc>
          <w:tcPr>
            <w:tcW w:w="1280" w:type="dxa"/>
            <w:vAlign w:val="bottom"/>
            <w:shd w:val="clear" w:color="auto" w:fill="D2EDF0"/>
          </w:tcPr>
          <w:p>
            <w:pPr>
              <w:jc w:val="right"/>
              <w:ind w:right="5"/>
              <w:spacing w:after="0"/>
              <w:rPr>
                <w:sz w:val="20"/>
                <w:szCs w:val="20"/>
                <w:color w:val="auto"/>
              </w:rPr>
            </w:pPr>
            <w:r>
              <w:rPr>
                <w:rFonts w:ascii="Arial" w:cs="Arial" w:eastAsia="Arial" w:hAnsi="Arial"/>
                <w:sz w:val="20"/>
                <w:szCs w:val="20"/>
                <w:color w:val="auto"/>
              </w:rPr>
              <w:t>524</w:t>
            </w:r>
          </w:p>
        </w:tc>
        <w:tc>
          <w:tcPr>
            <w:tcW w:w="260" w:type="dxa"/>
            <w:vAlign w:val="bottom"/>
            <w:gridSpan w:val="2"/>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240" w:type="dxa"/>
            <w:vAlign w:val="bottom"/>
            <w:shd w:val="clear" w:color="auto" w:fill="D2EDF0"/>
          </w:tcPr>
          <w:p>
            <w:pPr>
              <w:jc w:val="right"/>
              <w:ind w:right="6"/>
              <w:spacing w:after="0"/>
              <w:rPr>
                <w:sz w:val="20"/>
                <w:szCs w:val="20"/>
                <w:color w:val="auto"/>
              </w:rPr>
            </w:pPr>
            <w:r>
              <w:rPr>
                <w:rFonts w:ascii="Arial" w:cs="Arial" w:eastAsia="Arial" w:hAnsi="Arial"/>
                <w:sz w:val="20"/>
                <w:szCs w:val="20"/>
                <w:color w:val="auto"/>
              </w:rPr>
              <w:t>1,154</w:t>
            </w:r>
          </w:p>
        </w:tc>
        <w:tc>
          <w:tcPr>
            <w:tcW w:w="620" w:type="dxa"/>
            <w:vAlign w:val="bottom"/>
            <w:gridSpan w:val="2"/>
            <w:shd w:val="clear" w:color="auto" w:fill="D2EDF0"/>
          </w:tcPr>
          <w:p>
            <w:pPr>
              <w:jc w:val="right"/>
              <w:ind w:right="310"/>
              <w:spacing w:after="0"/>
              <w:rPr>
                <w:sz w:val="20"/>
                <w:szCs w:val="20"/>
                <w:color w:val="auto"/>
              </w:rPr>
            </w:pPr>
            <w:r>
              <w:rPr>
                <w:rFonts w:ascii="Arial" w:cs="Arial" w:eastAsia="Arial" w:hAnsi="Arial"/>
                <w:sz w:val="20"/>
                <w:szCs w:val="20"/>
                <w:color w:val="auto"/>
              </w:rPr>
              <w:t>$</w:t>
            </w: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(278)</w:t>
            </w:r>
          </w:p>
        </w:tc>
        <w:tc>
          <w:tcPr>
            <w:tcW w:w="260" w:type="dxa"/>
            <w:vAlign w:val="bottom"/>
            <w:gridSpan w:val="2"/>
            <w:shd w:val="clear" w:color="auto" w:fill="D2EDF0"/>
          </w:tcPr>
          <w:p>
            <w:pPr>
              <w:jc w:val="right"/>
              <w:ind w:right="40"/>
              <w:spacing w:after="0"/>
              <w:rPr>
                <w:sz w:val="20"/>
                <w:szCs w:val="20"/>
                <w:color w:val="auto"/>
              </w:rPr>
            </w:pPr>
            <w:r>
              <w:rPr>
                <w:rFonts w:ascii="Arial" w:cs="Arial" w:eastAsia="Arial" w:hAnsi="Arial"/>
                <w:sz w:val="20"/>
                <w:szCs w:val="20"/>
                <w:color w:val="auto"/>
              </w:rPr>
              <w:t>$</w:t>
            </w:r>
          </w:p>
        </w:tc>
        <w:tc>
          <w:tcPr>
            <w:tcW w:w="1240" w:type="dxa"/>
            <w:vAlign w:val="bottom"/>
            <w:shd w:val="clear" w:color="auto" w:fill="D2EDF0"/>
          </w:tcPr>
          <w:p>
            <w:pPr>
              <w:jc w:val="right"/>
              <w:ind w:right="4"/>
              <w:spacing w:after="0"/>
              <w:rPr>
                <w:sz w:val="20"/>
                <w:szCs w:val="20"/>
                <w:color w:val="auto"/>
              </w:rPr>
            </w:pPr>
            <w:r>
              <w:rPr>
                <w:rFonts w:ascii="Arial" w:cs="Arial" w:eastAsia="Arial" w:hAnsi="Arial"/>
                <w:sz w:val="20"/>
                <w:szCs w:val="20"/>
                <w:color w:val="auto"/>
              </w:rPr>
              <w:t>1,400</w:t>
            </w:r>
          </w:p>
        </w:tc>
        <w:tc>
          <w:tcPr>
            <w:tcW w:w="0" w:type="dxa"/>
            <w:vAlign w:val="bottom"/>
          </w:tcPr>
          <w:p>
            <w:pPr>
              <w:spacing w:after="0"/>
              <w:rPr>
                <w:sz w:val="1"/>
                <w:szCs w:val="1"/>
                <w:color w:val="auto"/>
              </w:rPr>
            </w:pPr>
          </w:p>
        </w:tc>
      </w:tr>
      <w:tr>
        <w:trPr>
          <w:trHeight w:val="296"/>
        </w:trPr>
        <w:tc>
          <w:tcPr>
            <w:tcW w:w="3040" w:type="dxa"/>
            <w:vAlign w:val="bottom"/>
          </w:tcPr>
          <w:p>
            <w:pPr>
              <w:ind w:left="60"/>
              <w:spacing w:after="0"/>
              <w:rPr>
                <w:sz w:val="20"/>
                <w:szCs w:val="20"/>
                <w:color w:val="auto"/>
              </w:rPr>
            </w:pPr>
            <w:r>
              <w:rPr>
                <w:rFonts w:ascii="Arial" w:cs="Arial" w:eastAsia="Arial" w:hAnsi="Arial"/>
                <w:sz w:val="20"/>
                <w:szCs w:val="20"/>
                <w:color w:val="auto"/>
              </w:rPr>
              <w:t>Year Ended December 31, 2021</w:t>
            </w:r>
          </w:p>
        </w:tc>
        <w:tc>
          <w:tcPr>
            <w:tcW w:w="160" w:type="dxa"/>
            <w:vAlign w:val="bottom"/>
          </w:tcPr>
          <w:p>
            <w:pPr>
              <w:spacing w:after="0"/>
              <w:rPr>
                <w:sz w:val="24"/>
                <w:szCs w:val="24"/>
                <w:color w:val="auto"/>
              </w:rPr>
            </w:pPr>
          </w:p>
        </w:tc>
        <w:tc>
          <w:tcPr>
            <w:tcW w:w="1280" w:type="dxa"/>
            <w:vAlign w:val="bottom"/>
          </w:tcPr>
          <w:p>
            <w:pPr>
              <w:jc w:val="right"/>
              <w:ind w:right="5"/>
              <w:spacing w:after="0"/>
              <w:rPr>
                <w:sz w:val="20"/>
                <w:szCs w:val="20"/>
                <w:color w:val="auto"/>
              </w:rPr>
            </w:pPr>
            <w:r>
              <w:rPr>
                <w:rFonts w:ascii="Arial" w:cs="Arial" w:eastAsia="Arial" w:hAnsi="Arial"/>
                <w:sz w:val="20"/>
                <w:szCs w:val="20"/>
                <w:color w:val="auto"/>
              </w:rPr>
              <w:t>261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6"/>
              <w:spacing w:after="0"/>
              <w:rPr>
                <w:sz w:val="20"/>
                <w:szCs w:val="20"/>
                <w:color w:val="auto"/>
              </w:rPr>
            </w:pPr>
            <w:r>
              <w:rPr>
                <w:rFonts w:ascii="Arial" w:cs="Arial" w:eastAsia="Arial" w:hAnsi="Arial"/>
                <w:sz w:val="20"/>
                <w:szCs w:val="20"/>
                <w:color w:val="auto"/>
              </w:rPr>
              <w:t>349</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4"/>
              <w:spacing w:after="0"/>
              <w:rPr>
                <w:sz w:val="20"/>
                <w:szCs w:val="20"/>
                <w:color w:val="auto"/>
              </w:rPr>
            </w:pPr>
            <w:r>
              <w:rPr>
                <w:rFonts w:ascii="Arial" w:cs="Arial" w:eastAsia="Arial" w:hAnsi="Arial"/>
                <w:sz w:val="20"/>
                <w:szCs w:val="20"/>
                <w:color w:val="auto"/>
              </w:rPr>
              <w:t>524</w:t>
            </w:r>
          </w:p>
        </w:tc>
        <w:tc>
          <w:tcPr>
            <w:tcW w:w="0" w:type="dxa"/>
            <w:vAlign w:val="bottom"/>
          </w:tcPr>
          <w:p>
            <w:pPr>
              <w:spacing w:after="0"/>
              <w:rPr>
                <w:sz w:val="1"/>
                <w:szCs w:val="1"/>
                <w:color w:val="auto"/>
              </w:rPr>
            </w:pPr>
          </w:p>
        </w:tc>
      </w:tr>
      <w:tr>
        <w:trPr>
          <w:trHeight w:val="304"/>
        </w:trPr>
        <w:tc>
          <w:tcPr>
            <w:tcW w:w="3040" w:type="dxa"/>
            <w:vAlign w:val="bottom"/>
            <w:shd w:val="clear" w:color="auto" w:fill="D2EDF0"/>
          </w:tcPr>
          <w:p>
            <w:pPr>
              <w:ind w:left="60"/>
              <w:spacing w:after="0"/>
              <w:rPr>
                <w:sz w:val="20"/>
                <w:szCs w:val="20"/>
                <w:color w:val="auto"/>
              </w:rPr>
            </w:pPr>
            <w:r>
              <w:rPr>
                <w:rFonts w:ascii="Arial" w:cs="Arial" w:eastAsia="Arial" w:hAnsi="Arial"/>
                <w:sz w:val="20"/>
                <w:szCs w:val="20"/>
                <w:color w:val="auto"/>
              </w:rPr>
              <w:t>Year Ended December 31, 2020</w:t>
            </w:r>
          </w:p>
        </w:tc>
        <w:tc>
          <w:tcPr>
            <w:tcW w:w="160" w:type="dxa"/>
            <w:vAlign w:val="bottom"/>
            <w:shd w:val="clear" w:color="auto" w:fill="D2EDF0"/>
          </w:tcPr>
          <w:p>
            <w:pPr>
              <w:spacing w:after="0"/>
              <w:rPr>
                <w:sz w:val="24"/>
                <w:szCs w:val="24"/>
                <w:color w:val="auto"/>
              </w:rPr>
            </w:pPr>
          </w:p>
        </w:tc>
        <w:tc>
          <w:tcPr>
            <w:tcW w:w="1280" w:type="dxa"/>
            <w:vAlign w:val="bottom"/>
            <w:shd w:val="clear" w:color="auto" w:fill="D2EDF0"/>
          </w:tcPr>
          <w:p>
            <w:pPr>
              <w:jc w:val="right"/>
              <w:ind w:right="5"/>
              <w:spacing w:after="0"/>
              <w:rPr>
                <w:sz w:val="20"/>
                <w:szCs w:val="20"/>
                <w:color w:val="auto"/>
              </w:rPr>
            </w:pPr>
            <w:r>
              <w:rPr>
                <w:rFonts w:ascii="Arial" w:cs="Arial" w:eastAsia="Arial" w:hAnsi="Arial"/>
                <w:sz w:val="20"/>
                <w:szCs w:val="20"/>
                <w:color w:val="auto"/>
              </w:rPr>
              <w:t>764</w:t>
            </w:r>
          </w:p>
        </w:tc>
        <w:tc>
          <w:tcPr>
            <w:tcW w:w="6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1240" w:type="dxa"/>
            <w:vAlign w:val="bottom"/>
            <w:shd w:val="clear" w:color="auto" w:fill="D2EDF0"/>
          </w:tcPr>
          <w:p>
            <w:pPr>
              <w:jc w:val="right"/>
              <w:ind w:right="6"/>
              <w:spacing w:after="0"/>
              <w:rPr>
                <w:sz w:val="20"/>
                <w:szCs w:val="20"/>
                <w:color w:val="auto"/>
              </w:rPr>
            </w:pPr>
            <w:r>
              <w:rPr>
                <w:rFonts w:ascii="Arial" w:cs="Arial" w:eastAsia="Arial" w:hAnsi="Arial"/>
                <w:sz w:val="20"/>
                <w:szCs w:val="20"/>
                <w:color w:val="auto"/>
              </w:rPr>
              <w:t>336</w:t>
            </w:r>
          </w:p>
        </w:tc>
        <w:tc>
          <w:tcPr>
            <w:tcW w:w="60" w:type="dxa"/>
            <w:vAlign w:val="bottom"/>
            <w:shd w:val="clear" w:color="auto" w:fill="D2EDF0"/>
          </w:tcPr>
          <w:p>
            <w:pPr>
              <w:spacing w:after="0"/>
              <w:rPr>
                <w:sz w:val="24"/>
                <w:szCs w:val="24"/>
                <w:color w:val="auto"/>
              </w:rPr>
            </w:pPr>
          </w:p>
        </w:tc>
        <w:tc>
          <w:tcPr>
            <w:tcW w:w="560" w:type="dxa"/>
            <w:vAlign w:val="bottom"/>
            <w:shd w:val="clear" w:color="auto" w:fill="D2EDF0"/>
          </w:tcPr>
          <w:p>
            <w:pPr>
              <w:spacing w:after="0"/>
              <w:rPr>
                <w:sz w:val="24"/>
                <w:szCs w:val="24"/>
                <w:color w:val="auto"/>
              </w:rPr>
            </w:pPr>
          </w:p>
        </w:tc>
        <w:tc>
          <w:tcPr>
            <w:tcW w:w="880" w:type="dxa"/>
            <w:vAlign w:val="bottom"/>
            <w:shd w:val="clear" w:color="auto" w:fill="D2EDF0"/>
          </w:tcPr>
          <w:p>
            <w:pPr>
              <w:jc w:val="right"/>
              <w:spacing w:after="0"/>
              <w:rPr>
                <w:sz w:val="20"/>
                <w:szCs w:val="20"/>
                <w:color w:val="auto"/>
              </w:rPr>
            </w:pPr>
            <w:r>
              <w:rPr>
                <w:rFonts w:ascii="Arial" w:cs="Arial" w:eastAsia="Arial" w:hAnsi="Arial"/>
                <w:sz w:val="20"/>
                <w:szCs w:val="20"/>
                <w:color w:val="auto"/>
              </w:rPr>
              <w:t>(839)</w:t>
            </w:r>
          </w:p>
        </w:tc>
        <w:tc>
          <w:tcPr>
            <w:tcW w:w="60" w:type="dxa"/>
            <w:vAlign w:val="bottom"/>
            <w:shd w:val="clear" w:color="auto" w:fill="D2EDF0"/>
          </w:tcPr>
          <w:p>
            <w:pPr>
              <w:spacing w:after="0"/>
              <w:rPr>
                <w:sz w:val="24"/>
                <w:szCs w:val="24"/>
                <w:color w:val="auto"/>
              </w:rPr>
            </w:pPr>
          </w:p>
        </w:tc>
        <w:tc>
          <w:tcPr>
            <w:tcW w:w="200" w:type="dxa"/>
            <w:vAlign w:val="bottom"/>
            <w:shd w:val="clear" w:color="auto" w:fill="D2EDF0"/>
          </w:tcPr>
          <w:p>
            <w:pPr>
              <w:spacing w:after="0"/>
              <w:rPr>
                <w:sz w:val="24"/>
                <w:szCs w:val="24"/>
                <w:color w:val="auto"/>
              </w:rPr>
            </w:pPr>
          </w:p>
        </w:tc>
        <w:tc>
          <w:tcPr>
            <w:tcW w:w="1240" w:type="dxa"/>
            <w:vAlign w:val="bottom"/>
            <w:shd w:val="clear" w:color="auto" w:fill="D2EDF0"/>
          </w:tcPr>
          <w:p>
            <w:pPr>
              <w:jc w:val="right"/>
              <w:ind w:right="4"/>
              <w:spacing w:after="0"/>
              <w:rPr>
                <w:sz w:val="20"/>
                <w:szCs w:val="20"/>
                <w:color w:val="auto"/>
              </w:rPr>
            </w:pPr>
            <w:r>
              <w:rPr>
                <w:rFonts w:ascii="Arial" w:cs="Arial" w:eastAsia="Arial" w:hAnsi="Arial"/>
                <w:sz w:val="20"/>
                <w:szCs w:val="20"/>
                <w:color w:val="auto"/>
              </w:rPr>
              <w:t>261</w:t>
            </w: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w:t>
      </w:r>
    </w:p>
    <w:p>
      <w:pPr>
        <w:ind w:left="720" w:hanging="720"/>
        <w:spacing w:after="0"/>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Consists of write-offs of uncollectible accounts, net of recoveries.</w:t>
      </w:r>
    </w:p>
    <w:p>
      <w:pPr>
        <w:spacing w:after="0" w:line="219" w:lineRule="exact"/>
        <w:rPr>
          <w:sz w:val="20"/>
          <w:szCs w:val="20"/>
          <w:color w:val="auto"/>
        </w:rPr>
      </w:pPr>
    </w:p>
    <w:p>
      <w:pPr>
        <w:ind w:right="320" w:firstLine="360"/>
        <w:spacing w:after="0" w:line="314" w:lineRule="auto"/>
        <w:rPr>
          <w:sz w:val="20"/>
          <w:szCs w:val="20"/>
          <w:color w:val="auto"/>
        </w:rPr>
      </w:pPr>
      <w:r>
        <w:rPr>
          <w:rFonts w:ascii="Arial" w:cs="Arial" w:eastAsia="Arial" w:hAnsi="Arial"/>
          <w:sz w:val="19"/>
          <w:szCs w:val="19"/>
          <w:color w:val="auto"/>
        </w:rPr>
        <w:t>All other schedules have been omitted because they are not required, not applicable, or the required information is included in the financial statements or the notes to the financial statements.</w:t>
      </w:r>
    </w:p>
    <w:p>
      <w:pPr>
        <w:spacing w:after="0" w:line="147"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16.</w:t>
      </w:r>
      <w:r>
        <w:rPr>
          <w:sz w:val="20"/>
          <w:szCs w:val="20"/>
          <w:color w:val="auto"/>
        </w:rPr>
        <w:tab/>
      </w:r>
      <w:r>
        <w:rPr>
          <w:rFonts w:ascii="Arial" w:cs="Arial" w:eastAsia="Arial" w:hAnsi="Arial"/>
          <w:sz w:val="20"/>
          <w:szCs w:val="20"/>
          <w:b w:val="1"/>
          <w:bCs w:val="1"/>
          <w:color w:val="auto"/>
        </w:rPr>
        <w:t>Form 10-K Summary</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118</w:t>
      </w:r>
    </w:p>
    <w:p>
      <w:pPr>
        <w:sectPr>
          <w:pgSz w:w="11880" w:h="15480" w:orient="portrait"/>
          <w:cols w:equalWidth="0" w:num="1">
            <w:col w:w="9000"/>
          </w:cols>
          <w:pgMar w:left="1440" w:top="1203" w:right="1440" w:bottom="0" w:gutter="0" w:footer="0" w:header="0"/>
          <w:type w:val="continuous"/>
        </w:sectPr>
      </w:pPr>
    </w:p>
    <w:bookmarkStart w:id="210" w:name="page211"/>
    <w:bookmarkEnd w:id="210"/>
    <w:p>
      <w:pPr>
        <w:jc w:val="center"/>
        <w:spacing w:after="0"/>
        <w:rPr>
          <w:sz w:val="20"/>
          <w:szCs w:val="20"/>
          <w:color w:val="auto"/>
        </w:rPr>
      </w:pPr>
      <w:r>
        <w:rPr>
          <w:rFonts w:ascii="Arial" w:cs="Arial" w:eastAsia="Arial" w:hAnsi="Arial"/>
          <w:sz w:val="20"/>
          <w:szCs w:val="20"/>
          <w:b w:val="1"/>
          <w:bCs w:val="1"/>
          <w:color w:val="auto"/>
        </w:rPr>
        <w:t>SIGNATURES</w:t>
      </w:r>
    </w:p>
    <w:p>
      <w:pPr>
        <w:spacing w:after="0" w:line="251" w:lineRule="exact"/>
        <w:rPr>
          <w:sz w:val="20"/>
          <w:szCs w:val="20"/>
          <w:color w:val="auto"/>
        </w:rPr>
      </w:pPr>
    </w:p>
    <w:p>
      <w:pPr>
        <w:ind w:right="500" w:firstLine="360"/>
        <w:spacing w:after="0" w:line="28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TENABLE HOLDINGS, INC.</w:t>
      </w:r>
    </w:p>
    <w:p>
      <w:pPr>
        <w:spacing w:after="0" w:line="371" w:lineRule="exact"/>
        <w:rPr>
          <w:sz w:val="20"/>
          <w:szCs w:val="20"/>
          <w:color w:val="auto"/>
        </w:rPr>
      </w:pPr>
    </w:p>
    <w:p>
      <w:pPr>
        <w:ind w:left="60"/>
        <w:spacing w:after="0"/>
        <w:tabs>
          <w:tab w:leader="none" w:pos="680" w:val="left"/>
          <w:tab w:leader="none" w:pos="5140" w:val="left"/>
        </w:tabs>
        <w:rPr>
          <w:sz w:val="20"/>
          <w:szCs w:val="20"/>
          <w:color w:val="auto"/>
        </w:rPr>
      </w:pPr>
      <w:r>
        <w:rPr>
          <w:rFonts w:ascii="Arial" w:cs="Arial" w:eastAsia="Arial" w:hAnsi="Arial"/>
          <w:sz w:val="20"/>
          <w:szCs w:val="20"/>
          <w:color w:val="auto"/>
        </w:rPr>
        <w:t>Date:</w:t>
        <w:tab/>
        <w:t>February 24, 2023</w:t>
      </w:r>
      <w:r>
        <w:rPr>
          <w:sz w:val="20"/>
          <w:szCs w:val="20"/>
          <w:color w:val="auto"/>
        </w:rPr>
        <w:tab/>
      </w:r>
      <w:r>
        <w:rPr>
          <w:rFonts w:ascii="Arial" w:cs="Arial" w:eastAsia="Arial" w:hAnsi="Arial"/>
          <w:sz w:val="20"/>
          <w:szCs w:val="20"/>
          <w:color w:val="auto"/>
        </w:rPr>
        <w:t>By: /s/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20955</wp:posOffset>
            </wp:positionV>
            <wp:extent cx="2209800" cy="12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09800" cy="12700"/>
                    </a:xfrm>
                    <a:prstGeom prst="rect">
                      <a:avLst/>
                    </a:prstGeom>
                    <a:noFill/>
                  </pic:spPr>
                </pic:pic>
              </a:graphicData>
            </a:graphic>
          </wp:anchor>
        </w:drawing>
      </w:r>
    </w:p>
    <w:p>
      <w:pPr>
        <w:spacing w:after="0" w:line="50"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Amit Yoran</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Chairman and Chief Executive Officer</w:t>
      </w:r>
    </w:p>
    <w:p>
      <w:pPr>
        <w:spacing w:after="0" w:line="382" w:lineRule="exact"/>
        <w:rPr>
          <w:sz w:val="20"/>
          <w:szCs w:val="20"/>
          <w:color w:val="auto"/>
        </w:rPr>
      </w:pPr>
    </w:p>
    <w:p>
      <w:pPr>
        <w:ind w:left="60"/>
        <w:spacing w:after="0"/>
        <w:tabs>
          <w:tab w:leader="none" w:pos="680" w:val="left"/>
          <w:tab w:leader="none" w:pos="5140" w:val="left"/>
        </w:tabs>
        <w:rPr>
          <w:sz w:val="20"/>
          <w:szCs w:val="20"/>
          <w:color w:val="auto"/>
        </w:rPr>
      </w:pPr>
      <w:r>
        <w:rPr>
          <w:rFonts w:ascii="Arial" w:cs="Arial" w:eastAsia="Arial" w:hAnsi="Arial"/>
          <w:sz w:val="20"/>
          <w:szCs w:val="20"/>
          <w:color w:val="auto"/>
        </w:rPr>
        <w:t>Date:</w:t>
        <w:tab/>
        <w:t>February 24, 2023</w:t>
      </w:r>
      <w:r>
        <w:rPr>
          <w:sz w:val="20"/>
          <w:szCs w:val="20"/>
          <w:color w:val="auto"/>
        </w:rPr>
        <w:tab/>
      </w:r>
      <w:r>
        <w:rPr>
          <w:rFonts w:ascii="Arial" w:cs="Arial" w:eastAsia="Arial" w:hAnsi="Arial"/>
          <w:sz w:val="20"/>
          <w:szCs w:val="20"/>
          <w:color w:val="auto"/>
        </w:rPr>
        <w:t>By: /s/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20955</wp:posOffset>
            </wp:positionV>
            <wp:extent cx="2209800" cy="12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209800" cy="12700"/>
                    </a:xfrm>
                    <a:prstGeom prst="rect">
                      <a:avLst/>
                    </a:prstGeom>
                    <a:noFill/>
                  </pic:spPr>
                </pic:pic>
              </a:graphicData>
            </a:graphic>
          </wp:anchor>
        </w:drawing>
      </w:r>
    </w:p>
    <w:p>
      <w:pPr>
        <w:spacing w:after="0" w:line="50"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Stephen A. Vintz</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Chief Financial Officer</w:t>
      </w: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119</w:t>
      </w:r>
    </w:p>
    <w:p>
      <w:pPr>
        <w:sectPr>
          <w:pgSz w:w="11880" w:h="15480" w:orient="portrait"/>
          <w:cols w:equalWidth="0" w:num="1">
            <w:col w:w="9000"/>
          </w:cols>
          <w:pgMar w:left="1440" w:top="1203" w:right="1440" w:bottom="0" w:gutter="0" w:footer="0" w:header="0"/>
          <w:type w:val="continuous"/>
        </w:sectPr>
      </w:pPr>
    </w:p>
    <w:bookmarkStart w:id="211" w:name="page212"/>
    <w:bookmarkEnd w:id="211"/>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1" w:lineRule="exact"/>
        <w:rPr>
          <w:sz w:val="20"/>
          <w:szCs w:val="20"/>
          <w:color w:val="auto"/>
        </w:rPr>
      </w:pPr>
    </w:p>
    <w:p>
      <w:pPr>
        <w:ind w:right="20" w:firstLine="360"/>
        <w:spacing w:after="0" w:line="253" w:lineRule="auto"/>
        <w:rPr>
          <w:sz w:val="20"/>
          <w:szCs w:val="20"/>
          <w:color w:val="auto"/>
        </w:rPr>
      </w:pPr>
      <w:r>
        <w:rPr>
          <w:rFonts w:ascii="Arial" w:cs="Arial" w:eastAsia="Arial" w:hAnsi="Arial"/>
          <w:sz w:val="20"/>
          <w:szCs w:val="20"/>
          <w:color w:val="auto"/>
        </w:rPr>
        <w:t>KNOW ALL PERSONS BY THESE PRESENTS, that each person whose signature appears below constitutes and appoints Amit Yoran, Stephen A. Vintz and Michelle VonderHaar, jointly and severally, as his or her true and lawful attorneys-in-fact and agents, with full power of substitution and resubstitution, for him or her and in his or her name, place and stead, in any and all capacities, to sign this Annual Report on Form 10-K of Tenable Holdings,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152" w:lineRule="exact"/>
        <w:rPr>
          <w:sz w:val="20"/>
          <w:szCs w:val="20"/>
          <w:color w:val="auto"/>
        </w:rPr>
      </w:pPr>
    </w:p>
    <w:tbl>
      <w:tblPr>
        <w:tblLayout w:type="fixed"/>
        <w:tblInd w:w="160" w:type="dxa"/>
        <w:tblCellMar>
          <w:top w:w="0" w:type="dxa"/>
          <w:left w:w="0" w:type="dxa"/>
          <w:bottom w:w="0" w:type="dxa"/>
          <w:right w:w="0" w:type="dxa"/>
        </w:tblCellMar>
      </w:tblPr>
      <w:tr>
        <w:trPr>
          <w:trHeight w:val="264"/>
        </w:trPr>
        <w:tc>
          <w:tcPr>
            <w:tcW w:w="2760" w:type="dxa"/>
            <w:vAlign w:val="bottom"/>
            <w:tcBorders>
              <w:bottom w:val="single" w:sz="8" w:color="auto"/>
            </w:tcBorders>
          </w:tcPr>
          <w:p>
            <w:pPr>
              <w:ind w:left="920"/>
              <w:spacing w:after="0"/>
              <w:rPr>
                <w:sz w:val="20"/>
                <w:szCs w:val="20"/>
                <w:color w:val="auto"/>
              </w:rPr>
            </w:pPr>
            <w:r>
              <w:rPr>
                <w:rFonts w:ascii="Arial" w:cs="Arial" w:eastAsia="Arial" w:hAnsi="Arial"/>
                <w:sz w:val="20"/>
                <w:szCs w:val="20"/>
                <w:b w:val="1"/>
                <w:bCs w:val="1"/>
                <w:color w:val="auto"/>
              </w:rPr>
              <w:t>Signature</w:t>
            </w:r>
          </w:p>
        </w:tc>
        <w:tc>
          <w:tcPr>
            <w:tcW w:w="80" w:type="dxa"/>
            <w:vAlign w:val="bottom"/>
          </w:tcPr>
          <w:p>
            <w:pPr>
              <w:spacing w:after="0"/>
              <w:rPr>
                <w:sz w:val="22"/>
                <w:szCs w:val="22"/>
                <w:color w:val="auto"/>
              </w:rPr>
            </w:pPr>
          </w:p>
        </w:tc>
        <w:tc>
          <w:tcPr>
            <w:tcW w:w="3980" w:type="dxa"/>
            <w:vAlign w:val="bottom"/>
            <w:tcBorders>
              <w:bottom w:val="single" w:sz="8" w:color="auto"/>
            </w:tcBorders>
          </w:tcPr>
          <w:p>
            <w:pPr>
              <w:ind w:left="1780"/>
              <w:spacing w:after="0"/>
              <w:rPr>
                <w:sz w:val="20"/>
                <w:szCs w:val="20"/>
                <w:color w:val="auto"/>
              </w:rPr>
            </w:pPr>
            <w:r>
              <w:rPr>
                <w:rFonts w:ascii="Arial" w:cs="Arial" w:eastAsia="Arial" w:hAnsi="Arial"/>
                <w:sz w:val="20"/>
                <w:szCs w:val="20"/>
                <w:b w:val="1"/>
                <w:bCs w:val="1"/>
                <w:color w:val="auto"/>
              </w:rPr>
              <w:t>Title</w:t>
            </w:r>
          </w:p>
        </w:tc>
        <w:tc>
          <w:tcPr>
            <w:tcW w:w="80" w:type="dxa"/>
            <w:vAlign w:val="bottom"/>
          </w:tcPr>
          <w:p>
            <w:pPr>
              <w:spacing w:after="0"/>
              <w:rPr>
                <w:sz w:val="22"/>
                <w:szCs w:val="22"/>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Date</w:t>
            </w:r>
          </w:p>
        </w:tc>
        <w:tc>
          <w:tcPr>
            <w:tcW w:w="0" w:type="dxa"/>
            <w:vAlign w:val="bottom"/>
          </w:tcPr>
          <w:p>
            <w:pPr>
              <w:spacing w:after="0"/>
              <w:rPr>
                <w:sz w:val="1"/>
                <w:szCs w:val="1"/>
                <w:color w:val="auto"/>
              </w:rPr>
            </w:pPr>
          </w:p>
        </w:tc>
      </w:tr>
      <w:tr>
        <w:trPr>
          <w:trHeight w:val="580"/>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Amit Yoran</w:t>
            </w:r>
          </w:p>
        </w:tc>
        <w:tc>
          <w:tcPr>
            <w:tcW w:w="80" w:type="dxa"/>
            <w:vAlign w:val="bottom"/>
          </w:tcPr>
          <w:p>
            <w:pPr>
              <w:spacing w:after="0"/>
              <w:rPr>
                <w:sz w:val="24"/>
                <w:szCs w:val="24"/>
                <w:color w:val="auto"/>
              </w:rPr>
            </w:pPr>
          </w:p>
        </w:tc>
        <w:tc>
          <w:tcPr>
            <w:tcW w:w="3980" w:type="dxa"/>
            <w:vAlign w:val="bottom"/>
          </w:tcPr>
          <w:p>
            <w:pPr>
              <w:ind w:left="60"/>
              <w:spacing w:after="0"/>
              <w:rPr>
                <w:sz w:val="20"/>
                <w:szCs w:val="20"/>
                <w:color w:val="auto"/>
              </w:rPr>
            </w:pPr>
            <w:r>
              <w:rPr>
                <w:rFonts w:ascii="Arial" w:cs="Arial" w:eastAsia="Arial" w:hAnsi="Arial"/>
                <w:sz w:val="20"/>
                <w:szCs w:val="20"/>
                <w:color w:val="auto"/>
              </w:rPr>
              <w:t>Chairman and Chief Executive Officer</w:t>
            </w:r>
          </w:p>
        </w:tc>
        <w:tc>
          <w:tcPr>
            <w:tcW w:w="8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20"/>
                <w:szCs w:val="20"/>
                <w:color w:val="auto"/>
              </w:rPr>
              <w:t>February 24, 2023</w:t>
            </w:r>
          </w:p>
        </w:tc>
        <w:tc>
          <w:tcPr>
            <w:tcW w:w="0" w:type="dxa"/>
            <w:vAlign w:val="bottom"/>
          </w:tcPr>
          <w:p>
            <w:pPr>
              <w:spacing w:after="0"/>
              <w:rPr>
                <w:sz w:val="1"/>
                <w:szCs w:val="1"/>
                <w:color w:val="auto"/>
              </w:rPr>
            </w:pPr>
          </w:p>
        </w:tc>
      </w:tr>
      <w:tr>
        <w:trPr>
          <w:trHeight w:val="283"/>
        </w:trPr>
        <w:tc>
          <w:tcPr>
            <w:tcW w:w="2760" w:type="dxa"/>
            <w:vAlign w:val="bottom"/>
          </w:tcPr>
          <w:p>
            <w:pPr>
              <w:ind w:left="60"/>
              <w:spacing w:after="0"/>
              <w:rPr>
                <w:sz w:val="20"/>
                <w:szCs w:val="20"/>
                <w:color w:val="auto"/>
              </w:rPr>
            </w:pPr>
            <w:r>
              <w:rPr>
                <w:rFonts w:ascii="Arial" w:cs="Arial" w:eastAsia="Arial" w:hAnsi="Arial"/>
                <w:sz w:val="20"/>
                <w:szCs w:val="20"/>
                <w:color w:val="auto"/>
              </w:rPr>
              <w:t>Amit Yoran</w:t>
            </w:r>
          </w:p>
        </w:tc>
        <w:tc>
          <w:tcPr>
            <w:tcW w:w="80" w:type="dxa"/>
            <w:vAlign w:val="bottom"/>
          </w:tcPr>
          <w:p>
            <w:pPr>
              <w:spacing w:after="0"/>
              <w:rPr>
                <w:sz w:val="24"/>
                <w:szCs w:val="24"/>
                <w:color w:val="auto"/>
              </w:rPr>
            </w:pPr>
          </w:p>
        </w:tc>
        <w:tc>
          <w:tcPr>
            <w:tcW w:w="3980" w:type="dxa"/>
            <w:vAlign w:val="bottom"/>
          </w:tcPr>
          <w:p>
            <w:pPr>
              <w:ind w:left="60"/>
              <w:spacing w:after="0"/>
              <w:rPr>
                <w:sz w:val="20"/>
                <w:szCs w:val="20"/>
                <w:color w:val="auto"/>
              </w:rPr>
            </w:pPr>
            <w:r>
              <w:rPr>
                <w:rFonts w:ascii="Arial" w:cs="Arial" w:eastAsia="Arial" w:hAnsi="Arial"/>
                <w:sz w:val="20"/>
                <w:szCs w:val="20"/>
                <w:i w:val="1"/>
                <w:iCs w:val="1"/>
                <w:color w:val="auto"/>
              </w:rPr>
              <w:t>(Principal Executive Officer)</w:t>
            </w: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7"/>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Stephen A. Vintz</w:t>
            </w:r>
          </w:p>
        </w:tc>
        <w:tc>
          <w:tcPr>
            <w:tcW w:w="80" w:type="dxa"/>
            <w:vAlign w:val="bottom"/>
          </w:tcPr>
          <w:p>
            <w:pPr>
              <w:spacing w:after="0"/>
              <w:rPr>
                <w:sz w:val="24"/>
                <w:szCs w:val="24"/>
                <w:color w:val="auto"/>
              </w:rPr>
            </w:pPr>
          </w:p>
        </w:tc>
        <w:tc>
          <w:tcPr>
            <w:tcW w:w="3980" w:type="dxa"/>
            <w:vAlign w:val="bottom"/>
          </w:tcPr>
          <w:p>
            <w:pPr>
              <w:ind w:left="60"/>
              <w:spacing w:after="0"/>
              <w:rPr>
                <w:sz w:val="20"/>
                <w:szCs w:val="20"/>
                <w:color w:val="auto"/>
              </w:rPr>
            </w:pPr>
            <w:r>
              <w:rPr>
                <w:rFonts w:ascii="Arial" w:cs="Arial" w:eastAsia="Arial" w:hAnsi="Arial"/>
                <w:sz w:val="20"/>
                <w:szCs w:val="20"/>
                <w:color w:val="auto"/>
              </w:rPr>
              <w:t>Chief Financial Officer</w:t>
            </w:r>
          </w:p>
        </w:tc>
        <w:tc>
          <w:tcPr>
            <w:tcW w:w="8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20"/>
                <w:szCs w:val="20"/>
                <w:color w:val="auto"/>
              </w:rPr>
              <w:t>February 24, 2023</w:t>
            </w:r>
          </w:p>
        </w:tc>
        <w:tc>
          <w:tcPr>
            <w:tcW w:w="0" w:type="dxa"/>
            <w:vAlign w:val="bottom"/>
          </w:tcPr>
          <w:p>
            <w:pPr>
              <w:spacing w:after="0"/>
              <w:rPr>
                <w:sz w:val="1"/>
                <w:szCs w:val="1"/>
                <w:color w:val="auto"/>
              </w:rPr>
            </w:pPr>
          </w:p>
        </w:tc>
      </w:tr>
      <w:tr>
        <w:trPr>
          <w:trHeight w:val="199"/>
        </w:trPr>
        <w:tc>
          <w:tcPr>
            <w:tcW w:w="2760" w:type="dxa"/>
            <w:vAlign w:val="bottom"/>
            <w:vMerge w:val="restart"/>
          </w:tcPr>
          <w:p>
            <w:pPr>
              <w:ind w:left="60"/>
              <w:spacing w:after="0"/>
              <w:rPr>
                <w:sz w:val="20"/>
                <w:szCs w:val="20"/>
                <w:color w:val="auto"/>
              </w:rPr>
            </w:pPr>
            <w:r>
              <w:rPr>
                <w:rFonts w:ascii="Arial" w:cs="Arial" w:eastAsia="Arial" w:hAnsi="Arial"/>
                <w:sz w:val="20"/>
                <w:szCs w:val="20"/>
                <w:color w:val="auto"/>
              </w:rPr>
              <w:t>Stephen A. Vintz</w:t>
            </w:r>
          </w:p>
        </w:tc>
        <w:tc>
          <w:tcPr>
            <w:tcW w:w="80" w:type="dxa"/>
            <w:vAlign w:val="bottom"/>
          </w:tcPr>
          <w:p>
            <w:pPr>
              <w:spacing w:after="0"/>
              <w:rPr>
                <w:sz w:val="17"/>
                <w:szCs w:val="17"/>
                <w:color w:val="auto"/>
              </w:rPr>
            </w:pPr>
          </w:p>
        </w:tc>
        <w:tc>
          <w:tcPr>
            <w:tcW w:w="3980" w:type="dxa"/>
            <w:vAlign w:val="bottom"/>
          </w:tcPr>
          <w:p>
            <w:pPr>
              <w:ind w:left="60"/>
              <w:spacing w:after="0" w:line="199" w:lineRule="exact"/>
              <w:rPr>
                <w:sz w:val="20"/>
                <w:szCs w:val="20"/>
                <w:color w:val="auto"/>
              </w:rPr>
            </w:pPr>
            <w:r>
              <w:rPr>
                <w:rFonts w:ascii="Arial" w:cs="Arial" w:eastAsia="Arial" w:hAnsi="Arial"/>
                <w:sz w:val="20"/>
                <w:szCs w:val="20"/>
                <w:i w:val="1"/>
                <w:iCs w:val="1"/>
                <w:color w:val="auto"/>
              </w:rPr>
              <w:t>(Principal Financial Officer and Principal</w:t>
            </w: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980" w:type="dxa"/>
            <w:vAlign w:val="bottom"/>
          </w:tcPr>
          <w:p>
            <w:pPr>
              <w:ind w:left="60"/>
              <w:spacing w:after="0"/>
              <w:rPr>
                <w:sz w:val="20"/>
                <w:szCs w:val="20"/>
                <w:color w:val="auto"/>
              </w:rPr>
            </w:pPr>
            <w:r>
              <w:rPr>
                <w:rFonts w:ascii="Arial" w:cs="Arial" w:eastAsia="Arial" w:hAnsi="Arial"/>
                <w:sz w:val="20"/>
                <w:szCs w:val="20"/>
                <w:i w:val="1"/>
                <w:iCs w:val="1"/>
                <w:color w:val="auto"/>
              </w:rPr>
              <w:t>Accounting Officer)</w:t>
            </w:r>
          </w:p>
        </w:tc>
        <w:tc>
          <w:tcPr>
            <w:tcW w:w="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7"/>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Arthur W. Coviello, Jr.</w:t>
            </w:r>
          </w:p>
        </w:tc>
        <w:tc>
          <w:tcPr>
            <w:tcW w:w="80" w:type="dxa"/>
            <w:vAlign w:val="bottom"/>
          </w:tcPr>
          <w:p>
            <w:pPr>
              <w:spacing w:after="0"/>
              <w:rPr>
                <w:sz w:val="24"/>
                <w:szCs w:val="24"/>
                <w:color w:val="auto"/>
              </w:rPr>
            </w:pPr>
          </w:p>
        </w:tc>
        <w:tc>
          <w:tcPr>
            <w:tcW w:w="3980" w:type="dxa"/>
            <w:vAlign w:val="bottom"/>
          </w:tcPr>
          <w:p>
            <w:pPr>
              <w:ind w:left="60"/>
              <w:spacing w:after="0"/>
              <w:rPr>
                <w:sz w:val="20"/>
                <w:szCs w:val="20"/>
                <w:color w:val="auto"/>
              </w:rPr>
            </w:pPr>
            <w:r>
              <w:rPr>
                <w:rFonts w:ascii="Arial" w:cs="Arial" w:eastAsia="Arial" w:hAnsi="Arial"/>
                <w:sz w:val="20"/>
                <w:szCs w:val="20"/>
                <w:color w:val="auto"/>
              </w:rPr>
              <w:t>Director</w:t>
            </w:r>
          </w:p>
        </w:tc>
        <w:tc>
          <w:tcPr>
            <w:tcW w:w="8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20"/>
                <w:szCs w:val="20"/>
                <w:color w:val="auto"/>
              </w:rPr>
              <w:t>February 24, 2023</w:t>
            </w:r>
          </w:p>
        </w:tc>
        <w:tc>
          <w:tcPr>
            <w:tcW w:w="0" w:type="dxa"/>
            <w:vAlign w:val="bottom"/>
          </w:tcPr>
          <w:p>
            <w:pPr>
              <w:spacing w:after="0"/>
              <w:rPr>
                <w:sz w:val="1"/>
                <w:szCs w:val="1"/>
                <w:color w:val="auto"/>
              </w:rPr>
            </w:pPr>
          </w:p>
        </w:tc>
      </w:tr>
      <w:tr>
        <w:trPr>
          <w:trHeight w:val="282"/>
        </w:trPr>
        <w:tc>
          <w:tcPr>
            <w:tcW w:w="2760" w:type="dxa"/>
            <w:vAlign w:val="bottom"/>
          </w:tcPr>
          <w:p>
            <w:pPr>
              <w:ind w:left="60"/>
              <w:spacing w:after="0"/>
              <w:rPr>
                <w:sz w:val="20"/>
                <w:szCs w:val="20"/>
                <w:color w:val="auto"/>
              </w:rPr>
            </w:pPr>
            <w:r>
              <w:rPr>
                <w:rFonts w:ascii="Arial" w:cs="Arial" w:eastAsia="Arial" w:hAnsi="Arial"/>
                <w:sz w:val="20"/>
                <w:szCs w:val="20"/>
                <w:color w:val="auto"/>
              </w:rPr>
              <w:t>Arthur W. Coviello, Jr.</w:t>
            </w:r>
          </w:p>
        </w:tc>
        <w:tc>
          <w:tcPr>
            <w:tcW w:w="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Linda Zecher Higgins</w:t>
            </w:r>
          </w:p>
        </w:tc>
        <w:tc>
          <w:tcPr>
            <w:tcW w:w="80" w:type="dxa"/>
            <w:vAlign w:val="bottom"/>
          </w:tcPr>
          <w:p>
            <w:pPr>
              <w:spacing w:after="0"/>
              <w:rPr>
                <w:sz w:val="24"/>
                <w:szCs w:val="24"/>
                <w:color w:val="auto"/>
              </w:rPr>
            </w:pPr>
          </w:p>
        </w:tc>
        <w:tc>
          <w:tcPr>
            <w:tcW w:w="3980" w:type="dxa"/>
            <w:vAlign w:val="bottom"/>
          </w:tcPr>
          <w:p>
            <w:pPr>
              <w:ind w:left="60"/>
              <w:spacing w:after="0"/>
              <w:rPr>
                <w:sz w:val="20"/>
                <w:szCs w:val="20"/>
                <w:color w:val="auto"/>
              </w:rPr>
            </w:pPr>
            <w:r>
              <w:rPr>
                <w:rFonts w:ascii="Arial" w:cs="Arial" w:eastAsia="Arial" w:hAnsi="Arial"/>
                <w:sz w:val="20"/>
                <w:szCs w:val="20"/>
                <w:color w:val="auto"/>
              </w:rPr>
              <w:t>Director</w:t>
            </w:r>
          </w:p>
        </w:tc>
        <w:tc>
          <w:tcPr>
            <w:tcW w:w="8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20"/>
                <w:szCs w:val="20"/>
                <w:color w:val="auto"/>
              </w:rPr>
              <w:t>February 24, 2023</w:t>
            </w:r>
          </w:p>
        </w:tc>
        <w:tc>
          <w:tcPr>
            <w:tcW w:w="0" w:type="dxa"/>
            <w:vAlign w:val="bottom"/>
          </w:tcPr>
          <w:p>
            <w:pPr>
              <w:spacing w:after="0"/>
              <w:rPr>
                <w:sz w:val="1"/>
                <w:szCs w:val="1"/>
                <w:color w:val="auto"/>
              </w:rPr>
            </w:pPr>
          </w:p>
        </w:tc>
      </w:tr>
      <w:tr>
        <w:trPr>
          <w:trHeight w:val="282"/>
        </w:trPr>
        <w:tc>
          <w:tcPr>
            <w:tcW w:w="2760" w:type="dxa"/>
            <w:vAlign w:val="bottom"/>
          </w:tcPr>
          <w:p>
            <w:pPr>
              <w:ind w:left="60"/>
              <w:spacing w:after="0"/>
              <w:rPr>
                <w:sz w:val="20"/>
                <w:szCs w:val="20"/>
                <w:color w:val="auto"/>
              </w:rPr>
            </w:pPr>
            <w:r>
              <w:rPr>
                <w:rFonts w:ascii="Arial" w:cs="Arial" w:eastAsia="Arial" w:hAnsi="Arial"/>
                <w:sz w:val="20"/>
                <w:szCs w:val="20"/>
                <w:color w:val="auto"/>
              </w:rPr>
              <w:t>Linda Zecher Higgins</w:t>
            </w:r>
          </w:p>
        </w:tc>
        <w:tc>
          <w:tcPr>
            <w:tcW w:w="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Niloofar Razi Howe</w:t>
            </w:r>
          </w:p>
        </w:tc>
        <w:tc>
          <w:tcPr>
            <w:tcW w:w="80" w:type="dxa"/>
            <w:vAlign w:val="bottom"/>
          </w:tcPr>
          <w:p>
            <w:pPr>
              <w:spacing w:after="0"/>
              <w:rPr>
                <w:sz w:val="24"/>
                <w:szCs w:val="24"/>
                <w:color w:val="auto"/>
              </w:rPr>
            </w:pPr>
          </w:p>
        </w:tc>
        <w:tc>
          <w:tcPr>
            <w:tcW w:w="3980" w:type="dxa"/>
            <w:vAlign w:val="bottom"/>
          </w:tcPr>
          <w:p>
            <w:pPr>
              <w:ind w:left="60"/>
              <w:spacing w:after="0"/>
              <w:rPr>
                <w:sz w:val="20"/>
                <w:szCs w:val="20"/>
                <w:color w:val="auto"/>
              </w:rPr>
            </w:pPr>
            <w:r>
              <w:rPr>
                <w:rFonts w:ascii="Arial" w:cs="Arial" w:eastAsia="Arial" w:hAnsi="Arial"/>
                <w:sz w:val="20"/>
                <w:szCs w:val="20"/>
                <w:color w:val="auto"/>
              </w:rPr>
              <w:t>Director</w:t>
            </w:r>
          </w:p>
        </w:tc>
        <w:tc>
          <w:tcPr>
            <w:tcW w:w="8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20"/>
                <w:szCs w:val="20"/>
                <w:color w:val="auto"/>
              </w:rPr>
              <w:t>February 24, 2023</w:t>
            </w:r>
          </w:p>
        </w:tc>
        <w:tc>
          <w:tcPr>
            <w:tcW w:w="0" w:type="dxa"/>
            <w:vAlign w:val="bottom"/>
          </w:tcPr>
          <w:p>
            <w:pPr>
              <w:spacing w:after="0"/>
              <w:rPr>
                <w:sz w:val="1"/>
                <w:szCs w:val="1"/>
                <w:color w:val="auto"/>
              </w:rPr>
            </w:pPr>
          </w:p>
        </w:tc>
      </w:tr>
      <w:tr>
        <w:trPr>
          <w:trHeight w:val="282"/>
        </w:trPr>
        <w:tc>
          <w:tcPr>
            <w:tcW w:w="2760" w:type="dxa"/>
            <w:vAlign w:val="bottom"/>
          </w:tcPr>
          <w:p>
            <w:pPr>
              <w:ind w:left="60"/>
              <w:spacing w:after="0"/>
              <w:rPr>
                <w:sz w:val="20"/>
                <w:szCs w:val="20"/>
                <w:color w:val="auto"/>
              </w:rPr>
            </w:pPr>
            <w:r>
              <w:rPr>
                <w:rFonts w:ascii="Arial" w:cs="Arial" w:eastAsia="Arial" w:hAnsi="Arial"/>
                <w:sz w:val="20"/>
                <w:szCs w:val="20"/>
                <w:color w:val="auto"/>
              </w:rPr>
              <w:t>Niloofar Razi Howe</w:t>
            </w:r>
          </w:p>
        </w:tc>
        <w:tc>
          <w:tcPr>
            <w:tcW w:w="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John C. Huffard, Jr.</w:t>
            </w:r>
          </w:p>
        </w:tc>
        <w:tc>
          <w:tcPr>
            <w:tcW w:w="80" w:type="dxa"/>
            <w:vAlign w:val="bottom"/>
          </w:tcPr>
          <w:p>
            <w:pPr>
              <w:spacing w:after="0"/>
              <w:rPr>
                <w:sz w:val="24"/>
                <w:szCs w:val="24"/>
                <w:color w:val="auto"/>
              </w:rPr>
            </w:pPr>
          </w:p>
        </w:tc>
        <w:tc>
          <w:tcPr>
            <w:tcW w:w="3980" w:type="dxa"/>
            <w:vAlign w:val="bottom"/>
          </w:tcPr>
          <w:p>
            <w:pPr>
              <w:ind w:left="60"/>
              <w:spacing w:after="0"/>
              <w:rPr>
                <w:sz w:val="20"/>
                <w:szCs w:val="20"/>
                <w:color w:val="auto"/>
              </w:rPr>
            </w:pPr>
            <w:r>
              <w:rPr>
                <w:rFonts w:ascii="Arial" w:cs="Arial" w:eastAsia="Arial" w:hAnsi="Arial"/>
                <w:sz w:val="20"/>
                <w:szCs w:val="20"/>
                <w:color w:val="auto"/>
              </w:rPr>
              <w:t>Director</w:t>
            </w:r>
          </w:p>
        </w:tc>
        <w:tc>
          <w:tcPr>
            <w:tcW w:w="8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20"/>
                <w:szCs w:val="20"/>
                <w:color w:val="auto"/>
              </w:rPr>
              <w:t>February 24, 2023</w:t>
            </w:r>
          </w:p>
        </w:tc>
        <w:tc>
          <w:tcPr>
            <w:tcW w:w="0" w:type="dxa"/>
            <w:vAlign w:val="bottom"/>
          </w:tcPr>
          <w:p>
            <w:pPr>
              <w:spacing w:after="0"/>
              <w:rPr>
                <w:sz w:val="1"/>
                <w:szCs w:val="1"/>
                <w:color w:val="auto"/>
              </w:rPr>
            </w:pPr>
          </w:p>
        </w:tc>
      </w:tr>
      <w:tr>
        <w:trPr>
          <w:trHeight w:val="282"/>
        </w:trPr>
        <w:tc>
          <w:tcPr>
            <w:tcW w:w="2760" w:type="dxa"/>
            <w:vAlign w:val="bottom"/>
          </w:tcPr>
          <w:p>
            <w:pPr>
              <w:ind w:left="60"/>
              <w:spacing w:after="0"/>
              <w:rPr>
                <w:sz w:val="20"/>
                <w:szCs w:val="20"/>
                <w:color w:val="auto"/>
              </w:rPr>
            </w:pPr>
            <w:r>
              <w:rPr>
                <w:rFonts w:ascii="Arial" w:cs="Arial" w:eastAsia="Arial" w:hAnsi="Arial"/>
                <w:sz w:val="20"/>
                <w:szCs w:val="20"/>
                <w:color w:val="auto"/>
              </w:rPr>
              <w:t>John C. Huffard, Jr.</w:t>
            </w:r>
          </w:p>
        </w:tc>
        <w:tc>
          <w:tcPr>
            <w:tcW w:w="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A. Brooke Seawell</w:t>
            </w:r>
          </w:p>
        </w:tc>
        <w:tc>
          <w:tcPr>
            <w:tcW w:w="80" w:type="dxa"/>
            <w:vAlign w:val="bottom"/>
          </w:tcPr>
          <w:p>
            <w:pPr>
              <w:spacing w:after="0"/>
              <w:rPr>
                <w:sz w:val="24"/>
                <w:szCs w:val="24"/>
                <w:color w:val="auto"/>
              </w:rPr>
            </w:pPr>
          </w:p>
        </w:tc>
        <w:tc>
          <w:tcPr>
            <w:tcW w:w="3980" w:type="dxa"/>
            <w:vAlign w:val="bottom"/>
          </w:tcPr>
          <w:p>
            <w:pPr>
              <w:ind w:left="60"/>
              <w:spacing w:after="0"/>
              <w:rPr>
                <w:sz w:val="20"/>
                <w:szCs w:val="20"/>
                <w:color w:val="auto"/>
              </w:rPr>
            </w:pPr>
            <w:r>
              <w:rPr>
                <w:rFonts w:ascii="Arial" w:cs="Arial" w:eastAsia="Arial" w:hAnsi="Arial"/>
                <w:sz w:val="20"/>
                <w:szCs w:val="20"/>
                <w:color w:val="auto"/>
              </w:rPr>
              <w:t>Director</w:t>
            </w:r>
          </w:p>
        </w:tc>
        <w:tc>
          <w:tcPr>
            <w:tcW w:w="8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20"/>
                <w:szCs w:val="20"/>
                <w:color w:val="auto"/>
              </w:rPr>
              <w:t>February 24, 2023</w:t>
            </w:r>
          </w:p>
        </w:tc>
        <w:tc>
          <w:tcPr>
            <w:tcW w:w="0" w:type="dxa"/>
            <w:vAlign w:val="bottom"/>
          </w:tcPr>
          <w:p>
            <w:pPr>
              <w:spacing w:after="0"/>
              <w:rPr>
                <w:sz w:val="1"/>
                <w:szCs w:val="1"/>
                <w:color w:val="auto"/>
              </w:rPr>
            </w:pPr>
          </w:p>
        </w:tc>
      </w:tr>
      <w:tr>
        <w:trPr>
          <w:trHeight w:val="282"/>
        </w:trPr>
        <w:tc>
          <w:tcPr>
            <w:tcW w:w="2760" w:type="dxa"/>
            <w:vAlign w:val="bottom"/>
          </w:tcPr>
          <w:p>
            <w:pPr>
              <w:ind w:left="60"/>
              <w:spacing w:after="0"/>
              <w:rPr>
                <w:sz w:val="20"/>
                <w:szCs w:val="20"/>
                <w:color w:val="auto"/>
              </w:rPr>
            </w:pPr>
            <w:r>
              <w:rPr>
                <w:rFonts w:ascii="Arial" w:cs="Arial" w:eastAsia="Arial" w:hAnsi="Arial"/>
                <w:sz w:val="20"/>
                <w:szCs w:val="20"/>
                <w:color w:val="auto"/>
              </w:rPr>
              <w:t>A. Brooke Seawell</w:t>
            </w:r>
          </w:p>
        </w:tc>
        <w:tc>
          <w:tcPr>
            <w:tcW w:w="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George Alexander Tosheff</w:t>
            </w:r>
          </w:p>
        </w:tc>
        <w:tc>
          <w:tcPr>
            <w:tcW w:w="80" w:type="dxa"/>
            <w:vAlign w:val="bottom"/>
          </w:tcPr>
          <w:p>
            <w:pPr>
              <w:spacing w:after="0"/>
              <w:rPr>
                <w:sz w:val="24"/>
                <w:szCs w:val="24"/>
                <w:color w:val="auto"/>
              </w:rPr>
            </w:pPr>
          </w:p>
        </w:tc>
        <w:tc>
          <w:tcPr>
            <w:tcW w:w="3980" w:type="dxa"/>
            <w:vAlign w:val="bottom"/>
          </w:tcPr>
          <w:p>
            <w:pPr>
              <w:ind w:left="60"/>
              <w:spacing w:after="0"/>
              <w:rPr>
                <w:sz w:val="20"/>
                <w:szCs w:val="20"/>
                <w:color w:val="auto"/>
              </w:rPr>
            </w:pPr>
            <w:r>
              <w:rPr>
                <w:rFonts w:ascii="Arial" w:cs="Arial" w:eastAsia="Arial" w:hAnsi="Arial"/>
                <w:sz w:val="20"/>
                <w:szCs w:val="20"/>
                <w:color w:val="auto"/>
              </w:rPr>
              <w:t>Director</w:t>
            </w:r>
          </w:p>
        </w:tc>
        <w:tc>
          <w:tcPr>
            <w:tcW w:w="8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20"/>
                <w:szCs w:val="20"/>
                <w:color w:val="auto"/>
              </w:rPr>
              <w:t>February 24, 2023</w:t>
            </w:r>
          </w:p>
        </w:tc>
        <w:tc>
          <w:tcPr>
            <w:tcW w:w="0" w:type="dxa"/>
            <w:vAlign w:val="bottom"/>
          </w:tcPr>
          <w:p>
            <w:pPr>
              <w:spacing w:after="0"/>
              <w:rPr>
                <w:sz w:val="1"/>
                <w:szCs w:val="1"/>
                <w:color w:val="auto"/>
              </w:rPr>
            </w:pPr>
          </w:p>
        </w:tc>
      </w:tr>
      <w:tr>
        <w:trPr>
          <w:trHeight w:val="282"/>
        </w:trPr>
        <w:tc>
          <w:tcPr>
            <w:tcW w:w="2760" w:type="dxa"/>
            <w:vAlign w:val="bottom"/>
          </w:tcPr>
          <w:p>
            <w:pPr>
              <w:ind w:left="60"/>
              <w:spacing w:after="0"/>
              <w:rPr>
                <w:sz w:val="20"/>
                <w:szCs w:val="20"/>
                <w:color w:val="auto"/>
              </w:rPr>
            </w:pPr>
            <w:r>
              <w:rPr>
                <w:rFonts w:ascii="Arial" w:cs="Arial" w:eastAsia="Arial" w:hAnsi="Arial"/>
                <w:sz w:val="20"/>
                <w:szCs w:val="20"/>
                <w:color w:val="auto"/>
              </w:rPr>
              <w:t>George Alexander Tosheff</w:t>
            </w:r>
          </w:p>
        </w:tc>
        <w:tc>
          <w:tcPr>
            <w:tcW w:w="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Raymond Vicks, Jr.</w:t>
            </w:r>
          </w:p>
        </w:tc>
        <w:tc>
          <w:tcPr>
            <w:tcW w:w="80" w:type="dxa"/>
            <w:vAlign w:val="bottom"/>
          </w:tcPr>
          <w:p>
            <w:pPr>
              <w:spacing w:after="0"/>
              <w:rPr>
                <w:sz w:val="24"/>
                <w:szCs w:val="24"/>
                <w:color w:val="auto"/>
              </w:rPr>
            </w:pPr>
          </w:p>
        </w:tc>
        <w:tc>
          <w:tcPr>
            <w:tcW w:w="3980" w:type="dxa"/>
            <w:vAlign w:val="bottom"/>
          </w:tcPr>
          <w:p>
            <w:pPr>
              <w:ind w:left="60"/>
              <w:spacing w:after="0"/>
              <w:rPr>
                <w:sz w:val="20"/>
                <w:szCs w:val="20"/>
                <w:color w:val="auto"/>
              </w:rPr>
            </w:pPr>
            <w:r>
              <w:rPr>
                <w:rFonts w:ascii="Arial" w:cs="Arial" w:eastAsia="Arial" w:hAnsi="Arial"/>
                <w:sz w:val="20"/>
                <w:szCs w:val="20"/>
                <w:color w:val="auto"/>
              </w:rPr>
              <w:t>Director</w:t>
            </w:r>
          </w:p>
        </w:tc>
        <w:tc>
          <w:tcPr>
            <w:tcW w:w="8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20"/>
                <w:szCs w:val="20"/>
                <w:color w:val="auto"/>
              </w:rPr>
              <w:t>February 24, 2023</w:t>
            </w:r>
          </w:p>
        </w:tc>
        <w:tc>
          <w:tcPr>
            <w:tcW w:w="0" w:type="dxa"/>
            <w:vAlign w:val="bottom"/>
          </w:tcPr>
          <w:p>
            <w:pPr>
              <w:spacing w:after="0"/>
              <w:rPr>
                <w:sz w:val="1"/>
                <w:szCs w:val="1"/>
                <w:color w:val="auto"/>
              </w:rPr>
            </w:pPr>
          </w:p>
        </w:tc>
      </w:tr>
      <w:tr>
        <w:trPr>
          <w:trHeight w:val="282"/>
        </w:trPr>
        <w:tc>
          <w:tcPr>
            <w:tcW w:w="2760" w:type="dxa"/>
            <w:vAlign w:val="bottom"/>
          </w:tcPr>
          <w:p>
            <w:pPr>
              <w:ind w:left="60"/>
              <w:spacing w:after="0"/>
              <w:rPr>
                <w:sz w:val="20"/>
                <w:szCs w:val="20"/>
                <w:color w:val="auto"/>
              </w:rPr>
            </w:pPr>
            <w:r>
              <w:rPr>
                <w:rFonts w:ascii="Arial" w:cs="Arial" w:eastAsia="Arial" w:hAnsi="Arial"/>
                <w:sz w:val="20"/>
                <w:szCs w:val="20"/>
                <w:color w:val="auto"/>
              </w:rPr>
              <w:t>Raymond Vicks, Jr.</w:t>
            </w:r>
          </w:p>
        </w:tc>
        <w:tc>
          <w:tcPr>
            <w:tcW w:w="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000"/>
          </w:cols>
          <w:pgMar w:left="1440" w:top="120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120</w:t>
      </w:r>
    </w:p>
    <w:p>
      <w:pPr>
        <w:sectPr>
          <w:pgSz w:w="11880" w:h="15480" w:orient="portrait"/>
          <w:cols w:equalWidth="0" w:num="1">
            <w:col w:w="9000"/>
          </w:cols>
          <w:pgMar w:left="1440" w:top="1203" w:right="1440" w:bottom="0" w:gutter="0" w:footer="0" w:header="0"/>
          <w:type w:val="continuous"/>
        </w:sectPr>
      </w:pPr>
    </w:p>
    <w:bookmarkStart w:id="212" w:name="page213"/>
    <w:bookmarkEnd w:id="2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213" w:name="page214"/>
    <w:bookmarkEnd w:id="213"/>
    <w:p>
      <w:pPr>
        <w:spacing w:after="0"/>
        <w:rPr>
          <w:sz w:val="20"/>
          <w:szCs w:val="20"/>
          <w:color w:val="auto"/>
        </w:rPr>
      </w:pPr>
      <w:r>
        <w:rPr>
          <w:rFonts w:ascii="Arial" w:cs="Arial" w:eastAsia="Arial" w:hAnsi="Arial"/>
          <w:sz w:val="20"/>
          <w:szCs w:val="20"/>
          <w:b w:val="1"/>
          <w:bCs w:val="1"/>
          <w:color w:val="auto"/>
        </w:rPr>
        <w:t>Stock Performance Graph</w:t>
      </w:r>
    </w:p>
    <w:p>
      <w:pPr>
        <w:spacing w:after="0" w:line="251" w:lineRule="exact"/>
        <w:rPr>
          <w:sz w:val="20"/>
          <w:szCs w:val="20"/>
          <w:color w:val="auto"/>
        </w:rPr>
      </w:pPr>
    </w:p>
    <w:p>
      <w:pPr>
        <w:ind w:right="360" w:firstLine="360"/>
        <w:spacing w:after="0" w:line="273" w:lineRule="auto"/>
        <w:rPr>
          <w:sz w:val="20"/>
          <w:szCs w:val="20"/>
          <w:color w:val="auto"/>
        </w:rPr>
      </w:pPr>
      <w:r>
        <w:rPr>
          <w:rFonts w:ascii="Arial" w:cs="Arial" w:eastAsia="Arial" w:hAnsi="Arial"/>
          <w:sz w:val="19"/>
          <w:szCs w:val="19"/>
          <w:color w:val="auto"/>
        </w:rPr>
        <w:t>We have presented below the cumulative total return to our stockholders between July 26, 2018 (the date our common stock began trading on the Nasdaq Global Select Market) through December 31, 2022 in comparison to the Standard &amp; Poor’s, or the S&amp;P, 500 Index and the Nasdaq Computer Index. All values assume a $100 initial investment, and data for the S&amp;P 500 Index and Nasdaq Computer Index assume reinvestment of dividends.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15240</wp:posOffset>
            </wp:positionV>
            <wp:extent cx="5638800" cy="35433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38800" cy="354330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Comparison of Cumulative Total Return</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$280</w:t>
      </w:r>
    </w:p>
    <w:p>
      <w:pPr>
        <w:spacing w:after="0" w:line="3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$240</w:t>
      </w:r>
    </w:p>
    <w:p>
      <w:pPr>
        <w:spacing w:after="0" w:line="3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$200</w:t>
      </w:r>
    </w:p>
    <w:p>
      <w:pPr>
        <w:spacing w:after="0" w:line="386" w:lineRule="exact"/>
        <w:rPr>
          <w:sz w:val="20"/>
          <w:szCs w:val="20"/>
          <w:color w:val="auto"/>
        </w:rPr>
      </w:pPr>
    </w:p>
    <w:p>
      <w:pPr>
        <w:jc w:val="center"/>
        <w:ind w:right="8020"/>
        <w:spacing w:after="0"/>
        <w:rPr>
          <w:sz w:val="20"/>
          <w:szCs w:val="20"/>
          <w:color w:val="auto"/>
        </w:rPr>
      </w:pPr>
      <w:r>
        <w:rPr>
          <w:rFonts w:ascii="Arial" w:cs="Arial" w:eastAsia="Arial" w:hAnsi="Arial"/>
          <w:sz w:val="16"/>
          <w:szCs w:val="16"/>
          <w:color w:val="auto"/>
        </w:rPr>
        <w:t>$160</w:t>
      </w:r>
    </w:p>
    <w:p>
      <w:pPr>
        <w:spacing w:after="0" w:line="371" w:lineRule="exact"/>
        <w:rPr>
          <w:sz w:val="20"/>
          <w:szCs w:val="20"/>
          <w:color w:val="auto"/>
        </w:rPr>
      </w:pPr>
    </w:p>
    <w:p>
      <w:pPr>
        <w:jc w:val="center"/>
        <w:ind w:right="8020"/>
        <w:spacing w:after="0"/>
        <w:rPr>
          <w:sz w:val="20"/>
          <w:szCs w:val="20"/>
          <w:color w:val="auto"/>
        </w:rPr>
      </w:pPr>
      <w:r>
        <w:rPr>
          <w:rFonts w:ascii="Arial" w:cs="Arial" w:eastAsia="Arial" w:hAnsi="Arial"/>
          <w:sz w:val="16"/>
          <w:szCs w:val="16"/>
          <w:color w:val="auto"/>
        </w:rPr>
        <w:t>$120</w:t>
      </w:r>
    </w:p>
    <w:p>
      <w:pPr>
        <w:spacing w:after="0" w:line="371" w:lineRule="exact"/>
        <w:rPr>
          <w:sz w:val="20"/>
          <w:szCs w:val="20"/>
          <w:color w:val="auto"/>
        </w:rPr>
      </w:pPr>
    </w:p>
    <w:p>
      <w:pPr>
        <w:jc w:val="center"/>
        <w:ind w:right="8020"/>
        <w:spacing w:after="0"/>
        <w:rPr>
          <w:sz w:val="20"/>
          <w:szCs w:val="20"/>
          <w:color w:val="auto"/>
        </w:rPr>
      </w:pPr>
      <w:r>
        <w:rPr>
          <w:rFonts w:ascii="Arial" w:cs="Arial" w:eastAsia="Arial" w:hAnsi="Arial"/>
          <w:sz w:val="16"/>
          <w:szCs w:val="16"/>
          <w:color w:val="auto"/>
        </w:rPr>
        <w:t>$80</w:t>
      </w:r>
    </w:p>
    <w:p>
      <w:pPr>
        <w:spacing w:after="0" w:line="371" w:lineRule="exact"/>
        <w:rPr>
          <w:sz w:val="20"/>
          <w:szCs w:val="20"/>
          <w:color w:val="auto"/>
        </w:rPr>
      </w:pPr>
    </w:p>
    <w:p>
      <w:pPr>
        <w:ind w:left="1180" w:right="800" w:hanging="584"/>
        <w:spacing w:after="0" w:line="274" w:lineRule="auto"/>
        <w:rPr>
          <w:sz w:val="20"/>
          <w:szCs w:val="20"/>
          <w:color w:val="auto"/>
        </w:rPr>
      </w:pPr>
      <w:r>
        <w:rPr>
          <w:rFonts w:ascii="Arial" w:cs="Arial" w:eastAsia="Arial" w:hAnsi="Arial"/>
          <w:sz w:val="16"/>
          <w:szCs w:val="16"/>
          <w:color w:val="auto"/>
        </w:rPr>
        <w:t xml:space="preserve">$40 </w:t>
      </w:r>
      <w:r>
        <w:rPr>
          <w:sz w:val="1"/>
          <w:szCs w:val="1"/>
          <w:color w:val="auto"/>
        </w:rPr>
        <w:drawing>
          <wp:inline distT="0" distB="0" distL="0" distR="0">
            <wp:extent cx="9525" cy="5715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525" cy="57150"/>
                    </a:xfrm>
                    <a:prstGeom prst="rect">
                      <a:avLst/>
                    </a:prstGeom>
                    <a:noFill/>
                    <a:ln>
                      <a:noFill/>
                    </a:ln>
                  </pic:spPr>
                </pic:pic>
              </a:graphicData>
            </a:graphic>
          </wp:inline>
        </w:drawing>
        <w:drawing>
          <wp:inline distT="0" distB="0" distL="0" distR="0">
            <wp:extent cx="9525" cy="5715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525" cy="57150"/>
                    </a:xfrm>
                    <a:prstGeom prst="rect">
                      <a:avLst/>
                    </a:prstGeom>
                    <a:noFill/>
                    <a:ln>
                      <a:noFill/>
                    </a:ln>
                  </pic:spPr>
                </pic:pic>
              </a:graphicData>
            </a:graphic>
          </wp:inline>
        </w:drawing>
        <w:drawing>
          <wp:inline distT="0" distB="0" distL="0" distR="0">
            <wp:extent cx="9525" cy="5715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525" cy="57150"/>
                    </a:xfrm>
                    <a:prstGeom prst="rect">
                      <a:avLst/>
                    </a:prstGeom>
                    <a:noFill/>
                    <a:ln>
                      <a:noFill/>
                    </a:ln>
                  </pic:spPr>
                </pic:pic>
              </a:graphicData>
            </a:graphic>
          </wp:inline>
        </w:drawing>
        <w:drawing>
          <wp:inline distT="0" distB="0" distL="0" distR="0">
            <wp:extent cx="9525" cy="5715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525" cy="57150"/>
                    </a:xfrm>
                    <a:prstGeom prst="rect">
                      <a:avLst/>
                    </a:prstGeom>
                    <a:noFill/>
                    <a:ln>
                      <a:noFill/>
                    </a:ln>
                  </pic:spPr>
                </pic:pic>
              </a:graphicData>
            </a:graphic>
          </wp:inline>
        </w:drawing>
        <w:drawing>
          <wp:inline distT="0" distB="0" distL="0" distR="0">
            <wp:extent cx="9525" cy="5715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525" cy="57150"/>
                    </a:xfrm>
                    <a:prstGeom prst="rect">
                      <a:avLst/>
                    </a:prstGeom>
                    <a:noFill/>
                    <a:ln>
                      <a:noFill/>
                    </a:ln>
                  </pic:spPr>
                </pic:pic>
              </a:graphicData>
            </a:graphic>
          </wp:inline>
        </w:drawing>
        <w:drawing>
          <wp:inline distT="0" distB="0" distL="0" distR="0">
            <wp:extent cx="9525" cy="5715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525" cy="57150"/>
                    </a:xfrm>
                    <a:prstGeom prst="rect">
                      <a:avLst/>
                    </a:prstGeom>
                    <a:noFill/>
                    <a:ln>
                      <a:noFill/>
                    </a:ln>
                  </pic:spPr>
                </pic:pic>
              </a:graphicData>
            </a:graphic>
          </wp:inline>
        </w:drawing>
        <w:drawing>
          <wp:inline distT="0" distB="0" distL="0" distR="0">
            <wp:extent cx="9525" cy="5715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525" cy="57150"/>
                    </a:xfrm>
                    <a:prstGeom prst="rect">
                      <a:avLst/>
                    </a:prstGeom>
                    <a:noFill/>
                    <a:ln>
                      <a:noFill/>
                    </a:ln>
                  </pic:spPr>
                </pic:pic>
              </a:graphicData>
            </a:graphic>
          </wp:inline>
        </w:drawing>
        <w:drawing>
          <wp:inline distT="0" distB="0" distL="0" distR="0">
            <wp:extent cx="9525" cy="5715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525" cy="57150"/>
                    </a:xfrm>
                    <a:prstGeom prst="rect">
                      <a:avLst/>
                    </a:prstGeom>
                    <a:noFill/>
                    <a:ln>
                      <a:noFill/>
                    </a:ln>
                  </pic:spPr>
                </pic:pic>
              </a:graphicData>
            </a:graphic>
          </wp:inline>
        </w:drawing>
        <w:drawing>
          <wp:inline distT="0" distB="0" distL="0" distR="0">
            <wp:extent cx="9525" cy="5715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525" cy="57150"/>
                    </a:xfrm>
                    <a:prstGeom prst="rect">
                      <a:avLst/>
                    </a:prstGeom>
                    <a:noFill/>
                    <a:ln>
                      <a:noFill/>
                    </a:ln>
                  </pic:spPr>
                </pic:pic>
              </a:graphicData>
            </a:graphic>
          </wp:inline>
        </w:drawing>
        <w:drawing>
          <wp:inline distT="0" distB="0" distL="0" distR="0">
            <wp:extent cx="9525" cy="5715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525" cy="57150"/>
                    </a:xfrm>
                    <a:prstGeom prst="rect">
                      <a:avLst/>
                    </a:prstGeom>
                    <a:noFill/>
                    <a:ln>
                      <a:noFill/>
                    </a:ln>
                  </pic:spPr>
                </pic:pic>
              </a:graphicData>
            </a:graphic>
          </wp:inline>
        </w:drawing>
      </w:r>
      <w:r>
        <w:rPr>
          <w:rFonts w:ascii="Arial" w:cs="Arial" w:eastAsia="Arial" w:hAnsi="Arial"/>
          <w:sz w:val="16"/>
          <w:szCs w:val="16"/>
          <w:color w:val="auto"/>
        </w:rPr>
        <w:t xml:space="preserve"> 7/26/18 12/31/18 6/30/19 12/31/19 6/30/20 12/31/20 6/30/21 12/31/21 6/30/22 12/31/22</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shd w:val="clear" w:color="auto" w:fill="000000"/>
          </w:tcPr>
          <w:p>
            <w:pPr>
              <w:spacing w:after="0"/>
              <w:rPr>
                <w:sz w:val="21"/>
                <w:szCs w:val="21"/>
                <w:color w:val="auto"/>
              </w:rPr>
            </w:pPr>
          </w:p>
        </w:tc>
        <w:tc>
          <w:tcPr>
            <w:tcW w:w="4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auto"/>
            </w:tcBorders>
            <w:shd w:val="clear" w:color="auto" w:fill="000000"/>
          </w:tcPr>
          <w:p>
            <w:pPr>
              <w:spacing w:after="0"/>
              <w:rPr>
                <w:sz w:val="21"/>
                <w:szCs w:val="21"/>
                <w:color w:val="auto"/>
              </w:rPr>
            </w:pPr>
          </w:p>
        </w:tc>
        <w:tc>
          <w:tcPr>
            <w:tcW w:w="1920" w:type="dxa"/>
            <w:vAlign w:val="bottom"/>
            <w:tcBorders>
              <w:bottom w:val="single" w:sz="8" w:color="auto"/>
            </w:tcBorders>
            <w:gridSpan w:val="5"/>
            <w:shd w:val="clear" w:color="auto" w:fill="000000"/>
          </w:tcPr>
          <w:p>
            <w:pPr>
              <w:ind w:left="60"/>
              <w:spacing w:after="0"/>
              <w:rPr>
                <w:sz w:val="20"/>
                <w:szCs w:val="20"/>
                <w:color w:val="auto"/>
              </w:rPr>
            </w:pPr>
            <w:r>
              <w:rPr>
                <w:rFonts w:ascii="Arial" w:cs="Arial" w:eastAsia="Arial" w:hAnsi="Arial"/>
                <w:sz w:val="16"/>
                <w:szCs w:val="16"/>
                <w:color w:val="auto"/>
              </w:rPr>
              <w:t>Tenable Holdings, Inc.</w:t>
            </w:r>
          </w:p>
        </w:tc>
        <w:tc>
          <w:tcPr>
            <w:tcW w:w="240" w:type="dxa"/>
            <w:vAlign w:val="bottom"/>
            <w:tcBorders>
              <w:bottom w:val="single" w:sz="8" w:color="auto"/>
            </w:tcBorders>
            <w:shd w:val="clear" w:color="auto" w:fill="000000"/>
          </w:tcPr>
          <w:p>
            <w:pPr>
              <w:spacing w:after="0"/>
              <w:rPr>
                <w:sz w:val="21"/>
                <w:szCs w:val="21"/>
                <w:color w:val="auto"/>
              </w:rPr>
            </w:pPr>
          </w:p>
        </w:tc>
        <w:tc>
          <w:tcPr>
            <w:tcW w:w="60" w:type="dxa"/>
            <w:vAlign w:val="bottom"/>
            <w:tcBorders>
              <w:bottom w:val="single" w:sz="8" w:color="335EAA"/>
            </w:tcBorders>
            <w:shd w:val="clear" w:color="auto" w:fill="000000"/>
          </w:tcPr>
          <w:p>
            <w:pPr>
              <w:spacing w:after="0"/>
              <w:rPr>
                <w:sz w:val="21"/>
                <w:szCs w:val="21"/>
                <w:color w:val="auto"/>
              </w:rPr>
            </w:pPr>
          </w:p>
        </w:tc>
        <w:tc>
          <w:tcPr>
            <w:tcW w:w="60" w:type="dxa"/>
            <w:vAlign w:val="bottom"/>
            <w:tcBorders>
              <w:bottom w:val="single" w:sz="8" w:color="335EAA"/>
            </w:tcBorders>
            <w:shd w:val="clear" w:color="auto" w:fill="000000"/>
          </w:tcPr>
          <w:p>
            <w:pPr>
              <w:spacing w:after="0"/>
              <w:rPr>
                <w:sz w:val="21"/>
                <w:szCs w:val="21"/>
                <w:color w:val="auto"/>
              </w:rPr>
            </w:pPr>
          </w:p>
        </w:tc>
        <w:tc>
          <w:tcPr>
            <w:tcW w:w="240" w:type="dxa"/>
            <w:vAlign w:val="bottom"/>
            <w:tcBorders>
              <w:bottom w:val="single" w:sz="8" w:color="auto"/>
            </w:tcBorders>
            <w:shd w:val="clear" w:color="auto" w:fill="000000"/>
          </w:tcPr>
          <w:p>
            <w:pPr>
              <w:spacing w:after="0"/>
              <w:rPr>
                <w:sz w:val="21"/>
                <w:szCs w:val="21"/>
                <w:color w:val="auto"/>
              </w:rPr>
            </w:pPr>
          </w:p>
        </w:tc>
        <w:tc>
          <w:tcPr>
            <w:tcW w:w="1000" w:type="dxa"/>
            <w:vAlign w:val="bottom"/>
            <w:tcBorders>
              <w:bottom w:val="single" w:sz="8" w:color="auto"/>
            </w:tcBorders>
            <w:gridSpan w:val="3"/>
            <w:shd w:val="clear" w:color="auto" w:fill="000000"/>
          </w:tcPr>
          <w:p>
            <w:pPr>
              <w:ind w:left="80"/>
              <w:spacing w:after="0"/>
              <w:rPr>
                <w:sz w:val="20"/>
                <w:szCs w:val="20"/>
                <w:color w:val="auto"/>
              </w:rPr>
            </w:pPr>
            <w:r>
              <w:rPr>
                <w:rFonts w:ascii="Arial" w:cs="Arial" w:eastAsia="Arial" w:hAnsi="Arial"/>
                <w:sz w:val="16"/>
                <w:szCs w:val="16"/>
                <w:color w:val="auto"/>
              </w:rPr>
              <w:t>S&amp;P 500</w:t>
            </w:r>
          </w:p>
        </w:tc>
        <w:tc>
          <w:tcPr>
            <w:tcW w:w="260" w:type="dxa"/>
            <w:vAlign w:val="bottom"/>
            <w:tcBorders>
              <w:bottom w:val="single" w:sz="8" w:color="auto"/>
            </w:tcBorders>
            <w:shd w:val="clear" w:color="auto" w:fill="000000"/>
          </w:tcPr>
          <w:p>
            <w:pPr>
              <w:spacing w:after="0"/>
              <w:rPr>
                <w:sz w:val="21"/>
                <w:szCs w:val="21"/>
                <w:color w:val="auto"/>
              </w:rPr>
            </w:pPr>
          </w:p>
        </w:tc>
        <w:tc>
          <w:tcPr>
            <w:tcW w:w="60" w:type="dxa"/>
            <w:vAlign w:val="bottom"/>
            <w:tcBorders>
              <w:bottom w:val="single" w:sz="8" w:color="auto"/>
            </w:tcBorders>
            <w:shd w:val="clear" w:color="auto" w:fill="000000"/>
          </w:tcPr>
          <w:p>
            <w:pPr>
              <w:spacing w:after="0"/>
              <w:rPr>
                <w:sz w:val="21"/>
                <w:szCs w:val="21"/>
                <w:color w:val="auto"/>
              </w:rPr>
            </w:pPr>
          </w:p>
        </w:tc>
        <w:tc>
          <w:tcPr>
            <w:tcW w:w="280" w:type="dxa"/>
            <w:vAlign w:val="bottom"/>
            <w:tcBorders>
              <w:bottom w:val="single" w:sz="8" w:color="auto"/>
            </w:tcBorders>
            <w:shd w:val="clear" w:color="auto" w:fill="000000"/>
          </w:tcPr>
          <w:p>
            <w:pPr>
              <w:spacing w:after="0"/>
              <w:rPr>
                <w:sz w:val="21"/>
                <w:szCs w:val="21"/>
                <w:color w:val="auto"/>
              </w:rPr>
            </w:pPr>
          </w:p>
        </w:tc>
        <w:tc>
          <w:tcPr>
            <w:tcW w:w="1600" w:type="dxa"/>
            <w:vAlign w:val="bottom"/>
            <w:tcBorders>
              <w:bottom w:val="single" w:sz="8" w:color="auto"/>
            </w:tcBorders>
            <w:gridSpan w:val="5"/>
            <w:shd w:val="clear" w:color="auto" w:fill="000000"/>
          </w:tcPr>
          <w:p>
            <w:pPr>
              <w:ind w:left="60"/>
              <w:spacing w:after="0"/>
              <w:rPr>
                <w:sz w:val="20"/>
                <w:szCs w:val="20"/>
                <w:color w:val="auto"/>
              </w:rPr>
            </w:pPr>
            <w:r>
              <w:rPr>
                <w:rFonts w:ascii="Arial" w:cs="Arial" w:eastAsia="Arial" w:hAnsi="Arial"/>
                <w:sz w:val="16"/>
                <w:szCs w:val="16"/>
                <w:color w:val="auto"/>
              </w:rPr>
              <w:t>NASDAQ Computer</w:t>
            </w: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62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42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48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46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1"/>
        </w:trPr>
        <w:tc>
          <w:tcPr>
            <w:tcW w:w="1040" w:type="dxa"/>
            <w:vAlign w:val="bottom"/>
          </w:tcPr>
          <w:p>
            <w:pPr>
              <w:ind w:left="60"/>
              <w:spacing w:after="0"/>
              <w:rPr>
                <w:sz w:val="20"/>
                <w:szCs w:val="20"/>
                <w:color w:val="auto"/>
              </w:rPr>
            </w:pPr>
            <w:r>
              <w:rPr>
                <w:rFonts w:ascii="Arial" w:cs="Arial" w:eastAsia="Arial" w:hAnsi="Arial"/>
                <w:sz w:val="14"/>
                <w:szCs w:val="14"/>
                <w:b w:val="1"/>
                <w:bCs w:val="1"/>
                <w:color w:val="auto"/>
              </w:rPr>
              <w:t>Company/</w:t>
            </w:r>
          </w:p>
        </w:tc>
        <w:tc>
          <w:tcPr>
            <w:tcW w:w="60" w:type="dxa"/>
            <w:vAlign w:val="bottom"/>
          </w:tcPr>
          <w:p>
            <w:pPr>
              <w:spacing w:after="0"/>
              <w:rPr>
                <w:sz w:val="24"/>
                <w:szCs w:val="2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Jul 26,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25"/>
              <w:spacing w:after="0"/>
              <w:rPr>
                <w:sz w:val="20"/>
                <w:szCs w:val="20"/>
                <w:color w:val="auto"/>
              </w:rPr>
            </w:pPr>
            <w:r>
              <w:rPr>
                <w:rFonts w:ascii="Arial" w:cs="Arial" w:eastAsia="Arial" w:hAnsi="Arial"/>
                <w:sz w:val="14"/>
                <w:szCs w:val="14"/>
                <w:b w:val="1"/>
                <w:bCs w:val="1"/>
                <w:color w:val="auto"/>
              </w:rPr>
              <w:t>Dec 31,</w:t>
            </w:r>
          </w:p>
        </w:tc>
        <w:tc>
          <w:tcPr>
            <w:tcW w:w="8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b w:val="1"/>
                <w:bCs w:val="1"/>
                <w:color w:val="auto"/>
              </w:rPr>
              <w:t>Jun 28,</w:t>
            </w:r>
          </w:p>
        </w:tc>
        <w:tc>
          <w:tcPr>
            <w:tcW w:w="8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Dec 31,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Jun 30,</w:t>
            </w:r>
          </w:p>
        </w:tc>
        <w:tc>
          <w:tcPr>
            <w:tcW w:w="6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 31,</w:t>
            </w:r>
          </w:p>
        </w:tc>
        <w:tc>
          <w:tcPr>
            <w:tcW w:w="6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Jun 30,</w:t>
            </w:r>
          </w:p>
        </w:tc>
        <w:tc>
          <w:tcPr>
            <w:tcW w:w="6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b w:val="1"/>
                <w:bCs w:val="1"/>
                <w:color w:val="auto"/>
              </w:rPr>
              <w:t>Dec 31,</w:t>
            </w:r>
          </w:p>
        </w:tc>
        <w:tc>
          <w:tcPr>
            <w:tcW w:w="6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Jun 30,</w:t>
            </w:r>
          </w:p>
        </w:tc>
        <w:tc>
          <w:tcPr>
            <w:tcW w:w="6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b w:val="1"/>
                <w:bCs w:val="1"/>
                <w:color w:val="auto"/>
              </w:rPr>
              <w:t>Dec 30,</w:t>
            </w:r>
          </w:p>
        </w:tc>
        <w:tc>
          <w:tcPr>
            <w:tcW w:w="0" w:type="dxa"/>
            <w:vAlign w:val="bottom"/>
          </w:tcPr>
          <w:p>
            <w:pPr>
              <w:spacing w:after="0"/>
              <w:rPr>
                <w:sz w:val="1"/>
                <w:szCs w:val="1"/>
                <w:color w:val="auto"/>
              </w:rPr>
            </w:pPr>
          </w:p>
        </w:tc>
      </w:tr>
      <w:tr>
        <w:trPr>
          <w:trHeight w:val="189"/>
        </w:trPr>
        <w:tc>
          <w:tcPr>
            <w:tcW w:w="1040" w:type="dxa"/>
            <w:vAlign w:val="bottom"/>
          </w:tcPr>
          <w:p>
            <w:pPr>
              <w:ind w:left="60"/>
              <w:spacing w:after="0"/>
              <w:rPr>
                <w:sz w:val="20"/>
                <w:szCs w:val="20"/>
                <w:color w:val="auto"/>
              </w:rPr>
            </w:pPr>
            <w:r>
              <w:rPr>
                <w:rFonts w:ascii="Arial" w:cs="Arial" w:eastAsia="Arial" w:hAnsi="Arial"/>
                <w:sz w:val="14"/>
                <w:szCs w:val="14"/>
                <w:b w:val="1"/>
                <w:bCs w:val="1"/>
                <w:color w:val="auto"/>
              </w:rPr>
              <w:t>Index</w:t>
            </w:r>
          </w:p>
        </w:tc>
        <w:tc>
          <w:tcPr>
            <w:tcW w:w="780" w:type="dxa"/>
            <w:vAlign w:val="bottom"/>
            <w:gridSpan w:val="4"/>
          </w:tcPr>
          <w:p>
            <w:pPr>
              <w:jc w:val="right"/>
              <w:ind w:right="140"/>
              <w:spacing w:after="0" w:line="189" w:lineRule="exact"/>
              <w:rPr>
                <w:sz w:val="20"/>
                <w:szCs w:val="20"/>
                <w:color w:val="auto"/>
              </w:rPr>
            </w:pPr>
            <w:r>
              <w:rPr>
                <w:rFonts w:ascii="Arial" w:cs="Arial" w:eastAsia="Arial" w:hAnsi="Arial"/>
                <w:sz w:val="14"/>
                <w:szCs w:val="14"/>
                <w:b w:val="1"/>
                <w:bCs w:val="1"/>
                <w:color w:val="auto"/>
              </w:rPr>
              <w:t>2018</w:t>
            </w:r>
            <w:r>
              <w:rPr>
                <w:rFonts w:ascii="Arial" w:cs="Arial" w:eastAsia="Arial" w:hAnsi="Arial"/>
                <w:sz w:val="18"/>
                <w:szCs w:val="18"/>
                <w:b w:val="1"/>
                <w:bCs w:val="1"/>
                <w:color w:val="auto"/>
                <w:vertAlign w:val="superscript"/>
              </w:rPr>
              <w:t>(1)</w:t>
            </w:r>
          </w:p>
        </w:tc>
        <w:tc>
          <w:tcPr>
            <w:tcW w:w="800" w:type="dxa"/>
            <w:vAlign w:val="bottom"/>
            <w:gridSpan w:val="3"/>
          </w:tcPr>
          <w:p>
            <w:pPr>
              <w:jc w:val="right"/>
              <w:ind w:right="125"/>
              <w:spacing w:after="0"/>
              <w:rPr>
                <w:sz w:val="20"/>
                <w:szCs w:val="20"/>
                <w:color w:val="auto"/>
              </w:rPr>
            </w:pPr>
            <w:r>
              <w:rPr>
                <w:rFonts w:ascii="Arial" w:cs="Arial" w:eastAsia="Arial" w:hAnsi="Arial"/>
                <w:sz w:val="14"/>
                <w:szCs w:val="14"/>
                <w:b w:val="1"/>
                <w:bCs w:val="1"/>
                <w:color w:val="auto"/>
              </w:rPr>
              <w:t>2018</w:t>
            </w:r>
          </w:p>
        </w:tc>
        <w:tc>
          <w:tcPr>
            <w:tcW w:w="8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7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8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7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7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2021</w:t>
            </w:r>
          </w:p>
        </w:tc>
        <w:tc>
          <w:tcPr>
            <w:tcW w:w="7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7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61"/>
        </w:trPr>
        <w:tc>
          <w:tcPr>
            <w:tcW w:w="1040" w:type="dxa"/>
            <w:vAlign w:val="bottom"/>
            <w:tcBorders>
              <w:top w:val="single" w:sz="8" w:color="auto"/>
            </w:tcBorders>
            <w:shd w:val="clear" w:color="auto" w:fill="D2EDF0"/>
          </w:tcPr>
          <w:p>
            <w:pPr>
              <w:ind w:left="60"/>
              <w:spacing w:after="0" w:line="161" w:lineRule="exact"/>
              <w:rPr>
                <w:sz w:val="20"/>
                <w:szCs w:val="20"/>
                <w:color w:val="auto"/>
              </w:rPr>
            </w:pPr>
            <w:r>
              <w:rPr>
                <w:rFonts w:ascii="Arial" w:cs="Arial" w:eastAsia="Arial" w:hAnsi="Arial"/>
                <w:sz w:val="16"/>
                <w:szCs w:val="16"/>
                <w:color w:val="auto"/>
              </w:rPr>
              <w:t>Tenable</w:t>
            </w:r>
          </w:p>
        </w:tc>
        <w:tc>
          <w:tcPr>
            <w:tcW w:w="60" w:type="dxa"/>
            <w:vAlign w:val="bottom"/>
            <w:tcBorders>
              <w:top w:val="single" w:sz="8" w:color="D2EDF0"/>
            </w:tcBorders>
            <w:shd w:val="clear" w:color="auto" w:fill="D2EDF0"/>
          </w:tcPr>
          <w:p>
            <w:pPr>
              <w:spacing w:after="0"/>
              <w:rPr>
                <w:sz w:val="14"/>
                <w:szCs w:val="14"/>
                <w:color w:val="auto"/>
              </w:rPr>
            </w:pPr>
          </w:p>
        </w:tc>
        <w:tc>
          <w:tcPr>
            <w:tcW w:w="180" w:type="dxa"/>
            <w:vAlign w:val="bottom"/>
            <w:tcBorders>
              <w:top w:val="single" w:sz="8" w:color="auto"/>
            </w:tcBorders>
            <w:shd w:val="clear" w:color="auto" w:fill="D2EDF0"/>
          </w:tcPr>
          <w:p>
            <w:pPr>
              <w:spacing w:after="0"/>
              <w:rPr>
                <w:sz w:val="14"/>
                <w:szCs w:val="14"/>
                <w:color w:val="auto"/>
              </w:rPr>
            </w:pPr>
          </w:p>
        </w:tc>
        <w:tc>
          <w:tcPr>
            <w:tcW w:w="120" w:type="dxa"/>
            <w:vAlign w:val="bottom"/>
            <w:tcBorders>
              <w:top w:val="single" w:sz="8" w:color="auto"/>
            </w:tcBorders>
            <w:shd w:val="clear" w:color="auto" w:fill="D2EDF0"/>
          </w:tcPr>
          <w:p>
            <w:pPr>
              <w:spacing w:after="0"/>
              <w:rPr>
                <w:sz w:val="14"/>
                <w:szCs w:val="14"/>
                <w:color w:val="auto"/>
              </w:rPr>
            </w:pPr>
          </w:p>
        </w:tc>
        <w:tc>
          <w:tcPr>
            <w:tcW w:w="420" w:type="dxa"/>
            <w:vAlign w:val="bottom"/>
            <w:tcBorders>
              <w:top w:val="single" w:sz="8" w:color="auto"/>
            </w:tcBorders>
            <w:shd w:val="clear" w:color="auto" w:fill="D2EDF0"/>
          </w:tcPr>
          <w:p>
            <w:pPr>
              <w:spacing w:after="0"/>
              <w:rPr>
                <w:sz w:val="14"/>
                <w:szCs w:val="14"/>
                <w:color w:val="auto"/>
              </w:rPr>
            </w:pPr>
          </w:p>
        </w:tc>
        <w:tc>
          <w:tcPr>
            <w:tcW w:w="80" w:type="dxa"/>
            <w:vAlign w:val="bottom"/>
            <w:tcBorders>
              <w:top w:val="single" w:sz="8" w:color="D2EDF0"/>
            </w:tcBorders>
            <w:shd w:val="clear" w:color="auto" w:fill="D2EDF0"/>
          </w:tcPr>
          <w:p>
            <w:pPr>
              <w:spacing w:after="0"/>
              <w:rPr>
                <w:sz w:val="14"/>
                <w:szCs w:val="14"/>
                <w:color w:val="auto"/>
              </w:rPr>
            </w:pPr>
          </w:p>
        </w:tc>
        <w:tc>
          <w:tcPr>
            <w:tcW w:w="100" w:type="dxa"/>
            <w:vAlign w:val="bottom"/>
            <w:tcBorders>
              <w:top w:val="single" w:sz="8" w:color="auto"/>
            </w:tcBorders>
            <w:shd w:val="clear" w:color="auto" w:fill="D2EDF0"/>
          </w:tcPr>
          <w:p>
            <w:pPr>
              <w:spacing w:after="0"/>
              <w:rPr>
                <w:sz w:val="14"/>
                <w:szCs w:val="14"/>
                <w:color w:val="auto"/>
              </w:rPr>
            </w:pPr>
          </w:p>
        </w:tc>
        <w:tc>
          <w:tcPr>
            <w:tcW w:w="620" w:type="dxa"/>
            <w:vAlign w:val="bottom"/>
            <w:tcBorders>
              <w:top w:val="single" w:sz="8" w:color="auto"/>
            </w:tcBorders>
            <w:shd w:val="clear" w:color="auto" w:fill="D2EDF0"/>
          </w:tcPr>
          <w:p>
            <w:pPr>
              <w:spacing w:after="0"/>
              <w:rPr>
                <w:sz w:val="14"/>
                <w:szCs w:val="14"/>
                <w:color w:val="auto"/>
              </w:rPr>
            </w:pPr>
          </w:p>
        </w:tc>
        <w:tc>
          <w:tcPr>
            <w:tcW w:w="80" w:type="dxa"/>
            <w:vAlign w:val="bottom"/>
            <w:tcBorders>
              <w:top w:val="single" w:sz="8" w:color="D2EDF0"/>
            </w:tcBorders>
            <w:shd w:val="clear" w:color="auto" w:fill="D2EDF0"/>
          </w:tcPr>
          <w:p>
            <w:pPr>
              <w:spacing w:after="0"/>
              <w:rPr>
                <w:sz w:val="14"/>
                <w:szCs w:val="14"/>
                <w:color w:val="auto"/>
              </w:rPr>
            </w:pPr>
          </w:p>
        </w:tc>
        <w:tc>
          <w:tcPr>
            <w:tcW w:w="720" w:type="dxa"/>
            <w:vAlign w:val="bottom"/>
            <w:tcBorders>
              <w:top w:val="single" w:sz="8" w:color="auto"/>
            </w:tcBorders>
            <w:shd w:val="clear" w:color="auto" w:fill="D2EDF0"/>
          </w:tcPr>
          <w:p>
            <w:pPr>
              <w:spacing w:after="0"/>
              <w:rPr>
                <w:sz w:val="14"/>
                <w:szCs w:val="14"/>
                <w:color w:val="auto"/>
              </w:rPr>
            </w:pPr>
          </w:p>
        </w:tc>
        <w:tc>
          <w:tcPr>
            <w:tcW w:w="80" w:type="dxa"/>
            <w:vAlign w:val="bottom"/>
            <w:tcBorders>
              <w:top w:val="single" w:sz="8" w:color="D2EDF0"/>
            </w:tcBorders>
            <w:shd w:val="clear" w:color="auto" w:fill="D2EDF0"/>
          </w:tcPr>
          <w:p>
            <w:pPr>
              <w:spacing w:after="0"/>
              <w:rPr>
                <w:sz w:val="14"/>
                <w:szCs w:val="14"/>
                <w:color w:val="auto"/>
              </w:rPr>
            </w:pPr>
          </w:p>
        </w:tc>
        <w:tc>
          <w:tcPr>
            <w:tcW w:w="420" w:type="dxa"/>
            <w:vAlign w:val="bottom"/>
            <w:tcBorders>
              <w:top w:val="single" w:sz="8" w:color="auto"/>
            </w:tcBorders>
            <w:shd w:val="clear" w:color="auto" w:fill="D2EDF0"/>
          </w:tcPr>
          <w:p>
            <w:pPr>
              <w:spacing w:after="0"/>
              <w:rPr>
                <w:sz w:val="14"/>
                <w:szCs w:val="14"/>
                <w:color w:val="auto"/>
              </w:rPr>
            </w:pPr>
          </w:p>
        </w:tc>
        <w:tc>
          <w:tcPr>
            <w:tcW w:w="240" w:type="dxa"/>
            <w:vAlign w:val="bottom"/>
            <w:tcBorders>
              <w:top w:val="single" w:sz="8" w:color="auto"/>
            </w:tcBorders>
            <w:shd w:val="clear" w:color="auto" w:fill="D2EDF0"/>
          </w:tcPr>
          <w:p>
            <w:pPr>
              <w:spacing w:after="0"/>
              <w:rPr>
                <w:sz w:val="14"/>
                <w:szCs w:val="14"/>
                <w:color w:val="auto"/>
              </w:rPr>
            </w:pPr>
          </w:p>
        </w:tc>
        <w:tc>
          <w:tcPr>
            <w:tcW w:w="60" w:type="dxa"/>
            <w:vAlign w:val="bottom"/>
            <w:tcBorders>
              <w:top w:val="single" w:sz="8" w:color="auto"/>
            </w:tcBorders>
            <w:shd w:val="clear" w:color="auto" w:fill="D2EDF0"/>
          </w:tcPr>
          <w:p>
            <w:pPr>
              <w:spacing w:after="0"/>
              <w:rPr>
                <w:sz w:val="14"/>
                <w:szCs w:val="14"/>
                <w:color w:val="auto"/>
              </w:rPr>
            </w:pPr>
          </w:p>
        </w:tc>
        <w:tc>
          <w:tcPr>
            <w:tcW w:w="60" w:type="dxa"/>
            <w:vAlign w:val="bottom"/>
            <w:tcBorders>
              <w:top w:val="single" w:sz="8" w:color="D2EDF0"/>
            </w:tcBorders>
            <w:shd w:val="clear" w:color="auto" w:fill="D2EDF0"/>
          </w:tcPr>
          <w:p>
            <w:pPr>
              <w:spacing w:after="0"/>
              <w:rPr>
                <w:sz w:val="14"/>
                <w:szCs w:val="14"/>
                <w:color w:val="auto"/>
              </w:rPr>
            </w:pPr>
          </w:p>
        </w:tc>
        <w:tc>
          <w:tcPr>
            <w:tcW w:w="240" w:type="dxa"/>
            <w:vAlign w:val="bottom"/>
            <w:tcBorders>
              <w:top w:val="single" w:sz="8" w:color="auto"/>
            </w:tcBorders>
            <w:shd w:val="clear" w:color="auto" w:fill="D2EDF0"/>
          </w:tcPr>
          <w:p>
            <w:pPr>
              <w:spacing w:after="0"/>
              <w:rPr>
                <w:sz w:val="14"/>
                <w:szCs w:val="14"/>
                <w:color w:val="auto"/>
              </w:rPr>
            </w:pPr>
          </w:p>
        </w:tc>
        <w:tc>
          <w:tcPr>
            <w:tcW w:w="480" w:type="dxa"/>
            <w:vAlign w:val="bottom"/>
            <w:tcBorders>
              <w:top w:val="single" w:sz="8" w:color="auto"/>
            </w:tcBorders>
            <w:shd w:val="clear" w:color="auto" w:fill="D2EDF0"/>
          </w:tcPr>
          <w:p>
            <w:pPr>
              <w:spacing w:after="0"/>
              <w:rPr>
                <w:sz w:val="14"/>
                <w:szCs w:val="14"/>
                <w:color w:val="auto"/>
              </w:rPr>
            </w:pPr>
          </w:p>
        </w:tc>
        <w:tc>
          <w:tcPr>
            <w:tcW w:w="60" w:type="dxa"/>
            <w:vAlign w:val="bottom"/>
            <w:tcBorders>
              <w:top w:val="single" w:sz="8" w:color="D2EDF0"/>
            </w:tcBorders>
            <w:shd w:val="clear" w:color="auto" w:fill="D2EDF0"/>
          </w:tcPr>
          <w:p>
            <w:pPr>
              <w:spacing w:after="0"/>
              <w:rPr>
                <w:sz w:val="14"/>
                <w:szCs w:val="14"/>
                <w:color w:val="auto"/>
              </w:rPr>
            </w:pPr>
          </w:p>
        </w:tc>
        <w:tc>
          <w:tcPr>
            <w:tcW w:w="460" w:type="dxa"/>
            <w:vAlign w:val="bottom"/>
            <w:tcBorders>
              <w:top w:val="single" w:sz="8" w:color="auto"/>
            </w:tcBorders>
            <w:shd w:val="clear" w:color="auto" w:fill="D2EDF0"/>
          </w:tcPr>
          <w:p>
            <w:pPr>
              <w:spacing w:after="0"/>
              <w:rPr>
                <w:sz w:val="14"/>
                <w:szCs w:val="14"/>
                <w:color w:val="auto"/>
              </w:rPr>
            </w:pPr>
          </w:p>
        </w:tc>
        <w:tc>
          <w:tcPr>
            <w:tcW w:w="260" w:type="dxa"/>
            <w:vAlign w:val="bottom"/>
            <w:tcBorders>
              <w:top w:val="single" w:sz="8" w:color="auto"/>
            </w:tcBorders>
            <w:shd w:val="clear" w:color="auto" w:fill="D2EDF0"/>
          </w:tcPr>
          <w:p>
            <w:pPr>
              <w:spacing w:after="0"/>
              <w:rPr>
                <w:sz w:val="14"/>
                <w:szCs w:val="14"/>
                <w:color w:val="auto"/>
              </w:rPr>
            </w:pPr>
          </w:p>
        </w:tc>
        <w:tc>
          <w:tcPr>
            <w:tcW w:w="60" w:type="dxa"/>
            <w:vAlign w:val="bottom"/>
            <w:tcBorders>
              <w:top w:val="single" w:sz="8" w:color="D2EDF0"/>
            </w:tcBorders>
            <w:shd w:val="clear" w:color="auto" w:fill="D2EDF0"/>
          </w:tcPr>
          <w:p>
            <w:pPr>
              <w:spacing w:after="0"/>
              <w:rPr>
                <w:sz w:val="14"/>
                <w:szCs w:val="14"/>
                <w:color w:val="auto"/>
              </w:rPr>
            </w:pPr>
          </w:p>
        </w:tc>
        <w:tc>
          <w:tcPr>
            <w:tcW w:w="280" w:type="dxa"/>
            <w:vAlign w:val="bottom"/>
            <w:tcBorders>
              <w:top w:val="single" w:sz="8" w:color="auto"/>
            </w:tcBorders>
            <w:shd w:val="clear" w:color="auto" w:fill="D2EDF0"/>
          </w:tcPr>
          <w:p>
            <w:pPr>
              <w:spacing w:after="0"/>
              <w:rPr>
                <w:sz w:val="14"/>
                <w:szCs w:val="14"/>
                <w:color w:val="auto"/>
              </w:rPr>
            </w:pPr>
          </w:p>
        </w:tc>
        <w:tc>
          <w:tcPr>
            <w:tcW w:w="440" w:type="dxa"/>
            <w:vAlign w:val="bottom"/>
            <w:tcBorders>
              <w:top w:val="single" w:sz="8" w:color="auto"/>
            </w:tcBorders>
            <w:shd w:val="clear" w:color="auto" w:fill="D2EDF0"/>
          </w:tcPr>
          <w:p>
            <w:pPr>
              <w:spacing w:after="0"/>
              <w:rPr>
                <w:sz w:val="14"/>
                <w:szCs w:val="14"/>
                <w:color w:val="auto"/>
              </w:rPr>
            </w:pPr>
          </w:p>
        </w:tc>
        <w:tc>
          <w:tcPr>
            <w:tcW w:w="60" w:type="dxa"/>
            <w:vAlign w:val="bottom"/>
            <w:tcBorders>
              <w:top w:val="single" w:sz="8" w:color="D2EDF0"/>
            </w:tcBorders>
            <w:shd w:val="clear" w:color="auto" w:fill="D2EDF0"/>
          </w:tcPr>
          <w:p>
            <w:pPr>
              <w:spacing w:after="0"/>
              <w:rPr>
                <w:sz w:val="14"/>
                <w:szCs w:val="14"/>
                <w:color w:val="auto"/>
              </w:rPr>
            </w:pPr>
          </w:p>
        </w:tc>
        <w:tc>
          <w:tcPr>
            <w:tcW w:w="720" w:type="dxa"/>
            <w:vAlign w:val="bottom"/>
            <w:tcBorders>
              <w:top w:val="single" w:sz="8" w:color="auto"/>
            </w:tcBorders>
            <w:shd w:val="clear" w:color="auto" w:fill="D2EDF0"/>
          </w:tcPr>
          <w:p>
            <w:pPr>
              <w:spacing w:after="0"/>
              <w:rPr>
                <w:sz w:val="14"/>
                <w:szCs w:val="14"/>
                <w:color w:val="auto"/>
              </w:rPr>
            </w:pPr>
          </w:p>
        </w:tc>
        <w:tc>
          <w:tcPr>
            <w:tcW w:w="60" w:type="dxa"/>
            <w:vAlign w:val="bottom"/>
            <w:tcBorders>
              <w:top w:val="single" w:sz="8" w:color="D2EDF0"/>
            </w:tcBorders>
            <w:shd w:val="clear" w:color="auto" w:fill="D2EDF0"/>
          </w:tcPr>
          <w:p>
            <w:pPr>
              <w:spacing w:after="0"/>
              <w:rPr>
                <w:sz w:val="14"/>
                <w:szCs w:val="14"/>
                <w:color w:val="auto"/>
              </w:rPr>
            </w:pPr>
          </w:p>
        </w:tc>
        <w:tc>
          <w:tcPr>
            <w:tcW w:w="320" w:type="dxa"/>
            <w:vAlign w:val="bottom"/>
            <w:tcBorders>
              <w:top w:val="single" w:sz="8" w:color="auto"/>
            </w:tcBorders>
            <w:shd w:val="clear" w:color="auto" w:fill="D2EDF0"/>
          </w:tcPr>
          <w:p>
            <w:pPr>
              <w:spacing w:after="0"/>
              <w:rPr>
                <w:sz w:val="14"/>
                <w:szCs w:val="14"/>
                <w:color w:val="auto"/>
              </w:rPr>
            </w:pPr>
          </w:p>
        </w:tc>
        <w:tc>
          <w:tcPr>
            <w:tcW w:w="400" w:type="dxa"/>
            <w:vAlign w:val="bottom"/>
            <w:tcBorders>
              <w:top w:val="single" w:sz="8" w:color="auto"/>
            </w:tcBorders>
            <w:shd w:val="clear" w:color="auto" w:fill="D2EDF0"/>
          </w:tcPr>
          <w:p>
            <w:pPr>
              <w:spacing w:after="0"/>
              <w:rPr>
                <w:sz w:val="14"/>
                <w:szCs w:val="14"/>
                <w:color w:val="auto"/>
              </w:rPr>
            </w:pPr>
          </w:p>
        </w:tc>
        <w:tc>
          <w:tcPr>
            <w:tcW w:w="60" w:type="dxa"/>
            <w:vAlign w:val="bottom"/>
            <w:tcBorders>
              <w:top w:val="single" w:sz="8" w:color="D2EDF0"/>
            </w:tcBorders>
            <w:shd w:val="clear" w:color="auto" w:fill="D2EDF0"/>
          </w:tcPr>
          <w:p>
            <w:pPr>
              <w:spacing w:after="0"/>
              <w:rPr>
                <w:sz w:val="14"/>
                <w:szCs w:val="14"/>
                <w:color w:val="auto"/>
              </w:rPr>
            </w:pPr>
          </w:p>
        </w:tc>
        <w:tc>
          <w:tcPr>
            <w:tcW w:w="720" w:type="dxa"/>
            <w:vAlign w:val="bottom"/>
            <w:tcBorders>
              <w:top w:val="single" w:sz="8" w:color="auto"/>
            </w:tcBorders>
            <w:shd w:val="clear" w:color="auto" w:fill="D2EDF0"/>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40" w:type="dxa"/>
            <w:vAlign w:val="bottom"/>
            <w:shd w:val="clear" w:color="auto" w:fill="D2EDF0"/>
          </w:tcPr>
          <w:p>
            <w:pPr>
              <w:ind w:left="60"/>
              <w:spacing w:after="0" w:line="160" w:lineRule="exact"/>
              <w:rPr>
                <w:sz w:val="20"/>
                <w:szCs w:val="20"/>
                <w:color w:val="auto"/>
              </w:rPr>
            </w:pPr>
            <w:r>
              <w:rPr>
                <w:rFonts w:ascii="Arial" w:cs="Arial" w:eastAsia="Arial" w:hAnsi="Arial"/>
                <w:sz w:val="16"/>
                <w:szCs w:val="16"/>
                <w:color w:val="auto"/>
              </w:rPr>
              <w:t>Holdings,</w:t>
            </w:r>
          </w:p>
        </w:tc>
        <w:tc>
          <w:tcPr>
            <w:tcW w:w="780" w:type="dxa"/>
            <w:vAlign w:val="bottom"/>
            <w:gridSpan w:val="4"/>
            <w:vMerge w:val="restart"/>
            <w:shd w:val="clear" w:color="auto" w:fill="D2EDF0"/>
          </w:tcPr>
          <w:p>
            <w:pPr>
              <w:jc w:val="right"/>
              <w:ind w:right="60"/>
              <w:spacing w:after="0"/>
              <w:rPr>
                <w:sz w:val="20"/>
                <w:szCs w:val="20"/>
                <w:color w:val="auto"/>
              </w:rPr>
            </w:pPr>
            <w:r>
              <w:rPr>
                <w:rFonts w:ascii="Arial" w:cs="Arial" w:eastAsia="Arial" w:hAnsi="Arial"/>
                <w:sz w:val="16"/>
                <w:szCs w:val="16"/>
                <w:color w:val="auto"/>
              </w:rPr>
              <w:t>$ 100.00</w:t>
            </w:r>
          </w:p>
        </w:tc>
        <w:tc>
          <w:tcPr>
            <w:tcW w:w="800" w:type="dxa"/>
            <w:vAlign w:val="bottom"/>
            <w:gridSpan w:val="3"/>
            <w:vMerge w:val="restart"/>
            <w:shd w:val="clear" w:color="auto" w:fill="D2EDF0"/>
          </w:tcPr>
          <w:p>
            <w:pPr>
              <w:jc w:val="right"/>
              <w:spacing w:after="0"/>
              <w:rPr>
                <w:sz w:val="20"/>
                <w:szCs w:val="20"/>
                <w:color w:val="auto"/>
              </w:rPr>
            </w:pPr>
            <w:r>
              <w:rPr>
                <w:rFonts w:ascii="Arial" w:cs="Arial" w:eastAsia="Arial" w:hAnsi="Arial"/>
                <w:sz w:val="16"/>
                <w:szCs w:val="16"/>
                <w:color w:val="auto"/>
              </w:rPr>
              <w:t>$  73.36</w:t>
            </w:r>
          </w:p>
        </w:tc>
        <w:tc>
          <w:tcPr>
            <w:tcW w:w="800" w:type="dxa"/>
            <w:vAlign w:val="bottom"/>
            <w:gridSpan w:val="2"/>
            <w:vMerge w:val="restart"/>
            <w:shd w:val="clear" w:color="auto" w:fill="D2EDF0"/>
          </w:tcPr>
          <w:p>
            <w:pPr>
              <w:jc w:val="right"/>
              <w:spacing w:after="0"/>
              <w:rPr>
                <w:sz w:val="20"/>
                <w:szCs w:val="20"/>
                <w:color w:val="auto"/>
              </w:rPr>
            </w:pPr>
            <w:r>
              <w:rPr>
                <w:rFonts w:ascii="Arial" w:cs="Arial" w:eastAsia="Arial" w:hAnsi="Arial"/>
                <w:sz w:val="16"/>
                <w:szCs w:val="16"/>
                <w:color w:val="auto"/>
              </w:rPr>
              <w:t>$  94.35</w:t>
            </w:r>
          </w:p>
        </w:tc>
        <w:tc>
          <w:tcPr>
            <w:tcW w:w="740" w:type="dxa"/>
            <w:vAlign w:val="bottom"/>
            <w:gridSpan w:val="3"/>
            <w:vMerge w:val="restart"/>
            <w:shd w:val="clear" w:color="auto" w:fill="D2EDF0"/>
          </w:tcPr>
          <w:p>
            <w:pPr>
              <w:jc w:val="right"/>
              <w:ind w:right="20"/>
              <w:spacing w:after="0"/>
              <w:rPr>
                <w:sz w:val="20"/>
                <w:szCs w:val="20"/>
                <w:color w:val="auto"/>
              </w:rPr>
            </w:pPr>
            <w:r>
              <w:rPr>
                <w:rFonts w:ascii="Arial" w:cs="Arial" w:eastAsia="Arial" w:hAnsi="Arial"/>
                <w:sz w:val="16"/>
                <w:szCs w:val="16"/>
                <w:color w:val="auto"/>
              </w:rPr>
              <w:t>$  79.21</w:t>
            </w:r>
          </w:p>
        </w:tc>
        <w:tc>
          <w:tcPr>
            <w:tcW w:w="840" w:type="dxa"/>
            <w:vAlign w:val="bottom"/>
            <w:gridSpan w:val="4"/>
            <w:vMerge w:val="restart"/>
            <w:shd w:val="clear" w:color="auto" w:fill="D2EDF0"/>
          </w:tcPr>
          <w:p>
            <w:pPr>
              <w:jc w:val="right"/>
              <w:spacing w:after="0"/>
              <w:rPr>
                <w:sz w:val="20"/>
                <w:szCs w:val="20"/>
                <w:color w:val="auto"/>
              </w:rPr>
            </w:pPr>
            <w:r>
              <w:rPr>
                <w:rFonts w:ascii="Arial" w:cs="Arial" w:eastAsia="Arial" w:hAnsi="Arial"/>
                <w:sz w:val="16"/>
                <w:szCs w:val="16"/>
                <w:color w:val="auto"/>
              </w:rPr>
              <w:t>$  98.55</w:t>
            </w:r>
          </w:p>
        </w:tc>
        <w:tc>
          <w:tcPr>
            <w:tcW w:w="780" w:type="dxa"/>
            <w:vAlign w:val="bottom"/>
            <w:gridSpan w:val="3"/>
            <w:vMerge w:val="restart"/>
            <w:shd w:val="clear" w:color="auto" w:fill="D2EDF0"/>
          </w:tcPr>
          <w:p>
            <w:pPr>
              <w:jc w:val="right"/>
              <w:ind w:right="60"/>
              <w:spacing w:after="0"/>
              <w:rPr>
                <w:sz w:val="20"/>
                <w:szCs w:val="20"/>
                <w:color w:val="auto"/>
              </w:rPr>
            </w:pPr>
            <w:r>
              <w:rPr>
                <w:rFonts w:ascii="Arial" w:cs="Arial" w:eastAsia="Arial" w:hAnsi="Arial"/>
                <w:sz w:val="16"/>
                <w:szCs w:val="16"/>
                <w:color w:val="auto"/>
              </w:rPr>
              <w:t>$ 172.76</w:t>
            </w:r>
          </w:p>
        </w:tc>
        <w:tc>
          <w:tcPr>
            <w:tcW w:w="780" w:type="dxa"/>
            <w:vAlign w:val="bottom"/>
            <w:gridSpan w:val="3"/>
            <w:vMerge w:val="restart"/>
            <w:shd w:val="clear" w:color="auto" w:fill="D2EDF0"/>
          </w:tcPr>
          <w:p>
            <w:pPr>
              <w:jc w:val="right"/>
              <w:spacing w:after="0"/>
              <w:rPr>
                <w:sz w:val="20"/>
                <w:szCs w:val="20"/>
                <w:color w:val="auto"/>
              </w:rPr>
            </w:pPr>
            <w:r>
              <w:rPr>
                <w:rFonts w:ascii="Arial" w:cs="Arial" w:eastAsia="Arial" w:hAnsi="Arial"/>
                <w:sz w:val="16"/>
                <w:szCs w:val="16"/>
                <w:color w:val="auto"/>
              </w:rPr>
              <w:t>$ 136.69</w:t>
            </w:r>
          </w:p>
        </w:tc>
        <w:tc>
          <w:tcPr>
            <w:tcW w:w="780" w:type="dxa"/>
            <w:vAlign w:val="bottom"/>
            <w:gridSpan w:val="2"/>
            <w:vMerge w:val="restart"/>
            <w:shd w:val="clear" w:color="auto" w:fill="D2EDF0"/>
          </w:tcPr>
          <w:p>
            <w:pPr>
              <w:jc w:val="right"/>
              <w:spacing w:after="0"/>
              <w:rPr>
                <w:sz w:val="20"/>
                <w:szCs w:val="20"/>
                <w:color w:val="auto"/>
              </w:rPr>
            </w:pPr>
            <w:r>
              <w:rPr>
                <w:rFonts w:ascii="Arial" w:cs="Arial" w:eastAsia="Arial" w:hAnsi="Arial"/>
                <w:sz w:val="16"/>
                <w:szCs w:val="16"/>
                <w:color w:val="auto"/>
              </w:rPr>
              <w:t>$ 182.05</w:t>
            </w:r>
          </w:p>
        </w:tc>
        <w:tc>
          <w:tcPr>
            <w:tcW w:w="780" w:type="dxa"/>
            <w:vAlign w:val="bottom"/>
            <w:gridSpan w:val="3"/>
            <w:vMerge w:val="restart"/>
            <w:shd w:val="clear" w:color="auto" w:fill="D2EDF0"/>
          </w:tcPr>
          <w:p>
            <w:pPr>
              <w:jc w:val="right"/>
              <w:ind w:right="60"/>
              <w:spacing w:after="0"/>
              <w:rPr>
                <w:sz w:val="20"/>
                <w:szCs w:val="20"/>
                <w:color w:val="auto"/>
              </w:rPr>
            </w:pPr>
            <w:r>
              <w:rPr>
                <w:rFonts w:ascii="Arial" w:cs="Arial" w:eastAsia="Arial" w:hAnsi="Arial"/>
                <w:sz w:val="16"/>
                <w:szCs w:val="16"/>
                <w:color w:val="auto"/>
              </w:rPr>
              <w:t>$ 150.12</w:t>
            </w:r>
          </w:p>
        </w:tc>
        <w:tc>
          <w:tcPr>
            <w:tcW w:w="780" w:type="dxa"/>
            <w:vAlign w:val="bottom"/>
            <w:gridSpan w:val="2"/>
            <w:vMerge w:val="restart"/>
            <w:shd w:val="clear" w:color="auto" w:fill="D2EDF0"/>
          </w:tcPr>
          <w:p>
            <w:pPr>
              <w:jc w:val="right"/>
              <w:spacing w:after="0"/>
              <w:rPr>
                <w:sz w:val="20"/>
                <w:szCs w:val="20"/>
                <w:color w:val="auto"/>
              </w:rPr>
            </w:pPr>
            <w:r>
              <w:rPr>
                <w:rFonts w:ascii="Arial" w:cs="Arial" w:eastAsia="Arial" w:hAnsi="Arial"/>
                <w:sz w:val="16"/>
                <w:szCs w:val="16"/>
                <w:color w:val="auto"/>
              </w:rPr>
              <w:t>$ 126.12</w:t>
            </w:r>
          </w:p>
        </w:tc>
        <w:tc>
          <w:tcPr>
            <w:tcW w:w="0" w:type="dxa"/>
            <w:vAlign w:val="bottom"/>
          </w:tcPr>
          <w:p>
            <w:pPr>
              <w:spacing w:after="0"/>
              <w:rPr>
                <w:sz w:val="1"/>
                <w:szCs w:val="1"/>
                <w:color w:val="auto"/>
              </w:rPr>
            </w:pPr>
          </w:p>
        </w:tc>
      </w:tr>
      <w:tr>
        <w:trPr>
          <w:trHeight w:val="224"/>
        </w:trPr>
        <w:tc>
          <w:tcPr>
            <w:tcW w:w="1040" w:type="dxa"/>
            <w:vAlign w:val="bottom"/>
            <w:shd w:val="clear" w:color="auto" w:fill="D2EDF0"/>
          </w:tcPr>
          <w:p>
            <w:pPr>
              <w:ind w:left="60"/>
              <w:spacing w:after="0"/>
              <w:rPr>
                <w:sz w:val="20"/>
                <w:szCs w:val="20"/>
                <w:color w:val="auto"/>
              </w:rPr>
            </w:pPr>
            <w:r>
              <w:rPr>
                <w:rFonts w:ascii="Arial" w:cs="Arial" w:eastAsia="Arial" w:hAnsi="Arial"/>
                <w:sz w:val="16"/>
                <w:szCs w:val="16"/>
                <w:color w:val="auto"/>
              </w:rPr>
              <w:t>Inc.</w:t>
            </w:r>
          </w:p>
        </w:tc>
        <w:tc>
          <w:tcPr>
            <w:tcW w:w="780" w:type="dxa"/>
            <w:vAlign w:val="bottom"/>
            <w:gridSpan w:val="4"/>
            <w:vMerge w:val="continue"/>
            <w:shd w:val="clear" w:color="auto" w:fill="D2EDF0"/>
          </w:tcPr>
          <w:p>
            <w:pPr>
              <w:spacing w:after="0"/>
              <w:rPr>
                <w:sz w:val="19"/>
                <w:szCs w:val="19"/>
                <w:color w:val="auto"/>
              </w:rPr>
            </w:pPr>
          </w:p>
        </w:tc>
        <w:tc>
          <w:tcPr>
            <w:tcW w:w="800" w:type="dxa"/>
            <w:vAlign w:val="bottom"/>
            <w:gridSpan w:val="3"/>
            <w:vMerge w:val="continue"/>
            <w:shd w:val="clear" w:color="auto" w:fill="D2EDF0"/>
          </w:tcPr>
          <w:p>
            <w:pPr>
              <w:spacing w:after="0"/>
              <w:rPr>
                <w:sz w:val="19"/>
                <w:szCs w:val="19"/>
                <w:color w:val="auto"/>
              </w:rPr>
            </w:pPr>
          </w:p>
        </w:tc>
        <w:tc>
          <w:tcPr>
            <w:tcW w:w="800" w:type="dxa"/>
            <w:vAlign w:val="bottom"/>
            <w:gridSpan w:val="2"/>
            <w:vMerge w:val="continue"/>
            <w:shd w:val="clear" w:color="auto" w:fill="D2EDF0"/>
          </w:tcPr>
          <w:p>
            <w:pPr>
              <w:spacing w:after="0"/>
              <w:rPr>
                <w:sz w:val="19"/>
                <w:szCs w:val="19"/>
                <w:color w:val="auto"/>
              </w:rPr>
            </w:pPr>
          </w:p>
        </w:tc>
        <w:tc>
          <w:tcPr>
            <w:tcW w:w="740" w:type="dxa"/>
            <w:vAlign w:val="bottom"/>
            <w:gridSpan w:val="3"/>
            <w:vMerge w:val="continue"/>
            <w:shd w:val="clear" w:color="auto" w:fill="D2EDF0"/>
          </w:tcPr>
          <w:p>
            <w:pPr>
              <w:spacing w:after="0"/>
              <w:rPr>
                <w:sz w:val="19"/>
                <w:szCs w:val="19"/>
                <w:color w:val="auto"/>
              </w:rPr>
            </w:pPr>
          </w:p>
        </w:tc>
        <w:tc>
          <w:tcPr>
            <w:tcW w:w="840" w:type="dxa"/>
            <w:vAlign w:val="bottom"/>
            <w:gridSpan w:val="4"/>
            <w:vMerge w:val="continue"/>
            <w:shd w:val="clear" w:color="auto" w:fill="D2EDF0"/>
          </w:tcPr>
          <w:p>
            <w:pPr>
              <w:spacing w:after="0"/>
              <w:rPr>
                <w:sz w:val="19"/>
                <w:szCs w:val="19"/>
                <w:color w:val="auto"/>
              </w:rPr>
            </w:pPr>
          </w:p>
        </w:tc>
        <w:tc>
          <w:tcPr>
            <w:tcW w:w="780" w:type="dxa"/>
            <w:vAlign w:val="bottom"/>
            <w:gridSpan w:val="3"/>
            <w:vMerge w:val="continue"/>
            <w:shd w:val="clear" w:color="auto" w:fill="D2EDF0"/>
          </w:tcPr>
          <w:p>
            <w:pPr>
              <w:spacing w:after="0"/>
              <w:rPr>
                <w:sz w:val="19"/>
                <w:szCs w:val="19"/>
                <w:color w:val="auto"/>
              </w:rPr>
            </w:pPr>
          </w:p>
        </w:tc>
        <w:tc>
          <w:tcPr>
            <w:tcW w:w="780" w:type="dxa"/>
            <w:vAlign w:val="bottom"/>
            <w:gridSpan w:val="3"/>
            <w:vMerge w:val="continue"/>
            <w:shd w:val="clear" w:color="auto" w:fill="D2EDF0"/>
          </w:tcPr>
          <w:p>
            <w:pPr>
              <w:spacing w:after="0"/>
              <w:rPr>
                <w:sz w:val="19"/>
                <w:szCs w:val="19"/>
                <w:color w:val="auto"/>
              </w:rPr>
            </w:pPr>
          </w:p>
        </w:tc>
        <w:tc>
          <w:tcPr>
            <w:tcW w:w="780" w:type="dxa"/>
            <w:vAlign w:val="bottom"/>
            <w:gridSpan w:val="2"/>
            <w:vMerge w:val="continue"/>
            <w:shd w:val="clear" w:color="auto" w:fill="D2EDF0"/>
          </w:tcPr>
          <w:p>
            <w:pPr>
              <w:spacing w:after="0"/>
              <w:rPr>
                <w:sz w:val="19"/>
                <w:szCs w:val="19"/>
                <w:color w:val="auto"/>
              </w:rPr>
            </w:pPr>
          </w:p>
        </w:tc>
        <w:tc>
          <w:tcPr>
            <w:tcW w:w="780" w:type="dxa"/>
            <w:vAlign w:val="bottom"/>
            <w:gridSpan w:val="3"/>
            <w:vMerge w:val="continue"/>
            <w:shd w:val="clear" w:color="auto" w:fill="D2EDF0"/>
          </w:tcPr>
          <w:p>
            <w:pPr>
              <w:spacing w:after="0"/>
              <w:rPr>
                <w:sz w:val="19"/>
                <w:szCs w:val="19"/>
                <w:color w:val="auto"/>
              </w:rPr>
            </w:pPr>
          </w:p>
        </w:tc>
        <w:tc>
          <w:tcPr>
            <w:tcW w:w="780" w:type="dxa"/>
            <w:vAlign w:val="bottom"/>
            <w:gridSpan w:val="2"/>
            <w:vMerge w:val="continue"/>
            <w:shd w:val="clear" w:color="auto" w:fill="D2EDF0"/>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040" w:type="dxa"/>
            <w:vAlign w:val="bottom"/>
          </w:tcPr>
          <w:p>
            <w:pPr>
              <w:ind w:left="60"/>
              <w:spacing w:after="0" w:line="181" w:lineRule="exact"/>
              <w:rPr>
                <w:sz w:val="20"/>
                <w:szCs w:val="20"/>
                <w:color w:val="auto"/>
              </w:rPr>
            </w:pPr>
            <w:r>
              <w:rPr>
                <w:rFonts w:ascii="Arial" w:cs="Arial" w:eastAsia="Arial" w:hAnsi="Arial"/>
                <w:sz w:val="16"/>
                <w:szCs w:val="16"/>
                <w:color w:val="auto"/>
              </w:rPr>
              <w:t>S&amp;P 500</w:t>
            </w:r>
          </w:p>
        </w:tc>
        <w:tc>
          <w:tcPr>
            <w:tcW w:w="780" w:type="dxa"/>
            <w:vAlign w:val="bottom"/>
            <w:gridSpan w:val="4"/>
            <w:vMerge w:val="restart"/>
          </w:tcPr>
          <w:p>
            <w:pPr>
              <w:jc w:val="right"/>
              <w:ind w:right="60"/>
              <w:spacing w:after="0"/>
              <w:rPr>
                <w:sz w:val="20"/>
                <w:szCs w:val="20"/>
                <w:color w:val="auto"/>
              </w:rPr>
            </w:pPr>
            <w:r>
              <w:rPr>
                <w:rFonts w:ascii="Arial" w:cs="Arial" w:eastAsia="Arial" w:hAnsi="Arial"/>
                <w:sz w:val="16"/>
                <w:szCs w:val="16"/>
                <w:color w:val="auto"/>
              </w:rPr>
              <w:t>100.00</w:t>
            </w:r>
          </w:p>
        </w:tc>
        <w:tc>
          <w:tcPr>
            <w:tcW w:w="800" w:type="dxa"/>
            <w:vAlign w:val="bottom"/>
            <w:gridSpan w:val="3"/>
            <w:vMerge w:val="restart"/>
          </w:tcPr>
          <w:p>
            <w:pPr>
              <w:jc w:val="right"/>
              <w:spacing w:after="0"/>
              <w:rPr>
                <w:sz w:val="20"/>
                <w:szCs w:val="20"/>
                <w:color w:val="auto"/>
              </w:rPr>
            </w:pPr>
            <w:r>
              <w:rPr>
                <w:rFonts w:ascii="Arial" w:cs="Arial" w:eastAsia="Arial" w:hAnsi="Arial"/>
                <w:sz w:val="16"/>
                <w:szCs w:val="16"/>
                <w:color w:val="auto"/>
              </w:rPr>
              <w:t>88.35</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103.68</w:t>
            </w:r>
          </w:p>
        </w:tc>
        <w:tc>
          <w:tcPr>
            <w:tcW w:w="74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113.86</w:t>
            </w:r>
          </w:p>
        </w:tc>
        <w:tc>
          <w:tcPr>
            <w:tcW w:w="840" w:type="dxa"/>
            <w:vAlign w:val="bottom"/>
            <w:gridSpan w:val="4"/>
            <w:vMerge w:val="restart"/>
          </w:tcPr>
          <w:p>
            <w:pPr>
              <w:jc w:val="right"/>
              <w:spacing w:after="0"/>
              <w:rPr>
                <w:sz w:val="20"/>
                <w:szCs w:val="20"/>
                <w:color w:val="auto"/>
              </w:rPr>
            </w:pPr>
            <w:r>
              <w:rPr>
                <w:rFonts w:ascii="Arial" w:cs="Arial" w:eastAsia="Arial" w:hAnsi="Arial"/>
                <w:sz w:val="16"/>
                <w:szCs w:val="16"/>
                <w:color w:val="auto"/>
              </w:rPr>
              <w:t>109.26</w:t>
            </w:r>
          </w:p>
        </w:tc>
        <w:tc>
          <w:tcPr>
            <w:tcW w:w="78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132.38</w:t>
            </w:r>
          </w:p>
        </w:tc>
        <w:tc>
          <w:tcPr>
            <w:tcW w:w="780" w:type="dxa"/>
            <w:vAlign w:val="bottom"/>
            <w:gridSpan w:val="3"/>
            <w:vMerge w:val="restart"/>
          </w:tcPr>
          <w:p>
            <w:pPr>
              <w:jc w:val="right"/>
              <w:spacing w:after="0"/>
              <w:rPr>
                <w:sz w:val="20"/>
                <w:szCs w:val="20"/>
                <w:color w:val="auto"/>
              </w:rPr>
            </w:pPr>
            <w:r>
              <w:rPr>
                <w:rFonts w:ascii="Arial" w:cs="Arial" w:eastAsia="Arial" w:hAnsi="Arial"/>
                <w:sz w:val="16"/>
                <w:szCs w:val="16"/>
                <w:color w:val="auto"/>
              </w:rPr>
              <w:t>151.46</w:t>
            </w:r>
          </w:p>
        </w:tc>
        <w:tc>
          <w:tcPr>
            <w:tcW w:w="780" w:type="dxa"/>
            <w:vAlign w:val="bottom"/>
            <w:gridSpan w:val="2"/>
            <w:vMerge w:val="restart"/>
          </w:tcPr>
          <w:p>
            <w:pPr>
              <w:jc w:val="right"/>
              <w:spacing w:after="0"/>
              <w:rPr>
                <w:sz w:val="20"/>
                <w:szCs w:val="20"/>
                <w:color w:val="auto"/>
              </w:rPr>
            </w:pPr>
            <w:r>
              <w:rPr>
                <w:rFonts w:ascii="Arial" w:cs="Arial" w:eastAsia="Arial" w:hAnsi="Arial"/>
                <w:sz w:val="16"/>
                <w:szCs w:val="16"/>
                <w:color w:val="auto"/>
              </w:rPr>
              <w:t>167.97</w:t>
            </w:r>
          </w:p>
        </w:tc>
        <w:tc>
          <w:tcPr>
            <w:tcW w:w="78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133.41</w:t>
            </w:r>
          </w:p>
        </w:tc>
        <w:tc>
          <w:tcPr>
            <w:tcW w:w="780" w:type="dxa"/>
            <w:vAlign w:val="bottom"/>
            <w:gridSpan w:val="2"/>
            <w:vMerge w:val="restart"/>
          </w:tcPr>
          <w:p>
            <w:pPr>
              <w:jc w:val="right"/>
              <w:spacing w:after="0"/>
              <w:rPr>
                <w:sz w:val="20"/>
                <w:szCs w:val="20"/>
                <w:color w:val="auto"/>
              </w:rPr>
            </w:pPr>
            <w:r>
              <w:rPr>
                <w:rFonts w:ascii="Arial" w:cs="Arial" w:eastAsia="Arial" w:hAnsi="Arial"/>
                <w:sz w:val="16"/>
                <w:szCs w:val="16"/>
                <w:color w:val="auto"/>
              </w:rPr>
              <w:t>135.32</w:t>
            </w:r>
          </w:p>
        </w:tc>
        <w:tc>
          <w:tcPr>
            <w:tcW w:w="0" w:type="dxa"/>
            <w:vAlign w:val="bottom"/>
          </w:tcPr>
          <w:p>
            <w:pPr>
              <w:spacing w:after="0"/>
              <w:rPr>
                <w:sz w:val="1"/>
                <w:szCs w:val="1"/>
                <w:color w:val="auto"/>
              </w:rPr>
            </w:pPr>
          </w:p>
        </w:tc>
      </w:tr>
      <w:tr>
        <w:trPr>
          <w:trHeight w:val="217"/>
        </w:trPr>
        <w:tc>
          <w:tcPr>
            <w:tcW w:w="1040" w:type="dxa"/>
            <w:vAlign w:val="bottom"/>
          </w:tcPr>
          <w:p>
            <w:pPr>
              <w:ind w:left="60"/>
              <w:spacing w:after="0"/>
              <w:rPr>
                <w:sz w:val="20"/>
                <w:szCs w:val="20"/>
                <w:color w:val="auto"/>
              </w:rPr>
            </w:pPr>
            <w:r>
              <w:rPr>
                <w:rFonts w:ascii="Arial" w:cs="Arial" w:eastAsia="Arial" w:hAnsi="Arial"/>
                <w:sz w:val="16"/>
                <w:szCs w:val="16"/>
                <w:color w:val="auto"/>
              </w:rPr>
              <w:t>Index</w:t>
            </w:r>
          </w:p>
        </w:tc>
        <w:tc>
          <w:tcPr>
            <w:tcW w:w="780" w:type="dxa"/>
            <w:vAlign w:val="bottom"/>
            <w:gridSpan w:val="4"/>
            <w:vMerge w:val="continue"/>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840" w:type="dxa"/>
            <w:vAlign w:val="bottom"/>
            <w:gridSpan w:val="4"/>
            <w:vMerge w:val="continue"/>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040" w:type="dxa"/>
            <w:vAlign w:val="bottom"/>
            <w:shd w:val="clear" w:color="auto" w:fill="D2EDF0"/>
          </w:tcPr>
          <w:p>
            <w:pPr>
              <w:ind w:left="60"/>
              <w:spacing w:after="0" w:line="178" w:lineRule="exact"/>
              <w:rPr>
                <w:sz w:val="20"/>
                <w:szCs w:val="20"/>
                <w:color w:val="auto"/>
              </w:rPr>
            </w:pPr>
            <w:r>
              <w:rPr>
                <w:rFonts w:ascii="Arial" w:cs="Arial" w:eastAsia="Arial" w:hAnsi="Arial"/>
                <w:sz w:val="16"/>
                <w:szCs w:val="16"/>
                <w:color w:val="auto"/>
              </w:rPr>
              <w:t>NASDAQ</w:t>
            </w:r>
          </w:p>
        </w:tc>
        <w:tc>
          <w:tcPr>
            <w:tcW w:w="60" w:type="dxa"/>
            <w:vAlign w:val="bottom"/>
            <w:shd w:val="clear" w:color="auto" w:fill="D2EDF0"/>
          </w:tcPr>
          <w:p>
            <w:pPr>
              <w:spacing w:after="0"/>
              <w:rPr>
                <w:sz w:val="15"/>
                <w:szCs w:val="15"/>
                <w:color w:val="auto"/>
              </w:rPr>
            </w:pPr>
          </w:p>
        </w:tc>
        <w:tc>
          <w:tcPr>
            <w:tcW w:w="180" w:type="dxa"/>
            <w:vAlign w:val="bottom"/>
            <w:shd w:val="clear" w:color="auto" w:fill="D2EDF0"/>
          </w:tcPr>
          <w:p>
            <w:pPr>
              <w:spacing w:after="0"/>
              <w:rPr>
                <w:sz w:val="15"/>
                <w:szCs w:val="15"/>
                <w:color w:val="auto"/>
              </w:rPr>
            </w:pPr>
          </w:p>
        </w:tc>
        <w:tc>
          <w:tcPr>
            <w:tcW w:w="120" w:type="dxa"/>
            <w:vAlign w:val="bottom"/>
            <w:shd w:val="clear" w:color="auto" w:fill="D2EDF0"/>
          </w:tcPr>
          <w:p>
            <w:pPr>
              <w:spacing w:after="0"/>
              <w:rPr>
                <w:sz w:val="15"/>
                <w:szCs w:val="15"/>
                <w:color w:val="auto"/>
              </w:rPr>
            </w:pPr>
          </w:p>
        </w:tc>
        <w:tc>
          <w:tcPr>
            <w:tcW w:w="420" w:type="dxa"/>
            <w:vAlign w:val="bottom"/>
            <w:shd w:val="clear" w:color="auto" w:fill="D2EDF0"/>
          </w:tcPr>
          <w:p>
            <w:pPr>
              <w:spacing w:after="0"/>
              <w:rPr>
                <w:sz w:val="15"/>
                <w:szCs w:val="15"/>
                <w:color w:val="auto"/>
              </w:rPr>
            </w:pPr>
          </w:p>
        </w:tc>
        <w:tc>
          <w:tcPr>
            <w:tcW w:w="80" w:type="dxa"/>
            <w:vAlign w:val="bottom"/>
            <w:shd w:val="clear" w:color="auto" w:fill="D2EDF0"/>
          </w:tcPr>
          <w:p>
            <w:pPr>
              <w:spacing w:after="0"/>
              <w:rPr>
                <w:sz w:val="15"/>
                <w:szCs w:val="15"/>
                <w:color w:val="auto"/>
              </w:rPr>
            </w:pPr>
          </w:p>
        </w:tc>
        <w:tc>
          <w:tcPr>
            <w:tcW w:w="100" w:type="dxa"/>
            <w:vAlign w:val="bottom"/>
            <w:shd w:val="clear" w:color="auto" w:fill="D2EDF0"/>
          </w:tcPr>
          <w:p>
            <w:pPr>
              <w:spacing w:after="0"/>
              <w:rPr>
                <w:sz w:val="15"/>
                <w:szCs w:val="15"/>
                <w:color w:val="auto"/>
              </w:rPr>
            </w:pPr>
          </w:p>
        </w:tc>
        <w:tc>
          <w:tcPr>
            <w:tcW w:w="620" w:type="dxa"/>
            <w:vAlign w:val="bottom"/>
            <w:shd w:val="clear" w:color="auto" w:fill="D2EDF0"/>
          </w:tcPr>
          <w:p>
            <w:pPr>
              <w:spacing w:after="0"/>
              <w:rPr>
                <w:sz w:val="15"/>
                <w:szCs w:val="15"/>
                <w:color w:val="auto"/>
              </w:rPr>
            </w:pPr>
          </w:p>
        </w:tc>
        <w:tc>
          <w:tcPr>
            <w:tcW w:w="80" w:type="dxa"/>
            <w:vAlign w:val="bottom"/>
            <w:shd w:val="clear" w:color="auto" w:fill="D2EDF0"/>
          </w:tcPr>
          <w:p>
            <w:pPr>
              <w:spacing w:after="0"/>
              <w:rPr>
                <w:sz w:val="15"/>
                <w:szCs w:val="15"/>
                <w:color w:val="auto"/>
              </w:rPr>
            </w:pPr>
          </w:p>
        </w:tc>
        <w:tc>
          <w:tcPr>
            <w:tcW w:w="720" w:type="dxa"/>
            <w:vAlign w:val="bottom"/>
            <w:shd w:val="clear" w:color="auto" w:fill="D2EDF0"/>
          </w:tcPr>
          <w:p>
            <w:pPr>
              <w:spacing w:after="0"/>
              <w:rPr>
                <w:sz w:val="15"/>
                <w:szCs w:val="15"/>
                <w:color w:val="auto"/>
              </w:rPr>
            </w:pPr>
          </w:p>
        </w:tc>
        <w:tc>
          <w:tcPr>
            <w:tcW w:w="80" w:type="dxa"/>
            <w:vAlign w:val="bottom"/>
            <w:shd w:val="clear" w:color="auto" w:fill="D2EDF0"/>
          </w:tcPr>
          <w:p>
            <w:pPr>
              <w:spacing w:after="0"/>
              <w:rPr>
                <w:sz w:val="15"/>
                <w:szCs w:val="15"/>
                <w:color w:val="auto"/>
              </w:rPr>
            </w:pPr>
          </w:p>
        </w:tc>
        <w:tc>
          <w:tcPr>
            <w:tcW w:w="420" w:type="dxa"/>
            <w:vAlign w:val="bottom"/>
            <w:shd w:val="clear" w:color="auto" w:fill="D2EDF0"/>
          </w:tcPr>
          <w:p>
            <w:pPr>
              <w:spacing w:after="0"/>
              <w:rPr>
                <w:sz w:val="15"/>
                <w:szCs w:val="15"/>
                <w:color w:val="auto"/>
              </w:rPr>
            </w:pPr>
          </w:p>
        </w:tc>
        <w:tc>
          <w:tcPr>
            <w:tcW w:w="240" w:type="dxa"/>
            <w:vAlign w:val="bottom"/>
            <w:shd w:val="clear" w:color="auto" w:fill="D2EDF0"/>
          </w:tcPr>
          <w:p>
            <w:pPr>
              <w:spacing w:after="0"/>
              <w:rPr>
                <w:sz w:val="15"/>
                <w:szCs w:val="15"/>
                <w:color w:val="auto"/>
              </w:rPr>
            </w:pPr>
          </w:p>
        </w:tc>
        <w:tc>
          <w:tcPr>
            <w:tcW w:w="60" w:type="dxa"/>
            <w:vAlign w:val="bottom"/>
            <w:shd w:val="clear" w:color="auto" w:fill="D2EDF0"/>
          </w:tcPr>
          <w:p>
            <w:pPr>
              <w:spacing w:after="0"/>
              <w:rPr>
                <w:sz w:val="15"/>
                <w:szCs w:val="15"/>
                <w:color w:val="auto"/>
              </w:rPr>
            </w:pPr>
          </w:p>
        </w:tc>
        <w:tc>
          <w:tcPr>
            <w:tcW w:w="60" w:type="dxa"/>
            <w:vAlign w:val="bottom"/>
            <w:shd w:val="clear" w:color="auto" w:fill="D2EDF0"/>
          </w:tcPr>
          <w:p>
            <w:pPr>
              <w:spacing w:after="0"/>
              <w:rPr>
                <w:sz w:val="15"/>
                <w:szCs w:val="15"/>
                <w:color w:val="auto"/>
              </w:rPr>
            </w:pPr>
          </w:p>
        </w:tc>
        <w:tc>
          <w:tcPr>
            <w:tcW w:w="240" w:type="dxa"/>
            <w:vAlign w:val="bottom"/>
            <w:shd w:val="clear" w:color="auto" w:fill="D2EDF0"/>
          </w:tcPr>
          <w:p>
            <w:pPr>
              <w:spacing w:after="0"/>
              <w:rPr>
                <w:sz w:val="15"/>
                <w:szCs w:val="15"/>
                <w:color w:val="auto"/>
              </w:rPr>
            </w:pPr>
          </w:p>
        </w:tc>
        <w:tc>
          <w:tcPr>
            <w:tcW w:w="480" w:type="dxa"/>
            <w:vAlign w:val="bottom"/>
            <w:shd w:val="clear" w:color="auto" w:fill="D2EDF0"/>
          </w:tcPr>
          <w:p>
            <w:pPr>
              <w:spacing w:after="0"/>
              <w:rPr>
                <w:sz w:val="15"/>
                <w:szCs w:val="15"/>
                <w:color w:val="auto"/>
              </w:rPr>
            </w:pPr>
          </w:p>
        </w:tc>
        <w:tc>
          <w:tcPr>
            <w:tcW w:w="60" w:type="dxa"/>
            <w:vAlign w:val="bottom"/>
            <w:shd w:val="clear" w:color="auto" w:fill="D2EDF0"/>
          </w:tcPr>
          <w:p>
            <w:pPr>
              <w:spacing w:after="0"/>
              <w:rPr>
                <w:sz w:val="15"/>
                <w:szCs w:val="15"/>
                <w:color w:val="auto"/>
              </w:rPr>
            </w:pPr>
          </w:p>
        </w:tc>
        <w:tc>
          <w:tcPr>
            <w:tcW w:w="460" w:type="dxa"/>
            <w:vAlign w:val="bottom"/>
            <w:shd w:val="clear" w:color="auto" w:fill="D2EDF0"/>
          </w:tcPr>
          <w:p>
            <w:pPr>
              <w:spacing w:after="0"/>
              <w:rPr>
                <w:sz w:val="15"/>
                <w:szCs w:val="15"/>
                <w:color w:val="auto"/>
              </w:rPr>
            </w:pPr>
          </w:p>
        </w:tc>
        <w:tc>
          <w:tcPr>
            <w:tcW w:w="260" w:type="dxa"/>
            <w:vAlign w:val="bottom"/>
            <w:shd w:val="clear" w:color="auto" w:fill="D2EDF0"/>
          </w:tcPr>
          <w:p>
            <w:pPr>
              <w:spacing w:after="0"/>
              <w:rPr>
                <w:sz w:val="15"/>
                <w:szCs w:val="15"/>
                <w:color w:val="auto"/>
              </w:rPr>
            </w:pPr>
          </w:p>
        </w:tc>
        <w:tc>
          <w:tcPr>
            <w:tcW w:w="60" w:type="dxa"/>
            <w:vAlign w:val="bottom"/>
            <w:shd w:val="clear" w:color="auto" w:fill="D2EDF0"/>
          </w:tcPr>
          <w:p>
            <w:pPr>
              <w:spacing w:after="0"/>
              <w:rPr>
                <w:sz w:val="15"/>
                <w:szCs w:val="15"/>
                <w:color w:val="auto"/>
              </w:rPr>
            </w:pPr>
          </w:p>
        </w:tc>
        <w:tc>
          <w:tcPr>
            <w:tcW w:w="280" w:type="dxa"/>
            <w:vAlign w:val="bottom"/>
            <w:shd w:val="clear" w:color="auto" w:fill="D2EDF0"/>
          </w:tcPr>
          <w:p>
            <w:pPr>
              <w:spacing w:after="0"/>
              <w:rPr>
                <w:sz w:val="15"/>
                <w:szCs w:val="15"/>
                <w:color w:val="auto"/>
              </w:rPr>
            </w:pPr>
          </w:p>
        </w:tc>
        <w:tc>
          <w:tcPr>
            <w:tcW w:w="440" w:type="dxa"/>
            <w:vAlign w:val="bottom"/>
            <w:shd w:val="clear" w:color="auto" w:fill="D2EDF0"/>
          </w:tcPr>
          <w:p>
            <w:pPr>
              <w:spacing w:after="0"/>
              <w:rPr>
                <w:sz w:val="15"/>
                <w:szCs w:val="15"/>
                <w:color w:val="auto"/>
              </w:rPr>
            </w:pPr>
          </w:p>
        </w:tc>
        <w:tc>
          <w:tcPr>
            <w:tcW w:w="60" w:type="dxa"/>
            <w:vAlign w:val="bottom"/>
            <w:shd w:val="clear" w:color="auto" w:fill="D2EDF0"/>
          </w:tcPr>
          <w:p>
            <w:pPr>
              <w:spacing w:after="0"/>
              <w:rPr>
                <w:sz w:val="15"/>
                <w:szCs w:val="15"/>
                <w:color w:val="auto"/>
              </w:rPr>
            </w:pPr>
          </w:p>
        </w:tc>
        <w:tc>
          <w:tcPr>
            <w:tcW w:w="720" w:type="dxa"/>
            <w:vAlign w:val="bottom"/>
            <w:shd w:val="clear" w:color="auto" w:fill="D2EDF0"/>
          </w:tcPr>
          <w:p>
            <w:pPr>
              <w:spacing w:after="0"/>
              <w:rPr>
                <w:sz w:val="15"/>
                <w:szCs w:val="15"/>
                <w:color w:val="auto"/>
              </w:rPr>
            </w:pPr>
          </w:p>
        </w:tc>
        <w:tc>
          <w:tcPr>
            <w:tcW w:w="60" w:type="dxa"/>
            <w:vAlign w:val="bottom"/>
            <w:shd w:val="clear" w:color="auto" w:fill="D2EDF0"/>
          </w:tcPr>
          <w:p>
            <w:pPr>
              <w:spacing w:after="0"/>
              <w:rPr>
                <w:sz w:val="15"/>
                <w:szCs w:val="15"/>
                <w:color w:val="auto"/>
              </w:rPr>
            </w:pPr>
          </w:p>
        </w:tc>
        <w:tc>
          <w:tcPr>
            <w:tcW w:w="320" w:type="dxa"/>
            <w:vAlign w:val="bottom"/>
            <w:shd w:val="clear" w:color="auto" w:fill="D2EDF0"/>
          </w:tcPr>
          <w:p>
            <w:pPr>
              <w:spacing w:after="0"/>
              <w:rPr>
                <w:sz w:val="15"/>
                <w:szCs w:val="15"/>
                <w:color w:val="auto"/>
              </w:rPr>
            </w:pPr>
          </w:p>
        </w:tc>
        <w:tc>
          <w:tcPr>
            <w:tcW w:w="400" w:type="dxa"/>
            <w:vAlign w:val="bottom"/>
            <w:shd w:val="clear" w:color="auto" w:fill="D2EDF0"/>
          </w:tcPr>
          <w:p>
            <w:pPr>
              <w:spacing w:after="0"/>
              <w:rPr>
                <w:sz w:val="15"/>
                <w:szCs w:val="15"/>
                <w:color w:val="auto"/>
              </w:rPr>
            </w:pPr>
          </w:p>
        </w:tc>
        <w:tc>
          <w:tcPr>
            <w:tcW w:w="60" w:type="dxa"/>
            <w:vAlign w:val="bottom"/>
            <w:shd w:val="clear" w:color="auto" w:fill="D2EDF0"/>
          </w:tcPr>
          <w:p>
            <w:pPr>
              <w:spacing w:after="0"/>
              <w:rPr>
                <w:sz w:val="15"/>
                <w:szCs w:val="15"/>
                <w:color w:val="auto"/>
              </w:rPr>
            </w:pPr>
          </w:p>
        </w:tc>
        <w:tc>
          <w:tcPr>
            <w:tcW w:w="720" w:type="dxa"/>
            <w:vAlign w:val="bottom"/>
            <w:shd w:val="clear" w:color="auto" w:fill="D2EDF0"/>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040" w:type="dxa"/>
            <w:vAlign w:val="bottom"/>
            <w:shd w:val="clear" w:color="auto" w:fill="D2EDF0"/>
          </w:tcPr>
          <w:p>
            <w:pPr>
              <w:ind w:left="60"/>
              <w:spacing w:after="0" w:line="160" w:lineRule="exact"/>
              <w:rPr>
                <w:sz w:val="20"/>
                <w:szCs w:val="20"/>
                <w:color w:val="auto"/>
              </w:rPr>
            </w:pPr>
            <w:r>
              <w:rPr>
                <w:rFonts w:ascii="Arial" w:cs="Arial" w:eastAsia="Arial" w:hAnsi="Arial"/>
                <w:sz w:val="16"/>
                <w:szCs w:val="16"/>
                <w:color w:val="auto"/>
              </w:rPr>
              <w:t>Computer</w:t>
            </w:r>
          </w:p>
        </w:tc>
        <w:tc>
          <w:tcPr>
            <w:tcW w:w="780" w:type="dxa"/>
            <w:vAlign w:val="bottom"/>
            <w:gridSpan w:val="4"/>
            <w:vMerge w:val="restart"/>
            <w:shd w:val="clear" w:color="auto" w:fill="D2EDF0"/>
          </w:tcPr>
          <w:p>
            <w:pPr>
              <w:jc w:val="right"/>
              <w:ind w:right="60"/>
              <w:spacing w:after="0"/>
              <w:rPr>
                <w:sz w:val="20"/>
                <w:szCs w:val="20"/>
                <w:color w:val="auto"/>
              </w:rPr>
            </w:pPr>
            <w:r>
              <w:rPr>
                <w:rFonts w:ascii="Arial" w:cs="Arial" w:eastAsia="Arial" w:hAnsi="Arial"/>
                <w:sz w:val="16"/>
                <w:szCs w:val="16"/>
                <w:color w:val="auto"/>
              </w:rPr>
              <w:t>100.00</w:t>
            </w:r>
          </w:p>
        </w:tc>
        <w:tc>
          <w:tcPr>
            <w:tcW w:w="800" w:type="dxa"/>
            <w:vAlign w:val="bottom"/>
            <w:gridSpan w:val="3"/>
            <w:vMerge w:val="restart"/>
            <w:shd w:val="clear" w:color="auto" w:fill="D2EDF0"/>
          </w:tcPr>
          <w:p>
            <w:pPr>
              <w:jc w:val="right"/>
              <w:spacing w:after="0"/>
              <w:rPr>
                <w:sz w:val="20"/>
                <w:szCs w:val="20"/>
                <w:color w:val="auto"/>
              </w:rPr>
            </w:pPr>
            <w:r>
              <w:rPr>
                <w:rFonts w:ascii="Arial" w:cs="Arial" w:eastAsia="Arial" w:hAnsi="Arial"/>
                <w:sz w:val="16"/>
                <w:szCs w:val="16"/>
                <w:color w:val="auto"/>
              </w:rPr>
              <w:t>83.01</w:t>
            </w:r>
          </w:p>
        </w:tc>
        <w:tc>
          <w:tcPr>
            <w:tcW w:w="800" w:type="dxa"/>
            <w:vAlign w:val="bottom"/>
            <w:gridSpan w:val="2"/>
            <w:vMerge w:val="restart"/>
            <w:shd w:val="clear" w:color="auto" w:fill="D2EDF0"/>
          </w:tcPr>
          <w:p>
            <w:pPr>
              <w:jc w:val="right"/>
              <w:spacing w:after="0"/>
              <w:rPr>
                <w:sz w:val="20"/>
                <w:szCs w:val="20"/>
                <w:color w:val="auto"/>
              </w:rPr>
            </w:pPr>
            <w:r>
              <w:rPr>
                <w:rFonts w:ascii="Arial" w:cs="Arial" w:eastAsia="Arial" w:hAnsi="Arial"/>
                <w:sz w:val="16"/>
                <w:szCs w:val="16"/>
                <w:color w:val="auto"/>
              </w:rPr>
              <w:t>102.35</w:t>
            </w:r>
          </w:p>
        </w:tc>
        <w:tc>
          <w:tcPr>
            <w:tcW w:w="740" w:type="dxa"/>
            <w:vAlign w:val="bottom"/>
            <w:gridSpan w:val="3"/>
            <w:vMerge w:val="restart"/>
            <w:shd w:val="clear" w:color="auto" w:fill="D2EDF0"/>
          </w:tcPr>
          <w:p>
            <w:pPr>
              <w:jc w:val="right"/>
              <w:ind w:right="20"/>
              <w:spacing w:after="0"/>
              <w:rPr>
                <w:sz w:val="20"/>
                <w:szCs w:val="20"/>
                <w:color w:val="auto"/>
              </w:rPr>
            </w:pPr>
            <w:r>
              <w:rPr>
                <w:rFonts w:ascii="Arial" w:cs="Arial" w:eastAsia="Arial" w:hAnsi="Arial"/>
                <w:sz w:val="16"/>
                <w:szCs w:val="16"/>
                <w:color w:val="auto"/>
              </w:rPr>
              <w:t>124.80</w:t>
            </w:r>
          </w:p>
        </w:tc>
        <w:tc>
          <w:tcPr>
            <w:tcW w:w="840" w:type="dxa"/>
            <w:vAlign w:val="bottom"/>
            <w:gridSpan w:val="4"/>
            <w:vMerge w:val="restart"/>
            <w:shd w:val="clear" w:color="auto" w:fill="D2EDF0"/>
          </w:tcPr>
          <w:p>
            <w:pPr>
              <w:jc w:val="right"/>
              <w:spacing w:after="0"/>
              <w:rPr>
                <w:sz w:val="20"/>
                <w:szCs w:val="20"/>
                <w:color w:val="auto"/>
              </w:rPr>
            </w:pPr>
            <w:r>
              <w:rPr>
                <w:rFonts w:ascii="Arial" w:cs="Arial" w:eastAsia="Arial" w:hAnsi="Arial"/>
                <w:sz w:val="16"/>
                <w:szCs w:val="16"/>
                <w:color w:val="auto"/>
              </w:rPr>
              <w:t>146.62</w:t>
            </w:r>
          </w:p>
        </w:tc>
        <w:tc>
          <w:tcPr>
            <w:tcW w:w="780" w:type="dxa"/>
            <w:vAlign w:val="bottom"/>
            <w:gridSpan w:val="3"/>
            <w:vMerge w:val="restart"/>
            <w:shd w:val="clear" w:color="auto" w:fill="D2EDF0"/>
          </w:tcPr>
          <w:p>
            <w:pPr>
              <w:jc w:val="right"/>
              <w:ind w:right="60"/>
              <w:spacing w:after="0"/>
              <w:rPr>
                <w:sz w:val="20"/>
                <w:szCs w:val="20"/>
                <w:color w:val="auto"/>
              </w:rPr>
            </w:pPr>
            <w:r>
              <w:rPr>
                <w:rFonts w:ascii="Arial" w:cs="Arial" w:eastAsia="Arial" w:hAnsi="Arial"/>
                <w:sz w:val="16"/>
                <w:szCs w:val="16"/>
                <w:color w:val="auto"/>
              </w:rPr>
              <w:t>187.18</w:t>
            </w:r>
          </w:p>
        </w:tc>
        <w:tc>
          <w:tcPr>
            <w:tcW w:w="780" w:type="dxa"/>
            <w:vAlign w:val="bottom"/>
            <w:gridSpan w:val="3"/>
            <w:vMerge w:val="restart"/>
            <w:shd w:val="clear" w:color="auto" w:fill="D2EDF0"/>
          </w:tcPr>
          <w:p>
            <w:pPr>
              <w:jc w:val="right"/>
              <w:spacing w:after="0"/>
              <w:rPr>
                <w:sz w:val="20"/>
                <w:szCs w:val="20"/>
                <w:color w:val="auto"/>
              </w:rPr>
            </w:pPr>
            <w:r>
              <w:rPr>
                <w:rFonts w:ascii="Arial" w:cs="Arial" w:eastAsia="Arial" w:hAnsi="Arial"/>
                <w:sz w:val="16"/>
                <w:szCs w:val="16"/>
                <w:color w:val="auto"/>
              </w:rPr>
              <w:t>220.44</w:t>
            </w:r>
          </w:p>
        </w:tc>
        <w:tc>
          <w:tcPr>
            <w:tcW w:w="780" w:type="dxa"/>
            <w:vAlign w:val="bottom"/>
            <w:gridSpan w:val="2"/>
            <w:vMerge w:val="restart"/>
            <w:shd w:val="clear" w:color="auto" w:fill="D2EDF0"/>
          </w:tcPr>
          <w:p>
            <w:pPr>
              <w:jc w:val="right"/>
              <w:spacing w:after="0"/>
              <w:rPr>
                <w:sz w:val="20"/>
                <w:szCs w:val="20"/>
                <w:color w:val="auto"/>
              </w:rPr>
            </w:pPr>
            <w:r>
              <w:rPr>
                <w:rFonts w:ascii="Arial" w:cs="Arial" w:eastAsia="Arial" w:hAnsi="Arial"/>
                <w:sz w:val="16"/>
                <w:szCs w:val="16"/>
                <w:color w:val="auto"/>
              </w:rPr>
              <w:t>258.04</w:t>
            </w:r>
          </w:p>
        </w:tc>
        <w:tc>
          <w:tcPr>
            <w:tcW w:w="780" w:type="dxa"/>
            <w:vAlign w:val="bottom"/>
            <w:gridSpan w:val="3"/>
            <w:vMerge w:val="restart"/>
            <w:shd w:val="clear" w:color="auto" w:fill="D2EDF0"/>
          </w:tcPr>
          <w:p>
            <w:pPr>
              <w:jc w:val="right"/>
              <w:ind w:right="60"/>
              <w:spacing w:after="0"/>
              <w:rPr>
                <w:sz w:val="20"/>
                <w:szCs w:val="20"/>
                <w:color w:val="auto"/>
              </w:rPr>
            </w:pPr>
            <w:r>
              <w:rPr>
                <w:rFonts w:ascii="Arial" w:cs="Arial" w:eastAsia="Arial" w:hAnsi="Arial"/>
                <w:sz w:val="16"/>
                <w:szCs w:val="16"/>
                <w:color w:val="auto"/>
              </w:rPr>
              <w:t>179.79</w:t>
            </w:r>
          </w:p>
        </w:tc>
        <w:tc>
          <w:tcPr>
            <w:tcW w:w="780" w:type="dxa"/>
            <w:vAlign w:val="bottom"/>
            <w:gridSpan w:val="2"/>
            <w:vMerge w:val="restart"/>
            <w:shd w:val="clear" w:color="auto" w:fill="D2EDF0"/>
          </w:tcPr>
          <w:p>
            <w:pPr>
              <w:jc w:val="right"/>
              <w:spacing w:after="0"/>
              <w:rPr>
                <w:sz w:val="20"/>
                <w:szCs w:val="20"/>
                <w:color w:val="auto"/>
              </w:rPr>
            </w:pPr>
            <w:r>
              <w:rPr>
                <w:rFonts w:ascii="Arial" w:cs="Arial" w:eastAsia="Arial" w:hAnsi="Arial"/>
                <w:sz w:val="16"/>
                <w:szCs w:val="16"/>
                <w:color w:val="auto"/>
              </w:rPr>
              <w:t>165.73</w:t>
            </w:r>
          </w:p>
        </w:tc>
        <w:tc>
          <w:tcPr>
            <w:tcW w:w="0" w:type="dxa"/>
            <w:vAlign w:val="bottom"/>
          </w:tcPr>
          <w:p>
            <w:pPr>
              <w:spacing w:after="0"/>
              <w:rPr>
                <w:sz w:val="1"/>
                <w:szCs w:val="1"/>
                <w:color w:val="auto"/>
              </w:rPr>
            </w:pPr>
          </w:p>
        </w:tc>
      </w:tr>
      <w:tr>
        <w:trPr>
          <w:trHeight w:val="224"/>
        </w:trPr>
        <w:tc>
          <w:tcPr>
            <w:tcW w:w="1040" w:type="dxa"/>
            <w:vAlign w:val="bottom"/>
            <w:shd w:val="clear" w:color="auto" w:fill="D2EDF0"/>
          </w:tcPr>
          <w:p>
            <w:pPr>
              <w:ind w:left="60"/>
              <w:spacing w:after="0"/>
              <w:rPr>
                <w:sz w:val="20"/>
                <w:szCs w:val="20"/>
                <w:color w:val="auto"/>
              </w:rPr>
            </w:pPr>
            <w:r>
              <w:rPr>
                <w:rFonts w:ascii="Arial" w:cs="Arial" w:eastAsia="Arial" w:hAnsi="Arial"/>
                <w:sz w:val="16"/>
                <w:szCs w:val="16"/>
                <w:color w:val="auto"/>
              </w:rPr>
              <w:t>Index</w:t>
            </w:r>
          </w:p>
        </w:tc>
        <w:tc>
          <w:tcPr>
            <w:tcW w:w="780" w:type="dxa"/>
            <w:vAlign w:val="bottom"/>
            <w:gridSpan w:val="4"/>
            <w:vMerge w:val="continue"/>
            <w:shd w:val="clear" w:color="auto" w:fill="D2EDF0"/>
          </w:tcPr>
          <w:p>
            <w:pPr>
              <w:spacing w:after="0"/>
              <w:rPr>
                <w:sz w:val="19"/>
                <w:szCs w:val="19"/>
                <w:color w:val="auto"/>
              </w:rPr>
            </w:pPr>
          </w:p>
        </w:tc>
        <w:tc>
          <w:tcPr>
            <w:tcW w:w="800" w:type="dxa"/>
            <w:vAlign w:val="bottom"/>
            <w:gridSpan w:val="3"/>
            <w:vMerge w:val="continue"/>
            <w:shd w:val="clear" w:color="auto" w:fill="D2EDF0"/>
          </w:tcPr>
          <w:p>
            <w:pPr>
              <w:spacing w:after="0"/>
              <w:rPr>
                <w:sz w:val="19"/>
                <w:szCs w:val="19"/>
                <w:color w:val="auto"/>
              </w:rPr>
            </w:pPr>
          </w:p>
        </w:tc>
        <w:tc>
          <w:tcPr>
            <w:tcW w:w="800" w:type="dxa"/>
            <w:vAlign w:val="bottom"/>
            <w:gridSpan w:val="2"/>
            <w:vMerge w:val="continue"/>
            <w:shd w:val="clear" w:color="auto" w:fill="D2EDF0"/>
          </w:tcPr>
          <w:p>
            <w:pPr>
              <w:spacing w:after="0"/>
              <w:rPr>
                <w:sz w:val="19"/>
                <w:szCs w:val="19"/>
                <w:color w:val="auto"/>
              </w:rPr>
            </w:pPr>
          </w:p>
        </w:tc>
        <w:tc>
          <w:tcPr>
            <w:tcW w:w="740" w:type="dxa"/>
            <w:vAlign w:val="bottom"/>
            <w:gridSpan w:val="3"/>
            <w:vMerge w:val="continue"/>
            <w:shd w:val="clear" w:color="auto" w:fill="D2EDF0"/>
          </w:tcPr>
          <w:p>
            <w:pPr>
              <w:spacing w:after="0"/>
              <w:rPr>
                <w:sz w:val="19"/>
                <w:szCs w:val="19"/>
                <w:color w:val="auto"/>
              </w:rPr>
            </w:pPr>
          </w:p>
        </w:tc>
        <w:tc>
          <w:tcPr>
            <w:tcW w:w="840" w:type="dxa"/>
            <w:vAlign w:val="bottom"/>
            <w:gridSpan w:val="4"/>
            <w:vMerge w:val="continue"/>
            <w:shd w:val="clear" w:color="auto" w:fill="D2EDF0"/>
          </w:tcPr>
          <w:p>
            <w:pPr>
              <w:spacing w:after="0"/>
              <w:rPr>
                <w:sz w:val="19"/>
                <w:szCs w:val="19"/>
                <w:color w:val="auto"/>
              </w:rPr>
            </w:pPr>
          </w:p>
        </w:tc>
        <w:tc>
          <w:tcPr>
            <w:tcW w:w="780" w:type="dxa"/>
            <w:vAlign w:val="bottom"/>
            <w:gridSpan w:val="3"/>
            <w:vMerge w:val="continue"/>
            <w:shd w:val="clear" w:color="auto" w:fill="D2EDF0"/>
          </w:tcPr>
          <w:p>
            <w:pPr>
              <w:spacing w:after="0"/>
              <w:rPr>
                <w:sz w:val="19"/>
                <w:szCs w:val="19"/>
                <w:color w:val="auto"/>
              </w:rPr>
            </w:pPr>
          </w:p>
        </w:tc>
        <w:tc>
          <w:tcPr>
            <w:tcW w:w="780" w:type="dxa"/>
            <w:vAlign w:val="bottom"/>
            <w:gridSpan w:val="3"/>
            <w:vMerge w:val="continue"/>
            <w:shd w:val="clear" w:color="auto" w:fill="D2EDF0"/>
          </w:tcPr>
          <w:p>
            <w:pPr>
              <w:spacing w:after="0"/>
              <w:rPr>
                <w:sz w:val="19"/>
                <w:szCs w:val="19"/>
                <w:color w:val="auto"/>
              </w:rPr>
            </w:pPr>
          </w:p>
        </w:tc>
        <w:tc>
          <w:tcPr>
            <w:tcW w:w="780" w:type="dxa"/>
            <w:vAlign w:val="bottom"/>
            <w:gridSpan w:val="2"/>
            <w:vMerge w:val="continue"/>
            <w:shd w:val="clear" w:color="auto" w:fill="D2EDF0"/>
          </w:tcPr>
          <w:p>
            <w:pPr>
              <w:spacing w:after="0"/>
              <w:rPr>
                <w:sz w:val="19"/>
                <w:szCs w:val="19"/>
                <w:color w:val="auto"/>
              </w:rPr>
            </w:pPr>
          </w:p>
        </w:tc>
        <w:tc>
          <w:tcPr>
            <w:tcW w:w="780" w:type="dxa"/>
            <w:vAlign w:val="bottom"/>
            <w:gridSpan w:val="3"/>
            <w:vMerge w:val="continue"/>
            <w:shd w:val="clear" w:color="auto" w:fill="D2EDF0"/>
          </w:tcPr>
          <w:p>
            <w:pPr>
              <w:spacing w:after="0"/>
              <w:rPr>
                <w:sz w:val="19"/>
                <w:szCs w:val="19"/>
                <w:color w:val="auto"/>
              </w:rPr>
            </w:pPr>
          </w:p>
        </w:tc>
        <w:tc>
          <w:tcPr>
            <w:tcW w:w="780" w:type="dxa"/>
            <w:vAlign w:val="bottom"/>
            <w:gridSpan w:val="2"/>
            <w:vMerge w:val="continue"/>
            <w:shd w:val="clear" w:color="auto" w:fill="D2EDF0"/>
          </w:tcPr>
          <w:p>
            <w:pPr>
              <w:spacing w:after="0"/>
              <w:rPr>
                <w:sz w:val="19"/>
                <w:szCs w:val="19"/>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ind w:left="720" w:hanging="720"/>
        <w:spacing w:after="0"/>
        <w:tabs>
          <w:tab w:leader="none" w:pos="7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Base period</w:t>
      </w:r>
    </w:p>
    <w:p>
      <w:pPr>
        <w:sectPr>
          <w:pgSz w:w="11880" w:h="15480" w:orient="portrait"/>
          <w:cols w:equalWidth="0" w:num="1">
            <w:col w:w="9180"/>
          </w:cols>
          <w:pgMar w:left="1260" w:top="1203" w:right="1440" w:bottom="1440" w:gutter="0" w:footer="0" w:header="0"/>
        </w:sectPr>
      </w:pPr>
    </w:p>
    <w:bookmarkStart w:id="214" w:name="page215"/>
    <w:bookmarkEnd w:id="214"/>
    <w:p>
      <w:pPr>
        <w:spacing w:after="0"/>
        <w:rPr>
          <w:sz w:val="20"/>
          <w:szCs w:val="20"/>
          <w:color w:val="auto"/>
        </w:rPr>
      </w:pPr>
      <w:r>
        <w:rPr>
          <w:rFonts w:ascii="Arial" w:cs="Arial" w:eastAsia="Arial" w:hAnsi="Arial"/>
          <w:sz w:val="29"/>
          <w:szCs w:val="29"/>
          <w:b w:val="1"/>
          <w:bCs w:val="1"/>
          <w:color w:val="175DA5"/>
        </w:rPr>
        <w:t>CORPORATE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20320</wp:posOffset>
            </wp:positionV>
            <wp:extent cx="6393180" cy="4763"/>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93180" cy="4763"/>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780" w:type="dxa"/>
            <w:vAlign w:val="bottom"/>
          </w:tcPr>
          <w:p>
            <w:pPr>
              <w:spacing w:after="0"/>
              <w:rPr>
                <w:sz w:val="20"/>
                <w:szCs w:val="20"/>
                <w:color w:val="auto"/>
              </w:rPr>
            </w:pPr>
            <w:r>
              <w:rPr>
                <w:rFonts w:ascii="Arial" w:cs="Arial" w:eastAsia="Arial" w:hAnsi="Arial"/>
                <w:sz w:val="24"/>
                <w:szCs w:val="24"/>
                <w:b w:val="1"/>
                <w:bCs w:val="1"/>
                <w:color w:val="00142F"/>
              </w:rPr>
              <w:t>Amit Yoran</w:t>
            </w:r>
          </w:p>
        </w:tc>
        <w:tc>
          <w:tcPr>
            <w:tcW w:w="3620" w:type="dxa"/>
            <w:vAlign w:val="bottom"/>
          </w:tcPr>
          <w:p>
            <w:pPr>
              <w:ind w:left="340"/>
              <w:spacing w:after="0"/>
              <w:rPr>
                <w:sz w:val="20"/>
                <w:szCs w:val="20"/>
                <w:color w:val="auto"/>
              </w:rPr>
            </w:pPr>
            <w:r>
              <w:rPr>
                <w:rFonts w:ascii="Arial" w:cs="Arial" w:eastAsia="Arial" w:hAnsi="Arial"/>
                <w:sz w:val="24"/>
                <w:szCs w:val="24"/>
                <w:b w:val="1"/>
                <w:bCs w:val="1"/>
                <w:color w:val="00142F"/>
              </w:rPr>
              <w:t>Mark Thurmond</w:t>
            </w:r>
          </w:p>
        </w:tc>
        <w:tc>
          <w:tcPr>
            <w:tcW w:w="0" w:type="dxa"/>
            <w:vAlign w:val="bottom"/>
          </w:tcPr>
          <w:p>
            <w:pPr>
              <w:spacing w:after="0"/>
              <w:rPr>
                <w:sz w:val="1"/>
                <w:szCs w:val="1"/>
                <w:color w:val="auto"/>
              </w:rPr>
            </w:pPr>
          </w:p>
        </w:tc>
      </w:tr>
      <w:tr>
        <w:trPr>
          <w:trHeight w:val="240"/>
        </w:trPr>
        <w:tc>
          <w:tcPr>
            <w:tcW w:w="3780" w:type="dxa"/>
            <w:vAlign w:val="bottom"/>
          </w:tcPr>
          <w:p>
            <w:pPr>
              <w:spacing w:after="0" w:line="240" w:lineRule="exact"/>
              <w:rPr>
                <w:sz w:val="20"/>
                <w:szCs w:val="20"/>
                <w:color w:val="auto"/>
              </w:rPr>
            </w:pPr>
            <w:r>
              <w:rPr>
                <w:rFonts w:ascii="Arial" w:cs="Arial" w:eastAsia="Arial" w:hAnsi="Arial"/>
                <w:sz w:val="22"/>
                <w:szCs w:val="22"/>
                <w:color w:val="00142F"/>
              </w:rPr>
              <w:t>Chief Executive Officer and</w:t>
            </w:r>
          </w:p>
        </w:tc>
        <w:tc>
          <w:tcPr>
            <w:tcW w:w="3620" w:type="dxa"/>
            <w:vAlign w:val="bottom"/>
          </w:tcPr>
          <w:p>
            <w:pPr>
              <w:ind w:left="340"/>
              <w:spacing w:after="0" w:line="240" w:lineRule="exact"/>
              <w:rPr>
                <w:sz w:val="20"/>
                <w:szCs w:val="20"/>
                <w:color w:val="auto"/>
              </w:rPr>
            </w:pPr>
            <w:r>
              <w:rPr>
                <w:rFonts w:ascii="Arial" w:cs="Arial" w:eastAsia="Arial" w:hAnsi="Arial"/>
                <w:sz w:val="22"/>
                <w:szCs w:val="22"/>
                <w:color w:val="00142F"/>
              </w:rPr>
              <w:t>Chief Operating Officer</w:t>
            </w:r>
          </w:p>
        </w:tc>
        <w:tc>
          <w:tcPr>
            <w:tcW w:w="0" w:type="dxa"/>
            <w:vAlign w:val="bottom"/>
          </w:tcPr>
          <w:p>
            <w:pPr>
              <w:spacing w:after="0"/>
              <w:rPr>
                <w:sz w:val="1"/>
                <w:szCs w:val="1"/>
                <w:color w:val="auto"/>
              </w:rPr>
            </w:pPr>
          </w:p>
        </w:tc>
      </w:tr>
      <w:tr>
        <w:trPr>
          <w:trHeight w:val="282"/>
        </w:trPr>
        <w:tc>
          <w:tcPr>
            <w:tcW w:w="3780" w:type="dxa"/>
            <w:vAlign w:val="bottom"/>
          </w:tcPr>
          <w:p>
            <w:pPr>
              <w:spacing w:after="0"/>
              <w:rPr>
                <w:sz w:val="20"/>
                <w:szCs w:val="20"/>
                <w:color w:val="auto"/>
              </w:rPr>
            </w:pPr>
            <w:r>
              <w:rPr>
                <w:rFonts w:ascii="Arial" w:cs="Arial" w:eastAsia="Arial" w:hAnsi="Arial"/>
                <w:sz w:val="22"/>
                <w:szCs w:val="22"/>
                <w:color w:val="00142F"/>
              </w:rPr>
              <w:t>Chairman of the Board of Directors</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780" w:type="dxa"/>
            <w:vAlign w:val="bottom"/>
            <w:vMerge w:val="restart"/>
          </w:tcPr>
          <w:p>
            <w:pPr>
              <w:spacing w:after="0"/>
              <w:rPr>
                <w:sz w:val="20"/>
                <w:szCs w:val="20"/>
                <w:color w:val="auto"/>
              </w:rPr>
            </w:pPr>
            <w:r>
              <w:rPr>
                <w:rFonts w:ascii="Arial" w:cs="Arial" w:eastAsia="Arial" w:hAnsi="Arial"/>
                <w:sz w:val="24"/>
                <w:szCs w:val="24"/>
                <w:b w:val="1"/>
                <w:bCs w:val="1"/>
                <w:color w:val="00142F"/>
              </w:rPr>
              <w:t>Bridgett P. Paradise</w:t>
            </w:r>
          </w:p>
        </w:tc>
        <w:tc>
          <w:tcPr>
            <w:tcW w:w="3620" w:type="dxa"/>
            <w:vAlign w:val="bottom"/>
          </w:tcPr>
          <w:p>
            <w:pPr>
              <w:ind w:left="340"/>
              <w:spacing w:after="0"/>
              <w:rPr>
                <w:sz w:val="20"/>
                <w:szCs w:val="20"/>
                <w:color w:val="auto"/>
              </w:rPr>
            </w:pPr>
            <w:r>
              <w:rPr>
                <w:rFonts w:ascii="Arial" w:cs="Arial" w:eastAsia="Arial" w:hAnsi="Arial"/>
                <w:sz w:val="24"/>
                <w:szCs w:val="24"/>
                <w:b w:val="1"/>
                <w:bCs w:val="1"/>
                <w:color w:val="00142F"/>
              </w:rPr>
              <w:t>Stephen A. Vintz</w:t>
            </w:r>
          </w:p>
        </w:tc>
        <w:tc>
          <w:tcPr>
            <w:tcW w:w="0" w:type="dxa"/>
            <w:vAlign w:val="bottom"/>
          </w:tcPr>
          <w:p>
            <w:pPr>
              <w:spacing w:after="0"/>
              <w:rPr>
                <w:sz w:val="1"/>
                <w:szCs w:val="1"/>
                <w:color w:val="auto"/>
              </w:rPr>
            </w:pPr>
          </w:p>
        </w:tc>
      </w:tr>
      <w:tr>
        <w:trPr>
          <w:trHeight w:val="238"/>
        </w:trPr>
        <w:tc>
          <w:tcPr>
            <w:tcW w:w="3780" w:type="dxa"/>
            <w:vAlign w:val="bottom"/>
            <w:vMerge w:val="continue"/>
          </w:tcPr>
          <w:p>
            <w:pPr>
              <w:spacing w:after="0"/>
              <w:rPr>
                <w:sz w:val="20"/>
                <w:szCs w:val="20"/>
                <w:color w:val="auto"/>
              </w:rPr>
            </w:pPr>
          </w:p>
        </w:tc>
        <w:tc>
          <w:tcPr>
            <w:tcW w:w="3620" w:type="dxa"/>
            <w:vAlign w:val="bottom"/>
          </w:tcPr>
          <w:p>
            <w:pPr>
              <w:ind w:left="340"/>
              <w:spacing w:after="0" w:line="239" w:lineRule="exact"/>
              <w:rPr>
                <w:sz w:val="20"/>
                <w:szCs w:val="20"/>
                <w:color w:val="auto"/>
              </w:rPr>
            </w:pPr>
            <w:r>
              <w:rPr>
                <w:rFonts w:ascii="Arial" w:cs="Arial" w:eastAsia="Arial" w:hAnsi="Arial"/>
                <w:sz w:val="22"/>
                <w:szCs w:val="22"/>
                <w:color w:val="00142F"/>
              </w:rPr>
              <w:t>Chief Financial Officer</w:t>
            </w: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0"/>
                <w:szCs w:val="20"/>
                <w:color w:val="auto"/>
              </w:rPr>
            </w:pPr>
            <w:r>
              <w:rPr>
                <w:rFonts w:ascii="Arial" w:cs="Arial" w:eastAsia="Arial" w:hAnsi="Arial"/>
                <w:sz w:val="22"/>
                <w:szCs w:val="22"/>
                <w:color w:val="00142F"/>
              </w:rPr>
              <w:t>Chief People and Culture Officer</w:t>
            </w:r>
          </w:p>
        </w:tc>
        <w:tc>
          <w:tcPr>
            <w:tcW w:w="3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3780" w:type="dxa"/>
            <w:vAlign w:val="bottom"/>
            <w:vMerge w:val="restart"/>
          </w:tcPr>
          <w:p>
            <w:pPr>
              <w:spacing w:after="0"/>
              <w:rPr>
                <w:sz w:val="20"/>
                <w:szCs w:val="20"/>
                <w:color w:val="auto"/>
              </w:rPr>
            </w:pPr>
            <w:r>
              <w:rPr>
                <w:rFonts w:ascii="Arial" w:cs="Arial" w:eastAsia="Arial" w:hAnsi="Arial"/>
                <w:sz w:val="24"/>
                <w:szCs w:val="24"/>
                <w:b w:val="1"/>
                <w:bCs w:val="1"/>
                <w:color w:val="00142F"/>
              </w:rPr>
              <w:t>Nico Popp</w:t>
            </w:r>
          </w:p>
        </w:tc>
        <w:tc>
          <w:tcPr>
            <w:tcW w:w="3620" w:type="dxa"/>
            <w:vAlign w:val="bottom"/>
          </w:tcPr>
          <w:p>
            <w:pPr>
              <w:ind w:left="340"/>
              <w:spacing w:after="0" w:line="265" w:lineRule="exact"/>
              <w:rPr>
                <w:sz w:val="20"/>
                <w:szCs w:val="20"/>
                <w:color w:val="auto"/>
              </w:rPr>
            </w:pPr>
            <w:r>
              <w:rPr>
                <w:rFonts w:ascii="Arial" w:cs="Arial" w:eastAsia="Arial" w:hAnsi="Arial"/>
                <w:sz w:val="24"/>
                <w:szCs w:val="24"/>
                <w:b w:val="1"/>
                <w:bCs w:val="1"/>
                <w:color w:val="00142F"/>
              </w:rPr>
              <w:t>Michelle VonderHaar</w:t>
            </w:r>
          </w:p>
        </w:tc>
        <w:tc>
          <w:tcPr>
            <w:tcW w:w="0" w:type="dxa"/>
            <w:vAlign w:val="bottom"/>
          </w:tcPr>
          <w:p>
            <w:pPr>
              <w:spacing w:after="0"/>
              <w:rPr>
                <w:sz w:val="1"/>
                <w:szCs w:val="1"/>
                <w:color w:val="auto"/>
              </w:rPr>
            </w:pPr>
          </w:p>
        </w:tc>
      </w:tr>
      <w:tr>
        <w:trPr>
          <w:trHeight w:val="238"/>
        </w:trPr>
        <w:tc>
          <w:tcPr>
            <w:tcW w:w="3780" w:type="dxa"/>
            <w:vAlign w:val="bottom"/>
            <w:vMerge w:val="continue"/>
          </w:tcPr>
          <w:p>
            <w:pPr>
              <w:spacing w:after="0"/>
              <w:rPr>
                <w:sz w:val="20"/>
                <w:szCs w:val="20"/>
                <w:color w:val="auto"/>
              </w:rPr>
            </w:pPr>
          </w:p>
        </w:tc>
        <w:tc>
          <w:tcPr>
            <w:tcW w:w="3620" w:type="dxa"/>
            <w:vAlign w:val="bottom"/>
          </w:tcPr>
          <w:p>
            <w:pPr>
              <w:ind w:left="340"/>
              <w:spacing w:after="0" w:line="239" w:lineRule="exact"/>
              <w:rPr>
                <w:sz w:val="20"/>
                <w:szCs w:val="20"/>
                <w:color w:val="auto"/>
              </w:rPr>
            </w:pPr>
            <w:r>
              <w:rPr>
                <w:rFonts w:ascii="Arial" w:cs="Arial" w:eastAsia="Arial" w:hAnsi="Arial"/>
                <w:sz w:val="22"/>
                <w:szCs w:val="22"/>
                <w:color w:val="00142F"/>
                <w:w w:val="99"/>
              </w:rPr>
              <w:t>Chief Legal Officer and Corporate</w:t>
            </w:r>
          </w:p>
        </w:tc>
        <w:tc>
          <w:tcPr>
            <w:tcW w:w="0" w:type="dxa"/>
            <w:vAlign w:val="bottom"/>
          </w:tcPr>
          <w:p>
            <w:pPr>
              <w:spacing w:after="0"/>
              <w:rPr>
                <w:sz w:val="1"/>
                <w:szCs w:val="1"/>
                <w:color w:val="auto"/>
              </w:rPr>
            </w:pPr>
          </w:p>
        </w:tc>
      </w:tr>
      <w:tr>
        <w:trPr>
          <w:trHeight w:val="284"/>
        </w:trPr>
        <w:tc>
          <w:tcPr>
            <w:tcW w:w="3780" w:type="dxa"/>
            <w:vAlign w:val="bottom"/>
          </w:tcPr>
          <w:p>
            <w:pPr>
              <w:spacing w:after="0"/>
              <w:rPr>
                <w:sz w:val="20"/>
                <w:szCs w:val="20"/>
                <w:color w:val="auto"/>
              </w:rPr>
            </w:pPr>
            <w:r>
              <w:rPr>
                <w:rFonts w:ascii="Arial" w:cs="Arial" w:eastAsia="Arial" w:hAnsi="Arial"/>
                <w:sz w:val="22"/>
                <w:szCs w:val="22"/>
                <w:color w:val="00142F"/>
              </w:rPr>
              <w:t>Chief Product Officer</w:t>
            </w:r>
          </w:p>
        </w:tc>
        <w:tc>
          <w:tcPr>
            <w:tcW w:w="3620" w:type="dxa"/>
            <w:vAlign w:val="bottom"/>
          </w:tcPr>
          <w:p>
            <w:pPr>
              <w:ind w:left="340"/>
              <w:spacing w:after="0"/>
              <w:rPr>
                <w:sz w:val="20"/>
                <w:szCs w:val="20"/>
                <w:color w:val="auto"/>
              </w:rPr>
            </w:pPr>
            <w:r>
              <w:rPr>
                <w:rFonts w:ascii="Arial" w:cs="Arial" w:eastAsia="Arial" w:hAnsi="Arial"/>
                <w:sz w:val="22"/>
                <w:szCs w:val="22"/>
                <w:color w:val="00142F"/>
              </w:rPr>
              <w:t>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9"/>
          <w:szCs w:val="29"/>
          <w:b w:val="1"/>
          <w:bCs w:val="1"/>
          <w:color w:val="175DA5"/>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18415</wp:posOffset>
            </wp:positionV>
            <wp:extent cx="6393180" cy="4763"/>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93180" cy="4763"/>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940" w:type="dxa"/>
            <w:vAlign w:val="bottom"/>
          </w:tcPr>
          <w:p>
            <w:pPr>
              <w:spacing w:after="0"/>
              <w:rPr>
                <w:sz w:val="20"/>
                <w:szCs w:val="20"/>
                <w:color w:val="auto"/>
              </w:rPr>
            </w:pPr>
            <w:r>
              <w:rPr>
                <w:rFonts w:ascii="Arial" w:cs="Arial" w:eastAsia="Arial" w:hAnsi="Arial"/>
                <w:sz w:val="24"/>
                <w:szCs w:val="24"/>
                <w:b w:val="1"/>
                <w:bCs w:val="1"/>
                <w:color w:val="00142F"/>
              </w:rPr>
              <w:t>Amit Yoran</w:t>
            </w:r>
          </w:p>
        </w:tc>
        <w:tc>
          <w:tcPr>
            <w:tcW w:w="3280" w:type="dxa"/>
            <w:vAlign w:val="bottom"/>
          </w:tcPr>
          <w:p>
            <w:pPr>
              <w:ind w:left="180"/>
              <w:spacing w:after="0"/>
              <w:rPr>
                <w:sz w:val="20"/>
                <w:szCs w:val="20"/>
                <w:color w:val="auto"/>
              </w:rPr>
            </w:pPr>
            <w:r>
              <w:rPr>
                <w:rFonts w:ascii="Arial" w:cs="Arial" w:eastAsia="Arial" w:hAnsi="Arial"/>
                <w:sz w:val="24"/>
                <w:szCs w:val="24"/>
                <w:b w:val="1"/>
                <w:bCs w:val="1"/>
                <w:color w:val="00142F"/>
              </w:rPr>
              <w:t>John C. Huffard, Jr.</w:t>
            </w:r>
          </w:p>
        </w:tc>
        <w:tc>
          <w:tcPr>
            <w:tcW w:w="0" w:type="dxa"/>
            <w:vAlign w:val="bottom"/>
          </w:tcPr>
          <w:p>
            <w:pPr>
              <w:spacing w:after="0"/>
              <w:rPr>
                <w:sz w:val="1"/>
                <w:szCs w:val="1"/>
                <w:color w:val="auto"/>
              </w:rPr>
            </w:pPr>
          </w:p>
        </w:tc>
      </w:tr>
      <w:tr>
        <w:trPr>
          <w:trHeight w:val="240"/>
        </w:trPr>
        <w:tc>
          <w:tcPr>
            <w:tcW w:w="3940" w:type="dxa"/>
            <w:vAlign w:val="bottom"/>
          </w:tcPr>
          <w:p>
            <w:pPr>
              <w:spacing w:after="0" w:line="240" w:lineRule="exact"/>
              <w:rPr>
                <w:sz w:val="20"/>
                <w:szCs w:val="20"/>
                <w:color w:val="auto"/>
              </w:rPr>
            </w:pPr>
            <w:r>
              <w:rPr>
                <w:rFonts w:ascii="Arial" w:cs="Arial" w:eastAsia="Arial" w:hAnsi="Arial"/>
                <w:sz w:val="22"/>
                <w:szCs w:val="22"/>
                <w:color w:val="00142F"/>
              </w:rPr>
              <w:t>Chief Executive Officer and</w:t>
            </w:r>
          </w:p>
        </w:tc>
        <w:tc>
          <w:tcPr>
            <w:tcW w:w="3280" w:type="dxa"/>
            <w:vAlign w:val="bottom"/>
          </w:tcPr>
          <w:p>
            <w:pPr>
              <w:ind w:left="180"/>
              <w:spacing w:after="0" w:line="240" w:lineRule="exact"/>
              <w:rPr>
                <w:sz w:val="20"/>
                <w:szCs w:val="20"/>
                <w:color w:val="auto"/>
              </w:rPr>
            </w:pPr>
            <w:r>
              <w:rPr>
                <w:rFonts w:ascii="Arial" w:cs="Arial" w:eastAsia="Arial" w:hAnsi="Arial"/>
                <w:sz w:val="22"/>
                <w:szCs w:val="22"/>
                <w:color w:val="00142F"/>
              </w:rPr>
              <w:t>Co-Founder, Tenable</w:t>
            </w:r>
          </w:p>
        </w:tc>
        <w:tc>
          <w:tcPr>
            <w:tcW w:w="0" w:type="dxa"/>
            <w:vAlign w:val="bottom"/>
          </w:tcPr>
          <w:p>
            <w:pPr>
              <w:spacing w:after="0"/>
              <w:rPr>
                <w:sz w:val="1"/>
                <w:szCs w:val="1"/>
                <w:color w:val="auto"/>
              </w:rPr>
            </w:pPr>
          </w:p>
        </w:tc>
      </w:tr>
      <w:tr>
        <w:trPr>
          <w:trHeight w:val="282"/>
        </w:trPr>
        <w:tc>
          <w:tcPr>
            <w:tcW w:w="3940" w:type="dxa"/>
            <w:vAlign w:val="bottom"/>
          </w:tcPr>
          <w:p>
            <w:pPr>
              <w:spacing w:after="0"/>
              <w:rPr>
                <w:sz w:val="20"/>
                <w:szCs w:val="20"/>
                <w:color w:val="auto"/>
              </w:rPr>
            </w:pPr>
            <w:r>
              <w:rPr>
                <w:rFonts w:ascii="Arial" w:cs="Arial" w:eastAsia="Arial" w:hAnsi="Arial"/>
                <w:sz w:val="22"/>
                <w:szCs w:val="22"/>
                <w:color w:val="00142F"/>
              </w:rPr>
              <w:t>Chairman of the Board of Directors</w:t>
            </w:r>
          </w:p>
        </w:tc>
        <w:tc>
          <w:tcPr>
            <w:tcW w:w="3280" w:type="dxa"/>
            <w:vAlign w:val="bottom"/>
            <w:vMerge w:val="restart"/>
          </w:tcPr>
          <w:p>
            <w:pPr>
              <w:ind w:left="180"/>
              <w:spacing w:after="0"/>
              <w:rPr>
                <w:sz w:val="20"/>
                <w:szCs w:val="20"/>
                <w:color w:val="auto"/>
              </w:rPr>
            </w:pPr>
            <w:r>
              <w:rPr>
                <w:rFonts w:ascii="Arial" w:cs="Arial" w:eastAsia="Arial" w:hAnsi="Arial"/>
                <w:sz w:val="24"/>
                <w:szCs w:val="24"/>
                <w:b w:val="1"/>
                <w:bCs w:val="1"/>
                <w:color w:val="00142F"/>
              </w:rPr>
              <w:t>A. Brooke Seawell</w:t>
            </w:r>
          </w:p>
        </w:tc>
        <w:tc>
          <w:tcPr>
            <w:tcW w:w="0" w:type="dxa"/>
            <w:vAlign w:val="bottom"/>
          </w:tcPr>
          <w:p>
            <w:pPr>
              <w:spacing w:after="0"/>
              <w:rPr>
                <w:sz w:val="1"/>
                <w:szCs w:val="1"/>
                <w:color w:val="auto"/>
              </w:rPr>
            </w:pPr>
          </w:p>
        </w:tc>
      </w:tr>
      <w:tr>
        <w:trPr>
          <w:trHeight w:val="245"/>
        </w:trPr>
        <w:tc>
          <w:tcPr>
            <w:tcW w:w="3940" w:type="dxa"/>
            <w:vAlign w:val="bottom"/>
            <w:vMerge w:val="restart"/>
          </w:tcPr>
          <w:p>
            <w:pPr>
              <w:spacing w:after="0"/>
              <w:rPr>
                <w:sz w:val="20"/>
                <w:szCs w:val="20"/>
                <w:color w:val="auto"/>
              </w:rPr>
            </w:pPr>
            <w:r>
              <w:rPr>
                <w:rFonts w:ascii="Arial" w:cs="Arial" w:eastAsia="Arial" w:hAnsi="Arial"/>
                <w:sz w:val="24"/>
                <w:szCs w:val="24"/>
                <w:b w:val="1"/>
                <w:bCs w:val="1"/>
                <w:color w:val="00142F"/>
              </w:rPr>
              <w:t>Arthur W. Coviello, Jr.</w:t>
            </w:r>
          </w:p>
        </w:tc>
        <w:tc>
          <w:tcPr>
            <w:tcW w:w="3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940" w:type="dxa"/>
            <w:vAlign w:val="bottom"/>
            <w:vMerge w:val="continue"/>
          </w:tcPr>
          <w:p>
            <w:pPr>
              <w:spacing w:after="0"/>
              <w:rPr>
                <w:sz w:val="20"/>
                <w:szCs w:val="20"/>
                <w:color w:val="auto"/>
              </w:rPr>
            </w:pPr>
          </w:p>
        </w:tc>
        <w:tc>
          <w:tcPr>
            <w:tcW w:w="3280" w:type="dxa"/>
            <w:vAlign w:val="bottom"/>
          </w:tcPr>
          <w:p>
            <w:pPr>
              <w:ind w:left="180"/>
              <w:spacing w:after="0" w:line="240" w:lineRule="exact"/>
              <w:rPr>
                <w:sz w:val="20"/>
                <w:szCs w:val="20"/>
                <w:color w:val="auto"/>
              </w:rPr>
            </w:pPr>
            <w:r>
              <w:rPr>
                <w:rFonts w:ascii="Arial" w:cs="Arial" w:eastAsia="Arial" w:hAnsi="Arial"/>
                <w:sz w:val="22"/>
                <w:szCs w:val="22"/>
                <w:color w:val="00142F"/>
              </w:rPr>
              <w:t>Venture Partner,</w:t>
            </w:r>
          </w:p>
        </w:tc>
        <w:tc>
          <w:tcPr>
            <w:tcW w:w="0" w:type="dxa"/>
            <w:vAlign w:val="bottom"/>
          </w:tcPr>
          <w:p>
            <w:pPr>
              <w:spacing w:after="0"/>
              <w:rPr>
                <w:sz w:val="1"/>
                <w:szCs w:val="1"/>
                <w:color w:val="auto"/>
              </w:rPr>
            </w:pPr>
          </w:p>
        </w:tc>
      </w:tr>
      <w:tr>
        <w:trPr>
          <w:trHeight w:val="283"/>
        </w:trPr>
        <w:tc>
          <w:tcPr>
            <w:tcW w:w="3940" w:type="dxa"/>
            <w:vAlign w:val="bottom"/>
          </w:tcPr>
          <w:p>
            <w:pPr>
              <w:spacing w:after="0"/>
              <w:rPr>
                <w:sz w:val="20"/>
                <w:szCs w:val="20"/>
                <w:color w:val="auto"/>
              </w:rPr>
            </w:pPr>
            <w:r>
              <w:rPr>
                <w:rFonts w:ascii="Arial" w:cs="Arial" w:eastAsia="Arial" w:hAnsi="Arial"/>
                <w:sz w:val="22"/>
                <w:szCs w:val="22"/>
                <w:color w:val="00142F"/>
              </w:rPr>
              <w:t>Managing Partner, Syn Ventures</w:t>
            </w:r>
          </w:p>
        </w:tc>
        <w:tc>
          <w:tcPr>
            <w:tcW w:w="3280" w:type="dxa"/>
            <w:vAlign w:val="bottom"/>
          </w:tcPr>
          <w:p>
            <w:pPr>
              <w:ind w:left="180"/>
              <w:spacing w:after="0"/>
              <w:rPr>
                <w:sz w:val="20"/>
                <w:szCs w:val="20"/>
                <w:color w:val="auto"/>
              </w:rPr>
            </w:pPr>
            <w:r>
              <w:rPr>
                <w:rFonts w:ascii="Arial" w:cs="Arial" w:eastAsia="Arial" w:hAnsi="Arial"/>
                <w:sz w:val="22"/>
                <w:szCs w:val="22"/>
                <w:color w:val="00142F"/>
              </w:rPr>
              <w:t>New Enterprise Associates</w:t>
            </w:r>
          </w:p>
        </w:tc>
        <w:tc>
          <w:tcPr>
            <w:tcW w:w="0" w:type="dxa"/>
            <w:vAlign w:val="bottom"/>
          </w:tcPr>
          <w:p>
            <w:pPr>
              <w:spacing w:after="0"/>
              <w:rPr>
                <w:sz w:val="1"/>
                <w:szCs w:val="1"/>
                <w:color w:val="auto"/>
              </w:rPr>
            </w:pPr>
          </w:p>
        </w:tc>
      </w:tr>
      <w:tr>
        <w:trPr>
          <w:trHeight w:val="485"/>
        </w:trPr>
        <w:tc>
          <w:tcPr>
            <w:tcW w:w="3940" w:type="dxa"/>
            <w:vAlign w:val="bottom"/>
          </w:tcPr>
          <w:p>
            <w:pPr>
              <w:spacing w:after="0"/>
              <w:rPr>
                <w:sz w:val="20"/>
                <w:szCs w:val="20"/>
                <w:color w:val="auto"/>
              </w:rPr>
            </w:pPr>
            <w:r>
              <w:rPr>
                <w:rFonts w:ascii="Arial" w:cs="Arial" w:eastAsia="Arial" w:hAnsi="Arial"/>
                <w:sz w:val="24"/>
                <w:szCs w:val="24"/>
                <w:b w:val="1"/>
                <w:bCs w:val="1"/>
                <w:color w:val="00142F"/>
              </w:rPr>
              <w:t>Linda Zecher Higgins</w:t>
            </w:r>
          </w:p>
        </w:tc>
        <w:tc>
          <w:tcPr>
            <w:tcW w:w="3280" w:type="dxa"/>
            <w:vAlign w:val="bottom"/>
          </w:tcPr>
          <w:p>
            <w:pPr>
              <w:ind w:left="180"/>
              <w:spacing w:after="0"/>
              <w:rPr>
                <w:sz w:val="20"/>
                <w:szCs w:val="20"/>
                <w:color w:val="auto"/>
              </w:rPr>
            </w:pPr>
            <w:r>
              <w:rPr>
                <w:rFonts w:ascii="Arial" w:cs="Arial" w:eastAsia="Arial" w:hAnsi="Arial"/>
                <w:sz w:val="24"/>
                <w:szCs w:val="24"/>
                <w:b w:val="1"/>
                <w:bCs w:val="1"/>
                <w:color w:val="00142F"/>
              </w:rPr>
              <w:t>George Alexander Tosheff</w:t>
            </w:r>
          </w:p>
        </w:tc>
        <w:tc>
          <w:tcPr>
            <w:tcW w:w="0" w:type="dxa"/>
            <w:vAlign w:val="bottom"/>
          </w:tcPr>
          <w:p>
            <w:pPr>
              <w:spacing w:after="0"/>
              <w:rPr>
                <w:sz w:val="1"/>
                <w:szCs w:val="1"/>
                <w:color w:val="auto"/>
              </w:rPr>
            </w:pPr>
          </w:p>
        </w:tc>
      </w:tr>
      <w:tr>
        <w:trPr>
          <w:trHeight w:val="240"/>
        </w:trPr>
        <w:tc>
          <w:tcPr>
            <w:tcW w:w="3940" w:type="dxa"/>
            <w:vAlign w:val="bottom"/>
          </w:tcPr>
          <w:p>
            <w:pPr>
              <w:spacing w:after="0" w:line="240" w:lineRule="exact"/>
              <w:rPr>
                <w:sz w:val="20"/>
                <w:szCs w:val="20"/>
                <w:color w:val="auto"/>
              </w:rPr>
            </w:pPr>
            <w:r>
              <w:rPr>
                <w:rFonts w:ascii="Arial" w:cs="Arial" w:eastAsia="Arial" w:hAnsi="Arial"/>
                <w:sz w:val="22"/>
                <w:szCs w:val="22"/>
                <w:color w:val="00142F"/>
              </w:rPr>
              <w:t>Chief Executive Officer, Barkley Group</w:t>
            </w:r>
          </w:p>
        </w:tc>
        <w:tc>
          <w:tcPr>
            <w:tcW w:w="3280" w:type="dxa"/>
            <w:vAlign w:val="bottom"/>
          </w:tcPr>
          <w:p>
            <w:pPr>
              <w:ind w:left="180"/>
              <w:spacing w:after="0" w:line="240" w:lineRule="exact"/>
              <w:rPr>
                <w:sz w:val="20"/>
                <w:szCs w:val="20"/>
                <w:color w:val="auto"/>
              </w:rPr>
            </w:pPr>
            <w:r>
              <w:rPr>
                <w:rFonts w:ascii="Arial" w:cs="Arial" w:eastAsia="Arial" w:hAnsi="Arial"/>
                <w:sz w:val="22"/>
                <w:szCs w:val="22"/>
                <w:color w:val="00142F"/>
                <w:w w:val="98"/>
              </w:rPr>
              <w:t>Senior Vice President and Chief</w:t>
            </w:r>
          </w:p>
        </w:tc>
        <w:tc>
          <w:tcPr>
            <w:tcW w:w="0" w:type="dxa"/>
            <w:vAlign w:val="bottom"/>
          </w:tcPr>
          <w:p>
            <w:pPr>
              <w:spacing w:after="0"/>
              <w:rPr>
                <w:sz w:val="1"/>
                <w:szCs w:val="1"/>
                <w:color w:val="auto"/>
              </w:rPr>
            </w:pPr>
          </w:p>
        </w:tc>
      </w:tr>
      <w:tr>
        <w:trPr>
          <w:trHeight w:val="282"/>
        </w:trPr>
        <w:tc>
          <w:tcPr>
            <w:tcW w:w="3940" w:type="dxa"/>
            <w:vAlign w:val="bottom"/>
            <w:vMerge w:val="restart"/>
          </w:tcPr>
          <w:p>
            <w:pPr>
              <w:spacing w:after="0"/>
              <w:rPr>
                <w:sz w:val="20"/>
                <w:szCs w:val="20"/>
                <w:color w:val="auto"/>
              </w:rPr>
            </w:pPr>
            <w:r>
              <w:rPr>
                <w:rFonts w:ascii="Arial" w:cs="Arial" w:eastAsia="Arial" w:hAnsi="Arial"/>
                <w:sz w:val="24"/>
                <w:szCs w:val="24"/>
                <w:b w:val="1"/>
                <w:bCs w:val="1"/>
                <w:color w:val="00142F"/>
              </w:rPr>
              <w:t>Niloofar Razi Howe</w:t>
            </w:r>
          </w:p>
        </w:tc>
        <w:tc>
          <w:tcPr>
            <w:tcW w:w="3280" w:type="dxa"/>
            <w:vAlign w:val="bottom"/>
          </w:tcPr>
          <w:p>
            <w:pPr>
              <w:ind w:left="180"/>
              <w:spacing w:after="0"/>
              <w:rPr>
                <w:sz w:val="20"/>
                <w:szCs w:val="20"/>
                <w:color w:val="auto"/>
              </w:rPr>
            </w:pPr>
            <w:r>
              <w:rPr>
                <w:rFonts w:ascii="Arial" w:cs="Arial" w:eastAsia="Arial" w:hAnsi="Arial"/>
                <w:sz w:val="22"/>
                <w:szCs w:val="22"/>
                <w:color w:val="00142F"/>
              </w:rPr>
              <w:t>Security Officer, VMware</w:t>
            </w:r>
          </w:p>
        </w:tc>
        <w:tc>
          <w:tcPr>
            <w:tcW w:w="0" w:type="dxa"/>
            <w:vAlign w:val="bottom"/>
          </w:tcPr>
          <w:p>
            <w:pPr>
              <w:spacing w:after="0"/>
              <w:rPr>
                <w:sz w:val="1"/>
                <w:szCs w:val="1"/>
                <w:color w:val="auto"/>
              </w:rPr>
            </w:pPr>
          </w:p>
        </w:tc>
      </w:tr>
      <w:tr>
        <w:trPr>
          <w:trHeight w:val="246"/>
        </w:trPr>
        <w:tc>
          <w:tcPr>
            <w:tcW w:w="3940" w:type="dxa"/>
            <w:vAlign w:val="bottom"/>
            <w:vMerge w:val="continue"/>
          </w:tcPr>
          <w:p>
            <w:pPr>
              <w:spacing w:after="0"/>
              <w:rPr>
                <w:sz w:val="21"/>
                <w:szCs w:val="21"/>
                <w:color w:val="auto"/>
              </w:rPr>
            </w:pPr>
          </w:p>
        </w:tc>
        <w:tc>
          <w:tcPr>
            <w:tcW w:w="3280" w:type="dxa"/>
            <w:vAlign w:val="bottom"/>
            <w:vMerge w:val="restart"/>
          </w:tcPr>
          <w:p>
            <w:pPr>
              <w:ind w:left="180"/>
              <w:spacing w:after="0"/>
              <w:rPr>
                <w:sz w:val="20"/>
                <w:szCs w:val="20"/>
                <w:color w:val="auto"/>
              </w:rPr>
            </w:pPr>
            <w:r>
              <w:rPr>
                <w:rFonts w:ascii="Arial" w:cs="Arial" w:eastAsia="Arial" w:hAnsi="Arial"/>
                <w:sz w:val="24"/>
                <w:szCs w:val="24"/>
                <w:b w:val="1"/>
                <w:bCs w:val="1"/>
                <w:color w:val="00142F"/>
              </w:rPr>
              <w:t>Raymond Vicks, Jr.</w:t>
            </w:r>
          </w:p>
        </w:tc>
        <w:tc>
          <w:tcPr>
            <w:tcW w:w="0" w:type="dxa"/>
            <w:vAlign w:val="bottom"/>
          </w:tcPr>
          <w:p>
            <w:pPr>
              <w:spacing w:after="0"/>
              <w:rPr>
                <w:sz w:val="1"/>
                <w:szCs w:val="1"/>
                <w:color w:val="auto"/>
              </w:rPr>
            </w:pPr>
          </w:p>
        </w:tc>
      </w:tr>
      <w:tr>
        <w:trPr>
          <w:trHeight w:val="240"/>
        </w:trPr>
        <w:tc>
          <w:tcPr>
            <w:tcW w:w="3940" w:type="dxa"/>
            <w:vAlign w:val="bottom"/>
          </w:tcPr>
          <w:p>
            <w:pPr>
              <w:spacing w:after="0" w:line="240" w:lineRule="exact"/>
              <w:rPr>
                <w:sz w:val="20"/>
                <w:szCs w:val="20"/>
                <w:color w:val="auto"/>
              </w:rPr>
            </w:pPr>
            <w:r>
              <w:rPr>
                <w:rFonts w:ascii="Arial" w:cs="Arial" w:eastAsia="Arial" w:hAnsi="Arial"/>
                <w:sz w:val="22"/>
                <w:szCs w:val="22"/>
                <w:color w:val="00142F"/>
              </w:rPr>
              <w:t>Senior Operating Partner,</w:t>
            </w: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940" w:type="dxa"/>
            <w:vAlign w:val="bottom"/>
          </w:tcPr>
          <w:p>
            <w:pPr>
              <w:spacing w:after="0"/>
              <w:rPr>
                <w:sz w:val="20"/>
                <w:szCs w:val="20"/>
                <w:color w:val="auto"/>
              </w:rPr>
            </w:pPr>
            <w:r>
              <w:rPr>
                <w:rFonts w:ascii="Arial" w:cs="Arial" w:eastAsia="Arial" w:hAnsi="Arial"/>
                <w:sz w:val="22"/>
                <w:szCs w:val="22"/>
                <w:color w:val="00142F"/>
              </w:rPr>
              <w:t>Energy Impact Partners</w:t>
            </w:r>
          </w:p>
        </w:tc>
        <w:tc>
          <w:tcPr>
            <w:tcW w:w="3280" w:type="dxa"/>
            <w:vAlign w:val="bottom"/>
          </w:tcPr>
          <w:p>
            <w:pPr>
              <w:ind w:left="180"/>
              <w:spacing w:after="0"/>
              <w:rPr>
                <w:sz w:val="20"/>
                <w:szCs w:val="20"/>
                <w:color w:val="auto"/>
              </w:rPr>
            </w:pPr>
            <w:r>
              <w:rPr>
                <w:rFonts w:ascii="Arial" w:cs="Arial" w:eastAsia="Arial" w:hAnsi="Arial"/>
                <w:sz w:val="22"/>
                <w:szCs w:val="22"/>
                <w:color w:val="00142F"/>
              </w:rPr>
              <w:t>Certified Public Accountant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175DA5"/>
        </w:rPr>
        <w:t>CORPORATE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30480</wp:posOffset>
            </wp:positionV>
            <wp:extent cx="6393180" cy="4763"/>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93180" cy="4763"/>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40" w:type="dxa"/>
            <w:vAlign w:val="bottom"/>
          </w:tcPr>
          <w:p>
            <w:pPr>
              <w:spacing w:after="0"/>
              <w:rPr>
                <w:sz w:val="20"/>
                <w:szCs w:val="20"/>
                <w:color w:val="auto"/>
              </w:rPr>
            </w:pPr>
            <w:r>
              <w:rPr>
                <w:rFonts w:ascii="Arial" w:cs="Arial" w:eastAsia="Arial" w:hAnsi="Arial"/>
                <w:sz w:val="24"/>
                <w:szCs w:val="24"/>
                <w:b w:val="1"/>
                <w:bCs w:val="1"/>
                <w:color w:val="00142F"/>
              </w:rPr>
              <w:t>Common Stock Listing</w:t>
            </w:r>
          </w:p>
        </w:tc>
        <w:tc>
          <w:tcPr>
            <w:tcW w:w="3880" w:type="dxa"/>
            <w:vAlign w:val="bottom"/>
          </w:tcPr>
          <w:p>
            <w:pPr>
              <w:ind w:left="280"/>
              <w:spacing w:after="0"/>
              <w:rPr>
                <w:sz w:val="20"/>
                <w:szCs w:val="20"/>
                <w:color w:val="auto"/>
              </w:rPr>
            </w:pPr>
            <w:r>
              <w:rPr>
                <w:rFonts w:ascii="Arial" w:cs="Arial" w:eastAsia="Arial" w:hAnsi="Arial"/>
                <w:sz w:val="24"/>
                <w:szCs w:val="24"/>
                <w:b w:val="1"/>
                <w:bCs w:val="1"/>
                <w:color w:val="00142F"/>
              </w:rPr>
              <w:t>Legal Counsel</w:t>
            </w:r>
          </w:p>
        </w:tc>
        <w:tc>
          <w:tcPr>
            <w:tcW w:w="0" w:type="dxa"/>
            <w:vAlign w:val="bottom"/>
          </w:tcPr>
          <w:p>
            <w:pPr>
              <w:spacing w:after="0"/>
              <w:rPr>
                <w:sz w:val="1"/>
                <w:szCs w:val="1"/>
                <w:color w:val="auto"/>
              </w:rPr>
            </w:pPr>
          </w:p>
        </w:tc>
      </w:tr>
      <w:tr>
        <w:trPr>
          <w:trHeight w:val="240"/>
        </w:trPr>
        <w:tc>
          <w:tcPr>
            <w:tcW w:w="3840" w:type="dxa"/>
            <w:vAlign w:val="bottom"/>
          </w:tcPr>
          <w:p>
            <w:pPr>
              <w:spacing w:after="0" w:line="240" w:lineRule="exact"/>
              <w:rPr>
                <w:sz w:val="20"/>
                <w:szCs w:val="20"/>
                <w:color w:val="auto"/>
              </w:rPr>
            </w:pPr>
            <w:r>
              <w:rPr>
                <w:rFonts w:ascii="Arial" w:cs="Arial" w:eastAsia="Arial" w:hAnsi="Arial"/>
                <w:sz w:val="22"/>
                <w:szCs w:val="22"/>
                <w:color w:val="00142F"/>
              </w:rPr>
              <w:t>Listed: Nasdaq Global Select Market</w:t>
            </w:r>
          </w:p>
        </w:tc>
        <w:tc>
          <w:tcPr>
            <w:tcW w:w="3880" w:type="dxa"/>
            <w:vAlign w:val="bottom"/>
          </w:tcPr>
          <w:p>
            <w:pPr>
              <w:ind w:left="280"/>
              <w:spacing w:after="0" w:line="240" w:lineRule="exact"/>
              <w:rPr>
                <w:sz w:val="20"/>
                <w:szCs w:val="20"/>
                <w:color w:val="auto"/>
              </w:rPr>
            </w:pPr>
            <w:r>
              <w:rPr>
                <w:rFonts w:ascii="Arial" w:cs="Arial" w:eastAsia="Arial" w:hAnsi="Arial"/>
                <w:sz w:val="22"/>
                <w:szCs w:val="22"/>
                <w:color w:val="00142F"/>
              </w:rPr>
              <w:t>Cooley LLP</w:t>
            </w:r>
          </w:p>
        </w:tc>
        <w:tc>
          <w:tcPr>
            <w:tcW w:w="0" w:type="dxa"/>
            <w:vAlign w:val="bottom"/>
          </w:tcPr>
          <w:p>
            <w:pPr>
              <w:spacing w:after="0"/>
              <w:rPr>
                <w:sz w:val="1"/>
                <w:szCs w:val="1"/>
                <w:color w:val="auto"/>
              </w:rPr>
            </w:pPr>
          </w:p>
        </w:tc>
      </w:tr>
      <w:tr>
        <w:trPr>
          <w:trHeight w:val="240"/>
        </w:trPr>
        <w:tc>
          <w:tcPr>
            <w:tcW w:w="3840" w:type="dxa"/>
            <w:vAlign w:val="bottom"/>
          </w:tcPr>
          <w:p>
            <w:pPr>
              <w:spacing w:after="0" w:line="240" w:lineRule="exact"/>
              <w:rPr>
                <w:sz w:val="20"/>
                <w:szCs w:val="20"/>
                <w:color w:val="auto"/>
              </w:rPr>
            </w:pPr>
            <w:r>
              <w:rPr>
                <w:rFonts w:ascii="Arial" w:cs="Arial" w:eastAsia="Arial" w:hAnsi="Arial"/>
                <w:sz w:val="22"/>
                <w:szCs w:val="22"/>
                <w:color w:val="00142F"/>
              </w:rPr>
              <w:t>Symbol: TENB</w:t>
            </w:r>
          </w:p>
        </w:tc>
        <w:tc>
          <w:tcPr>
            <w:tcW w:w="3880" w:type="dxa"/>
            <w:vAlign w:val="bottom"/>
          </w:tcPr>
          <w:p>
            <w:pPr>
              <w:ind w:left="280"/>
              <w:spacing w:after="0" w:line="240" w:lineRule="exact"/>
              <w:rPr>
                <w:sz w:val="20"/>
                <w:szCs w:val="20"/>
                <w:color w:val="auto"/>
              </w:rPr>
            </w:pPr>
            <w:r>
              <w:rPr>
                <w:rFonts w:ascii="Arial" w:cs="Arial" w:eastAsia="Arial" w:hAnsi="Arial"/>
                <w:sz w:val="22"/>
                <w:szCs w:val="22"/>
                <w:color w:val="00142F"/>
                <w:w w:val="94"/>
              </w:rPr>
              <w:t>1299 Pennsylvania Ave NW, Suite 700</w:t>
            </w:r>
          </w:p>
        </w:tc>
        <w:tc>
          <w:tcPr>
            <w:tcW w:w="0" w:type="dxa"/>
            <w:vAlign w:val="bottom"/>
          </w:tcPr>
          <w:p>
            <w:pPr>
              <w:spacing w:after="0"/>
              <w:rPr>
                <w:sz w:val="1"/>
                <w:szCs w:val="1"/>
                <w:color w:val="auto"/>
              </w:rPr>
            </w:pPr>
          </w:p>
        </w:tc>
      </w:tr>
      <w:tr>
        <w:trPr>
          <w:trHeight w:val="282"/>
        </w:trPr>
        <w:tc>
          <w:tcPr>
            <w:tcW w:w="3840" w:type="dxa"/>
            <w:vAlign w:val="bottom"/>
            <w:vMerge w:val="restart"/>
          </w:tcPr>
          <w:p>
            <w:pPr>
              <w:spacing w:after="0"/>
              <w:rPr>
                <w:sz w:val="20"/>
                <w:szCs w:val="20"/>
                <w:color w:val="auto"/>
              </w:rPr>
            </w:pPr>
            <w:r>
              <w:rPr>
                <w:rFonts w:ascii="Arial" w:cs="Arial" w:eastAsia="Arial" w:hAnsi="Arial"/>
                <w:sz w:val="24"/>
                <w:szCs w:val="24"/>
                <w:b w:val="1"/>
                <w:bCs w:val="1"/>
                <w:color w:val="00142F"/>
              </w:rPr>
              <w:t>Annual Meeting</w:t>
            </w:r>
          </w:p>
        </w:tc>
        <w:tc>
          <w:tcPr>
            <w:tcW w:w="3880" w:type="dxa"/>
            <w:vAlign w:val="bottom"/>
          </w:tcPr>
          <w:p>
            <w:pPr>
              <w:ind w:left="280"/>
              <w:spacing w:after="0"/>
              <w:rPr>
                <w:sz w:val="20"/>
                <w:szCs w:val="20"/>
                <w:color w:val="auto"/>
              </w:rPr>
            </w:pPr>
            <w:r>
              <w:rPr>
                <w:rFonts w:ascii="Arial" w:cs="Arial" w:eastAsia="Arial" w:hAnsi="Arial"/>
                <w:sz w:val="22"/>
                <w:szCs w:val="22"/>
                <w:color w:val="00142F"/>
              </w:rPr>
              <w:t>Washington, D.C. 20004</w:t>
            </w:r>
          </w:p>
        </w:tc>
        <w:tc>
          <w:tcPr>
            <w:tcW w:w="0" w:type="dxa"/>
            <w:vAlign w:val="bottom"/>
          </w:tcPr>
          <w:p>
            <w:pPr>
              <w:spacing w:after="0"/>
              <w:rPr>
                <w:sz w:val="1"/>
                <w:szCs w:val="1"/>
                <w:color w:val="auto"/>
              </w:rPr>
            </w:pPr>
          </w:p>
        </w:tc>
      </w:tr>
      <w:tr>
        <w:trPr>
          <w:trHeight w:val="246"/>
        </w:trPr>
        <w:tc>
          <w:tcPr>
            <w:tcW w:w="3840" w:type="dxa"/>
            <w:vAlign w:val="bottom"/>
            <w:vMerge w:val="continue"/>
          </w:tcPr>
          <w:p>
            <w:pPr>
              <w:spacing w:after="0"/>
              <w:rPr>
                <w:sz w:val="21"/>
                <w:szCs w:val="21"/>
                <w:color w:val="auto"/>
              </w:rPr>
            </w:pPr>
          </w:p>
        </w:tc>
        <w:tc>
          <w:tcPr>
            <w:tcW w:w="3880" w:type="dxa"/>
            <w:vAlign w:val="bottom"/>
            <w:vMerge w:val="restart"/>
          </w:tcPr>
          <w:p>
            <w:pPr>
              <w:ind w:left="280"/>
              <w:spacing w:after="0"/>
              <w:rPr>
                <w:sz w:val="20"/>
                <w:szCs w:val="20"/>
                <w:color w:val="auto"/>
              </w:rPr>
            </w:pPr>
            <w:r>
              <w:rPr>
                <w:rFonts w:ascii="Arial" w:cs="Arial" w:eastAsia="Arial" w:hAnsi="Arial"/>
                <w:sz w:val="24"/>
                <w:szCs w:val="24"/>
                <w:b w:val="1"/>
                <w:bCs w:val="1"/>
                <w:color w:val="00142F"/>
              </w:rPr>
              <w:t>Independent Registered Public</w:t>
            </w:r>
          </w:p>
        </w:tc>
        <w:tc>
          <w:tcPr>
            <w:tcW w:w="0" w:type="dxa"/>
            <w:vAlign w:val="bottom"/>
          </w:tcPr>
          <w:p>
            <w:pPr>
              <w:spacing w:after="0"/>
              <w:rPr>
                <w:sz w:val="1"/>
                <w:szCs w:val="1"/>
                <w:color w:val="auto"/>
              </w:rPr>
            </w:pPr>
          </w:p>
        </w:tc>
      </w:tr>
      <w:tr>
        <w:trPr>
          <w:trHeight w:val="238"/>
        </w:trPr>
        <w:tc>
          <w:tcPr>
            <w:tcW w:w="3840" w:type="dxa"/>
            <w:vAlign w:val="bottom"/>
          </w:tcPr>
          <w:p>
            <w:pPr>
              <w:spacing w:after="0" w:line="239" w:lineRule="exact"/>
              <w:rPr>
                <w:sz w:val="20"/>
                <w:szCs w:val="20"/>
                <w:color w:val="auto"/>
              </w:rPr>
            </w:pPr>
            <w:r>
              <w:rPr>
                <w:rFonts w:ascii="Arial" w:cs="Arial" w:eastAsia="Arial" w:hAnsi="Arial"/>
                <w:sz w:val="22"/>
                <w:szCs w:val="22"/>
                <w:color w:val="00142F"/>
              </w:rPr>
              <w:t>Wednesday, May 24, 2023</w:t>
            </w:r>
          </w:p>
        </w:tc>
        <w:tc>
          <w:tcPr>
            <w:tcW w:w="3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840" w:type="dxa"/>
            <w:vAlign w:val="bottom"/>
          </w:tcPr>
          <w:p>
            <w:pPr>
              <w:spacing w:after="0" w:line="249" w:lineRule="exact"/>
              <w:rPr>
                <w:sz w:val="20"/>
                <w:szCs w:val="20"/>
                <w:color w:val="auto"/>
              </w:rPr>
            </w:pPr>
            <w:r>
              <w:rPr>
                <w:rFonts w:ascii="Arial" w:cs="Arial" w:eastAsia="Arial" w:hAnsi="Arial"/>
                <w:sz w:val="22"/>
                <w:szCs w:val="22"/>
                <w:color w:val="00142F"/>
              </w:rPr>
              <w:t>at 1:00 p.m. local time</w:t>
            </w:r>
          </w:p>
        </w:tc>
        <w:tc>
          <w:tcPr>
            <w:tcW w:w="3880" w:type="dxa"/>
            <w:vAlign w:val="bottom"/>
          </w:tcPr>
          <w:p>
            <w:pPr>
              <w:ind w:left="280"/>
              <w:spacing w:after="0" w:line="249" w:lineRule="exact"/>
              <w:rPr>
                <w:sz w:val="20"/>
                <w:szCs w:val="20"/>
                <w:color w:val="auto"/>
              </w:rPr>
            </w:pPr>
            <w:r>
              <w:rPr>
                <w:rFonts w:ascii="Arial" w:cs="Arial" w:eastAsia="Arial" w:hAnsi="Arial"/>
                <w:sz w:val="24"/>
                <w:szCs w:val="24"/>
                <w:b w:val="1"/>
                <w:bCs w:val="1"/>
                <w:color w:val="00142F"/>
              </w:rPr>
              <w:t>Accounting Firm</w:t>
            </w:r>
          </w:p>
        </w:tc>
        <w:tc>
          <w:tcPr>
            <w:tcW w:w="0" w:type="dxa"/>
            <w:vAlign w:val="bottom"/>
          </w:tcPr>
          <w:p>
            <w:pPr>
              <w:spacing w:after="0"/>
              <w:rPr>
                <w:sz w:val="1"/>
                <w:szCs w:val="1"/>
                <w:color w:val="auto"/>
              </w:rPr>
            </w:pPr>
          </w:p>
        </w:tc>
      </w:tr>
      <w:tr>
        <w:trPr>
          <w:trHeight w:val="240"/>
        </w:trPr>
        <w:tc>
          <w:tcPr>
            <w:tcW w:w="3840" w:type="dxa"/>
            <w:vAlign w:val="bottom"/>
          </w:tcPr>
          <w:p>
            <w:pPr>
              <w:spacing w:after="0"/>
              <w:rPr>
                <w:sz w:val="20"/>
                <w:szCs w:val="20"/>
                <w:color w:val="auto"/>
              </w:rPr>
            </w:pPr>
          </w:p>
        </w:tc>
        <w:tc>
          <w:tcPr>
            <w:tcW w:w="3880" w:type="dxa"/>
            <w:vAlign w:val="bottom"/>
          </w:tcPr>
          <w:p>
            <w:pPr>
              <w:ind w:left="280"/>
              <w:spacing w:after="0" w:line="240" w:lineRule="exact"/>
              <w:rPr>
                <w:sz w:val="20"/>
                <w:szCs w:val="20"/>
                <w:color w:val="auto"/>
              </w:rPr>
            </w:pPr>
            <w:r>
              <w:rPr>
                <w:rFonts w:ascii="Arial" w:cs="Arial" w:eastAsia="Arial" w:hAnsi="Arial"/>
                <w:sz w:val="22"/>
                <w:szCs w:val="22"/>
                <w:color w:val="00142F"/>
              </w:rPr>
              <w:t>Ernst &amp; Young LLP</w:t>
            </w:r>
          </w:p>
        </w:tc>
        <w:tc>
          <w:tcPr>
            <w:tcW w:w="0" w:type="dxa"/>
            <w:vAlign w:val="bottom"/>
          </w:tcPr>
          <w:p>
            <w:pPr>
              <w:spacing w:after="0"/>
              <w:rPr>
                <w:sz w:val="1"/>
                <w:szCs w:val="1"/>
                <w:color w:val="auto"/>
              </w:rPr>
            </w:pPr>
          </w:p>
        </w:tc>
      </w:tr>
      <w:tr>
        <w:trPr>
          <w:trHeight w:val="327"/>
        </w:trPr>
        <w:tc>
          <w:tcPr>
            <w:tcW w:w="3840" w:type="dxa"/>
            <w:vAlign w:val="bottom"/>
          </w:tcPr>
          <w:p>
            <w:pPr>
              <w:spacing w:after="0"/>
              <w:rPr>
                <w:sz w:val="20"/>
                <w:szCs w:val="20"/>
                <w:color w:val="auto"/>
              </w:rPr>
            </w:pPr>
            <w:r>
              <w:rPr>
                <w:rFonts w:ascii="Arial" w:cs="Arial" w:eastAsia="Arial" w:hAnsi="Arial"/>
                <w:sz w:val="24"/>
                <w:szCs w:val="24"/>
                <w:b w:val="1"/>
                <w:bCs w:val="1"/>
                <w:color w:val="00142F"/>
              </w:rPr>
              <w:t>Registrar and Transfer Agent</w:t>
            </w:r>
          </w:p>
        </w:tc>
        <w:tc>
          <w:tcPr>
            <w:tcW w:w="3880" w:type="dxa"/>
            <w:vAlign w:val="bottom"/>
          </w:tcPr>
          <w:p>
            <w:pPr>
              <w:ind w:left="280"/>
              <w:spacing w:after="0"/>
              <w:rPr>
                <w:sz w:val="20"/>
                <w:szCs w:val="20"/>
                <w:color w:val="auto"/>
              </w:rPr>
            </w:pPr>
            <w:r>
              <w:rPr>
                <w:rFonts w:ascii="Arial" w:cs="Arial" w:eastAsia="Arial" w:hAnsi="Arial"/>
                <w:sz w:val="22"/>
                <w:szCs w:val="22"/>
                <w:color w:val="00142F"/>
              </w:rPr>
              <w:t>1201 Wills Street, Suite 310</w:t>
            </w:r>
          </w:p>
        </w:tc>
        <w:tc>
          <w:tcPr>
            <w:tcW w:w="0" w:type="dxa"/>
            <w:vAlign w:val="bottom"/>
          </w:tcPr>
          <w:p>
            <w:pPr>
              <w:spacing w:after="0"/>
              <w:rPr>
                <w:sz w:val="1"/>
                <w:szCs w:val="1"/>
                <w:color w:val="auto"/>
              </w:rPr>
            </w:pPr>
          </w:p>
        </w:tc>
      </w:tr>
      <w:tr>
        <w:trPr>
          <w:trHeight w:val="242"/>
        </w:trPr>
        <w:tc>
          <w:tcPr>
            <w:tcW w:w="3840" w:type="dxa"/>
            <w:vAlign w:val="bottom"/>
          </w:tcPr>
          <w:p>
            <w:pPr>
              <w:spacing w:after="0" w:line="242" w:lineRule="exact"/>
              <w:rPr>
                <w:sz w:val="20"/>
                <w:szCs w:val="20"/>
                <w:color w:val="auto"/>
              </w:rPr>
            </w:pPr>
            <w:r>
              <w:rPr>
                <w:rFonts w:ascii="Arial" w:cs="Arial" w:eastAsia="Arial" w:hAnsi="Arial"/>
                <w:sz w:val="22"/>
                <w:szCs w:val="22"/>
                <w:color w:val="00142F"/>
              </w:rPr>
              <w:t>American Stock Transfer &amp; Trust</w:t>
            </w:r>
          </w:p>
        </w:tc>
        <w:tc>
          <w:tcPr>
            <w:tcW w:w="3880" w:type="dxa"/>
            <w:vAlign w:val="bottom"/>
          </w:tcPr>
          <w:p>
            <w:pPr>
              <w:ind w:left="280"/>
              <w:spacing w:after="0" w:line="240" w:lineRule="exact"/>
              <w:rPr>
                <w:sz w:val="20"/>
                <w:szCs w:val="20"/>
                <w:color w:val="auto"/>
              </w:rPr>
            </w:pPr>
            <w:r>
              <w:rPr>
                <w:rFonts w:ascii="Arial" w:cs="Arial" w:eastAsia="Arial" w:hAnsi="Arial"/>
                <w:sz w:val="22"/>
                <w:szCs w:val="22"/>
                <w:color w:val="00142F"/>
              </w:rPr>
              <w:t>Baltimore, Maryland 21231</w:t>
            </w:r>
          </w:p>
        </w:tc>
        <w:tc>
          <w:tcPr>
            <w:tcW w:w="0" w:type="dxa"/>
            <w:vAlign w:val="bottom"/>
          </w:tcPr>
          <w:p>
            <w:pPr>
              <w:spacing w:after="0"/>
              <w:rPr>
                <w:sz w:val="1"/>
                <w:szCs w:val="1"/>
                <w:color w:val="auto"/>
              </w:rPr>
            </w:pPr>
          </w:p>
        </w:tc>
      </w:tr>
      <w:tr>
        <w:trPr>
          <w:trHeight w:val="240"/>
        </w:trPr>
        <w:tc>
          <w:tcPr>
            <w:tcW w:w="3840" w:type="dxa"/>
            <w:vAlign w:val="bottom"/>
          </w:tcPr>
          <w:p>
            <w:pPr>
              <w:spacing w:after="0" w:line="240" w:lineRule="exact"/>
              <w:rPr>
                <w:sz w:val="20"/>
                <w:szCs w:val="20"/>
                <w:color w:val="auto"/>
              </w:rPr>
            </w:pPr>
            <w:r>
              <w:rPr>
                <w:rFonts w:ascii="Arial" w:cs="Arial" w:eastAsia="Arial" w:hAnsi="Arial"/>
                <w:sz w:val="22"/>
                <w:szCs w:val="22"/>
                <w:color w:val="00142F"/>
              </w:rPr>
              <w:t>Company, LLC 6201 15th Avenue</w:t>
            </w:r>
          </w:p>
        </w:tc>
        <w:tc>
          <w:tcPr>
            <w:tcW w:w="3880" w:type="dxa"/>
            <w:vAlign w:val="bottom"/>
            <w:vMerge w:val="restart"/>
          </w:tcPr>
          <w:p>
            <w:pPr>
              <w:ind w:left="280"/>
              <w:spacing w:after="0"/>
              <w:rPr>
                <w:sz w:val="20"/>
                <w:szCs w:val="20"/>
                <w:color w:val="auto"/>
              </w:rPr>
            </w:pPr>
            <w:r>
              <w:rPr>
                <w:rFonts w:ascii="Arial" w:cs="Arial" w:eastAsia="Arial" w:hAnsi="Arial"/>
                <w:sz w:val="24"/>
                <w:szCs w:val="24"/>
                <w:b w:val="1"/>
                <w:bCs w:val="1"/>
                <w:color w:val="00142F"/>
              </w:rPr>
              <w:t>Investor Relations</w:t>
            </w:r>
          </w:p>
        </w:tc>
        <w:tc>
          <w:tcPr>
            <w:tcW w:w="0" w:type="dxa"/>
            <w:vAlign w:val="bottom"/>
          </w:tcPr>
          <w:p>
            <w:pPr>
              <w:spacing w:after="0"/>
              <w:rPr>
                <w:sz w:val="1"/>
                <w:szCs w:val="1"/>
                <w:color w:val="auto"/>
              </w:rPr>
            </w:pPr>
          </w:p>
        </w:tc>
      </w:tr>
      <w:tr>
        <w:trPr>
          <w:trHeight w:val="246"/>
        </w:trPr>
        <w:tc>
          <w:tcPr>
            <w:tcW w:w="3840" w:type="dxa"/>
            <w:vAlign w:val="bottom"/>
          </w:tcPr>
          <w:p>
            <w:pPr>
              <w:spacing w:after="0" w:line="246" w:lineRule="exact"/>
              <w:rPr>
                <w:sz w:val="20"/>
                <w:szCs w:val="20"/>
                <w:color w:val="auto"/>
              </w:rPr>
            </w:pPr>
            <w:r>
              <w:rPr>
                <w:rFonts w:ascii="Arial" w:cs="Arial" w:eastAsia="Arial" w:hAnsi="Arial"/>
                <w:sz w:val="22"/>
                <w:szCs w:val="22"/>
                <w:color w:val="00142F"/>
              </w:rPr>
              <w:t>Brooklyn, NY 11219</w:t>
            </w:r>
          </w:p>
        </w:tc>
        <w:tc>
          <w:tcPr>
            <w:tcW w:w="3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840" w:type="dxa"/>
            <w:vAlign w:val="bottom"/>
          </w:tcPr>
          <w:p>
            <w:pPr>
              <w:spacing w:after="0"/>
              <w:rPr>
                <w:sz w:val="20"/>
                <w:szCs w:val="20"/>
                <w:color w:val="auto"/>
              </w:rPr>
            </w:pPr>
            <w:r>
              <w:rPr>
                <w:rFonts w:ascii="Arial" w:cs="Arial" w:eastAsia="Arial" w:hAnsi="Arial"/>
                <w:sz w:val="22"/>
                <w:szCs w:val="22"/>
                <w:color w:val="00142F"/>
              </w:rPr>
              <w:t>T: (800) 937-5449</w:t>
            </w:r>
          </w:p>
        </w:tc>
        <w:tc>
          <w:tcPr>
            <w:tcW w:w="3880" w:type="dxa"/>
            <w:vAlign w:val="bottom"/>
          </w:tcPr>
          <w:p>
            <w:pPr>
              <w:ind w:left="280"/>
              <w:spacing w:after="0"/>
              <w:rPr>
                <w:sz w:val="20"/>
                <w:szCs w:val="20"/>
                <w:color w:val="auto"/>
              </w:rPr>
            </w:pPr>
            <w:r>
              <w:rPr>
                <w:rFonts w:ascii="Arial" w:cs="Arial" w:eastAsia="Arial" w:hAnsi="Arial"/>
                <w:sz w:val="22"/>
                <w:szCs w:val="22"/>
                <w:color w:val="175DA5"/>
              </w:rPr>
              <w:t>investors@tenable.com</w:t>
            </w:r>
          </w:p>
        </w:tc>
        <w:tc>
          <w:tcPr>
            <w:tcW w:w="0" w:type="dxa"/>
            <w:vAlign w:val="bottom"/>
          </w:tcPr>
          <w:p>
            <w:pPr>
              <w:spacing w:after="0"/>
              <w:rPr>
                <w:sz w:val="1"/>
                <w:szCs w:val="1"/>
                <w:color w:val="auto"/>
              </w:rPr>
            </w:pPr>
          </w:p>
        </w:tc>
      </w:tr>
    </w:tbl>
    <w:p>
      <w:pPr>
        <w:sectPr>
          <w:pgSz w:w="11880" w:h="15480" w:orient="portrait"/>
          <w:cols w:equalWidth="0" w:num="1">
            <w:col w:w="9360"/>
          </w:cols>
          <w:pgMar w:left="1080" w:top="1170" w:right="1440" w:bottom="1440" w:gutter="0" w:footer="0" w:header="0"/>
        </w:sectPr>
      </w:pPr>
    </w:p>
    <w:bookmarkStart w:id="215" w:name="page216"/>
    <w:bookmarkEnd w:id="2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ý"/>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ý"/>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
      <w:numFmt w:val="bullet"/>
      <w:start w:val="1"/>
    </w:lvl>
  </w:abstractNum>
  <w:abstractNum w:abstractNumId="9">
    <w:nsid w:val="7BD3EE7B"/>
    <w:multiLevelType w:val="hybridMultilevel"/>
    <w:lvl w:ilvl="0">
      <w:lvlJc w:val="left"/>
      <w:lvlText w:val="•"/>
      <w:numFmt w:val="bullet"/>
      <w:start w:val="1"/>
    </w:lvl>
  </w:abstractNum>
  <w:abstractNum w:abstractNumId="10">
    <w:nsid w:val="51D9C564"/>
    <w:multiLevelType w:val="hybridMultilevel"/>
    <w:lvl w:ilvl="0">
      <w:lvlJc w:val="left"/>
      <w:lvlText w:val="*"/>
      <w:numFmt w:val="bullet"/>
      <w:start w:val="1"/>
    </w:lvl>
  </w:abstractNum>
  <w:abstractNum w:abstractNumId="11">
    <w:nsid w:val="613EFDC5"/>
    <w:multiLevelType w:val="hybridMultilevel"/>
    <w:lvl w:ilvl="0">
      <w:lvlJc w:val="left"/>
      <w:lvlText w:val="(%1)"/>
      <w:numFmt w:val="decimal"/>
      <w:start w:val="1"/>
    </w:lvl>
  </w:abstractNum>
  <w:abstractNum w:abstractNumId="12">
    <w:nsid w:val="BF72B14"/>
    <w:multiLevelType w:val="hybridMultilevel"/>
    <w:lvl w:ilvl="0">
      <w:lvlJc w:val="left"/>
      <w:lvlText w:val="•"/>
      <w:numFmt w:val="bullet"/>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1)"/>
      <w:numFmt w:val="decimal"/>
      <w:start w:val="1"/>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
      <w:numFmt w:val="bullet"/>
      <w:start w:val="1"/>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
      <w:numFmt w:val="bullet"/>
      <w:start w:val="1"/>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1)"/>
      <w:numFmt w:val="decimal"/>
      <w:start w:val="1"/>
    </w:lvl>
  </w:abstractNum>
  <w:abstractNum w:abstractNumId="26">
    <w:nsid w:val="71EA1109"/>
    <w:multiLevelType w:val="hybridMultilevel"/>
    <w:lvl w:ilvl="0">
      <w:lvlJc w:val="left"/>
      <w:lvlText w:val="(%1)"/>
      <w:numFmt w:val="decimal"/>
      <w:start w:val="3"/>
    </w:lvl>
  </w:abstractNum>
  <w:abstractNum w:abstractNumId="27">
    <w:nsid w:val="100F59DC"/>
    <w:multiLevelType w:val="hybridMultilevel"/>
    <w:lvl w:ilvl="0">
      <w:lvlJc w:val="left"/>
      <w:lvlText w:val="(%1)"/>
      <w:numFmt w:val="decimal"/>
      <w:start w:val="14"/>
    </w:lvl>
  </w:abstractNum>
  <w:abstractNum w:abstractNumId="28">
    <w:nsid w:val="7FB7E0AA"/>
    <w:multiLevelType w:val="hybridMultilevel"/>
    <w:lvl w:ilvl="0">
      <w:lvlJc w:val="left"/>
      <w:lvlText w:val="(%1)"/>
      <w:numFmt w:val="decimal"/>
      <w:start w:val="1"/>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
      <w:numFmt w:val="bullet"/>
      <w:start w:val="1"/>
    </w:lvl>
  </w:abstractNum>
  <w:abstractNum w:abstractNumId="31">
    <w:nsid w:val="94211F2"/>
    <w:multiLevelType w:val="hybridMultilevel"/>
    <w:lvl w:ilvl="0">
      <w:lvlJc w:val="left"/>
      <w:lvlText w:val="(%1)"/>
      <w:numFmt w:val="decimal"/>
      <w:start w:val="1"/>
    </w:lvl>
  </w:abstractNum>
  <w:abstractNum w:abstractNumId="32">
    <w:nsid w:val="885E1B"/>
    <w:multiLevelType w:val="hybridMultilevel"/>
    <w:lvl w:ilvl="0">
      <w:lvlJc w:val="left"/>
      <w:lvlText w:val="•"/>
      <w:numFmt w:val="bullet"/>
      <w:start w:val="1"/>
    </w:lvl>
  </w:abstractNum>
  <w:abstractNum w:abstractNumId="33">
    <w:nsid w:val="76272110"/>
    <w:multiLevelType w:val="hybridMultilevel"/>
    <w:lvl w:ilvl="0">
      <w:lvlJc w:val="left"/>
      <w:lvlText w:val="•"/>
      <w:numFmt w:val="bullet"/>
      <w:start w:val="1"/>
    </w:lvl>
  </w:abstractNum>
  <w:abstractNum w:abstractNumId="34">
    <w:nsid w:val="4C04A8AF"/>
    <w:multiLevelType w:val="hybridMultilevel"/>
    <w:lvl w:ilvl="0">
      <w:lvlJc w:val="left"/>
      <w:lvlText w:val="•"/>
      <w:numFmt w:val="bullet"/>
      <w:start w:val="1"/>
    </w:lvl>
  </w:abstractNum>
  <w:abstractNum w:abstractNumId="35">
    <w:nsid w:val="1716703B"/>
    <w:multiLevelType w:val="hybridMultilevel"/>
    <w:lvl w:ilvl="0">
      <w:lvlJc w:val="left"/>
      <w:lvlText w:val="•"/>
      <w:numFmt w:val="bullet"/>
      <w:start w:val="1"/>
    </w:lvl>
  </w:abstractNum>
  <w:abstractNum w:abstractNumId="36">
    <w:nsid w:val="14E17E33"/>
    <w:multiLevelType w:val="hybridMultilevel"/>
    <w:lvl w:ilvl="0">
      <w:lvlJc w:val="left"/>
      <w:lvlText w:val="•"/>
      <w:numFmt w:val="bullet"/>
      <w:start w:val="1"/>
    </w:lvl>
  </w:abstractNum>
  <w:abstractNum w:abstractNumId="37">
    <w:nsid w:val="3222E7CD"/>
    <w:multiLevelType w:val="hybridMultilevel"/>
    <w:lvl w:ilvl="0">
      <w:lvlJc w:val="left"/>
      <w:lvlText w:val="(%1)"/>
      <w:numFmt w:val="decimal"/>
      <w:start w:val="1"/>
    </w:lvl>
  </w:abstractNum>
  <w:abstractNum w:abstractNumId="38">
    <w:nsid w:val="74DE0EE3"/>
    <w:multiLevelType w:val="hybridMultilevel"/>
    <w:lvl w:ilvl="0">
      <w:lvlJc w:val="left"/>
      <w:lvlText w:val="•"/>
      <w:numFmt w:val="bullet"/>
      <w:start w:val="1"/>
    </w:lvl>
  </w:abstractNum>
  <w:abstractNum w:abstractNumId="39">
    <w:nsid w:val="68EBC550"/>
    <w:multiLevelType w:val="hybridMultilevel"/>
    <w:lvl w:ilvl="0">
      <w:lvlJc w:val="left"/>
      <w:lvlText w:val="(%1)"/>
      <w:numFmt w:val="decimal"/>
      <w:start w:val="1"/>
    </w:lvl>
  </w:abstractNum>
  <w:abstractNum w:abstractNumId="40">
    <w:nsid w:val="2DF6D648"/>
    <w:multiLevelType w:val="hybridMultilevel"/>
    <w:lvl w:ilvl="0">
      <w:lvlJc w:val="left"/>
      <w:lvlText w:val="(%1)"/>
      <w:numFmt w:val="decimal"/>
      <w:start w:val="1"/>
    </w:lvl>
  </w:abstractNum>
  <w:abstractNum w:abstractNumId="41">
    <w:nsid w:val="46B7D447"/>
    <w:multiLevelType w:val="hybridMultilevel"/>
    <w:lvl w:ilvl="0">
      <w:lvlJc w:val="left"/>
      <w:lvlText w:val="(%1)"/>
      <w:numFmt w:val="decimal"/>
      <w:start w:val="1"/>
    </w:lvl>
  </w:abstractNum>
  <w:abstractNum w:abstractNumId="42">
    <w:nsid w:val="4A2AC315"/>
    <w:multiLevelType w:val="hybridMultilevel"/>
    <w:lvl w:ilvl="0">
      <w:lvlJc w:val="left"/>
      <w:lvlText w:val="(%1)"/>
      <w:numFmt w:val="decimal"/>
      <w:start w:val="1"/>
    </w:lvl>
  </w:abstractNum>
  <w:abstractNum w:abstractNumId="43">
    <w:nsid w:val="39EE015C"/>
    <w:multiLevelType w:val="hybridMultilevel"/>
    <w:lvl w:ilvl="0">
      <w:lvlJc w:val="left"/>
      <w:lvlText w:val="(%1)"/>
      <w:numFmt w:val="decimal"/>
      <w:start w:val="1"/>
    </w:lvl>
  </w:abstractNum>
  <w:abstractNum w:abstractNumId="44">
    <w:nsid w:val="57FC4FBB"/>
    <w:multiLevelType w:val="hybridMultilevel"/>
    <w:lvl w:ilvl="0">
      <w:lvlJc w:val="left"/>
      <w:lvlText w:val="(%1)"/>
      <w:numFmt w:val="decimal"/>
      <w:start w:val="1"/>
    </w:lvl>
  </w:abstractNum>
  <w:abstractNum w:abstractNumId="45">
    <w:nsid w:val="CC1016F"/>
    <w:multiLevelType w:val="hybridMultilevel"/>
    <w:lvl w:ilvl="0">
      <w:lvlJc w:val="left"/>
      <w:lvlText w:val="•"/>
      <w:numFmt w:val="bullet"/>
      <w:start w:val="1"/>
    </w:lvl>
  </w:abstractNum>
  <w:abstractNum w:abstractNumId="46">
    <w:nsid w:val="43F18422"/>
    <w:multiLevelType w:val="hybridMultilevel"/>
    <w:lvl w:ilvl="0">
      <w:lvlJc w:val="left"/>
      <w:lvlText w:val="•"/>
      <w:numFmt w:val="bullet"/>
      <w:start w:val="1"/>
    </w:lvl>
  </w:abstractNum>
  <w:abstractNum w:abstractNumId="47">
    <w:nsid w:val="60EF0119"/>
    <w:multiLevelType w:val="hybridMultilevel"/>
    <w:lvl w:ilvl="0">
      <w:lvlJc w:val="left"/>
      <w:lvlText w:val="•"/>
      <w:numFmt w:val="bullet"/>
      <w:start w:val="1"/>
    </w:lvl>
  </w:abstractNum>
  <w:abstractNum w:abstractNumId="48">
    <w:nsid w:val="26F324BA"/>
    <w:multiLevelType w:val="hybridMultilevel"/>
    <w:lvl w:ilvl="0">
      <w:lvlJc w:val="left"/>
      <w:lvlText w:val="•"/>
      <w:numFmt w:val="bullet"/>
      <w:start w:val="1"/>
    </w:lvl>
  </w:abstractNum>
  <w:abstractNum w:abstractNumId="49">
    <w:nsid w:val="7F01579B"/>
    <w:multiLevelType w:val="hybridMultilevel"/>
    <w:lvl w:ilvl="0">
      <w:lvlJc w:val="left"/>
      <w:lvlText w:val="•"/>
      <w:numFmt w:val="bullet"/>
      <w:start w:val="1"/>
    </w:lvl>
  </w:abstractNum>
  <w:abstractNum w:abstractNumId="50">
    <w:nsid w:val="49DA307D"/>
    <w:multiLevelType w:val="hybridMultilevel"/>
    <w:lvl w:ilvl="0">
      <w:lvlJc w:val="left"/>
      <w:lvlText w:val="(%1)"/>
      <w:numFmt w:val="decimal"/>
      <w:start w:val="1"/>
    </w:lvl>
  </w:abstractNum>
  <w:abstractNum w:abstractNumId="51">
    <w:nsid w:val="7055A5F5"/>
    <w:multiLevelType w:val="hybridMultilevel"/>
    <w:lvl w:ilvl="0">
      <w:lvlJc w:val="left"/>
      <w:lvlText w:val="(%1)"/>
      <w:numFmt w:val="decimal"/>
      <w:start w:val="2"/>
    </w:lvl>
  </w:abstractNum>
  <w:abstractNum w:abstractNumId="52">
    <w:nsid w:val="5FB8370B"/>
    <w:multiLevelType w:val="hybridMultilevel"/>
    <w:lvl w:ilvl="0">
      <w:lvlJc w:val="left"/>
      <w:lvlText w:val="(%1)"/>
      <w:numFmt w:val="decimal"/>
      <w:start w:val="5"/>
    </w:lvl>
  </w:abstractNum>
  <w:abstractNum w:abstractNumId="53">
    <w:nsid w:val="50801EE1"/>
    <w:multiLevelType w:val="hybridMultilevel"/>
    <w:lvl w:ilvl="0">
      <w:lvlJc w:val="left"/>
      <w:lvlText w:val="(%1)"/>
      <w:numFmt w:val="decimal"/>
      <w:start w:val="1"/>
    </w:lvl>
  </w:abstractNum>
  <w:abstractNum w:abstractNumId="54">
    <w:nsid w:val="488AC1A"/>
    <w:multiLevelType w:val="hybridMultilevel"/>
    <w:lvl w:ilvl="0">
      <w:lvlJc w:val="left"/>
      <w:lvlText w:val="(%1)"/>
      <w:numFmt w:val="decimal"/>
      <w:start w:val="4"/>
    </w:lvl>
  </w:abstractNum>
  <w:abstractNum w:abstractNumId="55">
    <w:nsid w:val="5FB8011C"/>
    <w:multiLevelType w:val="hybridMultilevel"/>
    <w:lvl w:ilvl="0">
      <w:lvlJc w:val="left"/>
      <w:lvlText w:val="(%1)"/>
      <w:numFmt w:val="decimal"/>
      <w:start w:val="1"/>
    </w:lvl>
  </w:abstractNum>
  <w:abstractNum w:abstractNumId="56">
    <w:nsid w:val="6AA78F7F"/>
    <w:multiLevelType w:val="hybridMultilevel"/>
    <w:lvl w:ilvl="0">
      <w:lvlJc w:val="left"/>
      <w:lvlText w:val="(%1)"/>
      <w:numFmt w:val="decimal"/>
      <w:start w:val="4"/>
    </w:lvl>
  </w:abstractNum>
  <w:abstractNum w:abstractNumId="57">
    <w:nsid w:val="7672BD23"/>
    <w:multiLevelType w:val="hybridMultilevel"/>
    <w:lvl w:ilvl="0">
      <w:lvlJc w:val="left"/>
      <w:lvlText w:val="(%1)"/>
      <w:numFmt w:val="decimal"/>
      <w:start w:val="1"/>
    </w:lvl>
  </w:abstractNum>
  <w:abstractNum w:abstractNumId="58">
    <w:nsid w:val="6FC75AF8"/>
    <w:multiLevelType w:val="hybridMultilevel"/>
    <w:lvl w:ilvl="0">
      <w:lvlJc w:val="left"/>
      <w:lvlText w:val="(%1)"/>
      <w:numFmt w:val="decimal"/>
      <w:start w:val="1"/>
    </w:lvl>
  </w:abstractNum>
  <w:abstractNum w:abstractNumId="59">
    <w:nsid w:val="6A5F7029"/>
    <w:multiLevelType w:val="hybridMultilevel"/>
    <w:lvl w:ilvl="0">
      <w:lvlJc w:val="left"/>
      <w:lvlText w:val="(%1)"/>
      <w:numFmt w:val="decimal"/>
      <w:start w:val="5"/>
    </w:lvl>
  </w:abstractNum>
  <w:abstractNum w:abstractNumId="60">
    <w:nsid w:val="7D5E18F8"/>
    <w:multiLevelType w:val="hybridMultilevel"/>
    <w:lvl w:ilvl="0">
      <w:lvlJc w:val="left"/>
      <w:lvlText w:val="•"/>
      <w:numFmt w:val="bullet"/>
      <w:start w:val="1"/>
    </w:lvl>
  </w:abstractNum>
  <w:abstractNum w:abstractNumId="61">
    <w:nsid w:val="5F3534A4"/>
    <w:multiLevelType w:val="hybridMultilevel"/>
    <w:lvl w:ilvl="0">
      <w:lvlJc w:val="left"/>
      <w:lvlText w:val="•"/>
      <w:numFmt w:val="bullet"/>
      <w:start w:val="1"/>
    </w:lvl>
  </w:abstractNum>
  <w:abstractNum w:abstractNumId="62">
    <w:nsid w:val="73A1821B"/>
    <w:multiLevelType w:val="hybridMultilevel"/>
    <w:lvl w:ilvl="0">
      <w:lvlJc w:val="left"/>
      <w:lvlText w:val="•"/>
      <w:numFmt w:val="bullet"/>
      <w:start w:val="1"/>
    </w:lvl>
  </w:abstractNum>
  <w:abstractNum w:abstractNumId="63">
    <w:nsid w:val="7DE67713"/>
    <w:multiLevelType w:val="hybridMultilevel"/>
    <w:lvl w:ilvl="0">
      <w:lvlJc w:val="left"/>
      <w:lvlText w:val="(%1)"/>
      <w:numFmt w:val="decimal"/>
      <w:start w:val="1"/>
    </w:lvl>
  </w:abstractNum>
  <w:abstractNum w:abstractNumId="64">
    <w:nsid w:val="555C55B5"/>
    <w:multiLevelType w:val="hybridMultilevel"/>
    <w:lvl w:ilvl="0">
      <w:lvlJc w:val="left"/>
      <w:lvlText w:val="(%1)"/>
      <w:numFmt w:val="lowerLetter"/>
      <w:start w:val="1"/>
    </w:lvl>
  </w:abstractNum>
  <w:abstractNum w:abstractNumId="65">
    <w:nsid w:val="3FA62ACA"/>
    <w:multiLevelType w:val="hybridMultilevel"/>
    <w:lvl w:ilvl="0">
      <w:lvlJc w:val="left"/>
      <w:lvlText w:val="(%1)"/>
      <w:numFmt w:val="decimal"/>
      <w:start w:val="3"/>
    </w:lvl>
  </w:abstractNum>
  <w:abstractNum w:abstractNumId="66">
    <w:nsid w:val="14FCE74E"/>
    <w:multiLevelType w:val="hybridMultilevel"/>
    <w:lvl w:ilvl="0">
      <w:lvlJc w:val="left"/>
      <w:lvlText w:val="(%1)"/>
      <w:numFmt w:val="lowerLetter"/>
      <w:start w:val="1"/>
    </w:lvl>
  </w:abstractNum>
  <w:abstractNum w:abstractNumId="67">
    <w:nsid w:val="6A3DD3E8"/>
    <w:multiLevelType w:val="hybridMultilevel"/>
    <w:lvl w:ilvl="0">
      <w:lvlJc w:val="left"/>
      <w:lvlText w:val="(%1)"/>
      <w:numFmt w:val="decimal"/>
      <w:start w:val="5"/>
    </w:lvl>
  </w:abstractNum>
  <w:abstractNum w:abstractNumId="68">
    <w:nsid w:val="71C91298"/>
    <w:multiLevelType w:val="hybridMultilevel"/>
    <w:lvl w:ilvl="0">
      <w:lvlJc w:val="left"/>
      <w:lvlText w:val="(%1)"/>
      <w:numFmt w:val="decimal"/>
      <w:start w:val="7"/>
    </w:lvl>
  </w:abstractNum>
  <w:abstractNum w:abstractNumId="69">
    <w:nsid w:val="9DAF632"/>
    <w:multiLevelType w:val="hybridMultilevel"/>
    <w:lvl w:ilvl="0">
      <w:lvlJc w:val="left"/>
      <w:lvlText w:val="•"/>
      <w:numFmt w:val="bullet"/>
      <w:start w:val="1"/>
    </w:lvl>
  </w:abstractNum>
  <w:abstractNum w:abstractNumId="70">
    <w:nsid w:val="53299938"/>
    <w:multiLevelType w:val="hybridMultilevel"/>
    <w:lvl w:ilvl="0">
      <w:lvlJc w:val="left"/>
      <w:lvlText w:val="(%1)"/>
      <w:numFmt w:val="decimal"/>
      <w:start w:val="1"/>
    </w:lvl>
  </w:abstractNum>
  <w:abstractNum w:abstractNumId="71">
    <w:nsid w:val="1FBFE8E0"/>
    <w:multiLevelType w:val="hybridMultilevel"/>
    <w:lvl w:ilvl="0">
      <w:lvlJc w:val="left"/>
      <w:lvlText w:val="(%1)"/>
      <w:numFmt w:val="decimal"/>
      <w:start w:val="2"/>
    </w:lvl>
  </w:abstractNum>
  <w:abstractNum w:abstractNumId="72">
    <w:nsid w:val="5092CA79"/>
    <w:multiLevelType w:val="hybridMultilevel"/>
    <w:lvl w:ilvl="0">
      <w:lvlJc w:val="left"/>
      <w:lvlText w:val="•"/>
      <w:numFmt w:val="bullet"/>
      <w:start w:val="1"/>
    </w:lvl>
  </w:abstractNum>
  <w:abstractNum w:abstractNumId="73">
    <w:nsid w:val="1D545C4D"/>
    <w:multiLevelType w:val="hybridMultilevel"/>
    <w:lvl w:ilvl="0">
      <w:lvlJc w:val="left"/>
      <w:lvlText w:val="(%1)"/>
      <w:numFmt w:val="decimal"/>
      <w:start w:val="1"/>
    </w:lvl>
  </w:abstractNum>
  <w:abstractNum w:abstractNumId="74">
    <w:nsid w:val="59ADEA3D"/>
    <w:multiLevelType w:val="hybridMultilevel"/>
    <w:lvl w:ilvl="0">
      <w:lvlJc w:val="left"/>
      <w:lvlText w:val="(%1)"/>
      <w:numFmt w:val="decimal"/>
      <w:start w:val="1"/>
    </w:lvl>
  </w:abstractNum>
  <w:abstractNum w:abstractNumId="75">
    <w:nsid w:val="288F1A34"/>
    <w:multiLevelType w:val="hybridMultilevel"/>
    <w:lvl w:ilvl="0">
      <w:lvlJc w:val="left"/>
      <w:lvlText w:val="(%1)"/>
      <w:numFmt w:val="decimal"/>
      <w:start w:val="1"/>
    </w:lvl>
  </w:abstractNum>
  <w:abstractNum w:abstractNumId="76">
    <w:nsid w:val="2A155DBC"/>
    <w:multiLevelType w:val="hybridMultilevel"/>
    <w:lvl w:ilvl="0">
      <w:lvlJc w:val="left"/>
      <w:lvlText w:val="(%1)"/>
      <w:numFmt w:val="decimal"/>
      <w:start w:val="7"/>
    </w:lvl>
  </w:abstractNum>
  <w:abstractNum w:abstractNumId="77">
    <w:nsid w:val="1D9F6E5F"/>
    <w:multiLevelType w:val="hybridMultilevel"/>
    <w:lvl w:ilvl="0">
      <w:lvlJc w:val="left"/>
      <w:lvlText w:val="☒"/>
      <w:numFmt w:val="bullet"/>
      <w:start w:val="1"/>
    </w:lvl>
  </w:abstractNum>
  <w:abstractNum w:abstractNumId="78">
    <w:nsid w:val="97E1B4E"/>
    <w:multiLevelType w:val="hybridMultilevel"/>
    <w:lvl w:ilvl="0">
      <w:lvlJc w:val="left"/>
      <w:lvlText w:val="☐"/>
      <w:numFmt w:val="bullet"/>
      <w:start w:val="1"/>
    </w:lvl>
  </w:abstractNum>
  <w:abstractNum w:abstractNumId="79">
    <w:nsid w:val="51088277"/>
    <w:multiLevelType w:val="hybridMultilevel"/>
    <w:lvl w:ilvl="0">
      <w:lvlJc w:val="left"/>
      <w:lvlText w:val="•"/>
      <w:numFmt w:val="bullet"/>
      <w:start w:val="1"/>
    </w:lvl>
  </w:abstractNum>
  <w:abstractNum w:abstractNumId="80">
    <w:nsid w:val="1CA0C5FA"/>
    <w:multiLevelType w:val="hybridMultilevel"/>
    <w:lvl w:ilvl="0">
      <w:lvlJc w:val="left"/>
      <w:lvlText w:val="•"/>
      <w:numFmt w:val="bullet"/>
      <w:start w:val="1"/>
    </w:lvl>
  </w:abstractNum>
  <w:abstractNum w:abstractNumId="81">
    <w:nsid w:val="53584BCB"/>
    <w:multiLevelType w:val="hybridMultilevel"/>
    <w:lvl w:ilvl="0">
      <w:lvlJc w:val="left"/>
      <w:lvlText w:val="•"/>
      <w:numFmt w:val="bullet"/>
      <w:start w:val="1"/>
    </w:lvl>
  </w:abstractNum>
  <w:abstractNum w:abstractNumId="82">
    <w:nsid w:val="415E286C"/>
    <w:multiLevelType w:val="hybridMultilevel"/>
    <w:lvl w:ilvl="0">
      <w:lvlJc w:val="left"/>
      <w:lvlText w:val="•"/>
      <w:numFmt w:val="bullet"/>
      <w:start w:val="1"/>
    </w:lvl>
  </w:abstractNum>
  <w:abstractNum w:abstractNumId="83">
    <w:nsid w:val="7C58FD05"/>
    <w:multiLevelType w:val="hybridMultilevel"/>
    <w:lvl w:ilvl="0">
      <w:lvlJc w:val="left"/>
      <w:lvlText w:val="•"/>
      <w:numFmt w:val="bullet"/>
      <w:start w:val="1"/>
    </w:lvl>
  </w:abstractNum>
  <w:abstractNum w:abstractNumId="84">
    <w:nsid w:val="23D86AAC"/>
    <w:multiLevelType w:val="hybridMultilevel"/>
    <w:lvl w:ilvl="0">
      <w:lvlJc w:val="left"/>
      <w:lvlText w:val="•"/>
      <w:numFmt w:val="bullet"/>
      <w:start w:val="1"/>
    </w:lvl>
  </w:abstractNum>
  <w:abstractNum w:abstractNumId="85">
    <w:nsid w:val="45E6D486"/>
    <w:multiLevelType w:val="hybridMultilevel"/>
    <w:lvl w:ilvl="0">
      <w:lvlJc w:val="left"/>
      <w:lvlText w:val="•"/>
      <w:numFmt w:val="bullet"/>
      <w:start w:val="1"/>
    </w:lvl>
  </w:abstractNum>
  <w:abstractNum w:abstractNumId="86">
    <w:nsid w:val="5C10FE21"/>
    <w:multiLevelType w:val="hybridMultilevel"/>
    <w:lvl w:ilvl="0">
      <w:lvlJc w:val="left"/>
      <w:lvlText w:val="•"/>
      <w:numFmt w:val="bullet"/>
      <w:start w:val="1"/>
    </w:lvl>
  </w:abstractNum>
  <w:abstractNum w:abstractNumId="87">
    <w:nsid w:val="E7FFA2B"/>
    <w:multiLevelType w:val="hybridMultilevel"/>
    <w:lvl w:ilvl="0">
      <w:lvlJc w:val="left"/>
      <w:lvlText w:val="•"/>
      <w:numFmt w:val="bullet"/>
      <w:start w:val="1"/>
    </w:lvl>
  </w:abstractNum>
  <w:abstractNum w:abstractNumId="88">
    <w:nsid w:val="3C5991AA"/>
    <w:multiLevelType w:val="hybridMultilevel"/>
    <w:lvl w:ilvl="0">
      <w:lvlJc w:val="left"/>
      <w:lvlText w:val="®"/>
      <w:numFmt w:val="bullet"/>
      <w:start w:val="1"/>
    </w:lvl>
  </w:abstractNum>
  <w:abstractNum w:abstractNumId="89">
    <w:nsid w:val="4BD8591A"/>
    <w:multiLevelType w:val="hybridMultilevel"/>
    <w:lvl w:ilvl="0">
      <w:lvlJc w:val="left"/>
      <w:lvlText w:val="•"/>
      <w:numFmt w:val="bullet"/>
      <w:start w:val="1"/>
    </w:lvl>
  </w:abstractNum>
  <w:abstractNum w:abstractNumId="90">
    <w:nsid w:val="78DF6A55"/>
    <w:multiLevelType w:val="hybridMultilevel"/>
    <w:lvl w:ilvl="0">
      <w:lvlJc w:val="left"/>
      <w:lvlText w:val="•"/>
      <w:numFmt w:val="bullet"/>
      <w:start w:val="1"/>
    </w:lvl>
  </w:abstractNum>
  <w:abstractNum w:abstractNumId="91">
    <w:nsid w:val="39B7AAA2"/>
    <w:multiLevelType w:val="hybridMultilevel"/>
    <w:lvl w:ilvl="0">
      <w:lvlJc w:val="left"/>
      <w:lvlText w:val="•"/>
      <w:numFmt w:val="bullet"/>
      <w:start w:val="1"/>
    </w:lvl>
  </w:abstractNum>
  <w:abstractNum w:abstractNumId="92">
    <w:nsid w:val="2B0D8DBE"/>
    <w:multiLevelType w:val="hybridMultilevel"/>
    <w:lvl w:ilvl="0">
      <w:lvlJc w:val="left"/>
      <w:lvlText w:val="•"/>
      <w:numFmt w:val="bullet"/>
      <w:start w:val="1"/>
    </w:lvl>
  </w:abstractNum>
  <w:abstractNum w:abstractNumId="93">
    <w:nsid w:val="6C80EC70"/>
    <w:multiLevelType w:val="hybridMultilevel"/>
    <w:lvl w:ilvl="0">
      <w:lvlJc w:val="left"/>
      <w:lvlText w:val="•"/>
      <w:numFmt w:val="bullet"/>
      <w:start w:val="1"/>
    </w:lvl>
  </w:abstractNum>
  <w:abstractNum w:abstractNumId="94">
    <w:nsid w:val="379E21B5"/>
    <w:multiLevelType w:val="hybridMultilevel"/>
    <w:lvl w:ilvl="0">
      <w:lvlJc w:val="left"/>
      <w:lvlText w:val="•"/>
      <w:numFmt w:val="bullet"/>
      <w:start w:val="1"/>
    </w:lvl>
  </w:abstractNum>
  <w:abstractNum w:abstractNumId="95">
    <w:nsid w:val="69E373"/>
    <w:multiLevelType w:val="hybridMultilevel"/>
    <w:lvl w:ilvl="0">
      <w:lvlJc w:val="left"/>
      <w:lvlText w:val="•"/>
      <w:numFmt w:val="bullet"/>
      <w:start w:val="1"/>
    </w:lvl>
  </w:abstractNum>
  <w:abstractNum w:abstractNumId="96">
    <w:nsid w:val="2C27173B"/>
    <w:multiLevelType w:val="hybridMultilevel"/>
    <w:lvl w:ilvl="0">
      <w:lvlJc w:val="left"/>
      <w:lvlText w:val="•"/>
      <w:numFmt w:val="bullet"/>
      <w:start w:val="1"/>
    </w:lvl>
  </w:abstractNum>
  <w:abstractNum w:abstractNumId="97">
    <w:nsid w:val="4C9B0904"/>
    <w:multiLevelType w:val="hybridMultilevel"/>
    <w:lvl w:ilvl="0">
      <w:lvlJc w:val="left"/>
      <w:lvlText w:val="•"/>
      <w:numFmt w:val="bullet"/>
      <w:start w:val="1"/>
    </w:lvl>
  </w:abstractNum>
  <w:abstractNum w:abstractNumId="98">
    <w:nsid w:val="6AA7B75C"/>
    <w:multiLevelType w:val="hybridMultilevel"/>
    <w:lvl w:ilvl="0">
      <w:lvlJc w:val="left"/>
      <w:lvlText w:val="•"/>
      <w:numFmt w:val="bullet"/>
      <w:start w:val="1"/>
    </w:lvl>
  </w:abstractNum>
  <w:abstractNum w:abstractNumId="99">
    <w:nsid w:val="1DF029D3"/>
    <w:multiLevelType w:val="hybridMultilevel"/>
    <w:lvl w:ilvl="0">
      <w:lvlJc w:val="left"/>
      <w:lvlText w:val="•"/>
      <w:numFmt w:val="bullet"/>
      <w:start w:val="1"/>
    </w:lvl>
  </w:abstractNum>
  <w:abstractNum w:abstractNumId="100">
    <w:nsid w:val="5675FF36"/>
    <w:multiLevelType w:val="hybridMultilevel"/>
    <w:lvl w:ilvl="0">
      <w:lvlJc w:val="left"/>
      <w:lvlText w:val="•"/>
      <w:numFmt w:val="bullet"/>
      <w:start w:val="1"/>
    </w:lvl>
  </w:abstractNum>
  <w:abstractNum w:abstractNumId="101">
    <w:nsid w:val="3DD15094"/>
    <w:multiLevelType w:val="hybridMultilevel"/>
    <w:lvl w:ilvl="0">
      <w:lvlJc w:val="left"/>
      <w:lvlText w:val="•"/>
      <w:numFmt w:val="bullet"/>
      <w:start w:val="1"/>
    </w:lvl>
  </w:abstractNum>
  <w:abstractNum w:abstractNumId="102">
    <w:nsid w:val="3DB012B3"/>
    <w:multiLevelType w:val="hybridMultilevel"/>
    <w:lvl w:ilvl="0">
      <w:lvlJc w:val="left"/>
      <w:lvlText w:val="•"/>
      <w:numFmt w:val="bullet"/>
      <w:start w:val="1"/>
    </w:lvl>
  </w:abstractNum>
  <w:abstractNum w:abstractNumId="103">
    <w:nsid w:val="2708C9AF"/>
    <w:multiLevelType w:val="hybridMultilevel"/>
    <w:lvl w:ilvl="0">
      <w:lvlJc w:val="left"/>
      <w:lvlText w:val="•"/>
      <w:numFmt w:val="bullet"/>
      <w:start w:val="1"/>
    </w:lvl>
  </w:abstractNum>
  <w:abstractNum w:abstractNumId="104">
    <w:nsid w:val="5B25ACE2"/>
    <w:multiLevelType w:val="hybridMultilevel"/>
    <w:lvl w:ilvl="0">
      <w:lvlJc w:val="left"/>
      <w:lvlText w:val="(%1)"/>
      <w:numFmt w:val="decimal"/>
      <w:start w:val="1"/>
    </w:lvl>
  </w:abstractNum>
  <w:abstractNum w:abstractNumId="105">
    <w:nsid w:val="175DFCF0"/>
    <w:multiLevelType w:val="hybridMultilevel"/>
    <w:lvl w:ilvl="0">
      <w:lvlJc w:val="left"/>
      <w:lvlText w:val="(%1)"/>
      <w:numFmt w:val="decimal"/>
      <w:start w:val="2"/>
    </w:lvl>
  </w:abstractNum>
  <w:abstractNum w:abstractNumId="106">
    <w:nsid w:val="4F97E3E4"/>
    <w:multiLevelType w:val="hybridMultilevel"/>
    <w:lvl w:ilvl="0">
      <w:lvlJc w:val="left"/>
      <w:lvlText w:val="(%1)"/>
      <w:numFmt w:val="decimal"/>
      <w:start w:val="1"/>
    </w:lvl>
  </w:abstractNum>
  <w:abstractNum w:abstractNumId="107">
    <w:nsid w:val="53B0A9E"/>
    <w:multiLevelType w:val="hybridMultilevel"/>
    <w:lvl w:ilvl="0">
      <w:lvlJc w:val="left"/>
      <w:lvlText w:val="(%1)"/>
      <w:numFmt w:val="decimal"/>
      <w:start w:val="1"/>
    </w:lvl>
  </w:abstractNum>
  <w:abstractNum w:abstractNumId="108">
    <w:nsid w:val="34FD6B4F"/>
    <w:multiLevelType w:val="hybridMultilevel"/>
    <w:lvl w:ilvl="0">
      <w:lvlJc w:val="left"/>
      <w:lvlText w:val="(%1)"/>
      <w:numFmt w:val="decimal"/>
      <w:start w:val="1"/>
    </w:lvl>
  </w:abstractNum>
  <w:abstractNum w:abstractNumId="109">
    <w:nsid w:val="5915FF32"/>
    <w:multiLevelType w:val="hybridMultilevel"/>
    <w:lvl w:ilvl="0">
      <w:lvlJc w:val="left"/>
      <w:lvlText w:val="(%1)"/>
      <w:numFmt w:val="decimal"/>
      <w:start w:val="1"/>
    </w:lvl>
  </w:abstractNum>
  <w:abstractNum w:abstractNumId="110">
    <w:nsid w:val="56438D15"/>
    <w:multiLevelType w:val="hybridMultilevel"/>
    <w:lvl w:ilvl="0">
      <w:lvlJc w:val="left"/>
      <w:lvlText w:val="•"/>
      <w:numFmt w:val="bullet"/>
      <w:start w:val="1"/>
    </w:lvl>
  </w:abstractNum>
  <w:abstractNum w:abstractNumId="111">
    <w:nsid w:val="519E3149"/>
    <w:multiLevelType w:val="hybridMultilevel"/>
    <w:lvl w:ilvl="0">
      <w:lvlJc w:val="left"/>
      <w:lvlText w:val="(%1)"/>
      <w:numFmt w:val="decimal"/>
      <w:start w:val="1"/>
    </w:lvl>
  </w:abstractNum>
  <w:abstractNum w:abstractNumId="112">
    <w:nsid w:val="2C6E4AFD"/>
    <w:multiLevelType w:val="hybridMultilevel"/>
    <w:lvl w:ilvl="0">
      <w:lvlJc w:val="left"/>
      <w:lvlText w:val="(%1)"/>
      <w:numFmt w:val="decimal"/>
      <w:start w:val="1"/>
    </w:lvl>
  </w:abstractNum>
  <w:abstractNum w:abstractNumId="113">
    <w:nsid w:val="17A1B582"/>
    <w:multiLevelType w:val="hybridMultilevel"/>
    <w:lvl w:ilvl="0">
      <w:lvlJc w:val="left"/>
      <w:lvlText w:val="(%1)"/>
      <w:numFmt w:val="decimal"/>
      <w:start w:val="7"/>
    </w:lvl>
  </w:abstractNum>
  <w:abstractNum w:abstractNumId="114">
    <w:nsid w:val="4DF72E4E"/>
    <w:multiLevelType w:val="hybridMultilevel"/>
    <w:lvl w:ilvl="0">
      <w:lvlJc w:val="left"/>
      <w:lvlText w:val="(%1)"/>
      <w:numFmt w:val="decimal"/>
      <w:start w:val="1"/>
    </w:lvl>
  </w:abstractNum>
  <w:abstractNum w:abstractNumId="115">
    <w:nsid w:val="5046B5A9"/>
    <w:multiLevelType w:val="hybridMultilevel"/>
    <w:lvl w:ilvl="0">
      <w:lvlJc w:val="left"/>
      <w:lvlText w:val="•"/>
      <w:numFmt w:val="bullet"/>
      <w:start w:val="1"/>
    </w:lvl>
  </w:abstractNum>
  <w:abstractNum w:abstractNumId="116">
    <w:nsid w:val="5D888A08"/>
    <w:multiLevelType w:val="hybridMultilevel"/>
    <w:lvl w:ilvl="0">
      <w:lvlJc w:val="left"/>
      <w:lvlText w:val="•"/>
      <w:numFmt w:val="bullet"/>
      <w:start w:val="1"/>
    </w:lvl>
  </w:abstractNum>
  <w:abstractNum w:abstractNumId="117">
    <w:nsid w:val="2A082C70"/>
    <w:multiLevelType w:val="hybridMultilevel"/>
    <w:lvl w:ilvl="0">
      <w:lvlJc w:val="left"/>
      <w:lvlText w:val="•"/>
      <w:numFmt w:val="bullet"/>
      <w:start w:val="1"/>
    </w:lvl>
  </w:abstractNum>
  <w:abstractNum w:abstractNumId="118">
    <w:nsid w:val="5EC6AFD4"/>
    <w:multiLevelType w:val="hybridMultilevel"/>
    <w:lvl w:ilvl="0">
      <w:lvlJc w:val="left"/>
      <w:lvlText w:val="•"/>
      <w:numFmt w:val="bullet"/>
      <w:start w:val="1"/>
    </w:lvl>
  </w:abstractNum>
  <w:abstractNum w:abstractNumId="119">
    <w:nsid w:val="19E21BB2"/>
    <w:multiLevelType w:val="hybridMultilevel"/>
    <w:lvl w:ilvl="0">
      <w:lvlJc w:val="left"/>
      <w:lvlText w:val="•"/>
      <w:numFmt w:val="bullet"/>
      <w:start w:val="1"/>
    </w:lvl>
  </w:abstractNum>
  <w:abstractNum w:abstractNumId="120">
    <w:nsid w:val="75E0858A"/>
    <w:multiLevelType w:val="hybridMultilevel"/>
    <w:lvl w:ilvl="0">
      <w:lvlJc w:val="left"/>
      <w:lvlText w:val="•"/>
      <w:numFmt w:val="bullet"/>
      <w:start w:val="1"/>
    </w:lvl>
  </w:abstractNum>
  <w:abstractNum w:abstractNumId="121">
    <w:nsid w:val="57A61A29"/>
    <w:multiLevelType w:val="hybridMultilevel"/>
    <w:lvl w:ilvl="0">
      <w:lvlJc w:val="left"/>
      <w:lvlText w:val="•"/>
      <w:numFmt w:val="bullet"/>
      <w:start w:val="1"/>
    </w:lvl>
  </w:abstractNum>
  <w:abstractNum w:abstractNumId="122">
    <w:nsid w:val="5399C654"/>
    <w:multiLevelType w:val="hybridMultilevel"/>
    <w:lvl w:ilvl="0">
      <w:lvlJc w:val="left"/>
      <w:lvlText w:val="•"/>
      <w:numFmt w:val="bullet"/>
      <w:start w:val="1"/>
    </w:lvl>
  </w:abstractNum>
  <w:abstractNum w:abstractNumId="123">
    <w:nsid w:val="20EE1348"/>
    <w:multiLevelType w:val="hybridMultilevel"/>
    <w:lvl w:ilvl="0">
      <w:lvlJc w:val="left"/>
      <w:lvlText w:val="•"/>
      <w:numFmt w:val="bullet"/>
      <w:start w:val="1"/>
    </w:lvl>
  </w:abstractNum>
  <w:abstractNum w:abstractNumId="124">
    <w:nsid w:val="4427069A"/>
    <w:multiLevelType w:val="hybridMultilevel"/>
    <w:lvl w:ilvl="0">
      <w:lvlJc w:val="left"/>
      <w:lvlText w:val="•"/>
      <w:numFmt w:val="bullet"/>
      <w:start w:val="1"/>
    </w:lvl>
  </w:abstractNum>
  <w:abstractNum w:abstractNumId="125">
    <w:nsid w:val="B37E80A"/>
    <w:multiLevelType w:val="hybridMultilevel"/>
    <w:lvl w:ilvl="0">
      <w:lvlJc w:val="left"/>
      <w:lvlText w:val="•"/>
      <w:numFmt w:val="bullet"/>
      <w:start w:val="1"/>
    </w:lvl>
  </w:abstractNum>
  <w:abstractNum w:abstractNumId="126">
    <w:nsid w:val="2157F6BC"/>
    <w:multiLevelType w:val="hybridMultilevel"/>
    <w:lvl w:ilvl="0">
      <w:lvlJc w:val="left"/>
      <w:lvlText w:val="•"/>
      <w:numFmt w:val="bullet"/>
      <w:start w:val="1"/>
    </w:lvl>
  </w:abstractNum>
  <w:abstractNum w:abstractNumId="127">
    <w:nsid w:val="704E1DD5"/>
    <w:multiLevelType w:val="hybridMultilevel"/>
    <w:lvl w:ilvl="0">
      <w:lvlJc w:val="left"/>
      <w:lvlText w:val="•"/>
      <w:numFmt w:val="bullet"/>
      <w:start w:val="1"/>
    </w:lvl>
  </w:abstractNum>
  <w:abstractNum w:abstractNumId="128">
    <w:nsid w:val="57D2F10E"/>
    <w:multiLevelType w:val="hybridMultilevel"/>
    <w:lvl w:ilvl="0">
      <w:lvlJc w:val="left"/>
      <w:lvlText w:val="•"/>
      <w:numFmt w:val="bullet"/>
      <w:start w:val="1"/>
    </w:lvl>
  </w:abstractNum>
  <w:abstractNum w:abstractNumId="129">
    <w:nsid w:val="BFFAE18"/>
    <w:multiLevelType w:val="hybridMultilevel"/>
    <w:lvl w:ilvl="0">
      <w:lvlJc w:val="left"/>
      <w:lvlText w:val="•"/>
      <w:numFmt w:val="bullet"/>
      <w:start w:val="1"/>
    </w:lvl>
  </w:abstractNum>
  <w:abstractNum w:abstractNumId="130">
    <w:nsid w:val="E3E47A8"/>
    <w:multiLevelType w:val="hybridMultilevel"/>
    <w:lvl w:ilvl="0">
      <w:lvlJc w:val="left"/>
      <w:lvlText w:val="•"/>
      <w:numFmt w:val="bullet"/>
      <w:start w:val="1"/>
    </w:lvl>
  </w:abstractNum>
  <w:abstractNum w:abstractNumId="131">
    <w:nsid w:val="2E48F044"/>
    <w:multiLevelType w:val="hybridMultilevel"/>
    <w:lvl w:ilvl="0">
      <w:lvlJc w:val="left"/>
      <w:lvlText w:val="(%1)"/>
      <w:numFmt w:val="lowerRoman"/>
      <w:start w:val="2"/>
    </w:lvl>
  </w:abstractNum>
  <w:abstractNum w:abstractNumId="132">
    <w:nsid w:val="49D0FEAC"/>
    <w:multiLevelType w:val="hybridMultilevel"/>
    <w:lvl w:ilvl="0">
      <w:lvlJc w:val="left"/>
      <w:lvlText w:val="•"/>
      <w:numFmt w:val="bullet"/>
      <w:start w:val="1"/>
    </w:lvl>
  </w:abstractNum>
  <w:abstractNum w:abstractNumId="133">
    <w:nsid w:val="4BEE5A5B"/>
    <w:multiLevelType w:val="hybridMultilevel"/>
    <w:lvl w:ilvl="0">
      <w:lvlJc w:val="left"/>
      <w:lvlText w:val="•"/>
      <w:numFmt w:val="bullet"/>
      <w:start w:val="1"/>
    </w:lvl>
  </w:abstractNum>
  <w:abstractNum w:abstractNumId="134">
    <w:nsid w:val="5551B9F3"/>
    <w:multiLevelType w:val="hybridMultilevel"/>
    <w:lvl w:ilvl="0">
      <w:lvlJc w:val="left"/>
      <w:lvlText w:val="•"/>
      <w:numFmt w:val="bullet"/>
      <w:start w:val="1"/>
    </w:lvl>
  </w:abstractNum>
  <w:abstractNum w:abstractNumId="135">
    <w:nsid w:val="24F6AB8E"/>
    <w:multiLevelType w:val="hybridMultilevel"/>
    <w:lvl w:ilvl="0">
      <w:lvlJc w:val="left"/>
      <w:lvlText w:val="$"/>
      <w:numFmt w:val="bullet"/>
      <w:start w:val="1"/>
    </w:lvl>
  </w:abstractNum>
  <w:abstractNum w:abstractNumId="136">
    <w:nsid w:val="634C574C"/>
    <w:multiLevelType w:val="hybridMultilevel"/>
    <w:lvl w:ilvl="0">
      <w:lvlJc w:val="left"/>
      <w:lvlText w:val="•"/>
      <w:numFmt w:val="bullet"/>
      <w:start w:val="1"/>
    </w:lvl>
  </w:abstractNum>
  <w:abstractNum w:abstractNumId="137">
    <w:nsid w:val="24E99DD7"/>
    <w:multiLevelType w:val="hybridMultilevel"/>
    <w:lvl w:ilvl="0">
      <w:lvlJc w:val="left"/>
      <w:lvlText w:val="(%1)"/>
      <w:numFmt w:val="decimal"/>
      <w:start w:val="1"/>
    </w:lvl>
  </w:abstractNum>
  <w:abstractNum w:abstractNumId="138">
    <w:nsid w:val="2A31B62D"/>
    <w:multiLevelType w:val="hybridMultilevel"/>
    <w:lvl w:ilvl="0">
      <w:lvlJc w:val="left"/>
      <w:lvlText w:val="(%1)"/>
      <w:numFmt w:val="decimal"/>
      <w:start w:val="1"/>
    </w:lvl>
  </w:abstractNum>
  <w:abstractNum w:abstractNumId="139">
    <w:nsid w:val="1849C2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2023-04-13T07:18:30Z</dcterms:created>
  <dcterms:modified xsi:type="dcterms:W3CDTF">2023-04-13T07:18:30Z</dcterms:modified>
</cp:coreProperties>
</file>