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hanging="270"/>
        <w:jc w:val="left"/>
        <w:rPr/>
      </w:pPr>
      <w:r>
        <w:rPr/>
      </w:r>
    </w:p>
    <w:p>
      <w:pPr>
        <w:pStyle w:val="TextBody"/>
        <w:bidi w:val="0"/>
        <w:spacing w:lineRule="auto" w:line="288" w:before="0" w:after="0"/>
        <w:ind w:left="0" w:right="0" w:firstLine="360"/>
        <w:jc w:val="center"/>
        <w:rPr>
          <w:rFonts w:ascii="Arial;sans-serif" w:hAnsi="Arial;sans-serif"/>
          <w:b/>
          <w:color w:val="231F20"/>
          <w:sz w:val="28"/>
        </w:rPr>
      </w:pPr>
      <w:r>
        <w:rPr>
          <w:rFonts w:ascii="Arial;sans-serif" w:hAnsi="Arial;sans-serif"/>
          <w:b/>
          <w:color w:val="231F20"/>
          <w:sz w:val="28"/>
        </w:rPr>
        <w:t>UNITED STATES</w:t>
      </w:r>
    </w:p>
    <w:p>
      <w:pPr>
        <w:pStyle w:val="TextBody"/>
        <w:bidi w:val="0"/>
        <w:spacing w:lineRule="auto" w:line="288" w:before="0" w:after="60"/>
        <w:ind w:left="0" w:right="0" w:firstLine="360"/>
        <w:jc w:val="center"/>
        <w:rPr>
          <w:rFonts w:ascii="Arial;sans-serif" w:hAnsi="Arial;sans-serif"/>
          <w:b/>
          <w:color w:val="231F20"/>
          <w:sz w:val="28"/>
        </w:rPr>
      </w:pPr>
      <w:r>
        <w:rPr>
          <w:rFonts w:ascii="Arial;sans-serif" w:hAnsi="Arial;sans-serif"/>
          <w:b/>
          <w:color w:val="231F20"/>
          <w:sz w:val="28"/>
        </w:rPr>
        <w:t>SECURITIES AND EXCHANGE COMMISSION</w:t>
      </w:r>
    </w:p>
    <w:p>
      <w:pPr>
        <w:pStyle w:val="TextBody"/>
        <w:bidi w:val="0"/>
        <w:spacing w:lineRule="auto" w:line="288" w:before="0" w:after="0"/>
        <w:ind w:left="0" w:right="0" w:firstLine="360"/>
        <w:jc w:val="center"/>
        <w:rPr>
          <w:rFonts w:ascii="Arial;sans-serif" w:hAnsi="Arial;sans-serif"/>
          <w:b w:val="false"/>
          <w:color w:val="231F20"/>
          <w:sz w:val="16"/>
        </w:rPr>
      </w:pPr>
      <w:r>
        <w:rPr>
          <w:rFonts w:ascii="Arial;sans-serif" w:hAnsi="Arial;sans-serif"/>
          <w:b w:val="false"/>
          <w:color w:val="231F20"/>
          <w:sz w:val="16"/>
        </w:rPr>
        <w:t>Washington, D.C. 20549</w:t>
      </w:r>
    </w:p>
    <w:p>
      <w:pPr>
        <w:pStyle w:val="TextBody"/>
        <w:bidi w:val="0"/>
        <w:spacing w:lineRule="auto" w:line="288" w:before="0" w:after="60"/>
        <w:ind w:left="0" w:right="0" w:firstLine="360"/>
        <w:jc w:val="center"/>
        <w:rPr>
          <w:rFonts w:ascii="Arial;sans-serif" w:hAnsi="Arial;sans-serif"/>
          <w:b/>
          <w:color w:val="000000"/>
          <w:sz w:val="12"/>
        </w:rPr>
      </w:pPr>
      <w:r>
        <w:rPr>
          <w:rFonts w:ascii="Arial;sans-serif" w:hAnsi="Arial;sans-serif"/>
          <w:b/>
          <w:color w:val="000000"/>
          <w:sz w:val="12"/>
        </w:rPr>
        <w:t>______________________________________</w:t>
      </w:r>
    </w:p>
    <w:p>
      <w:pPr>
        <w:pStyle w:val="TextBody"/>
        <w:bidi w:val="0"/>
        <w:spacing w:lineRule="auto" w:line="288" w:before="0" w:after="0"/>
        <w:ind w:left="0" w:right="0" w:firstLine="360"/>
        <w:jc w:val="center"/>
        <w:rPr>
          <w:rFonts w:ascii="Arial;sans-serif" w:hAnsi="Arial;sans-serif"/>
          <w:b/>
          <w:color w:val="231F20"/>
          <w:sz w:val="28"/>
        </w:rPr>
      </w:pPr>
      <w:r>
        <w:rPr>
          <w:rFonts w:ascii="Arial;sans-serif" w:hAnsi="Arial;sans-serif"/>
          <w:b/>
          <w:color w:val="231F20"/>
          <w:sz w:val="28"/>
        </w:rPr>
        <w:t>FORM 10-K</w:t>
      </w:r>
    </w:p>
    <w:p>
      <w:pPr>
        <w:pStyle w:val="TextBody"/>
        <w:bidi w:val="0"/>
        <w:spacing w:lineRule="auto" w:line="288" w:before="0" w:after="0"/>
        <w:ind w:left="0" w:right="0" w:firstLine="360"/>
        <w:jc w:val="center"/>
        <w:rPr>
          <w:rFonts w:ascii="Arial;sans-serif" w:hAnsi="Arial;sans-serif"/>
          <w:b/>
          <w:color w:val="000000"/>
          <w:sz w:val="12"/>
        </w:rPr>
      </w:pPr>
      <w:r>
        <w:rPr>
          <w:rFonts w:ascii="Arial;sans-serif" w:hAnsi="Arial;sans-serif"/>
          <w:b/>
          <w:color w:val="000000"/>
          <w:sz w:val="12"/>
        </w:rPr>
        <w:t>______________________________________</w:t>
      </w:r>
    </w:p>
    <w:tbl>
      <w:tblPr>
        <w:tblW w:w="7242" w:type="dxa"/>
        <w:jc w:val="left"/>
        <w:tblInd w:w="0" w:type="dxa"/>
        <w:tblLayout w:type="fixed"/>
        <w:tblCellMar>
          <w:top w:w="28" w:type="dxa"/>
          <w:left w:w="28" w:type="dxa"/>
          <w:bottom w:w="28" w:type="dxa"/>
          <w:right w:w="28" w:type="dxa"/>
        </w:tblCellMar>
      </w:tblPr>
      <w:tblGrid>
        <w:gridCol w:w="124"/>
        <w:gridCol w:w="109"/>
        <w:gridCol w:w="109"/>
        <w:gridCol w:w="2016"/>
        <w:gridCol w:w="2016"/>
        <w:gridCol w:w="2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Annual Report Pursuant to Section 13 or 15(d) of the Securities Exchange Act of 1934</w:t>
            </w:r>
          </w:p>
        </w:tc>
      </w:tr>
    </w:tbl>
    <w:p>
      <w:pPr>
        <w:pStyle w:val="TextBody"/>
        <w:bidi w:val="0"/>
        <w:spacing w:lineRule="auto" w:line="288" w:before="0" w:after="0"/>
        <w:ind w:left="0" w:right="0" w:firstLine="360"/>
        <w:jc w:val="center"/>
        <w:rPr>
          <w:rFonts w:ascii="Arial;sans-serif" w:hAnsi="Arial;sans-serif"/>
          <w:b/>
          <w:color w:val="000000"/>
          <w:sz w:val="16"/>
        </w:rPr>
      </w:pPr>
      <w:r>
        <w:rPr>
          <w:rFonts w:ascii="Arial;sans-serif" w:hAnsi="Arial;sans-serif"/>
          <w:b/>
          <w:color w:val="000000"/>
          <w:sz w:val="16"/>
        </w:rPr>
        <w:t>For the fiscal year ended December 31, 2023</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or</w:t>
      </w:r>
    </w:p>
    <w:tbl>
      <w:tblPr>
        <w:tblW w:w="7482" w:type="dxa"/>
        <w:jc w:val="left"/>
        <w:tblInd w:w="0" w:type="dxa"/>
        <w:tblLayout w:type="fixed"/>
        <w:tblCellMar>
          <w:top w:w="28" w:type="dxa"/>
          <w:left w:w="28" w:type="dxa"/>
          <w:bottom w:w="28" w:type="dxa"/>
          <w:right w:w="28" w:type="dxa"/>
        </w:tblCellMar>
      </w:tblPr>
      <w:tblGrid>
        <w:gridCol w:w="124"/>
        <w:gridCol w:w="109"/>
        <w:gridCol w:w="109"/>
        <w:gridCol w:w="2088"/>
        <w:gridCol w:w="2088"/>
        <w:gridCol w:w="2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0"/>
        <w:ind w:left="0" w:right="0" w:firstLine="360"/>
        <w:jc w:val="center"/>
        <w:rPr>
          <w:rFonts w:ascii="Arial;sans-serif" w:hAnsi="Arial;sans-serif"/>
          <w:b/>
          <w:color w:val="000000"/>
          <w:sz w:val="16"/>
        </w:rPr>
      </w:pPr>
      <w:r>
        <w:rPr>
          <w:rFonts w:ascii="Arial;sans-serif" w:hAnsi="Arial;sans-serif"/>
          <w:b/>
          <w:color w:val="000000"/>
          <w:sz w:val="16"/>
        </w:rPr>
        <w:t>For the transition period from _____ to _____</w:t>
      </w:r>
    </w:p>
    <w:p>
      <w:pPr>
        <w:pStyle w:val="TextBody"/>
        <w:bidi w:val="0"/>
        <w:spacing w:lineRule="auto" w:line="288" w:before="0" w:after="0"/>
        <w:ind w:left="0" w:right="0" w:firstLine="360"/>
        <w:jc w:val="center"/>
        <w:rPr>
          <w:rFonts w:ascii="Arial;sans-serif" w:hAnsi="Arial;sans-serif"/>
          <w:b/>
          <w:color w:val="000000"/>
          <w:sz w:val="16"/>
        </w:rPr>
      </w:pPr>
      <w:r>
        <w:rPr>
          <w:rFonts w:ascii="Arial;sans-serif" w:hAnsi="Arial;sans-serif"/>
          <w:b/>
          <w:color w:val="000000"/>
          <w:sz w:val="16"/>
        </w:rPr>
        <w:t xml:space="preserve">Commission file number 001-38600 </w:t>
      </w:r>
    </w:p>
    <w:p>
      <w:pPr>
        <w:pStyle w:val="TextBody"/>
        <w:bidi w:val="0"/>
        <w:spacing w:lineRule="auto" w:line="288" w:before="0" w:after="120"/>
        <w:ind w:left="0" w:right="0" w:firstLine="360"/>
        <w:jc w:val="center"/>
        <w:rPr>
          <w:rFonts w:ascii="Arial;sans-serif" w:hAnsi="Arial;sans-serif"/>
          <w:b/>
          <w:color w:val="000000"/>
          <w:sz w:val="12"/>
        </w:rPr>
      </w:pPr>
      <w:r>
        <w:rPr>
          <w:rFonts w:ascii="Arial;sans-serif" w:hAnsi="Arial;sans-serif"/>
          <w:b/>
          <w:color w:val="000000"/>
          <w:sz w:val="12"/>
        </w:rPr>
        <w:t>______________________________________</w:t>
      </w:r>
    </w:p>
    <w:p>
      <w:pPr>
        <w:pStyle w:val="TextBody"/>
        <w:bidi w:val="0"/>
        <w:spacing w:lineRule="auto" w:line="288" w:before="0" w:after="60"/>
        <w:ind w:left="0" w:right="0" w:firstLine="360"/>
        <w:jc w:val="center"/>
        <w:rPr>
          <w:rFonts w:ascii="Arial;sans-serif" w:hAnsi="Arial;sans-serif"/>
          <w:b/>
          <w:color w:val="231F20"/>
          <w:sz w:val="32"/>
        </w:rPr>
      </w:pPr>
      <w:r>
        <w:rPr>
          <w:rFonts w:ascii="Arial;sans-serif" w:hAnsi="Arial;sans-serif"/>
          <w:b/>
          <w:color w:val="231F20"/>
          <w:sz w:val="32"/>
        </w:rPr>
        <w:t xml:space="preserve">TENABLE HOLDINGS, INC. </w:t>
      </w:r>
    </w:p>
    <w:p>
      <w:pPr>
        <w:pStyle w:val="TextBody"/>
        <w:bidi w:val="0"/>
        <w:spacing w:lineRule="auto" w:line="288" w:before="0" w:after="0"/>
        <w:ind w:left="0" w:right="0" w:firstLine="360"/>
        <w:jc w:val="center"/>
        <w:rPr>
          <w:rFonts w:ascii="Arial;sans-serif" w:hAnsi="Arial;sans-serif"/>
          <w:b/>
          <w:color w:val="231F20"/>
          <w:sz w:val="14"/>
        </w:rPr>
      </w:pPr>
      <w:r>
        <w:rPr>
          <w:rFonts w:ascii="Arial;sans-serif" w:hAnsi="Arial;sans-serif"/>
          <w:b/>
          <w:color w:val="231F20"/>
          <w:sz w:val="14"/>
        </w:rPr>
        <w:t>(Exact name of registrant as specified in its charter)</w:t>
      </w:r>
    </w:p>
    <w:p>
      <w:pPr>
        <w:pStyle w:val="TextBody"/>
        <w:bidi w:val="0"/>
        <w:spacing w:lineRule="auto" w:line="288" w:before="0" w:after="0"/>
        <w:ind w:left="0" w:right="0" w:firstLine="360"/>
        <w:jc w:val="center"/>
        <w:rPr>
          <w:rFonts w:ascii="Arial;sans-serif" w:hAnsi="Arial;sans-serif"/>
          <w:b/>
          <w:color w:val="000000"/>
          <w:sz w:val="12"/>
        </w:rPr>
      </w:pPr>
      <w:r>
        <w:rPr>
          <w:rFonts w:ascii="Arial;sans-serif" w:hAnsi="Arial;sans-serif"/>
          <w:b/>
          <w:color w:val="000000"/>
          <w:sz w:val="12"/>
        </w:rPr>
        <w:t>______________________________________</w:t>
      </w:r>
    </w:p>
    <w:tbl>
      <w:tblPr>
        <w:tblW w:w="7647" w:type="dxa"/>
        <w:jc w:val="left"/>
        <w:tblInd w:w="0" w:type="dxa"/>
        <w:tblLayout w:type="fixed"/>
        <w:tblCellMar>
          <w:top w:w="28" w:type="dxa"/>
          <w:left w:w="28" w:type="dxa"/>
          <w:bottom w:w="28" w:type="dxa"/>
          <w:right w:w="28" w:type="dxa"/>
        </w:tblCellMar>
      </w:tblPr>
      <w:tblGrid>
        <w:gridCol w:w="1566"/>
        <w:gridCol w:w="1378"/>
        <w:gridCol w:w="1391"/>
        <w:gridCol w:w="109"/>
        <w:gridCol w:w="109"/>
        <w:gridCol w:w="109"/>
        <w:gridCol w:w="869"/>
        <w:gridCol w:w="869"/>
        <w:gridCol w:w="1247"/>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ind w:left="0" w:right="0" w:firstLine="360"/>
        <w:jc w:val="center"/>
        <w:rPr>
          <w:rFonts w:ascii="Arial;sans-serif" w:hAnsi="Arial;sans-serif"/>
          <w:b/>
          <w:color w:val="000000"/>
          <w:sz w:val="16"/>
        </w:rPr>
      </w:pPr>
      <w:r>
        <w:rPr>
          <w:rFonts w:ascii="Arial;sans-serif" w:hAnsi="Arial;sans-serif"/>
          <w:b/>
          <w:color w:val="000000"/>
          <w:sz w:val="16"/>
        </w:rPr>
        <w:t xml:space="preserve">6100 Merriweather Drive, Columbia, Maryland 21044 </w:t>
      </w:r>
    </w:p>
    <w:p>
      <w:pPr>
        <w:pStyle w:val="TextBody"/>
        <w:bidi w:val="0"/>
        <w:spacing w:lineRule="auto" w:line="288" w:before="0" w:after="0"/>
        <w:ind w:left="0" w:right="0" w:firstLine="36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88" w:before="0" w:after="0"/>
        <w:ind w:left="0" w:right="0" w:firstLine="360"/>
        <w:jc w:val="center"/>
        <w:rPr>
          <w:rFonts w:ascii="Arial;sans-serif" w:hAnsi="Arial;sans-serif"/>
          <w:b/>
          <w:color w:val="000000"/>
          <w:sz w:val="16"/>
        </w:rPr>
      </w:pPr>
      <w:r>
        <w:rPr>
          <w:rFonts w:ascii="Arial;sans-serif" w:hAnsi="Arial;sans-serif"/>
          <w:b/>
          <w:color w:val="000000"/>
          <w:sz w:val="16"/>
        </w:rPr>
        <w:t xml:space="preserve">(410) 872-0555 </w:t>
      </w:r>
    </w:p>
    <w:p>
      <w:pPr>
        <w:pStyle w:val="TextBody"/>
        <w:bidi w:val="0"/>
        <w:spacing w:lineRule="auto" w:line="288" w:before="0" w:after="0"/>
        <w:ind w:left="0" w:right="0" w:firstLine="36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ind w:left="0" w:right="0" w:firstLine="360"/>
        <w:jc w:val="center"/>
        <w:rPr>
          <w:rFonts w:ascii="Arial;sans-serif" w:hAnsi="Arial;sans-serif"/>
          <w:b/>
          <w:color w:val="000000"/>
          <w:sz w:val="12"/>
        </w:rPr>
      </w:pPr>
      <w:r>
        <w:rPr>
          <w:rFonts w:ascii="Arial;sans-serif" w:hAnsi="Arial;sans-serif"/>
          <w:b/>
          <w:color w:val="000000"/>
          <w:sz w:val="12"/>
        </w:rPr>
        <w:t>______________________________________</w:t>
      </w:r>
    </w:p>
    <w:tbl>
      <w:tblPr>
        <w:tblW w:w="799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949"/>
        <w:gridCol w:w="949"/>
        <w:gridCol w:w="13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7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TENB</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Nasdaq Global Select Market</w:t>
            </w:r>
          </w:p>
        </w:tc>
      </w:tr>
      <w:tr>
        <w:trPr/>
        <w:tc>
          <w:tcPr>
            <w:tcW w:w="7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tc>
      </w:tr>
    </w:tbl>
    <w:p>
      <w:pPr>
        <w:pStyle w:val="TextBody"/>
        <w:bidi w:val="0"/>
        <w:spacing w:lineRule="auto" w:line="288" w:before="0" w:after="60"/>
        <w:ind w:left="0" w:right="0" w:firstLine="360"/>
        <w:jc w:val="left"/>
        <w:rPr/>
      </w:pPr>
      <w:r>
        <w:rPr>
          <w:rFonts w:ascii="Arial;sans-serif" w:hAnsi="Arial;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jc w:val="left"/>
        <w:rPr/>
      </w:pPr>
      <w:r>
        <w:rPr>
          <w:rFonts w:ascii="Arial;sans-serif" w:hAnsi="Arial;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438"/>
        <w:gridCol w:w="1179"/>
        <w:gridCol w:w="1137"/>
        <w:gridCol w:w="248"/>
        <w:gridCol w:w="248"/>
        <w:gridCol w:w="248"/>
        <w:gridCol w:w="248"/>
        <w:gridCol w:w="248"/>
        <w:gridCol w:w="248"/>
        <w:gridCol w:w="1367"/>
        <w:gridCol w:w="1367"/>
        <w:gridCol w:w="1372"/>
        <w:gridCol w:w="248"/>
        <w:gridCol w:w="248"/>
        <w:gridCol w:w="361"/>
      </w:tblGrid>
      <w:tr>
        <w:trPr/>
        <w:tc>
          <w:tcPr>
            <w:tcW w:w="143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60"/>
              <w:jc w:val="center"/>
              <w:rPr>
                <w:color w:val="000000"/>
              </w:rPr>
            </w:pPr>
            <w:r>
              <w:rPr>
                <w:color w:val="00000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60"/>
              <w:jc w:val="center"/>
              <w:rPr>
                <w:color w:val="000000"/>
              </w:rPr>
            </w:pPr>
            <w:r>
              <w:rPr>
                <w:color w:val="000000"/>
              </w:rPr>
              <w:t>☐</w:t>
            </w:r>
          </w:p>
        </w:tc>
      </w:tr>
      <w:tr>
        <w:trPr/>
        <w:tc>
          <w:tcPr>
            <w:tcW w:w="3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60"/>
              <w:jc w:val="center"/>
              <w:rPr>
                <w:color w:val="000000"/>
              </w:rPr>
            </w:pPr>
            <w:r>
              <w:rPr>
                <w:color w:val="00000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60"/>
              <w:jc w:val="center"/>
              <w:rPr>
                <w:color w:val="000000"/>
              </w:rPr>
            </w:pPr>
            <w:r>
              <w:rPr>
                <w:color w:val="000000"/>
              </w:rPr>
              <w:t>☐</w:t>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60"/>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tc>
      </w:tr>
    </w:tbl>
    <w:p>
      <w:pPr>
        <w:pStyle w:val="TextBody"/>
        <w:bidi w:val="0"/>
        <w:spacing w:lineRule="auto" w:line="288" w:before="0" w:after="60"/>
        <w:ind w:left="0" w:right="0" w:firstLine="360"/>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60"/>
        <w:jc w:val="left"/>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60"/>
        <w:jc w:val="left"/>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60"/>
        <w:jc w:val="left"/>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As of June 30, 2023, the aggregate market value of the common stock of the registrant held by non-affiliates was approximately $5.0 billion.</w:t>
      </w:r>
    </w:p>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The number of shares of the Registrant's common stock outstanding as of February 23, 2024 was 118,119,887.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p>
      <w:pPr>
        <w:pStyle w:val="TextBody"/>
        <w:bidi w:val="0"/>
        <w:spacing w:before="0" w:after="240"/>
        <w:ind w:left="0" w:right="0" w:hanging="270"/>
        <w:jc w:val="left"/>
        <w:rPr/>
      </w:pPr>
      <w:r>
        <w:rPr/>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lineRule="auto" w:line="288" w:before="0" w:after="60"/>
        <w:ind w:left="0" w:right="0" w:firstLine="360"/>
        <w:jc w:val="left"/>
        <w:rPr>
          <w:rFonts w:ascii="Arial;sans-serif" w:hAnsi="Arial;sans-serif"/>
          <w:b w:val="false"/>
          <w:color w:val="000000"/>
          <w:sz w:val="16"/>
        </w:rPr>
      </w:pPr>
      <w:r>
        <w:rPr>
          <w:rFonts w:ascii="Arial;sans-serif" w:hAnsi="Arial;sans-serif"/>
          <w:b w:val="false"/>
          <w:color w:val="000000"/>
          <w:sz w:val="16"/>
        </w:rPr>
        <w:t>Portions of the registrant's definitive Proxy Statement relating to the 2024 Annual Meeting of Stockholders are incorporated herein by reference in Part III of this Annual Report on Form 10-K. The Proxy Statement will be filed with the Securities and Exchange Commission within 120 days after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3"/>
        <w:gridCol w:w="275"/>
        <w:gridCol w:w="277"/>
        <w:gridCol w:w="2941"/>
        <w:gridCol w:w="2893"/>
        <w:gridCol w:w="2902"/>
        <w:gridCol w:w="176"/>
        <w:gridCol w:w="176"/>
        <w:gridCol w:w="252"/>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
              <w:r>
                <w:rPr>
                  <w:rStyle w:val="InternetLink"/>
                  <w:rFonts w:ascii="Arial;sans-serif" w:hAnsi="Arial;sans-serif"/>
                  <w:b w:val="false"/>
                  <w:color w:val="0000FF"/>
                  <w:sz w:val="20"/>
                  <w:u w:val="single"/>
                </w:rPr>
                <w:t>Business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3">
              <w:r>
                <w:rPr>
                  <w:rStyle w:val="InternetLink"/>
                  <w:rFonts w:ascii="Arial;sans-serif" w:hAnsi="Arial;sans-serif"/>
                  <w:b w:val="false"/>
                  <w:color w:val="0000FF"/>
                  <w:sz w:val="20"/>
                  <w:u w:val="single"/>
                </w:rPr>
                <w:t>4</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6">
              <w:r>
                <w:rPr>
                  <w:rStyle w:val="InternetLink"/>
                  <w:rFonts w:ascii="Arial;sans-serif" w:hAnsi="Arial;sans-serif"/>
                  <w:b w:val="false"/>
                  <w:color w:val="0000FF"/>
                  <w:sz w:val="20"/>
                  <w:u w:val="single"/>
                </w:rPr>
                <w:t>Risk Factors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6">
              <w:r>
                <w:rPr>
                  <w:rStyle w:val="InternetLink"/>
                  <w:rFonts w:ascii="Arial;sans-serif" w:hAnsi="Arial;sans-serif"/>
                  <w:b w:val="false"/>
                  <w:color w:val="0000FF"/>
                  <w:sz w:val="20"/>
                  <w:u w:val="single"/>
                </w:rPr>
                <w:t>12</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9">
              <w:r>
                <w:rPr>
                  <w:rStyle w:val="InternetLink"/>
                  <w:rFonts w:ascii="Arial;sans-serif" w:hAnsi="Arial;sans-serif"/>
                  <w:b w:val="false"/>
                  <w:color w:val="0000FF"/>
                  <w:sz w:val="20"/>
                  <w:u w:val="single"/>
                </w:rPr>
                <w:t>Unresolved Staff Comments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9">
              <w:r>
                <w:rPr>
                  <w:rStyle w:val="InternetLink"/>
                  <w:rFonts w:ascii="Arial;sans-serif" w:hAnsi="Arial;sans-serif"/>
                  <w:b w:val="false"/>
                  <w:color w:val="0000FF"/>
                  <w:sz w:val="20"/>
                  <w:u w:val="single"/>
                </w:rPr>
                <w:t>42</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1C.</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492">
              <w:r>
                <w:rPr>
                  <w:rStyle w:val="InternetLink"/>
                  <w:rFonts w:ascii="Arial;sans-serif" w:hAnsi="Arial;sans-serif"/>
                  <w:b w:val="false"/>
                  <w:color w:val="0000FF"/>
                  <w:sz w:val="20"/>
                  <w:u w:val="single"/>
                </w:rPr>
                <w:t>Cybersecurity</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492">
              <w:r>
                <w:rPr>
                  <w:rStyle w:val="InternetLink"/>
                  <w:rFonts w:ascii="Arial;sans-serif" w:hAnsi="Arial;sans-serif"/>
                  <w:b w:val="false"/>
                  <w:color w:val="0000FF"/>
                  <w:sz w:val="20"/>
                  <w:u w:val="single"/>
                </w:rPr>
                <w:t>42</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22">
              <w:r>
                <w:rPr>
                  <w:rStyle w:val="InternetLink"/>
                  <w:rFonts w:ascii="Arial;sans-serif" w:hAnsi="Arial;sans-serif"/>
                  <w:b w:val="false"/>
                  <w:color w:val="0000FF"/>
                  <w:sz w:val="20"/>
                  <w:u w:val="single"/>
                </w:rPr>
                <w:t>Properties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22">
              <w:r>
                <w:rPr>
                  <w:rStyle w:val="InternetLink"/>
                  <w:rFonts w:ascii="Arial;sans-serif" w:hAnsi="Arial;sans-serif"/>
                  <w:b w:val="false"/>
                  <w:color w:val="0000FF"/>
                  <w:sz w:val="20"/>
                  <w:u w:val="single"/>
                </w:rPr>
                <w:t>44</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25">
              <w:r>
                <w:rPr>
                  <w:rStyle w:val="InternetLink"/>
                  <w:rFonts w:ascii="Arial;sans-serif" w:hAnsi="Arial;sans-serif"/>
                  <w:b w:val="false"/>
                  <w:color w:val="0000FF"/>
                  <w:sz w:val="20"/>
                  <w:u w:val="single"/>
                </w:rPr>
                <w:t>Legal Proceedings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25">
              <w:r>
                <w:rPr>
                  <w:rStyle w:val="InternetLink"/>
                  <w:rFonts w:ascii="Arial;sans-serif" w:hAnsi="Arial;sans-serif"/>
                  <w:b w:val="false"/>
                  <w:color w:val="0000FF"/>
                  <w:sz w:val="20"/>
                  <w:u w:val="single"/>
                </w:rPr>
                <w:t>44</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28">
              <w:r>
                <w:rPr>
                  <w:rStyle w:val="InternetLink"/>
                  <w:rFonts w:ascii="Arial;sans-serif" w:hAnsi="Arial;sans-serif"/>
                  <w:b w:val="false"/>
                  <w:color w:val="0000FF"/>
                  <w:sz w:val="20"/>
                  <w:u w:val="single"/>
                </w:rPr>
                <w:t>Mine Safety Disclosures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28">
              <w:r>
                <w:rPr>
                  <w:rStyle w:val="InternetLink"/>
                  <w:rFonts w:ascii="Arial;sans-serif" w:hAnsi="Arial;sans-serif"/>
                  <w:b w:val="false"/>
                  <w:color w:val="0000FF"/>
                  <w:sz w:val="20"/>
                  <w:u w:val="single"/>
                </w:rPr>
                <w:t>44</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34">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34">
              <w:r>
                <w:rPr>
                  <w:rStyle w:val="InternetLink"/>
                  <w:rFonts w:ascii="Arial;sans-serif" w:hAnsi="Arial;sans-serif"/>
                  <w:b w:val="false"/>
                  <w:color w:val="0000FF"/>
                  <w:sz w:val="20"/>
                  <w:u w:val="single"/>
                </w:rPr>
                <w:t>45</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37">
              <w:r>
                <w:rPr>
                  <w:rStyle w:val="InternetLink"/>
                  <w:rFonts w:ascii="Arial;sans-serif" w:hAnsi="Arial;sans-serif"/>
                  <w:b w:val="false"/>
                  <w:color w:val="0000FF"/>
                  <w:sz w:val="20"/>
                  <w:u w:val="single"/>
                </w:rPr>
                <w:t>Selected Financial Data</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37">
              <w:r>
                <w:rPr>
                  <w:rStyle w:val="InternetLink"/>
                  <w:rFonts w:ascii="Arial;sans-serif" w:hAnsi="Arial;sans-serif"/>
                  <w:b w:val="false"/>
                  <w:color w:val="0000FF"/>
                  <w:sz w:val="20"/>
                  <w:u w:val="single"/>
                </w:rPr>
                <w:t>47</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40">
              <w:r>
                <w:rPr>
                  <w:rStyle w:val="InternetLink"/>
                  <w:rFonts w:ascii="Arial;sans-serif" w:hAnsi="Arial;sans-serif"/>
                  <w:b w:val="false"/>
                  <w:color w:val="0000FF"/>
                  <w:sz w:val="20"/>
                  <w:u w:val="single"/>
                </w:rPr>
                <w:t>Management's Discussion and Analysis of Financial Condition and Results of Operations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40">
              <w:r>
                <w:rPr>
                  <w:rStyle w:val="InternetLink"/>
                  <w:rFonts w:ascii="Arial;sans-serif" w:hAnsi="Arial;sans-serif"/>
                  <w:b w:val="false"/>
                  <w:color w:val="0000FF"/>
                  <w:sz w:val="20"/>
                  <w:u w:val="single"/>
                </w:rPr>
                <w:t>49</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0">
              <w:r>
                <w:rPr>
                  <w:rStyle w:val="InternetLink"/>
                  <w:rFonts w:ascii="Arial;sans-serif" w:hAnsi="Arial;sans-serif"/>
                  <w:b w:val="false"/>
                  <w:color w:val="0000FF"/>
                  <w:sz w:val="20"/>
                  <w:u w:val="single"/>
                </w:rPr>
                <w:t>Quantitative and Qualitative Disclosures about Market Risk</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70">
              <w:r>
                <w:rPr>
                  <w:rStyle w:val="InternetLink"/>
                  <w:rFonts w:ascii="Arial;sans-serif" w:hAnsi="Arial;sans-serif"/>
                  <w:b w:val="false"/>
                  <w:color w:val="0000FF"/>
                  <w:sz w:val="20"/>
                  <w:u w:val="single"/>
                </w:rPr>
                <w:t>70</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3">
              <w:r>
                <w:rPr>
                  <w:rStyle w:val="InternetLink"/>
                  <w:rFonts w:ascii="Arial;sans-serif" w:hAnsi="Arial;sans-serif"/>
                  <w:b w:val="false"/>
                  <w:color w:val="0000FF"/>
                  <w:sz w:val="20"/>
                  <w:u w:val="single"/>
                </w:rPr>
                <w:t>Financial Statements and Supplementary Data</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73">
              <w:r>
                <w:rPr>
                  <w:rStyle w:val="InternetLink"/>
                  <w:rFonts w:ascii="Arial;sans-serif" w:hAnsi="Arial;sans-serif"/>
                  <w:b w:val="false"/>
                  <w:color w:val="0000FF"/>
                  <w:sz w:val="20"/>
                  <w:u w:val="single"/>
                </w:rPr>
                <w:t>71</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42">
              <w:r>
                <w:rPr>
                  <w:rStyle w:val="InternetLink"/>
                  <w:rFonts w:ascii="Arial;sans-serif" w:hAnsi="Arial;sans-serif"/>
                  <w:b w:val="false"/>
                  <w:color w:val="0000FF"/>
                  <w:sz w:val="20"/>
                  <w:u w:val="single"/>
                </w:rPr>
                <w:t>Changes in and Disagreements with Accountants on Accounting and Financial Disclosure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42">
              <w:r>
                <w:rPr>
                  <w:rStyle w:val="InternetLink"/>
                  <w:rFonts w:ascii="Arial;sans-serif" w:hAnsi="Arial;sans-serif"/>
                  <w:b w:val="false"/>
                  <w:color w:val="0000FF"/>
                  <w:sz w:val="20"/>
                  <w:u w:val="single"/>
                </w:rPr>
                <w:t>104</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45">
              <w:r>
                <w:rPr>
                  <w:rStyle w:val="InternetLink"/>
                  <w:rFonts w:ascii="Arial;sans-serif" w:hAnsi="Arial;sans-serif"/>
                  <w:b w:val="false"/>
                  <w:color w:val="0000FF"/>
                  <w:sz w:val="20"/>
                  <w:u w:val="single"/>
                </w:rPr>
                <w:t>Controls and Procedures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45">
              <w:r>
                <w:rPr>
                  <w:rStyle w:val="InternetLink"/>
                  <w:rFonts w:ascii="Arial;sans-serif" w:hAnsi="Arial;sans-serif"/>
                  <w:b w:val="false"/>
                  <w:color w:val="0000FF"/>
                  <w:sz w:val="20"/>
                  <w:u w:val="single"/>
                </w:rPr>
                <w:t>104</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48">
              <w:r>
                <w:rPr>
                  <w:rStyle w:val="InternetLink"/>
                  <w:rFonts w:ascii="Arial;sans-serif" w:hAnsi="Arial;sans-serif"/>
                  <w:b w:val="false"/>
                  <w:color w:val="0000FF"/>
                  <w:sz w:val="20"/>
                  <w:u w:val="single"/>
                </w:rPr>
                <w:t>Other Information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48">
              <w:r>
                <w:rPr>
                  <w:rStyle w:val="InternetLink"/>
                  <w:rFonts w:ascii="Arial;sans-serif" w:hAnsi="Arial;sans-serif"/>
                  <w:b w:val="false"/>
                  <w:color w:val="0000FF"/>
                  <w:sz w:val="20"/>
                  <w:u w:val="single"/>
                </w:rPr>
                <w:t>105</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9C.</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51">
              <w:r>
                <w:rPr>
                  <w:rStyle w:val="InternetLink"/>
                  <w:rFonts w:ascii="Arial;sans-serif" w:hAnsi="Arial;sans-serif"/>
                  <w:b w:val="false"/>
                  <w:color w:val="0000FF"/>
                  <w:sz w:val="20"/>
                  <w:u w:val="single"/>
                </w:rPr>
                <w:t>Disclosure Regarding Foreign Jurisdictions that Prevent Inspections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51">
              <w:r>
                <w:rPr>
                  <w:rStyle w:val="InternetLink"/>
                  <w:rFonts w:ascii="Arial;sans-serif" w:hAnsi="Arial;sans-serif"/>
                  <w:b w:val="false"/>
                  <w:color w:val="0000FF"/>
                  <w:sz w:val="20"/>
                  <w:u w:val="single"/>
                </w:rPr>
                <w:t>105</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III</w:t>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57">
              <w:r>
                <w:rPr>
                  <w:rStyle w:val="InternetLink"/>
                  <w:rFonts w:ascii="Arial;sans-serif" w:hAnsi="Arial;sans-serif"/>
                  <w:b w:val="false"/>
                  <w:color w:val="0000FF"/>
                  <w:sz w:val="20"/>
                  <w:u w:val="single"/>
                </w:rPr>
                <w:t>Directors, Executive Officers and Corporate Governance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57">
              <w:r>
                <w:rPr>
                  <w:rStyle w:val="InternetLink"/>
                  <w:rFonts w:ascii="Arial;sans-serif" w:hAnsi="Arial;sans-serif"/>
                  <w:b w:val="false"/>
                  <w:color w:val="0000FF"/>
                  <w:sz w:val="20"/>
                  <w:u w:val="single"/>
                </w:rPr>
                <w:t>106</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60">
              <w:r>
                <w:rPr>
                  <w:rStyle w:val="InternetLink"/>
                  <w:rFonts w:ascii="Arial;sans-serif" w:hAnsi="Arial;sans-serif"/>
                  <w:b w:val="false"/>
                  <w:color w:val="0000FF"/>
                  <w:sz w:val="20"/>
                  <w:u w:val="single"/>
                </w:rPr>
                <w:t>Executive Compensation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60">
              <w:r>
                <w:rPr>
                  <w:rStyle w:val="InternetLink"/>
                  <w:rFonts w:ascii="Arial;sans-serif" w:hAnsi="Arial;sans-serif"/>
                  <w:b w:val="false"/>
                  <w:color w:val="0000FF"/>
                  <w:sz w:val="20"/>
                  <w:u w:val="single"/>
                </w:rPr>
                <w:t>106</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63">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63">
              <w:r>
                <w:rPr>
                  <w:rStyle w:val="InternetLink"/>
                  <w:rFonts w:ascii="Arial;sans-serif" w:hAnsi="Arial;sans-serif"/>
                  <w:b w:val="false"/>
                  <w:color w:val="0000FF"/>
                  <w:sz w:val="20"/>
                  <w:u w:val="single"/>
                </w:rPr>
                <w:t>106</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66">
              <w:r>
                <w:rPr>
                  <w:rStyle w:val="InternetLink"/>
                  <w:rFonts w:ascii="Arial;sans-serif" w:hAnsi="Arial;sans-serif"/>
                  <w:b w:val="false"/>
                  <w:color w:val="0000FF"/>
                  <w:sz w:val="20"/>
                  <w:u w:val="single"/>
                </w:rPr>
                <w:t>Certain Relationships and Related Transactions and Director Independence</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66">
              <w:r>
                <w:rPr>
                  <w:rStyle w:val="InternetLink"/>
                  <w:rFonts w:ascii="Arial;sans-serif" w:hAnsi="Arial;sans-serif"/>
                  <w:b w:val="false"/>
                  <w:color w:val="0000FF"/>
                  <w:sz w:val="20"/>
                  <w:u w:val="single"/>
                </w:rPr>
                <w:t>106</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69">
              <w:r>
                <w:rPr>
                  <w:rStyle w:val="InternetLink"/>
                  <w:rFonts w:ascii="Arial;sans-serif" w:hAnsi="Arial;sans-serif"/>
                  <w:b w:val="false"/>
                  <w:color w:val="0000FF"/>
                  <w:sz w:val="20"/>
                  <w:u w:val="single"/>
                </w:rPr>
                <w:t>Principal Accountant Fees and Services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69">
              <w:r>
                <w:rPr>
                  <w:rStyle w:val="InternetLink"/>
                  <w:rFonts w:ascii="Arial;sans-serif" w:hAnsi="Arial;sans-serif"/>
                  <w:b w:val="false"/>
                  <w:color w:val="0000FF"/>
                  <w:sz w:val="20"/>
                  <w:u w:val="single"/>
                </w:rPr>
                <w:t>106</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IV</w:t>
            </w:r>
          </w:p>
        </w:tc>
        <w:tc>
          <w:tcPr>
            <w:tcW w:w="8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75">
              <w:r>
                <w:rPr>
                  <w:rStyle w:val="InternetLink"/>
                  <w:rFonts w:ascii="Arial;sans-serif" w:hAnsi="Arial;sans-serif"/>
                  <w:b w:val="false"/>
                  <w:color w:val="0000FF"/>
                  <w:sz w:val="20"/>
                  <w:u w:val="single"/>
                </w:rPr>
                <w:t>Exhibits, Financial Statement Schedules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75">
              <w:r>
                <w:rPr>
                  <w:rStyle w:val="InternetLink"/>
                  <w:rFonts w:ascii="Arial;sans-serif" w:hAnsi="Arial;sans-serif"/>
                  <w:b w:val="false"/>
                  <w:color w:val="0000FF"/>
                  <w:sz w:val="20"/>
                  <w:u w:val="single"/>
                </w:rPr>
                <w:t>107</w:t>
              </w:r>
            </w:hyperlink>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81">
              <w:r>
                <w:rPr>
                  <w:rStyle w:val="InternetLink"/>
                  <w:rFonts w:ascii="Arial;sans-serif" w:hAnsi="Arial;sans-serif"/>
                  <w:b w:val="false"/>
                  <w:color w:val="0000FF"/>
                  <w:sz w:val="20"/>
                  <w:u w:val="single"/>
                </w:rPr>
                <w:t>Form 10-K Summary</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81">
              <w:r>
                <w:rPr>
                  <w:rStyle w:val="InternetLink"/>
                  <w:rFonts w:ascii="Arial;sans-serif" w:hAnsi="Arial;sans-serif"/>
                  <w:b w:val="false"/>
                  <w:color w:val="0000FF"/>
                  <w:sz w:val="20"/>
                  <w:u w:val="single"/>
                </w:rPr>
                <w:t>109</w:t>
              </w:r>
            </w:hyperlink>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84">
              <w:r>
                <w:rPr>
                  <w:rStyle w:val="InternetLink"/>
                  <w:rFonts w:ascii="Arial;sans-serif" w:hAnsi="Arial;sans-serif"/>
                  <w:b w:val="false"/>
                  <w:color w:val="0000FF"/>
                  <w:sz w:val="20"/>
                  <w:u w:val="single"/>
                </w:rPr>
                <w:t>Signatures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95df87e60249c78a6b8cdac6111421_184">
              <w:r>
                <w:rPr>
                  <w:rStyle w:val="InternetLink"/>
                  <w:rFonts w:ascii="Arial;sans-serif" w:hAnsi="Arial;sans-serif"/>
                  <w:b w:val="false"/>
                  <w:color w:val="0000FF"/>
                  <w:sz w:val="20"/>
                  <w:u w:val="single"/>
                </w:rPr>
                <w:t>110</w:t>
              </w:r>
            </w:hyperlink>
          </w:p>
        </w:tc>
      </w:tr>
    </w:tbl>
    <w:p>
      <w:pPr>
        <w:pStyle w:val="TextBody"/>
        <w:bidi w:val="0"/>
        <w:spacing w:before="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anticipated impact of the global economic uncertainty and financial market conditions on our business, results of operations and financial condition, including on our sales and our revenue growth rate;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market opportunity;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effects of increased competition as well as innovations by new and existing competitors in our market;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adapt to technological change, release new products and product features and effectively enhance, innovate and scale our enterprise platform and solutions;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effectively manage or sustain our growth and to achieve profitability;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maintain and expand our customer base, including by attracting new customers;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relationships with third parties, including channel partners;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completed and potential acquisitions and integration of complementary businesses and technologies;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maintain, or strengthen awareness of, our brand;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perceived or actual problems with the security, integrity, reliability, compatibility and quality of our platform and solutions;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future revenue, hiring plans, expenses, capital expenditures, capital requirements and stock performance;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attract and retain qualified employees and key personnel and further expand our overall headcount;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stay abreast of new or modified laws and regulations that currently apply or become applicable to our business both in the United States and internationally;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maintain, protect and enhance our intellectual property;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costs associated with defending intellectual property infringement and other claims;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future trading prices of our common stock and the impact of securities analysts’ reports on these prices.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a leading provider of exposure management solutions. Exposure management is an effective discipline for measuring, comparing and reducing cybersecurity risk in today's complex IT environments.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Organizations around the globe are accelerating their adoption of public and private cloud infrastructure, introducing internet-facing applications and embracing new identity management systems. The rapid adoption of these and other digital technologies is expanding the modern attack surface.</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For most organizations, the modern attack surface includes: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Complex and dynamic multi-cloud environments, which organizations are rapidly adopting even as they face a shortage of cloud security expertise;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Identity and access management systems used to control machine identities, APIs and user privileges, which are vulnerable to misconfigurations that can open up attack pathways within an organization;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An assortment of operational technology, or OT — such as industrial control systems, or ICS, and supervisory control and data acquisition, or SCADA, systems — which is increasingly internet-facing and is often linked to existing IT systems;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Personal devices, including mobile phones and tablets, internet of things, or IoT, devices and other types of “shadow IT” used by employees, often without the knowledge of the IT and security teams;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Virtual machines, microservices, open-source code repositories, containers and other tools used by DevOps teams.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complexity of the modern attack surface is a key driver behind the growing need for exposure management programs. Security teams are overwhelmed with the constant influx of data from the array of point solutions they are using to manage cloud assets, interconnected vulnerabilities, web applications, and identity systems. They are also challenged with effectively analyzing all that data to make informed, proactive decisions about which exposures represent the greatest risk to the organization. </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combination of all these factors presents cybersecurity teams with obstacles that reach beyond the scope of existing point tools. We see three distinct real-world challenges facing cybersecurity professionals that can be addressed with an exposure management program: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Security programs today are reactive when they should be proactive;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attack surface isn’t siloed, but security programs often are;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There’s more data available than ever before, yet it’s difficult for security professionals to prioritize and apply the information in meaningful ways.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An exposure management program, underpinned by a technology platform such as our Tenable One Exposure Management Platform, or Tenable One, can help address these real-world problems. Successfully implemented, an exposure management platform allows organizations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Gain comprehensive visibility across the modern attack surface;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Anticipate threats and prioritize efforts to prevent attacks;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Communicate cyber risk to make better decisions.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order to be effective, an exposure management platform must extend beyond traditional vulnerability management, which concentrates on the discovery and remediation of publicly disclosed Common Vulnerabilities and Exposures, or CVEs. The platform must include information about configuration issues, vulnerabilities and attack paths across a spectrum of assets and technologies — including cloud configurations and deployments, identity solutions, such as Active Directory; and web applications.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With these considerations in mind, we launched Tenable One in October 2022. Tenable One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or EDR, and firewalls, and required business processes.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2022 and 2021 our total revenue was $798.7 million, $683.2 million and $541.1 million, respectively, representing year-over-year growth rates of 17% from 2022 to 2023 and 26% from 2021 to 2022. Our net loss was $78.3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million, $92.2 million and $46.7 million in 2023, 2022 and 2021, respectively. Our cash flows from operating activities were $149.9 million, $131.2 million and $96.8 million in 2023, 2022 and 2021, respectively.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Solutions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With Tenable One, organizations can translate technical data about assets, vulnerabilities and threats into clear business insights and actionable intelligence for security executives and practitioners. The platform combines the broad, industry 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and a centralized asset inventory. Tenable One leverages artificial intelligence, or AI, and machine learning, or ML, to rapidly analyze and interpret vast data sets, deliver rapid prioritization of exposures and assets and the likelihood of exploit, deliver recommendations, and automates routine tasks and streamlines workflows. AI and ML improves vulnerability prioritization and the ability to accurately gauge the risk posed by identities and entitlements across cloud and on-premise environments.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Tenable One incorporates these Tenable products: </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Vulnerability Management</w:t>
      </w:r>
      <w:r>
        <w:rPr>
          <w:rFonts w:ascii="Arial;sans-serif" w:hAnsi="Arial;sans-serif"/>
          <w:b w:val="false"/>
          <w:color w:val="000000"/>
          <w:sz w:val="20"/>
        </w:rPr>
        <w:t xml:space="preserve">: our cloud-delivered software-as-a-service, or SaaS, vulnerability management offering that provides organizations with a risk-based view of traditional and modern attack surfaces. Tenable Vulnerability Management is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 </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Cloud Security</w:t>
      </w:r>
      <w:r>
        <w:rPr>
          <w:rFonts w:ascii="Arial;sans-serif" w:hAnsi="Arial;sans-serif"/>
          <w:b w:val="false"/>
          <w:color w:val="000000"/>
          <w:sz w:val="20"/>
        </w:rPr>
        <w:t>: Built on innovative cloud-native application protection platform (CNAPP) technology, and leading cloud infrastructure entitlement management (CIEM) acquired with Ermetic in October 2023, Tenable Cloud Security enables security teams to continuously assess the security posture of their cloud environments by maintaining a current view of cloud assets and identities to minimize exposure and enforce a least privilege approach at scale. Tenable Cloud Security provides cloud security teams the tools they need to apply security and compliance policies, prioritize security gaps and remediate risks that matter most across multi-cloud environments.</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Identity Exposure</w:t>
      </w:r>
      <w:r>
        <w:rPr>
          <w:rFonts w:ascii="Arial;sans-serif" w:hAnsi="Arial;sans-serif"/>
          <w:b w:val="false"/>
          <w:color w:val="000000"/>
          <w:sz w:val="20"/>
        </w:rPr>
        <w:t>: our solution to secure Active Directory environments by enabling users to find and fix existing weaknesses before they are exploited and detect and respond to ongoing attacks in real time without the need to deploy agents or use privileged accounts.</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Web App Scanning</w:t>
      </w:r>
      <w:r>
        <w:rPr>
          <w:rFonts w:ascii="Arial;sans-serif" w:hAnsi="Arial;sans-serif"/>
          <w:b w:val="false"/>
          <w:color w:val="000000"/>
          <w:sz w:val="20"/>
        </w:rPr>
        <w:t xml:space="preserve">: our easy-to-use, comprehensive and automated Vulnerability Scanning for modern web applications, which allows organizations to quickly configure and manage web app scans, enabling them to identify vulnerabilities and prioritize remediation. </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Lumin Exposure View</w:t>
      </w:r>
      <w:r>
        <w:rPr>
          <w:rFonts w:ascii="Arial;sans-serif" w:hAnsi="Arial;sans-serif"/>
          <w:b w:val="false"/>
          <w:color w:val="000000"/>
          <w:sz w:val="20"/>
        </w:rPr>
        <w:t>: our measurement tool, which leverages our expansive knowledge base of assets and vulnerabilities coupled with data science insights, to help our customers objectively score, trend and benchmark cyber risk across their organizations, including by business unit or geography, for comparison and best practices. We believe this capability is critical to help security executives effectively translate technical information and communicate cybersecurity risk to a non-technical audience, including the C-suite and the board of directors, to enable them to make better strategic decisions on where to focus investment to maximize cybersecurity risk reduction.</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Attack Surface Management</w:t>
      </w:r>
      <w:r>
        <w:rPr>
          <w:rFonts w:ascii="Arial;sans-serif" w:hAnsi="Arial;sans-serif"/>
          <w:b w:val="false"/>
          <w:color w:val="000000"/>
          <w:sz w:val="20"/>
        </w:rPr>
        <w:t>: our External Attack Surface Management solution continuously maps the internet, enabling security teams to discover connections to internet-facing assets so they can assess the cybersecurity posture of their entire external attack surface.</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Tenable Security Center</w:t>
      </w:r>
      <w:r>
        <w:rPr>
          <w:rFonts w:ascii="Arial;sans-serif" w:hAnsi="Arial;sans-serif"/>
          <w:b w:val="false"/>
          <w:color w:val="000000"/>
          <w:sz w:val="20"/>
        </w:rPr>
        <w:t>: our on-premises Vulnerability Management offering that provides a risk-based view of an organization’s IT, security and compliance posture so organizations can quickly identify, investigate and prioritize their assets and vulnerabilities based on risk assessment and predictive analytics, and provide insightful remediation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hanging="360"/>
        <w:jc w:val="left"/>
        <w:rPr/>
      </w:pPr>
      <w:r>
        <w:rPr>
          <w:color w:val="000000"/>
        </w:rPr>
        <w:t>•</w:t>
      </w:r>
      <w:r>
        <w:rPr>
          <w:rFonts w:ascii="Arial;sans-serif" w:hAnsi="Arial;sans-serif"/>
          <w:b/>
          <w:color w:val="000000"/>
          <w:sz w:val="20"/>
        </w:rPr>
        <w:t>Tenable OT Security</w:t>
      </w:r>
      <w:r>
        <w:rPr>
          <w:rFonts w:ascii="Arial;sans-serif" w:hAnsi="Arial;sans-serif"/>
          <w:b w:val="false"/>
          <w:color w:val="000000"/>
          <w:sz w:val="20"/>
        </w:rPr>
        <w:t>: our Operational Technology Security solution that provides threat detection, asset tracking, vulnerability management, and configuration control capabilities to protect OT environments, including industrial networks.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All of the above products, now available in Tenable One, continue to be offered as standalone solutions.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In addition, our </w:t>
      </w:r>
      <w:r>
        <w:rPr>
          <w:rFonts w:ascii="Arial;sans-serif" w:hAnsi="Arial;sans-serif"/>
          <w:b/>
          <w:color w:val="000000"/>
          <w:sz w:val="20"/>
        </w:rPr>
        <w:t>Nessus</w:t>
      </w:r>
      <w:r>
        <w:rPr>
          <w:color w:val="000000"/>
        </w:rPr>
        <w:t xml:space="preserve"> </w:t>
      </w:r>
      <w:r>
        <w:rPr>
          <w:rFonts w:ascii="Arial;sans-serif" w:hAnsi="Arial;sans-serif"/>
          <w:b w:val="false"/>
          <w:color w:val="000000"/>
          <w:sz w:val="20"/>
        </w:rPr>
        <w:t xml:space="preserve">product line is one of the most widely deployed vulnerability assessment solutions in the cybersecurity industry and underpins our enterprise platform. Since the introduction of Nessus in 1998, we have built and nurtured an extensive community of Nessus users. We continue to cultivate knowledge and affinity within this user base, which, when combined with our enterprise customers and Tenable Research, creates powerful network effects in the form of a 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 </w:t>
      </w:r>
    </w:p>
    <w:p>
      <w:pPr>
        <w:pStyle w:val="TextBody"/>
        <w:bidi w:val="0"/>
        <w:spacing w:lineRule="auto" w:line="288" w:before="0" w:after="240"/>
        <w:ind w:left="0" w:right="0" w:firstLine="360"/>
        <w:jc w:val="left"/>
        <w:rPr/>
      </w:pPr>
      <w:r>
        <w:rPr>
          <w:rFonts w:ascii="Arial;sans-serif" w:hAnsi="Arial;sans-serif"/>
          <w:b/>
          <w:color w:val="000000"/>
          <w:sz w:val="20"/>
        </w:rPr>
        <w:t>Nessus Expert</w:t>
      </w:r>
      <w:r>
        <w:rPr>
          <w:color w:val="000000"/>
        </w:rPr>
        <w:t xml:space="preserve"> </w:t>
      </w:r>
      <w:r>
        <w:rPr>
          <w:rFonts w:ascii="Arial;sans-serif" w:hAnsi="Arial;sans-serif"/>
          <w:b w:val="false"/>
          <w:color w:val="000000"/>
          <w:sz w:val="20"/>
        </w:rPr>
        <w:t>adds Web App scanning capabilities, Infrastructure as Code, or IaC, scanning along with external attack surface discovery capabilities to identify all domains and subdomains that make up an organization’s external-facing attack surface. Nessus Expert enables users to programmatically detect cloud infrastructure misconfigurations and vulnerabilities in the design and build phases of the software development lifecycle and continuously discover and inventory an organization's internet-facing assets from an attacker's perspective.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Our Technology Ecosystem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partnered and/or integrated with market leading technology companies to pioneer the industry’s first exposure management ecosystem to help organizations build resilient cybersecurity programs. Our ecosystem consists of a variety of third-party data import sources integrated into our platform offerings, as well as export of our data out to third-party IT systems. Our technology ecosystem connects disparate solutions and data to automate processes and accelerate an organization’s ability to understand, manage and reduce its cyber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integrate a variety of third-party data sources, including ticketing, configuration management databases, or CMDBs, and systems management, into our platform to augment our native data collection and help with analysis and remediation prioritization. Furthermore, our data is exported out to enrich third-party IT management and security systems. </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Our Growth Strategy</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objectives are to expand our market leadership in exposure management and to scale our business by capturing our large market opportunities in cloud identity and OT, while expanding our operating and free cash flow margins. To accomplish these objectives, we intend to:</w:t>
      </w:r>
    </w:p>
    <w:p>
      <w:pPr>
        <w:pStyle w:val="TextBody"/>
        <w:bidi w:val="0"/>
        <w:spacing w:lineRule="auto" w:line="288" w:before="0" w:after="120"/>
        <w:ind w:left="0" w:right="0" w:hanging="360"/>
        <w:jc w:val="left"/>
        <w:rPr/>
      </w:pPr>
      <w:r>
        <w:rPr>
          <w:color w:val="000000"/>
        </w:rPr>
        <w:t>•</w:t>
      </w:r>
      <w:r>
        <w:rPr>
          <w:rFonts w:ascii="Arial;sans-serif" w:hAnsi="Arial;sans-serif"/>
          <w:b/>
          <w:i/>
          <w:color w:val="000000"/>
          <w:sz w:val="20"/>
        </w:rPr>
        <w:t>Continue to acquire new enterprise platform customers.</w:t>
      </w:r>
      <w:r>
        <w:rPr>
          <w:color w:val="000000"/>
        </w:rPr>
        <w:t xml:space="preserve"> </w:t>
      </w:r>
      <w:r>
        <w:rPr>
          <w:rFonts w:ascii="Arial;sans-serif" w:hAnsi="Arial;sans-serif"/>
          <w:b w:val="false"/>
          <w:color w:val="000000"/>
          <w:sz w:val="20"/>
        </w:rPr>
        <w:t xml:space="preserve">We believe there is a substantial opportunity to increase adoption of our enterprise platform offerings. We have experienced growth in new enterprise platform customers due to improved product capabilities and investments in sales and marketing. We intend to continue to aggressively pursue new domestic and international customers by adding sales capacity and leveraging our network of channel partnerships around the world. </w:t>
      </w:r>
    </w:p>
    <w:p>
      <w:pPr>
        <w:pStyle w:val="TextBody"/>
        <w:bidi w:val="0"/>
        <w:spacing w:lineRule="auto" w:line="288" w:before="0" w:after="120"/>
        <w:ind w:left="0" w:right="0" w:hanging="360"/>
        <w:jc w:val="left"/>
        <w:rPr/>
      </w:pPr>
      <w:r>
        <w:rPr>
          <w:color w:val="000000"/>
        </w:rPr>
        <w:t>•</w:t>
      </w:r>
      <w:r>
        <w:rPr>
          <w:rFonts w:ascii="Arial;sans-serif" w:hAnsi="Arial;sans-serif"/>
          <w:b/>
          <w:i/>
          <w:color w:val="000000"/>
          <w:sz w:val="20"/>
        </w:rPr>
        <w:t>Expand asset coverage within our customer base</w:t>
      </w:r>
      <w:r>
        <w:rPr>
          <w:rFonts w:ascii="Arial;sans-serif" w:hAnsi="Arial;sans-serif"/>
          <w:b w:val="false"/>
          <w:color w:val="000000"/>
          <w:sz w:val="20"/>
        </w:rPr>
        <w:t xml:space="preserve">. We believe we have a significant opportunity to expand our relationships with our existing customers by targeting additional teams, business units or geographies, pursuing broad enterprise deployments and generally expanding our coverage of their network-connected assets and cross-selling new applications and solutions. </w:t>
      </w:r>
    </w:p>
    <w:p>
      <w:pPr>
        <w:pStyle w:val="TextBody"/>
        <w:bidi w:val="0"/>
        <w:spacing w:lineRule="auto" w:line="288" w:before="0" w:after="120"/>
        <w:ind w:left="0" w:right="0" w:hanging="360"/>
        <w:jc w:val="left"/>
        <w:rPr/>
      </w:pPr>
      <w:r>
        <w:rPr>
          <w:color w:val="000000"/>
        </w:rPr>
        <w:t>•</w:t>
      </w:r>
      <w:r>
        <w:rPr>
          <w:rFonts w:ascii="Arial;sans-serif" w:hAnsi="Arial;sans-serif"/>
          <w:b/>
          <w:i/>
          <w:color w:val="000000"/>
          <w:sz w:val="20"/>
        </w:rPr>
        <w:t>Invest in our technology platform</w:t>
      </w:r>
      <w:r>
        <w:rPr>
          <w:rFonts w:ascii="Arial;sans-serif" w:hAnsi="Arial;sans-serif"/>
          <w:b w:val="false"/>
          <w:color w:val="000000"/>
          <w:sz w:val="20"/>
        </w:rPr>
        <w:t xml:space="preserve">. We intend to continue to innovate, develop and broaden our exposure and traditional vulnerability management solutions, including expanding the coverage of emerging attack surfaces and asset types and the addition of analytical capabilities, to help our customers measure and manage their cyber exposure. As we collect more data and ingest more data from third-party sources, we believe our data set will become even more valuable over time, which will allow us to continue to develop new analytical products and capabilities to our existing product suite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hanging="360"/>
        <w:jc w:val="left"/>
        <w:rPr/>
      </w:pPr>
      <w:r>
        <w:rPr>
          <w:color w:val="000000"/>
        </w:rPr>
        <w:t>•</w:t>
      </w:r>
      <w:r>
        <w:rPr>
          <w:rFonts w:ascii="Arial;sans-serif" w:hAnsi="Arial;sans-serif"/>
          <w:b/>
          <w:i/>
          <w:color w:val="000000"/>
          <w:sz w:val="20"/>
        </w:rPr>
        <w:t>Explore acquisition opportunities</w:t>
      </w:r>
      <w:r>
        <w:rPr>
          <w:rFonts w:ascii="Arial;sans-serif" w:hAnsi="Arial;sans-serif"/>
          <w:b w:val="false"/>
          <w:color w:val="000000"/>
          <w:sz w:val="20"/>
        </w:rPr>
        <w:t xml:space="preserve">. We intend to acquire other businesses, technology and/or development personnel that will expand and enhance the functionality of our platform offerings. </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enterprise platform offerings through our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customers are located in over 170 countries and include organizations of all sizes and span a wide range of industries, including manufacturing, energy and industrials; technology, media and telecommunications; banking, insurance and finance; government, education and non-profit; healthcare; and retail and consumer.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approximately 44,000 customers. At December 31, 2023 our customers included approximately 65% of the Fortune 500 and approximately 50% of the Global 2000 and large government agencies. In 2023, 2022 and 2021, no single customer represented more than 2% of our revenue.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Sales and Marketing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sales strategy employs both a direct-touch approach through our sales force and a low-touch approach through sales closed by our channel partners and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to organizations of all sizes across a broad range of industries, with a specific focus on enterprise accounts. Our sales team is divided by customer size and geography, including the Americas; Europe, the Middle East and Africa, or EMEA; and Asia Pacific and Japan.</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marketing efforts focus on cultivating brand awareness and leveraging our track record of innovation in exposure management to expand into new markets. We are focused on building demand across all segments with a specific emphasis on our enterprise customers and delivering tailored marketing programs for security executives, functional managers, security practitioners, managed service providers and consultants. Our marketing efforts are also designed to create a broad community and establish the Tenable brand as a trusted resource of credible educational information. We provide a variety of educational resources for cybersecurity practitioners and leaders, as well as cloud security teams, DevOps teams, OT practitioners and identity and access management practitioners, including a community forum where customers can ask questions of our experts and their peers. We execute marketing programs targeted at new customer acquisition, customer retention and cross-selling and up-selling of products across our platform.</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Research and Development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continue to invest substantial resources in research and development to enhance our platform offerings by developing new features, functionality, and applications. Our engineering expertise combines extensive security product development experience with individuals who possess deep cloud and user interface design backgrounds.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Tenable Research team is staffed by cybersecurity, cloud and data science experts who deliver exposure management intelligence, data science insights, alerts and security advisories. Our Tenable Research Team has developed AI-based research tools to help improve efficiency and effectiveness in processes such as reverse engineering, code debugging, web app security and visibility into cloud-based tools. Frequent updates from Tenable Research ensure the latest vulnerability checks, zero-day research, and configuration benchmarks are available within our exposure management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before="0" w:after="24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ongoing and timely development of new products and features is imperative to maintaining our competitive position. We continue to invest in development of our solutions across our global research and development team.</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Backlog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define backlog as contractually committed orders to be invoiced under our existing agreements that are not included in deferred revenue on our consolidated balance sheets. We expect the amount of backlog to change from period to period due to the timing of billings for our solutions and professional services. At December 31, 2023 and 2022, we had backlog of $23.4 million and $14.7 million, respectively. We expect the majority of the backlog at December 31, 2023 to be invoiced within the following 12 months.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vulnerability assessment capabilities, including CrowdStrike; public cloud vendors and companies, such as Palo Alto Networks and Wiz, that offer solutions for cloud security (private, public and hybrid cloud); and providers of point solutions that compete with some of the features present in our solutions. Many organizations also choose to build their own solutions in-house, often using open-source code rather than purchasing external solutions, and we compete against these internally-developed efforts as well.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Intellectual Property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38 issued patents and 21 patent applications pending in the United States. Our issued patents expire between 2027 and 2042 and cover our network scanning, monitoring and analysis technologies and additional features of our platform offerings. At December 31, 2023, we had 20 registered trademarks in the United States. We view our copyrights, trade secrets and know-how as a significant component of our intellectual property assets.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software and technology. In addition, we intend to continue to expand our international operations, and effective patent, copyright, trademark and trade secret protection may not be available or may be limited in foreign countries.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Government Regulation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Various federal, state and foreign legislative and regulatory bodies have legislation pending that could affect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ordinary course of our business, we process personal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or the CCPA, the Colorado Privacy Act, Virginia’s Consumer Data Protection Act, the Connecticut Privacy Act, the Utah Consumer Privacy Act, the European Union’s General Data Protection Regulation 2016/679, or EU GDPR, the EU GDPR as it forms part of the United Kingdom law by virtue of section 3 of the European Union (Withdrawal) Act of 2018, or UK GDPR, and the ePrivacy Directive.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These laws prohibit or restrict the export of our products and services to certain countries, regions, governments, entities or persons subject to trade restrictions. For more information on the potential impacts of government regulations affecting our business, see “Risk Factors” included under Part I, Item 1A.</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Human Capital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1,999 employees, including 898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We believe in upholding a core set of values for our entire global workforce:</w:t>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One Tenable</w:t>
      </w:r>
      <w:r>
        <w:rPr>
          <w:rFonts w:ascii="Arial;sans-serif" w:hAnsi="Arial;sans-serif"/>
          <w:b w:val="false"/>
          <w:color w:val="000000"/>
          <w:sz w:val="20"/>
        </w:rPr>
        <w:t>: We work together and we win together. We are part of one Tenable team - employees, customers, partners and other stakeholders.</w:t>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 xml:space="preserve">Deliver Results: </w:t>
      </w:r>
      <w:r>
        <w:rPr>
          <w:rFonts w:ascii="Arial;sans-serif" w:hAnsi="Arial;sans-serif"/>
          <w:b w:val="false"/>
          <w:color w:val="000000"/>
          <w:sz w:val="20"/>
        </w:rPr>
        <w:t>We set high goals, take bold risks, measure honestly and deliver results that exceed expectations.</w:t>
      </w:r>
    </w:p>
    <w:p>
      <w:pPr>
        <w:pStyle w:val="TextBody"/>
        <w:bidi w:val="0"/>
        <w:spacing w:lineRule="auto" w:line="288" w:before="0" w:after="60"/>
        <w:ind w:left="0" w:right="0" w:hanging="360"/>
        <w:jc w:val="left"/>
        <w:rPr/>
      </w:pPr>
      <w:r>
        <w:rPr>
          <w:color w:val="000000"/>
        </w:rPr>
        <w:t>•</w:t>
      </w:r>
      <w:r>
        <w:rPr>
          <w:rFonts w:ascii="Arial;sans-serif" w:hAnsi="Arial;sans-serif"/>
          <w:b/>
          <w:i/>
          <w:color w:val="000000"/>
          <w:sz w:val="20"/>
        </w:rPr>
        <w:t>We Care</w:t>
      </w:r>
      <w:r>
        <w:rPr>
          <w:rFonts w:ascii="Arial;sans-serif" w:hAnsi="Arial;sans-serif"/>
          <w:b w:val="false"/>
          <w:color w:val="000000"/>
          <w:sz w:val="20"/>
        </w:rPr>
        <w:t>: We are committed to our work, our customers, our colleagues and our communities. We speak candidly and we always do the right thing.</w:t>
      </w:r>
    </w:p>
    <w:p>
      <w:pPr>
        <w:pStyle w:val="TextBody"/>
        <w:bidi w:val="0"/>
        <w:spacing w:lineRule="auto" w:line="288" w:before="0" w:after="240"/>
        <w:ind w:left="0" w:right="0" w:hanging="360"/>
        <w:jc w:val="left"/>
        <w:rPr/>
      </w:pPr>
      <w:r>
        <w:rPr>
          <w:color w:val="000000"/>
        </w:rPr>
        <w:t>•</w:t>
      </w:r>
      <w:r>
        <w:rPr>
          <w:rFonts w:ascii="Arial;sans-serif" w:hAnsi="Arial;sans-serif"/>
          <w:b/>
          <w:i/>
          <w:color w:val="000000"/>
          <w:sz w:val="20"/>
        </w:rPr>
        <w:t>What We Do Matters</w:t>
      </w:r>
      <w:r>
        <w:rPr>
          <w:rFonts w:ascii="Arial;sans-serif" w:hAnsi="Arial;sans-serif"/>
          <w:b w:val="false"/>
          <w:color w:val="000000"/>
          <w:sz w:val="20"/>
        </w:rPr>
        <w:t>: The work that we do makes a difference in the world.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key human capital objectives are to attract, retain, engage, reward and develop our highly talented existing and future employees, while cultivating a diverse and inclusive workforce and culture to achieve exceptional business results. We strive to be a career destination where employees from all backgrounds are welcome and empowered, are treated with fairness and respect, can make a difference, and have the opportunity to grow.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Compensation, Benefits and Talent Development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provide robust compensation and benefits packages to attract and retain our employees. We aim to incentivize our employees by aligning a portion of their compensation with the overall success of our business. In addition to base salary, our total rewards packages include annual bonuses, equity awards, an employee stock purchase plan, retirement plans, and health and wellness benefits. Equity awards of restricted stock units that vest over time are granted to new hires and to most employees on an annual basis. Eligible employees can participate in our employee stock purchase plan, in which employees may contribute a percentage of their compensation to purchase shares of our common stock at a discount. Our health and wellness benefits include medical and life insurance, paid time off, family leave, and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assistance programs. We are committed to a structured hybrid workplace strategy which both allows flexibility and recognizes the value of in-person collaboration and community.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promote and support employee development and organizational effectiveness by providing high-quality learning and development programs as well as tuition assistance programs. These programs are designed to meet individual, team and organizational needs and objectives, enabling our workforce to grow professionally and increase their impact to the business.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Diversity and Inclusion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seek to cultivate a diverse and inclusive workforce and environment to achieve exceptional business results. When we value and celebrate differences, we drive more innovation and grow closer to our customers, partners, and communities. We strive to be a career destination where employees from all backgrounds are welcomed, treated with fairness and respect, empowered to make a difference, and provided opportunities to grow.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undertake numerous efforts to increase diversity in our employee population and to foster a culture of fairness and belonging through a number of measures in our recruiting, engagement, retention, and outreach practices. Our dedicated Diversity &amp; Inclusion Council and Employee Resource Groups – along with our committed leaders and managers – strive to attract and hire employees who bring broad diversity of background, thought and style into the company and foster a sense of inclusion to make them want to stay. To support these initiatives, we build partnerships within our communities to support organizations and events that strive for greater representation of women and underrepresented minorities in cybersecurity, hold inclusion training and offer targeted development opportunities to assist with career advancement.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Environmental Stewardship</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care deeply about the places where we live and work. Our Board and management team recognize that we have a role to play in environmental stewardship. We believe that environmentally responsible operating practices are important to generating value for our stockholders, being a good partner with our customers and being a good employer to our employees.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energy consumption and usage within data centers is an important component of our day-to-day operations of our business. We outsource our data center needs to Amazon Web Services, or AWS. AWS, in addition to carefully choosing data center locations to mitigate environmental risk, has a long-term commitment to use 100% renewable energy. Aside from data center needs, greenhouse gas emissions and water and energy usage are not material factors in the day-to-day operations of our business. However, we believe that we can still play a part through environmentally sound practices.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Tenable headquarters is a LEED Certified Gold for Core Construction. In addition, we have taken the following actions to enable environmental stewardship:</w:t>
      </w:r>
    </w:p>
    <w:p>
      <w:pPr>
        <w:pStyle w:val="TextBody"/>
        <w:bidi w:val="0"/>
        <w:spacing w:lineRule="auto" w:line="288" w:before="0" w:after="60"/>
        <w:ind w:left="0" w:right="0" w:firstLine="360"/>
        <w:jc w:val="left"/>
        <w:rPr>
          <w:color w:val="000000"/>
        </w:rPr>
      </w:pPr>
      <w:r>
        <w:rPr>
          <w:color w:val="000000"/>
        </w:rPr>
        <w:t xml:space="preserve">• </w:t>
      </w:r>
      <w:r>
        <w:rPr>
          <w:rFonts w:ascii="Arial;sans-serif" w:hAnsi="Arial;sans-serif"/>
          <w:b w:val="false"/>
          <w:color w:val="000000"/>
          <w:sz w:val="20"/>
        </w:rPr>
        <w:t>Implemented recycling in our offices;</w:t>
      </w:r>
    </w:p>
    <w:p>
      <w:pPr>
        <w:pStyle w:val="TextBody"/>
        <w:bidi w:val="0"/>
        <w:spacing w:lineRule="auto" w:line="288" w:before="0" w:after="60"/>
        <w:ind w:left="0" w:right="0" w:firstLine="360"/>
        <w:jc w:val="left"/>
        <w:rPr>
          <w:color w:val="000000"/>
        </w:rPr>
      </w:pPr>
      <w:r>
        <w:rPr>
          <w:color w:val="000000"/>
        </w:rPr>
        <w:t xml:space="preserve">• </w:t>
      </w:r>
      <w:r>
        <w:rPr>
          <w:rFonts w:ascii="Arial;sans-serif" w:hAnsi="Arial;sans-serif"/>
          <w:b w:val="false"/>
          <w:color w:val="000000"/>
          <w:sz w:val="20"/>
        </w:rPr>
        <w:t>Offer biodegradable to-go boxes to reduce food waste;</w:t>
      </w:r>
    </w:p>
    <w:p>
      <w:pPr>
        <w:pStyle w:val="TextBody"/>
        <w:bidi w:val="0"/>
        <w:spacing w:lineRule="auto" w:line="288" w:before="0" w:after="60"/>
        <w:ind w:left="0" w:right="0" w:firstLine="360"/>
        <w:jc w:val="left"/>
        <w:rPr>
          <w:color w:val="000000"/>
        </w:rPr>
      </w:pPr>
      <w:r>
        <w:rPr>
          <w:color w:val="000000"/>
        </w:rPr>
        <w:t xml:space="preserve">• </w:t>
      </w:r>
      <w:r>
        <w:rPr>
          <w:rFonts w:ascii="Arial;sans-serif" w:hAnsi="Arial;sans-serif"/>
          <w:b w:val="false"/>
          <w:color w:val="000000"/>
          <w:sz w:val="20"/>
        </w:rPr>
        <w:t>Have a strict policy for disposing of hardware; and</w:t>
      </w:r>
    </w:p>
    <w:p>
      <w:pPr>
        <w:pStyle w:val="TextBody"/>
        <w:bidi w:val="0"/>
        <w:spacing w:lineRule="auto" w:line="288" w:before="0" w:after="240"/>
        <w:ind w:left="0" w:right="0" w:firstLine="360"/>
        <w:jc w:val="left"/>
        <w:rPr>
          <w:color w:val="000000"/>
        </w:rPr>
      </w:pPr>
      <w:r>
        <w:rPr>
          <w:color w:val="000000"/>
        </w:rPr>
        <w:t xml:space="preserve">• </w:t>
      </w:r>
      <w:r>
        <w:rPr>
          <w:rFonts w:ascii="Arial;sans-serif" w:hAnsi="Arial;sans-serif"/>
          <w:b w:val="false"/>
          <w:color w:val="000000"/>
          <w:sz w:val="20"/>
        </w:rPr>
        <w:t xml:space="preserve">Transitioned to a travel portal that provides detail on our carbon footprint.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and our employees have donated time and money to important environmental causes, such as healthy waterways and other clean-up efforts, recycling, carbon footprint mitigation and protection of threatened wildlife.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Financial Information and Segments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See </w:t>
      </w:r>
      <w:hyperlink w:anchor="i8d95df87e60249c78a6b8cdac6111421_97">
        <w:r>
          <w:rPr>
            <w:rStyle w:val="InternetLink"/>
            <w:rFonts w:ascii="Arial;sans-serif" w:hAnsi="Arial;sans-serif"/>
            <w:b w:val="false"/>
            <w:color w:val="0000FF"/>
            <w:sz w:val="20"/>
            <w:u w:val="single"/>
          </w:rPr>
          <w:t>Note 1</w:t>
        </w:r>
      </w:hyperlink>
      <w:r>
        <w:rPr>
          <w:color w:val="000000"/>
        </w:rPr>
        <w:t xml:space="preserve"> </w:t>
      </w:r>
      <w:r>
        <w:rPr>
          <w:rFonts w:ascii="Arial;sans-serif" w:hAnsi="Arial;sans-serif"/>
          <w:b w:val="false"/>
          <w:color w:val="000000"/>
          <w:sz w:val="20"/>
        </w:rPr>
        <w:t xml:space="preserve">and </w:t>
      </w:r>
      <w:hyperlink w:anchor="i8d95df87e60249c78a6b8cdac6111421_133">
        <w:r>
          <w:rPr>
            <w:rStyle w:val="InternetLink"/>
            <w:rFonts w:ascii="Arial;sans-serif" w:hAnsi="Arial;sans-serif"/>
            <w:b w:val="false"/>
            <w:color w:val="0000FF"/>
            <w:sz w:val="20"/>
            <w:u w:val="single"/>
          </w:rPr>
          <w:t>Note 13</w:t>
        </w:r>
      </w:hyperlink>
      <w:r>
        <w:rPr>
          <w:color w:val="000000"/>
        </w:rPr>
        <w:t xml:space="preserve"> </w:t>
      </w:r>
      <w:r>
        <w:rPr>
          <w:rFonts w:ascii="Arial;sans-serif" w:hAnsi="Arial;sans-serif"/>
          <w:b w:val="false"/>
          <w:color w:val="000000"/>
          <w:sz w:val="20"/>
        </w:rPr>
        <w:t>to our consolidated financial statements in this Annual Report on Form 10-K for segment and geographical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Corporate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Tenable Network Security, Inc., our predecessor, was incorporated under the laws of the State of Delaware in 2002. Tenable Holdings, Inc. was incorporated in Delaware in October 2015. In November 2015, Tenable Network Security, Inc. was merged into a wholly owned subsidiary and in 2017 was renamed as Tenable, Inc.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pStyle w:val="TextBody"/>
        <w:bidi w:val="0"/>
        <w:spacing w:lineRule="auto" w:line="288" w:before="0" w:after="240"/>
        <w:ind w:left="0" w:right="0" w:firstLine="360"/>
        <w:jc w:val="left"/>
        <w:rPr>
          <w:color w:val="000000"/>
        </w:rPr>
      </w:pPr>
      <w:r>
        <w:rPr>
          <w:color w:val="000000"/>
        </w:rPr>
        <w:t>“</w:t>
      </w:r>
      <w:r>
        <w:rPr>
          <w:rFonts w:ascii="Arial;sans-serif" w:hAnsi="Arial;sans-serif"/>
          <w:b w:val="false"/>
          <w:color w:val="000000"/>
          <w:sz w:val="20"/>
        </w:rPr>
        <w:t>Tenable,” “Nessus,”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contents of any website referred to in this Form 10-K are not intended to be incorporated into this Annual Report on Form 10-K or in any other report or document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Selected Risks Affecting Our Business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business is subject to a number of risks of which you should be aware before making a decision to invest in our common stock. These risks are more fully described in this “Risk Factors” section, including the following: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have a history of losses and may not achieve or maintain profitability in the future.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face intense competition. If we do not continue to innovate and offer solutions that address the dynamic cybersecurity landscape, we may not remain competitive.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may not be able to sustain our revenue growth rate in the future.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may not be able to scale our business quickly enough to meet our customers’ growing needs.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future quarterly results of operations are likely to fluctuate significantly due to a wide range of factors, which makes our future results difficult to predict.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rely on third parties to maintain and operate certain elements of our network infrastructure.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rely on our third-party channel partner network of distributors and resellers to generate a substantial amount of our revenue.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have a history of losses and may not achieve or maintain profitability in the future.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historically incurred net losses, including net losses of $78.3 million, $92.2 million and $46.7 million in 2023, 2022 and 2021, respectively. At December 31, 2023, we had an accumulated deficit of $825.0 million. Because the market for our offerings is highly competitive and rapidly evolving and these solutions have not yet reached widespread adoption, it is difficult for us to predict our future results of operations. </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public cloud infrastructure and computing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research and development related to our offerings, including investments in our research and development team;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sales and marketing, including a significant expansion of our sales organization, both domestically and internationally;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continued international expansion of our business;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general and administrative expense.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face intense competition. If we do not continue to innovate and offer solutions that address the dynamic cybersecurity landscape, we may not remain competitive.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diversified security software and services vendors; endpoint security vendors with nascent vulnerability assessment capabilities, including CrowdStrike; public cloud vendors and companies, such as Palo Alto Networks and Wiz, that offer solutions for cloud security (private, public and hybrid cloud); and providers of point solutions that compete with some of the features present in our solutions. We also compete against internally-developed efforts that often use open source solutions.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Microsoft has a vulnerability management offering and has continued to acquire security solutions for their cybersecurity platform. Smaller companies could also launch new products and services that we do not offer and that could gain market acceptance quickly.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or in hybrid environments and the increasing adoption by organizations of cloud or hybrid cloud architectures.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may not be able to sustain our revenue growth rate in the future.</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From 2022 to 2023, our revenue grew from $683.2 million to $798.7 million, representing year over year growth of 17%.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maintain and expand our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increase revenue from existing customers through increased or broader use of our offerings within their organizations;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improve the performance and capabilities of our offerings through research and development or the integration of acquired products and capabilities;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 to develop and expand our enterprise platform;</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maintain or increase the rate at which customers purchase and renew subscriptions to our enterprise platform offerings;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continue to successfully expand our business domestically and internationally;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successfully compete with other companies.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we are unable to maintain consistent revenue or revenue growth, including as a result of macroeconomic conditions, our stock price could be volatile, and it may be difficult to achieve and maintain profitability. You should not rely on our revenue for any prior quarterly or annual periods as any indication of our future revenue or revenue growth.</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be unable to rapidly and efficiently adjust our cost structure in response to significant revenue declines, which could adversely affect our operating results.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including those resulting from exchange rate fluctuations relative to the U.S. dollar that make our products more expensive to existing customers, high rates of inflation and interest rates or concerns of an economic recession in the United States or other major markets, that could lead to decreased spending,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macroeconomic conditions,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increase our revenue growth through additional sales in any period, as revenue from new customers generally will be recognized over the term of the applicable agreement.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may not be able to scale our business quickly enough to meet our customers’ growing needs.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If our enterprise platform offerings do not interoperate with our customers’ network and security infrastructure, including remote devices, or with third-party products, websites or services, our results of operations may be harmed.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enterprise platform offerings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and hybrid work,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ordinary course of our business, we collect, store, use, transmit, disclose or otherwise process proprietary, confidential, and sensitive information, including personal data, intellectual property, and trade secrets.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"hacktivists," organized criminal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including the ongoing conflict between Ukraine and Russia, the ongoing conflict in the Middle East, and rising tensions between China and Taiwan.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increasingly difficult to detect. These threats include but are not limited to: social-engineering attacks (including through deep fakes, which may be increasingly more difficult to identify as fake, and phishing attacks); credential harvesting;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for example, applicable laws prohibit such payments.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increased prevalence of remote work and use of remote devices has increased risks to our information technology systems and data, as more of our employees utilize network connections, computers and devices outside of our premises or network, including working at home, while in transit and in public locations.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rely on third 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It is possible that our customers and potential customers would hold us accountable for any security incident affecting our third-party service providers’ infrastructure. We may incur significant liability from those customers and from other third parties with respect to any such incident. Because our agreements with certain third-party service providers, such as Amazon Web Services, or AWS, limit their liability for damages, we may not be able to recover a material portion of our liabilities to our customers and third parties arising from issues with such third-party service providers, such as AWS, in the event of an incident affecting the third parties’ systems. Moreover, while we may be entitled to damages from other third-party service providers if they fail to satisfy their privacy or security-related obligations to us, any award may be insufficient to cover our damages, or we may be unable to recover such reward.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While we have implemented security measures designed to protect against security incidents, there can be no assurance that these measures will be effective. We have experienced, and may in the future experience, disruptions, outages and other performance problems due to a variety of factors, including infrastructure changes, deliberate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unintentional human or software errors, capacity constraints, fraud or security incidents. Moreover, we take steps designed to detect, mitigate and remediate vulnerabilities in our information technology systems (such as our hardware and software, including that of third parties upon which we rely) and in our software applications, products and services. We may not, however, be able to detect and remediate all such vulnerabilities on a timely basis. For example, we have identified certain vulnerabilities in our information systems and software applications, and we take steps designed to mitigate the risks associated with known vulnerabilities. Despite our efforts, there can be no assurance that these vulnerability mitigation measures will be effective. Further, we may experience delays in developing and deploying remedial measures and patches designed to address any such identified vulnerabilities.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 information technology systems, or those of the third parties upon whom we rely. A security incident or other interruption could disrupt our ability (and that of third parties upon whom we rely) to provide our solutions. 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Data protection requirements may also require us to notify relevant stakeholders of security incidents, including affected individuals, partners, collaborators, customers, regulators, law enforcement agencies and others. Such disclosures are costly, and the disclosures or failure to comply with such requirements could lead to adverse consequences.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even if we have issued or otherwise made patches or information for vulnerabilities in our software applications, products or services, our customers may be unwilling or unable to deploy such patches and use such information effectively and in a timely manner. Vulnerabilities could be exploited and result in a security incident.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we, our customers, or a third party upon which we rely, experience a security incident or other interruption, or are perceived to have experienced a security incident or other interruption, we may experience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diversion of management attention; and other similar harm. Security incidents and attendant consequences may cause customers to stop using our solutions (including by not renewing their purchases of our solutions), deter new customers from using our solutions, and negatively impact our ability to grow and operate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we face unique risks as a SaaS company, particularly in light of our business model.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 networking traffic or operational technology environments. There is no guarantee that our solutions will detect all vulnerabilities or threats in our customers' systems,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In addition, we use third parties to assist in the development of our products and these third parties could be a source of errors or defects. Some defects may cause our solutions to be vulnerable to attacks, cause them to fail to detect vulnerabilities, or temporarily interrupt customers’ networking traffic or operational technology environments, any of which may damage our customers’ business and could hurt our reputation.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a result of any of the risks associated with our SaaS business, we may experience adverse consequences. We may also be subject to liability claims for damages related to errors or defects in our solutions.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future quarterly results of operations are likely to fluctuate significantly due to a wide range of factors, which makes our future results difficult to predict.</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revenue and results of operations have historically varied from period to period, and we expect that they will continue to do so as a result of a number of factors, many of which are outside of our control, including: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level of demand for our solutions;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introduction of new products and product enhancements by existing competitors or new entrants into our market, and changes in pricing for solutions offered by us or our competitors;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rate of renewal of subscriptions, and extent of expansion of assets under such subscriptions, with existing customers;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mix of customers licensing our products on a subscription basis as compared to a perpetual license;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large customers failing to renew their subscriptions;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size, timing and terms of our subscription agreements with new customers;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interoperate our solutions with our customers’ network and security infrastructure, including remote devices;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timing and growth of our business, in particular through our hiring of new employees and international expansion;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network outages, security breaches, technical difficulties or interruptions with our solutions (including security breaches by our service providers or vendors);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changes in the growth rate of the markets in which we compete;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length of the license term, amount prepaid and other material terms of subscriptions to our solutions sold during a period;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customers delaying purchasing decisions in anticipation of new developments or enhancements by us or our competitors or otherwise;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changes in customers’ budgets;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seasonal variations related to sales and marketing and other activities, such as expenses related to our customers;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increase, retain and incentivize the channel partners that market and sell our solutions;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integrate our solutions with our ecosystem partners’ technology;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integrate any future acquisitions of businesses;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brand and reputation;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timing of our adoption of new or revised accounting pronouncements applicable to public companies and the impact on our results of operations;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control costs, including our operating expenses, such as personnel costs, third-party cloud infrastructure costs and facilities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our ability to hire, train and maintain our direct sales force;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unforeseen litigation and intellectual property infringement;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fluctuations in our effective tax rate;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general economic and political conditions, both domestically and internationally, as well as economic conditions specifically affecting industries in which our customers operate;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other events or factors, including those resulting from public health crises such as pandemics or similar outbreaks, war, incidents of terrorism or responses to these events, or an economic recession in the United States or other major markets.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must maintain and enhance our brand.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maintaining and promoting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rely on third parties to maintain and operate certain elements of our network infrastructure.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Amazon Web Services, or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Organizations may be reluctant to purchase our enterprise platform offerings that are cloud-based due to the actual or perceived vulnerability of cloud solutions.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sales cycle is long and unpredictable.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although unfavorable macroeconomic conditions and the extent to which we continue to enter into larger deals, could result in longer average sales cycles. Further, the length of time that potential customers devote to their testing and evaluation, contract negotiation and budgeting processes varies significantly, depending on the size of the organization and nature of the product or service under consideration. Macroeconomic uncertainty, including foreign exchange rates, inflation, disruptions in access to bank deposits or lending commitments due to bank failures and uncertainty about economic stability, and concerns about economic recessions in the United States or other major markets, have and could continue to impact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average sales cycle. In addition, we might devote substantial time and effort to a particular unsuccessful sales effort, and as a result, we could lose other sales opportunities or incur expenses that are not offset by an increase in revenue, which could harm our business.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ordinary course of our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and sensitive third-party information. Our data processing activities subject us to numerous data privacy and security obligations, such as various laws, rules, regulations, guidance, industry standards, external and internal privacy and security policies, contracts, and other obligations that govern the processing of personal data by us and on our behalf.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United States, federal, state, and local governments have enacted numerous data privacy security laws, including data breach notification laws, data privacy laws, consumer protection laws (e.g., Section 5 of the Federal Trade Commission Act), and other similar laws (e.g., wiretapping laws).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or collectively, the CCPA, imposes obligations on covered businesses to provide specific disclosures in privacy notices and honor requests of California residents to exercise certain rights related to their personal data.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CCPA applies to personal data of business representatives and employees and provides for fines for noncompliance (up to $7,500 per intentional violation). Further, the CPRA's recent amendments expanded the CCPA's requirements, including by adding a new right for individuals to correct their personal data and by establishing a new regulatory agency to implement and enforce the law, which could increase the risk of an enforcement action. Similar laws have been passed or are being considered in several other states, as well as at the federal and local levels, and we expect more states to pass similar laws in the future. These developments may further complicate compliance efforts and may increase legal risk and compliance costs for us, the third parties upon whom we rely, and our customers.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Additionally, under various privacy laws and other obligations, we may be required to provide certain notices and obtain consents to process certain types of personal data. For example, some of our data processing practices may be challenged including in relation to our use of chatbot and session replay providers. Our inability or failure to obtain consent for these practices could result in adverse consequences.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the personal data of individuals. Violations of these obligations carry significant potential consequences. For example, under the EU GDPR, government regulators may impose temporary or definitive bans on processing, as well as fines of up to €20 million or 4% of the annual global revenue, whichever is greater. We have an internal data privacy function that oversees and supervises our compliance with European and UK data protection regulations but, despite our efforts, we may fail, or be perceived to have failed, to comply. Canada's Personal Information Protection and Electronic Documents Act, or PIPEDA, and various related provincial laws, Canada's Anti-Spam Legislation, or CASL, and Brazil's General Data Protection Law (Law No. 13,709/2018), or Lei Geral de Proteção de Dados Pessaois, or LGPD, may apply to our operations. The LGPD broadly regulates processing personal data of individuals in Brazil and imposes compliance obligations and penalties comparable to those of the EU GDPR. Additionally, we also target customers in Asia and may be subject to new and emerging data privacy regimes in Asia, including China's Personal Information Protection Law, Japan's Act on the Protection of Personal Information, and Singapore's Personal Data Protection Act.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For example, some European regulators have significantly restricted some companies from transferring certain personal data out of Europe for allegedly violating the GDPR’s cross-border data transfer limitations.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to data privacy and security laws, we are contractually subject to industry standards adopted by industry groups and may become subject to such obligations in the future. Furthermore, we are bound by other contractual obligations relating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published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obligations related to data privacy and security (and customers’ data privacy expectations) are quickly becoming increasingly stringent, and creating uncertainty. Additionally, these obligations may be subject to differing applications and interpretations, which may be inconsistent or in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Existing and proposed laws and regulations can be costly to comply with, can delay or impede the development or adoption of our products and services and require significant management time and attention. Although we endeavor to comply with all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If we or the third parties upon which we rely fail, or are perceived to have failed, to address or comply with applicable data privacy and security obligations, we could face significant consequences. These consequences include, but are not limited to: government enforcement actions (such as investigations, fines, penalties, audits, inspections, and similar actions); litigation (including class-action related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interruptions or stoppages in our business operations, inability to process personal data or operate in certain jurisdictions; limited ability to develop or commercialize our products; expenditure of time and resources to defend any claim or inquiry; reputational harm; loss of customers; reduction in the use of our products; or revision or restricting of our operations.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rely on our third-party channel partner network of distributors and resellers to generate a substantial amount of our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2023, 2022 and 2021, we derived 93%, 92% and 92%, respectively, of our revenue from subscriptions and perpetual licenses sold through channel partners, and the percentage of revenue derived from channel partners may continue to increase in future periods. Ingram Micro, Inc., a distributor, accounted for 36%, 38% and 39% of our revenue in 2023, 2022 and 2021, respectively, and 32% of our accounts receivable at December 31, 2023 and 36% at December 31, 2022.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economic uncertainty,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 portion of our revenue is generated from subscriptions and perpetual licenses sold to domestic governmental entities, foreign governmental entities and other heavily regulated organizations, which are subject to a number of challenges and risks.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pricing model subjects us to various challenges that could make it difficult for us to derive expected value from our customers and we may need to reduce our prices or change our pricing model to remain competitive.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If our enterprise platform offerings do not achieve sufficient market acceptance, our results of operations and competitive position will suffer.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and if these new or enhanced offerings do not garner widespread market adoption and implementation, our operating results and competitive position could suffer.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new offerings or enhancements and changes to our existing offerings could fail to attain sufficient market acceptance for many reasons, including: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to predict market demand accurately, including changes in demand as a result of macroeconomic trends, in terms of functionality and to supply offerings that meets this demand in a timely fashion;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defects, errors or failures;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negative publicity about their performance or effectiveness;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delays in releasing our new offerings or enhancements to our existing offerings to the market;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introduction or anticipated introduction of competing products by our competitors;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poor business conditions for our customers, including as a result of difficult macroeconomic conditions, causing them to delay or forgo IT purchases;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reluctance of customers to purchase cloud-based offerings.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strategy of offering and deploying our solutions in the cloud, on-premises environments or using a hybrid approach causes us to incur increased expenses and may pose challenges to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customers’ increased usage of our cloud-based offerings requires us to continually improve our computer network and infrastructure to avoid service interruptions or slower system performance.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network and infrastructure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 component of our growth strategy is dependent on our continued international expansion, which adds complexity to our operations.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We market and sell our solutions and professional services throughout the world and have personnel in many parts of the world. International operations generated 45% and 44% of our revenue in 2023 and 2022,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increased management, infrastructure and legal costs associated with having international operations;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reliance on channel partners;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trade and foreign exchange restrictions, including potential changes in trade relations arising from policy initiatives;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volatility of foreign exchange rates;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economic or political instability in foreign markets, including instability related to the United Kingdom’s recent exit from the European Union and the corresponding impact on its ongoing legal, political, and economic relationship with the European Union and heightened levels of inflation;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greater difficulty in enforcing contracts, accounts receivable collection and longer collection periods;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changes in regulatory requirements, including, but not limited to data privacy, data protection and data security regulations;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difficulties and costs of staffing, managing and potentially reorganizing foreign operations, including increased employee recruitment, training and retention costs related to global employment turnover trends and inflationary pressures in the labor market;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uncertainty and limitation of protection for intellectual property rights in some countries;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costs of compliance with foreign laws and regulations and the risks and costs of non-compliance with such laws and regulations;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differing labor regulations in foreign jurisdictions where labor laws are generally more advantageous to employees, including deemed hourly wage and overtime regulations in these locations;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requirements to comply with foreign privacy, data protection and information security laws and regulations and the risks and costs of noncompliance;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heightened risks of unfair or corrupt business practices in certain geographies and of improper or fraudulent sales arrangements that may impact financial results and result in restatements of, and irregularities in, financial statements;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potential for political unrest, public health crises such as pandemics or similar outbreaks, acts of terrorism, hostilities or war, including the conflict between Ukraine and Russia, the ongoing conflict in the Middle East and increasing tensions between China and Taiwan;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management communication and integration problems resulting from cultural differences and geographic dispersion;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costs associated with language localization of our solutions;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costs of compliance with multiple and possibly overlapping tax structures and regimes.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ability to successfully pursue our growth strategy also depends on our ability to attract, motivate and retain our personnel. Competition for well-qualified employees in all aspects of our business is intense. The move by companies to offer a remote or hybrid work environment may increase competition for such employees outside of our traditional office locations. In addition, employee turnover rates in the broader global economy and inflationary pressures in the labor market have increased and may continue to be elevated, which has led, and could continue to lead to increased recruiting, training and retention costs. If we do not succeed in attracting well-qualified employees, retaining and motivating existing employees or maintaining our corporate culture in a hybrid or remote work environment, our business would be adversely affected.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must offer high-quality support.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growth depends in part on the success of our strategic relationships with third parties.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exposure management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Recent and future acquisitions could disrupt our business and adversely affect our business operations and financial results.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acquired products, technologies and businesses from other parties, such as our October 2023 acquisition of Ermetic, and we expect to expand our current business by acquiring additional businesses or technologies in the future. Acquisitions involve many risks,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may encounter difficulties or unforeseen expenditures in integrating the business, technologies, products, personnel or operations of any company that we acquire, particularly if key personnel of the acquired company decide not to work for 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 acquisition may disrupt our ongoing business, divert resources, increase our expenses and distract our management;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 acquisition may result in a delay or reduction of customer purchases for both us and the company acquired due to customer uncertainty about continuity and effectiveness of service from either company;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we may encounter difficulties in, or may be unable to, successfully sell any acquired solutions;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 acquisition may involve the entry into geographic or business markets in which we have little or no prior experience or where competitors have stronger market positions;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our use of cash to pay for an acquisition would limit other potential uses for our cash;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issuance of additional stock in connection with an acquisition could result in substantial dilution to our existing stockholders;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if we incur debt to fund such acquisition, such debt may subject us to material restrictions on our ability to conduct our business as well as financial maintenance covenants.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Acquired businesses have had, and may in the future have, a less mature cybersecurity program than our own. While we take steps designed to ensure our data and system security protection measures cover the acquired business, there may be cybersecurity risks and vulnerabilities arising from those acquired or integrated entities’ systems, technologies and services, that could also impact our existing systems, technologies and services and increase our cybersecurity risks.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Ermetic principally operates in Israel and the recent conflict there may also have the effect of heightening the risks identified above.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are subject to risks associated with our investments in private companies, including partial or complete loss of invested capital, and significant changes in the fair value of this portfolio could adversely impact our financial results.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invested, and may continue to invest, in private companies where we do not have the ability to exercise significant influence over results. Investments in private companies are inherently risky. The companies in which we invest are early stage private companies focused on cybersecurity innovation, and such companies may still be developing technologies or products with limited cash to support the development, marketing and sales of their technologies or products. These companies may have no or limited revenues, may not be or ever become profitable, may not be able to secure additional private financing to fund their operations, or their technologies, services, or products may not be successfully developed or introduced to the market. If any company in which we invest fails, we could lose all or part of our investment in that company. In addition, if we determine that any of our investments in such companies have experienced a decline in value, we will recognize an expense to adjust the carrying value to its estimated fair value. For example, in 2023 we recognized $5.6 million of impairment loss related to related to our investments. Negative changes in the estimated fair value of our investments in private companies could have an adverse effect on our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Furthermore, our ability to liquidate an investment in a private company will typically depend on a liquidity event, such as a private equity financing, a public offering or acquisition, as no public market currently exists for such securities. We may not be able to dispose of these investments on favorable terms or at all.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may require additional capital to support business growth, and this capital might not be available on acceptable terms, if at all.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that our existing cash and cash equivalents will be sufficient to meet our anticipated cash needs for working capital and capital expenditures for at least the next 12 months and the foreseeable future.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loan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Weakness and volatility in the capital markets and the economy in general could limit our access to capital markets and increase our costs of borrowing.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If we do not generate sufficient cash flows, we may be unable to service all of our indebtedness.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To service our indebtedness, we will require a significant amount of cash. Our ability to generate cash, make scheduled payments or to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our cash flows and capital resources are insufficient to fund our debt service obligations, or to repay the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 operations. Our ability to implement successfully any such alternative financing plans will depend on a range of factors, including general economic conditions, the level of activity in capital markets generally, and the terms of our various debt instruments then in effect.</w:t>
      </w:r>
    </w:p>
    <w:p>
      <w:pPr>
        <w:pStyle w:val="TextBody"/>
        <w:bidi w:val="0"/>
        <w:spacing w:lineRule="auto" w:line="288" w:before="0" w:after="240"/>
        <w:ind w:left="0" w:right="0" w:firstLine="360"/>
        <w:jc w:val="left"/>
        <w:rPr/>
      </w:pPr>
      <w:r>
        <w:rPr>
          <w:rFonts w:ascii="Arial;sans-serif" w:hAnsi="Arial;sans-serif"/>
          <w:b/>
          <w:i/>
          <w:color w:val="000000"/>
          <w:sz w:val="20"/>
        </w:rPr>
        <w:t>Covenants under our Credit Agreement may restrict our business and operations in many ways, and if we do not effectively manage our covenants, our financial conditions and results of operations could be adversely affected.</w:t>
      </w:r>
      <w:r>
        <w:rPr>
          <w:color w:val="000000"/>
        </w:rPr>
        <w:t xml:space="preserve"> </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Credit Agreement imposes various covenants that limit our ability and/or our restricted subsidiaries’ ability to, among other things: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pay dividends or distributions, repurchase equity, prepay, redeem or repurchase certain debt, and make certain investments;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incur additional debt and issue certain preferred stock;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provide guarantees in respect of obligations of other persons;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incur liens on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engage in certain asset sales, including capital stock of our subsidiaries;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merge, consolidate with, or sell all or substantially all our assets to another person;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enter into transactions with affiliates;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enter into agreements that restrict distributions from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designate subsidiaries as unrestricted subsidiaries;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prohibit certain restrictions on the ability of restricted subsidiaries to pay dividends or make other payments to us.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These covenants may: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limit our ability to borrow additional funds for working capital, capital expenditures, acquisitions, or other general business purposes;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limit our ability to use our cash flow or obtain additional financing for future working capital, capital expenditures, acquisitions, or other general business purposes;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require us to use a substantial portion of our cash flow from operations to make debt service payments;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limit our flexibility to plan for, or react to, changes in our business and industry;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place us at a competitive disadvantage compared to less leveraged competitors;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increase our vulnerability to the impact of adverse economic and industry conditions.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 provided to the administrative agent, including, proceeding against the collateral granted to secure our obligations under the Credit Agreement. An event of default under the Credit Agreement could also lead to a default under the terms of certain of our other agreements. Any such event of default or any exercise of rights and remedies by our creditors could seriously harm our business.</w:t>
      </w:r>
    </w:p>
    <w:p>
      <w:pPr>
        <w:pStyle w:val="TextBody"/>
        <w:bidi w:val="0"/>
        <w:spacing w:lineRule="auto" w:line="288" w:before="0" w:after="0"/>
        <w:ind w:left="0" w:right="0" w:firstLine="360"/>
        <w:jc w:val="left"/>
        <w:rPr/>
      </w:pPr>
      <w:r>
        <w:rPr>
          <w:rFonts w:ascii="Arial;sans-serif" w:hAnsi="Arial;sans-serif"/>
          <w:b/>
          <w:i/>
          <w:color w:val="000000"/>
          <w:sz w:val="20"/>
        </w:rPr>
        <w:t>Our variable rate debt subjects us to interest rate risk that could cause our debt service obligations to increase significantly</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indebtedness under our Credit Agreement is at variable rates of interest, which exposes us to interest rate risk. Reference rates used to determine the applicable interest rates for our variable rate debt began to rise significantly in the second half of fiscal year 2022 and continued into fiscal year 2023. If interest rates continue to increase, the debt service obligations on such indebtedness will continue to increase even if the amount borrowed remains the same, and our net income and cash flows, including cash available for servicing our indebtedness, will correspondingly decrease. In addition, as a result of an amendment to our Credit Agreement, certain of the variable rate indebtedness extended to us uses the Secured Overnight Financing Rate, or SOFR, as a benchmark for establishing the interest rate. While we will continue to use SOFR, other factors may impact SOFR including factors causing SOFR to cease to exist, new methods of calculating SOFR to be established, or the use of an alternative reference rate(s). These consequences are not entirely predictable and could have an adverse impact on our financing costs, returns on investments, valuation of derivative contracts and our financial results.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The nature of our business requires the application of complex accounting rules and regulations and public reporting and corporate governance requirements. If there are significant changes in current principles, financial reporting standards, interpretations or public reporting and corporate governance requirements, or if our estimates or judgments relating to our critical accounting policies or reporting or governance requirements prove to be incorrect, we may experience unexpected financial reporting fluctuations or increased compliance costs and strain on our resources and our results of operations could be adversely affected.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accounting rules and regulations that we must comply with are complex and subject to interpretation by the Financial Accounting Standards Board, the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a public company, we are also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Additionally, we regularly monitor our compliance with applicable financial reporting standards and SEC and applicable listing standard requirements and review new pronouncements, drafts and interpretations thereof that are relevant to us. We might be required to change our accounting policies, alter our operational policies and implement new or enhance existing systems, or we may be required to restate our published financial statements, as a result of new standards or requirements, changes to existing standards or requirements and changes in their interpretation. Such changes to existing standards or requirements or changes in their interpretation may have an adverse effect on our reputation, business, financial position and profit, or cause an adverse deviation from our revenue and operating profit target, which may negatively impact our financial results. Additionally, we may incur substantial professional fees and expend significant management efforts, and we may need to hire additional staff with the appropriate experience and compile systems and processes necessary to adopt these new standards and disclosure or governance requirements.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For example, in July 2023, the SEC adopted rules requiring the disclosure of information about a material cybersecurity incident on Form 8-K within four business days of determining that the incident is material, unless the US Attorney General concludes that such a disclosure would pose a substantial risk to national security or public safety. Additionally, these rules require disclosures describing the processes used to identify, assess and manage cybersecurity risks, management's role in assessing and managing material risks from cybersecurity threats and the board of directors' role in overseeing cybersecurity risks.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Unstable market and economic conditions may have material adverse consequences on our business, financial condition and share price.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global economy, including credit and financial markets, has recently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in recent years the COVID-19 pandemic, high rates of inflation, high interest rates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could in the future impact, the budgets and purchasing decisions of certain of our existing and prospective international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the equity and credit markets deteriorate, including as a result of political unrest or war, it may make any necessary debt or equity financing more difficult to obtain in a timely manner or on favorable terms, more costly or more 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Increased inflation rates can adversely affect us by increasing our costs, including labor and employee benefit costs. In addition, higher inflation also could increase our customers’ operating costs, which could result in reduced budgets for our customers, longer sales cycles and potentially less demand for our products. Any significant increases in inflation and related increase in interest rates could have a material adverse effect on our business, results of operations and financial condition.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Catastrophic events may disrupt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both hybrid remote and in-person work policies, however, substantially all of our employees have continued to work in a hybrid environment, which may pose additional security risks. Our business operations are subject to interruption by natural disasters, including those related to the long-term effects of climate change, and other catastrophic events such as fire, floods, power loss, telecommunications failure, cyberattack, war or terrorist attack, or epidemic or pandemic. To the extent such events impact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business, financial condition and results of operations could be materially adversely affected by the recent conflict in the Middle East and subsequent hostilities in the region, as well as any negative impact on the regional or global economies and capital markets resulting therefrom or from the ongoing conflict between Ukraine and Russia and any other geopolitical tensions.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U.S. and global markets have experienced volatility and disruption following the escalation of geopolitical tensions, including the conflict in the Middle East, the ongoing conflict between Ukraine and Russia and increasing tensions between China and Taiwan. The length, scale and impact of these military conflicts are highly unpredictable and could continue to result in market disruptions, including significant volatility in commodity prices, credit and capital markets, disruption in the energy market as well as supply chain interruptions.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Furthermore, our research and development teams for Tenable OT Security and for Tenable Cloud Security are primarily located in Tel Aviv, Israel. Recent and ongoing hostilities in the region may have a material impact on our ability to deliver on our product roadmaps for these solutions.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It is impossible to predict the extent to which our operations, or those of our partners or customers, will be impacted in the short and long term, or the ways in which these conflicts may impact our business. The extent and duration of the military action, sanctions and resulting market disruptions are impossible to predict, but could be substantial.</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Risks Related to Government Regulation, Data Collection and Intellectual Property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business could be adversely affected if our employees cannot obtain and maintain required security clearances or we cannot establish and maintain a required facility security clearance.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Any failure to protect our proprietary technology and intellectual property rights could substantially harm our business and operating results.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38 issued patents and 21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may be subject to intellectual property rights claims by third parties, which are extremely costly to defend, could require us to pay significant damages and could limit our ability to use certain technologies.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and as we acquire more companies,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may be third-party intellectual property rights, including issued or pending patents that cover significant aspects of our technologies or business methods, including those relating to companies we acquire.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Portions of our solutions utilize open source software, and any failure to comply with the terms of one or more of these open source licenses could negatively affect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Risks Related to An Investment in Our Common Stock</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stock price may be volatile, and the value of our common stock may decline.</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actual or anticipated changes or fluctuations in our operating results;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financial projections we may provide to the public, any changes in these projections or our failure to meet these projections;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announcements by us or our competitors of new products or new or terminated significant contracts, commercial relationships or capital commitments;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industry or financial analyst or investor reaction to our press releases, other public announcements and filings with the SEC;</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rumors and market speculation involving us or other companies in our industry;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price and volume fluctuations in the overall stock market from time to time;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to comply with the terms of the Credit Agreement;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sales of shares of our common stock by us or our stockholders;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actual or anticipated developments in our business or our competitors’ businesses or the competitive landscape generally;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litigation involving us, our industry or both, or investigations by regulators into our operations or those of our competitors;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developments or disputes concerning our intellectual property rights or our solutions, or third-party proprietary rights;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announced or completed acquisitions of businesses or technologies by us or our competitors;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new or proposed laws or regulations or new interpretations of existing laws or regulations applicable to our business, including proposed changes to the U.S. corporate income tax rate and capital gains tax rates;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any major changes in our management or our Board of Directors;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general economic conditions and slow or negative growth of our markets;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other events or factors, including those resulting from public health crises such as pandemics or similar outbreaks, war, incidents of terrorism or responses to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Recently, the stock markets have experienced extreme price and volume fluctuations that have affected and continue to affect the market prices of equity securities of many companies, high rates of inflation and interest rates, disruptions in access to bank deposits or lending commitments due to bank failures and uncertainty about economic stability and concerns about an economic recession in the United States or other major markets, the ongoing military conflict between Ukraine and Russia, the ongoing conflict in the Middle East, increasing tensions between China and Taiwan and macroeconomic conditions.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If securities or industry analysts do not publish research or reports about our business, or publish negative reports about our business, our stock price and trading volume could decline.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Future sales of substantial amounts of our common stock in the public markets by us or our stockholders, or the perception such sales might occur, could reduce the price that our common stock might otherwise attain.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Sales of a substantial number of shares of our common stock in the public market by us or our stockholders,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cannot guarantee that our share repurchase program will be fully consummated or that it will enhance stockholder value, and any share repurchases we make could affect the price of our common stock.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On November 27, 2023, we announced that our Board of Directors authorized a share repurchase program of up to $100 million of shares of our outstanding common stock.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and amount of repurchases, if any, will be subject to liquidity, stock price, market and economic conditions, compliance with applicable legal requirements such as Delaware surplus and solvency tests, compliance with our credit agreement, and other relevant factors.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 and we may fail to realize the anticipated long-term stockholder value. Additionally, the Inflation Reduction Act of 2022, enacted on August 16, 2022,</w:t>
      </w:r>
      <w:r>
        <w:rPr>
          <w:color w:val="000000"/>
        </w:rPr>
        <w:t xml:space="preserve"> </w:t>
      </w:r>
      <w:r>
        <w:rPr>
          <w:rFonts w:ascii="Arial;sans-serif" w:hAnsi="Arial;sans-serif"/>
          <w:b w:val="false"/>
          <w:color w:val="000000"/>
          <w:sz w:val="20"/>
        </w:rPr>
        <w:t>imposes a one-percent non-deductible excise tax on repurchases of stock that are made by U.S. publicly traded corporations.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is the sole and exclusive forum for the following types of actions or proceedings under Delaware statutory or common law:</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any derivative action or proceeding brought on our behalf;</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any action asserting a breach of fiduciary duty owed by any of our directors, officers or other employees to us or our stockholders;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any action asserting a claim against us arising pursuant to any provisions of the Delaware General Corporation Law, our amended and restated certificate of incorporation or our amended and restated bylaws; or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any action asserting a claim against us that is governed by the internal affairs doctrine.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General Risks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Changes to and uncertainties in the interpretation and application of tax laws and regulations could materially affect our tax obligations and effective tax rate.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tax regimes to which we are subject or under which we operate, including income and non-income taxes, are unsettled and may be subject to significant change. The issuance of additional regulatory or accounting guidance related to existing or future tax laws, or changes to tax laws or regulations proposed or implemented by the current or a future U.S. presidential administration, Congress, or taxing authorities in other jurisdictions, including jurisdictions outside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could materially affect our tax obligations and effective tax rate. For example, beginning in 2022, U.S. taxpayers are required to capitalize and amortize certain research and development expenditures over five years if incurred in the United States and fifteen years if incurred in non-U.S. jurisdictions. Although legislative proposals have been made to repeal or defer the capitalization requirement, there can be no assurance that the provision will be repealed or otherwise modified. In addition, the recently enacted Inflation Reduction Act includes, among other provisions, a 15% minimum tax on the book income of certain large corporations, as well as a 1% excise tax imposed on certain stock repurchases by public corporations. It is possible that these changes could increase our future tax liability. Furthermore, the Organization for Economic Co-operation and Development, or OECD, is leading work on proposals, commonly referred to as “BEPS 2.0”, which, if and to the extent implemented, would make important changes to the international tax system. These proposals are based on two “pillars”, involving the allocation of taxing rights in respect of certain multinational enterprises above a fixed profit margin to the jurisdictions in which they carry on business (subject to certain revenue threshold rules which we do not currently meet but expect to meet in the future), referred to as the Pillar One proposal, and imposing a minimum effective tax rate on certain multinational enterprises, referred to as the Pillar Two proposal. A number of countries have enacted with effect from the start of 2024, or are planning to enact core elements of the Pillar Two rules. Based on our current understanding of the minimum revenue thresholds contained in the Pillar Two proposal, we may be within the scope of its rules. The OECD has issued administrative guidance providing transition and safe harbor rules in relation to the implementation of the Pillar Two proposal. We are monitoring developments and evaluating the potential impacts of these new rules, including on our effective tax rates and considering our eligibility to qualify for these safe harbor rules. Any of the foregoing could increase our tax obligations and require us to incur additional material costs to ensure compliance with any such rules in the countries where we do business.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forecasts of our income tax position and effective tax rate for financial accounting purposes are complex and subject to significant judgment and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tax laws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operating results may be negatively affected if we are required to pay additional taxes, including sales and use tax, value added tax, or other transaction taxes, and we could be subject to liability with respect to all or a portion of past or future sales.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result in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Our ability to use net operating losses to offset future taxable income may be subject to certain limitations.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December 31, 2023 we had U.S. federal, state and foreign net operating loss carryforwards, or NOLs, of $372.5 million, $246.6 million, and $469.3 million, respectively, available to offset future taxable income, some of which will begin to expire in 2030. A lack of future taxable income would adversely affect our ability to utilize certain of our NOLs before they expire. Under current law, Federal NOLs incurred in taxable years beginning after December 31, 2017 can be carried forward indefinitely, but the deductibility of such federal NOLs is limited to 80% of taxable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under the provisions of the Internal Revenue Code of 1986, as amended, or the Internal Revenue Code, changes in our ownership may limit the amount of pre-change NOLs that can be utilized annually in the future to offset taxable income. Section 382 of the Internal Revenue Code imposes limitations on a company’s ability to use its NOLs to offset its taxable income if one or more stockholders or groups of stockholders that each own at least 5% of the company’s stock increase their aggregate ownership (by value) by more than 50 percentage points over their lowest ownership percentages within a rolling three-year period. Similar rules may apply under state and foreign tax laws. Based upon an analysis at December 31, 2023, we do not expect these limitations to materially impair our ability to use our NOLs prior to expiration. However, if changes in our ownership occurred after such date, or occur in the future, our ability to use our NOLs may be limited. Subsequent statutory or regulatory changes in respect of the utilization of NOLs for federal, state or foreign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our NOLs, even if we achieve profitability.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recognizes the critical importance of developing, implementing, and maintaining robust cybersecurity measures to safeguard our information systems and protect the confidentiality, integrity, and availability of our data and our exposure management solutions. We have implemented and maintain various information security processes designed to identify, assess and manage material risks from cybersecurity threats to our critical computer networks, third-party hosted services, communications systems, hardware and software, our critical data (including without limitation intellectual property, confidential information that is proprietary, strategic or competitive, customer vulnerability data, and information systems data), and exposure management solutions.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Information Security function is overseen by our Chief Security Officer, or CSO, and is supported by our Chief Information Officer, Product Engineering Team Lead, Chief Legal Officer, or CLO, and Head of Global Privacy. Our information security function is responsible for identifying, assessing and managing cybersecurity threats and risks and works to monitor and evaluate our threat environment and risk profile using various methods. These methods include conducting vulnerability assessments and threat assessments in certain environments for internal and external threats,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scanning certain threat environments, analyzing certain reports of threats and actors, conducting internal audits for certain systems, evaluating our and our industry’s risk profile, coordinating with law enforcement concerning select threats, and engaging with third-party service providers to conduct external audits, and threat assessments for certain systems, provide intelligence feeds, and conduct red/blue team testing and tabletop incident response exercises.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implement and maintain various technical, physical, and organizational measures, processes, standards and policies designed to manage and mitigate material risks from cybersecurity threats to our information systems and data depending on the environment. This includes maintaining an incident response plan, vulnerability management policy, and disaster recovery and business continuity plan, conducting risk assessments for certain environments, implementing security standards and certifications for certain products and systems, encrypting data in transit and at rest, controlling data access in certain environments, using multiple network controls in certain environments, segregating data, monitoring systems, performing regular security assessments for certain systems, training employees, maintaining cybersecurity insurance, maintaining dedicated cybersecurity staff, and conducting internal and external penetration tests.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assessment and management of material risks from cybersecurity threats are integrated into our overall risk management processes. This integration is designed to ensure that cybersecurity considerations are part of our decision-making processes. Our senior management evaluates material risks from cybersecurity threats against our overall business objectives and reports to the Cybersecurity Risk Management Committee, or Cybersecurity Committee, of the Board of Directors, or Board.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use third-party service providers to assist us from time to time in identifying, assessing, and managing material risks from cybersecurity threats, including for example cybersecurity consultants and software providers, managed cybersecurity service providers, threat intelligence service providers, forensic investigators, penetration testing firms, dark web monitoring services, and professional services firms, including legal counsel and auditors. By partnering with these specialized providers, we can leverage their insights and expertise to implement cybersecurity strategies and processes that are designed to align with industry best practices.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collaboration with third parties includes cybersecurity audits, threat assessments, and consultation on security enhancements. We have established processes designed to manage the cybersecurity risks associated with working with third-party service providers. We evaluate the risks associated with third parties before engagement and maintain ongoing monitoring of such third parties designed to ensure compliance with our security standards. This includes security questionnaires and assessments, as well as external attack surface management.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See Risk Factors in this Annual Report on Form 10-K for a description of the risks from cybersecurity threats that may materially affect us and how they may do so.</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Governance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addresses cybersecurity risk management as part of its general oversight function. The Cybersecurity Committee is tasked with assisting the Board in fulfilling its oversight responsibility for our cybersecurity risk management processes, including oversight and mitigation of risks from cybersecurity threats.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Cybersecurity Committee bears the primary responsibility for oversight of the management of risks related to the Company’s information technology use and protection, cybersecurity, and product security. The Cybersecurity Committee consists of directors with cybersecurity and other expertise including risk management, technology and finance. The Cybersecurity Committee assists the Audit Committee and the Board in overseeing Tenable’s overall process of risk assessment and enterprise risk management.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CSO is responsible for implementing and maintaining our cybersecurity risk assessment and management processes. Our CSO has over 25 years of experience in cybersecurity, including serving as a chief security and strategy officer at another company and founding a cybersecurity operational technology threat intelligence and solutions platform. Our CSO oversees and maintains our information security management framework and is responsible for defining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implementing our information security strategy, hiring appropriate personnel, communicating key cybersecurity priorities to relevant personnel, and managing cybersecurity budgets and cybersecurity processes. </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CSO seeks to regularly obtain information about relevant developments in cybersecurity, including potential threats and risk management techniques to help shape our approach to preventing, detecting, mitigating, and remediating cybersecurity threats. Our CSO is also responsible for implementing and overseeing processes for regularly monitoring our information systems and data, including the conducting of periodic audits of certain systems to identify potential vulnerabilities. The CSO reports directly to the Chief Executive Officer and provides regular updates to our Chief Financial Officer, and CLO, on certain cybersecurity risks and incidents.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the event of a cybersecurity incident, the CSO initiates our incident response plan that includes actions designed to mitigate the impact and long-term strategies for remediation and prevention of future incidents. Our incident response plan is designed to escalate certain cybersecurity incidents to members of management depending on the circumstances, including reporting to the Cybersecurity Committee and the Board for certain cybersecurity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corporate headquarters in Columbia, Maryland consist of approximately 160,000 square feet under a lease that expires in February 2032. We maintain additional offices in multiple locations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Market Information for Common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common stock trades on the Nasdaq Global Select Market under the ticker symbol "TENB."</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Holders of Record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22 holders of record. Because many of our shares of common stock are held by brokers and other institutions on behalf of stockholders, we are unable to estimate the total number of stockholders represented by these record holders.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Dividend Policy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never declared or paid any dividends on our common stock. In addition, our credit agreement with JPMorgan Chase Bank, N.A., as administrative agent and collateral agent, contains restrictive covenants that limit our ability to pay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October 2, 2023, in connection with our acquisition of Ermetic, we issued 311,160 shares of restricted common stock to certain key Ermetic employees. These shares have not been registered under the Securities Act of 1933, as amended, or the securities laws of any state of the United States in reliance upon certain exemptions from registration under said acts and may not be offered or sold absent to registration or pursuant to an exemption therefrom. The foregoing did not involve any underwriters, underwriting discounts or commissions, or any public offering. The sales were exempt from registration under the Securities Act in reliance on Section 4(a)(2) of the Securities Act (and Regulation D or Regulation S promulgated thereunder) as transactions by an issuer not involving any public offering. The recipients of the securities represented their intentions to acquire the securities for investment only and not with a view to, or for sale in connection with, any distribution thereof, and appropriate legends were placed on the share certificates issued. The shares are deemed restricted securities, and unless so registered, may not be offered or sold in the United States except pursuant to an exemption from the registration requirements of the Securities Act. All recipients had adequate access, through their relationships with us, to information about us. The sales of these securities were made without any general solicitation or advertising.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shares issued were subject to vesting agreements and were unvested as of their issuance. The shares are subject to forfeiture if these employees do not continue to provide services for the specified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180"/>
        <w:ind w:left="0" w:right="0" w:firstLine="360"/>
        <w:jc w:val="left"/>
        <w:rPr>
          <w:rFonts w:ascii="Arial;sans-serif" w:hAnsi="Arial;sans-serif"/>
          <w:b/>
          <w:i/>
          <w:color w:val="000000"/>
          <w:sz w:val="20"/>
        </w:rPr>
      </w:pPr>
      <w:r>
        <w:rPr>
          <w:rFonts w:ascii="Arial;sans-serif" w:hAnsi="Arial;sans-serif"/>
          <w:b/>
          <w:i/>
          <w:color w:val="000000"/>
          <w:sz w:val="20"/>
        </w:rPr>
        <w:t>Issuer Purchases of Equity Securities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summary of stock repurchases during the three months ended December 31, 2023 is presented below: </w:t>
      </w:r>
    </w:p>
    <w:tbl>
      <w:tblPr>
        <w:tblW w:w="10205" w:type="dxa"/>
        <w:jc w:val="left"/>
        <w:tblInd w:w="0" w:type="dxa"/>
        <w:tblLayout w:type="fixed"/>
        <w:tblCellMar>
          <w:top w:w="28" w:type="dxa"/>
          <w:left w:w="28" w:type="dxa"/>
          <w:bottom w:w="28" w:type="dxa"/>
          <w:right w:w="28" w:type="dxa"/>
        </w:tblCellMar>
      </w:tblPr>
      <w:tblGrid>
        <w:gridCol w:w="692"/>
        <w:gridCol w:w="608"/>
        <w:gridCol w:w="609"/>
        <w:gridCol w:w="410"/>
        <w:gridCol w:w="410"/>
        <w:gridCol w:w="411"/>
        <w:gridCol w:w="109"/>
        <w:gridCol w:w="109"/>
        <w:gridCol w:w="109"/>
        <w:gridCol w:w="294"/>
        <w:gridCol w:w="860"/>
        <w:gridCol w:w="152"/>
        <w:gridCol w:w="109"/>
        <w:gridCol w:w="109"/>
        <w:gridCol w:w="109"/>
        <w:gridCol w:w="760"/>
        <w:gridCol w:w="760"/>
        <w:gridCol w:w="762"/>
        <w:gridCol w:w="109"/>
        <w:gridCol w:w="109"/>
        <w:gridCol w:w="109"/>
        <w:gridCol w:w="482"/>
        <w:gridCol w:w="1652"/>
        <w:gridCol w:w="362"/>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thousands, except for per share data)</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Total Number of Shares Purchased as Part of Publicly Announced Plan</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Approximate Dollar Value of Shares that May Yet Be Purchased Under Plan</w:t>
            </w:r>
            <w:r>
              <w:rPr>
                <w:rFonts w:ascii="Arial;sans-serif" w:hAnsi="Arial;sans-serif"/>
                <w:b/>
                <w:color w:val="000000"/>
                <w:sz w:val="13"/>
              </w:rPr>
              <w:t>(1)</w:t>
            </w:r>
          </w:p>
        </w:tc>
      </w:tr>
      <w:tr>
        <w:trPr/>
        <w:tc>
          <w:tcPr>
            <w:tcW w:w="190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October 1, 2023 to October 31, 2023</w:t>
            </w:r>
          </w:p>
        </w:tc>
        <w:tc>
          <w:tcPr>
            <w:tcW w:w="8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5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November 1, 2023 to November 30, 2023</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99,001 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purchased December 1, 2023 to December 31, 2023</w:t>
            </w:r>
          </w:p>
        </w:tc>
        <w:tc>
          <w:tcPr>
            <w:tcW w:w="8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41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41.98 </w:t>
            </w:r>
          </w:p>
        </w:tc>
        <w:tc>
          <w:tcPr>
            <w:tcW w:w="15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7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52"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85,066 </w:t>
            </w:r>
          </w:p>
        </w:tc>
        <w:tc>
          <w:tcPr>
            <w:tcW w:w="36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jc w:val="left"/>
        <w:rPr>
          <w:rFonts w:ascii="Arial;sans-serif" w:hAnsi="Arial;sans-serif"/>
          <w:b w:val="false"/>
          <w:color w:val="000000"/>
          <w:sz w:val="20"/>
        </w:rPr>
      </w:pPr>
      <w:r>
        <w:rPr>
          <w:rFonts w:ascii="Arial;sans-serif" w:hAnsi="Arial;sans-serif"/>
          <w:b w:val="false"/>
          <w:color w:val="000000"/>
          <w:sz w:val="20"/>
        </w:rPr>
        <w:t>(1)    On November 27, 2023, we announced that our Board of Directors authorized the repurchase of up to $100 million of our common stock.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6.        Selected Financial Data</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selected consolidated statements of operations data for the years ended December 31, 2023, 2022 and 2021 and the selected consolidated balance sheet data at December 31, 2023 and 2022 are derived from our audited consolidated financial statements included in this Annual Report on Form 10-K. The consolidated statements of operations data for the years ended December 31, 2020 and 2019 and consolidated balance sheet data as of December 31, 2021, 2020 and 2019 are from our audited financial statements not included in this Annual Report on Form 10-K.</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tbl>
      <w:tblPr>
        <w:tblW w:w="10205" w:type="dxa"/>
        <w:jc w:val="center"/>
        <w:tblInd w:w="0" w:type="dxa"/>
        <w:tblLayout w:type="fixed"/>
        <w:tblCellMar>
          <w:top w:w="28" w:type="dxa"/>
          <w:left w:w="28" w:type="dxa"/>
          <w:bottom w:w="28" w:type="dxa"/>
          <w:right w:w="28" w:type="dxa"/>
        </w:tblCellMar>
      </w:tblPr>
      <w:tblGrid>
        <w:gridCol w:w="1286"/>
        <w:gridCol w:w="841"/>
        <w:gridCol w:w="84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28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Statements of Operations Data:</w:t>
            </w:r>
          </w:p>
        </w:tc>
        <w:tc>
          <w:tcPr>
            <w:tcW w:w="7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(benefit)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loss per share, basic and diluted</w:t>
            </w:r>
            <w:r>
              <w:rPr>
                <w:rFonts w:ascii="Arial;sans-serif" w:hAnsi="Arial;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loss per share, basic and diluted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96,014</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Includes stock-based compensation expense as follows:</w:t>
      </w:r>
    </w:p>
    <w:tbl>
      <w:tblPr>
        <w:tblW w:w="10054" w:type="dxa"/>
        <w:jc w:val="center"/>
        <w:tblInd w:w="0" w:type="dxa"/>
        <w:tblLayout w:type="fixed"/>
        <w:tblCellMar>
          <w:top w:w="28" w:type="dxa"/>
          <w:left w:w="28" w:type="dxa"/>
          <w:bottom w:w="28" w:type="dxa"/>
          <w:right w:w="28" w:type="dxa"/>
        </w:tblCellMar>
      </w:tblPr>
      <w:tblGrid>
        <w:gridCol w:w="1355"/>
        <w:gridCol w:w="1196"/>
        <w:gridCol w:w="1199"/>
        <w:gridCol w:w="258"/>
        <w:gridCol w:w="393"/>
        <w:gridCol w:w="403"/>
        <w:gridCol w:w="109"/>
        <w:gridCol w:w="109"/>
        <w:gridCol w:w="109"/>
        <w:gridCol w:w="258"/>
        <w:gridCol w:w="393"/>
        <w:gridCol w:w="403"/>
        <w:gridCol w:w="109"/>
        <w:gridCol w:w="109"/>
        <w:gridCol w:w="109"/>
        <w:gridCol w:w="258"/>
        <w:gridCol w:w="341"/>
        <w:gridCol w:w="350"/>
        <w:gridCol w:w="109"/>
        <w:gridCol w:w="109"/>
        <w:gridCol w:w="109"/>
        <w:gridCol w:w="258"/>
        <w:gridCol w:w="341"/>
        <w:gridCol w:w="350"/>
        <w:gridCol w:w="109"/>
        <w:gridCol w:w="109"/>
        <w:gridCol w:w="109"/>
        <w:gridCol w:w="254"/>
        <w:gridCol w:w="303"/>
        <w:gridCol w:w="433"/>
      </w:tblGrid>
      <w:tr>
        <w:trPr/>
        <w:tc>
          <w:tcPr>
            <w:tcW w:w="135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 of revenue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Sales and marketing</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8,911</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15,683</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43,443</w:t>
            </w:r>
          </w:p>
        </w:tc>
      </w:tr>
    </w:tbl>
    <w:p>
      <w:pPr>
        <w:pStyle w:val="TextBody"/>
        <w:bidi w:val="0"/>
        <w:spacing w:lineRule="auto" w:line="288" w:before="0" w:after="240"/>
        <w:jc w:val="left"/>
        <w:rPr/>
      </w:pPr>
      <w:r>
        <w:rPr>
          <w:rFonts w:ascii="Arial;sans-serif" w:hAnsi="Arial;sans-serif"/>
          <w:b w:val="false"/>
          <w:color w:val="000000"/>
          <w:sz w:val="20"/>
        </w:rPr>
        <w:t xml:space="preserve">(2)    See </w:t>
      </w:r>
      <w:hyperlink w:anchor="i8d95df87e60249c78a6b8cdac6111421_130">
        <w:r>
          <w:rPr>
            <w:rStyle w:val="InternetLink"/>
          </w:rPr>
          <w:t xml:space="preserve">Note </w:t>
        </w:r>
      </w:hyperlink>
      <w:hyperlink w:anchor="i8d95df87e60249c78a6b8cdac6111421_130">
        <w:r>
          <w:rPr>
            <w:rStyle w:val="InternetLink"/>
          </w:rPr>
          <w:t>12</w:t>
        </w:r>
      </w:hyperlink>
      <w:r>
        <w:rPr>
          <w:color w:val="000000"/>
        </w:rPr>
        <w:t xml:space="preserve"> </w:t>
      </w:r>
      <w:r>
        <w:rPr>
          <w:rFonts w:ascii="Arial;sans-serif" w:hAnsi="Arial;sans-serif"/>
          <w:b w:val="false"/>
          <w:color w:val="000000"/>
          <w:sz w:val="20"/>
        </w:rPr>
        <w:t>to our Consolidated Financial Statements in this Annual Report on Form 10-K for details on the calculation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969"/>
        <w:gridCol w:w="784"/>
        <w:gridCol w:w="788"/>
        <w:gridCol w:w="346"/>
        <w:gridCol w:w="530"/>
        <w:gridCol w:w="401"/>
        <w:gridCol w:w="109"/>
        <w:gridCol w:w="109"/>
        <w:gridCol w:w="109"/>
        <w:gridCol w:w="346"/>
        <w:gridCol w:w="530"/>
        <w:gridCol w:w="401"/>
        <w:gridCol w:w="109"/>
        <w:gridCol w:w="109"/>
        <w:gridCol w:w="109"/>
        <w:gridCol w:w="346"/>
        <w:gridCol w:w="530"/>
        <w:gridCol w:w="401"/>
        <w:gridCol w:w="109"/>
        <w:gridCol w:w="109"/>
        <w:gridCol w:w="109"/>
        <w:gridCol w:w="346"/>
        <w:gridCol w:w="530"/>
        <w:gridCol w:w="401"/>
        <w:gridCol w:w="109"/>
        <w:gridCol w:w="109"/>
        <w:gridCol w:w="109"/>
        <w:gridCol w:w="433"/>
        <w:gridCol w:w="443"/>
        <w:gridCol w:w="372"/>
      </w:tblGrid>
      <w:tr>
        <w:trPr/>
        <w:tc>
          <w:tcPr>
            <w:tcW w:w="96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Consolidated Balance Sheet Data:</w:t>
            </w:r>
          </w:p>
        </w:tc>
        <w:tc>
          <w:tcPr>
            <w:tcW w:w="76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74,363</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266,569 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234,292 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113,623 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137,904</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Working capital</w:t>
            </w:r>
            <w:r>
              <w:rPr>
                <w:rFonts w:ascii="Arial;sans-serif" w:hAnsi="Arial;sans-serif"/>
                <w:b w:val="false"/>
                <w:color w:val="000000"/>
                <w:sz w:val="13"/>
              </w:rPr>
              <w:t>(1)</w:t>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273,007 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265,556 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108,891 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35,319</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assets</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558,612</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Deferred revenue, current and non-current</w:t>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363,127</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Accumulated deficit</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(825,035)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(746,751)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(654,529)</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(607,852)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(565,121)</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270,866 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215,313 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150,665 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98,905 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20"/>
          <w:shd w:fill="FFFFFF" w:val="clear"/>
        </w:rPr>
        <w:t>(1)    </w:t>
      </w:r>
      <w:r>
        <w:rPr>
          <w:rFonts w:ascii="Arial;sans-serif" w:hAnsi="Arial;sans-serif"/>
          <w:b w:val="false"/>
          <w:color w:val="000000"/>
          <w:sz w:val="20"/>
        </w:rPr>
        <w:t>We define working capital as total current assets less total current liabilities. See our Consolidated Financial Statements in this Annual Report on Form 10-K for further details regarding our current assets and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56"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a leading provider of exposure management solutions. Exposure management is an effective discipline for managing, measuring and comparing cybersecurity risk in today's complex IT environments. </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Our Tenable One Exposure Management Platform, or Tenable One,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and firewalls, and required business processes.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With Tenable One, organizations can translate technical data about assets, vulnerabilities and threats into clear business insights and actionable intelligence for security executives and practitioners. The platform combines broad, industry-leading vulnerability coverage in the industry, spanning IT assets, cloud resources, containers, web apps and identity systems. Tenable One builds on the speed and breadth of vulnerability coverage from Tenable Research and adds aggregated exposure view analytics, guidance on mitigating attack pathways and a centralized asset inventory.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One incorporates Tenable Vulnerability Management, Tenable Web App Scanning, Tenable Lumin, Tenable Cloud Security, Tenable Identity Exposure, Tenable Attack Surface Management, Tenable Security Center and Tenable OT Security. All of these products are also offered as standalone solutions, alongside Nessus.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Revenue in 2023, 2022 and 2021 was $798.7 million, $683.2 million and $541.1 million, representing year-over-year growth of 17% and 26%, respectively. Our recurring revenue, which includes revenue from subscription arrangements for software (both revenue recognized ratably over the subscription term and upon delivery) and cloud-based solutions and maintenance associated with perpetual licenses, represented 95% of revenue in 2023, 2022 and 2021. Our net loss in 2023, 2022 and 2021 was $78.3 million, $92.2 million and $46.7 million, respectively. Our cash flows from operating activities were $149.9 million, $131.2 million and $96.8 million in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Financial Highlights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Below are our key financial results:</w:t>
      </w:r>
    </w:p>
    <w:tbl>
      <w:tblPr>
        <w:tblW w:w="7887" w:type="dxa"/>
        <w:jc w:val="left"/>
        <w:tblInd w:w="0" w:type="dxa"/>
        <w:tblLayout w:type="fixed"/>
        <w:tblCellMar>
          <w:top w:w="28" w:type="dxa"/>
          <w:left w:w="28" w:type="dxa"/>
          <w:bottom w:w="28" w:type="dxa"/>
          <w:right w:w="28" w:type="dxa"/>
        </w:tblCellMar>
      </w:tblPr>
      <w:tblGrid>
        <w:gridCol w:w="1326"/>
        <w:gridCol w:w="1164"/>
        <w:gridCol w:w="1170"/>
        <w:gridCol w:w="211"/>
        <w:gridCol w:w="856"/>
        <w:gridCol w:w="109"/>
        <w:gridCol w:w="109"/>
        <w:gridCol w:w="109"/>
        <w:gridCol w:w="109"/>
        <w:gridCol w:w="211"/>
        <w:gridCol w:w="856"/>
        <w:gridCol w:w="109"/>
        <w:gridCol w:w="109"/>
        <w:gridCol w:w="109"/>
        <w:gridCol w:w="109"/>
        <w:gridCol w:w="211"/>
        <w:gridCol w:w="85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Key Operating and Financial Metrics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 </w:t>
      </w:r>
    </w:p>
    <w:p>
      <w:pPr>
        <w:pStyle w:val="TextBody"/>
        <w:bidi w:val="0"/>
        <w:spacing w:lineRule="auto" w:line="288" w:before="0" w:after="240"/>
        <w:ind w:left="0" w:right="0" w:firstLine="360"/>
        <w:jc w:val="left"/>
        <w:rPr/>
      </w:pPr>
      <w:r>
        <w:rPr>
          <w:rFonts w:ascii="Arial;sans-serif" w:hAnsi="Arial;sans-serif"/>
          <w:b/>
          <w:i/>
          <w:color w:val="000000"/>
          <w:sz w:val="20"/>
        </w:rPr>
        <w:t>Calculated Current Billings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revenue, the most directly comparable financial measure calculated in accordance with GAAP, to calculated current billings:</w:t>
      </w:r>
    </w:p>
    <w:tbl>
      <w:tblPr>
        <w:tblW w:w="8532" w:type="dxa"/>
        <w:jc w:val="left"/>
        <w:tblInd w:w="0" w:type="dxa"/>
        <w:tblLayout w:type="fixed"/>
        <w:tblCellMar>
          <w:top w:w="28" w:type="dxa"/>
          <w:left w:w="28" w:type="dxa"/>
          <w:bottom w:w="28" w:type="dxa"/>
          <w:right w:w="28" w:type="dxa"/>
        </w:tblCellMar>
      </w:tblPr>
      <w:tblGrid>
        <w:gridCol w:w="1561"/>
        <w:gridCol w:w="1370"/>
        <w:gridCol w:w="1374"/>
        <w:gridCol w:w="211"/>
        <w:gridCol w:w="856"/>
        <w:gridCol w:w="109"/>
        <w:gridCol w:w="109"/>
        <w:gridCol w:w="109"/>
        <w:gridCol w:w="109"/>
        <w:gridCol w:w="211"/>
        <w:gridCol w:w="856"/>
        <w:gridCol w:w="109"/>
        <w:gridCol w:w="109"/>
        <w:gridCol w:w="109"/>
        <w:gridCol w:w="109"/>
        <w:gridCol w:w="211"/>
        <w:gridCol w:w="85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 end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Deferred revenue (current), beginning of period</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Calculated current billings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8"/>
          <w:shd w:fill="FFFFFF" w:val="clear"/>
        </w:rPr>
        <w:t>(1)    </w:t>
      </w:r>
      <w:r>
        <w:rPr>
          <w:rFonts w:ascii="Arial;sans-serif" w:hAnsi="Arial;sans-serif"/>
          <w:b w:val="false"/>
          <w:color w:val="000000"/>
          <w:sz w:val="18"/>
        </w:rPr>
        <w:t>Deferred revenue (current), beginning of period for 2023, 2022 and 2021 includes $4.1 million, $0.9 million and $2.6 million, respectively, related to acquired deferred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Free Cash Flow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or use cash.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a reconciliation of net cash provided by operating activities, the most directly comparable financial measure calculated in accordance with GAAP, to free cash flow: </w:t>
      </w:r>
    </w:p>
    <w:tbl>
      <w:tblPr>
        <w:tblW w:w="7782" w:type="dxa"/>
        <w:jc w:val="left"/>
        <w:tblInd w:w="0" w:type="dxa"/>
        <w:tblLayout w:type="fixed"/>
        <w:tblCellMar>
          <w:top w:w="28" w:type="dxa"/>
          <w:left w:w="28" w:type="dxa"/>
          <w:bottom w:w="28" w:type="dxa"/>
          <w:right w:w="28" w:type="dxa"/>
        </w:tblCellMar>
      </w:tblPr>
      <w:tblGrid>
        <w:gridCol w:w="1327"/>
        <w:gridCol w:w="1165"/>
        <w:gridCol w:w="1168"/>
        <w:gridCol w:w="211"/>
        <w:gridCol w:w="856"/>
        <w:gridCol w:w="109"/>
        <w:gridCol w:w="109"/>
        <w:gridCol w:w="109"/>
        <w:gridCol w:w="109"/>
        <w:gridCol w:w="211"/>
        <w:gridCol w:w="856"/>
        <w:gridCol w:w="109"/>
        <w:gridCol w:w="109"/>
        <w:gridCol w:w="109"/>
        <w:gridCol w:w="109"/>
        <w:gridCol w:w="211"/>
        <w:gridCol w:w="75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pPr>
      <w:r>
        <w:rPr>
          <w:rFonts w:ascii="Arial;sans-serif" w:hAnsi="Arial;sans-serif"/>
          <w:b w:val="false"/>
          <w:color w:val="000000"/>
          <w:sz w:val="18"/>
        </w:rPr>
        <w:t>(1)</w:t>
      </w:r>
      <w:r>
        <w:rPr>
          <w:color w:val="000000"/>
          <w:shd w:fill="FFFFFF" w:val="clear"/>
        </w:rPr>
        <w:t>    </w:t>
      </w:r>
      <w:r>
        <w:rPr>
          <w:rFonts w:ascii="Arial;sans-serif" w:hAnsi="Arial;sans-serif"/>
          <w:b w:val="false"/>
          <w:color w:val="000000"/>
          <w:sz w:val="18"/>
          <w:shd w:fill="FFFFFF" w:val="clear"/>
        </w:rPr>
        <w:t>Free cash flow for the periods presented was impacted by:</w:t>
      </w:r>
    </w:p>
    <w:tbl>
      <w:tblPr>
        <w:tblW w:w="7872" w:type="dxa"/>
        <w:jc w:val="left"/>
        <w:tblInd w:w="0" w:type="dxa"/>
        <w:tblLayout w:type="fixed"/>
        <w:tblCellMar>
          <w:top w:w="28" w:type="dxa"/>
          <w:left w:w="28" w:type="dxa"/>
          <w:bottom w:w="28" w:type="dxa"/>
          <w:right w:w="28" w:type="dxa"/>
        </w:tblCellMar>
      </w:tblPr>
      <w:tblGrid>
        <w:gridCol w:w="1506"/>
        <w:gridCol w:w="1323"/>
        <w:gridCol w:w="1326"/>
        <w:gridCol w:w="211"/>
        <w:gridCol w:w="721"/>
        <w:gridCol w:w="109"/>
        <w:gridCol w:w="109"/>
        <w:gridCol w:w="109"/>
        <w:gridCol w:w="109"/>
        <w:gridCol w:w="211"/>
        <w:gridCol w:w="721"/>
        <w:gridCol w:w="109"/>
        <w:gridCol w:w="109"/>
        <w:gridCol w:w="109"/>
        <w:gridCol w:w="109"/>
        <w:gridCol w:w="211"/>
        <w:gridCol w:w="61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 and other financing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 purchase plan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related to intra-entity asset transfers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payment on intra-entity asset transfers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related to new headquarters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18"/>
        </w:rPr>
      </w:pPr>
      <w:r>
        <w:rPr>
          <w:rFonts w:ascii="Arial;sans-serif" w:hAnsi="Arial;sans-serif"/>
          <w:b w:val="false"/>
          <w:color w:val="000000"/>
          <w:sz w:val="18"/>
        </w:rPr>
        <w:t>Free cash flow in 2022 was benefited by approximately $8 million from prepayments of software subscription costs, insurance and rent made in prior 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Customer Metrics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believe that our customer base provides a significant opportunity to expand sales of our enterprise platform offerings. The following tables summarize key components of our customer base:</w:t>
      </w:r>
    </w:p>
    <w:tbl>
      <w:tblPr>
        <w:tblW w:w="8517" w:type="dxa"/>
        <w:jc w:val="left"/>
        <w:tblInd w:w="0" w:type="dxa"/>
        <w:tblLayout w:type="fixed"/>
        <w:tblCellMar>
          <w:top w:w="28" w:type="dxa"/>
          <w:left w:w="28" w:type="dxa"/>
          <w:bottom w:w="28" w:type="dxa"/>
          <w:right w:w="28" w:type="dxa"/>
        </w:tblCellMar>
      </w:tblPr>
      <w:tblGrid>
        <w:gridCol w:w="2096"/>
        <w:gridCol w:w="1844"/>
        <w:gridCol w:w="1850"/>
        <w:gridCol w:w="194"/>
        <w:gridCol w:w="194"/>
        <w:gridCol w:w="198"/>
        <w:gridCol w:w="154"/>
        <w:gridCol w:w="154"/>
        <w:gridCol w:w="154"/>
        <w:gridCol w:w="194"/>
        <w:gridCol w:w="194"/>
        <w:gridCol w:w="198"/>
        <w:gridCol w:w="154"/>
        <w:gridCol w:w="154"/>
        <w:gridCol w:w="154"/>
        <w:gridCol w:w="184"/>
        <w:gridCol w:w="184"/>
        <w:gridCol w:w="263"/>
      </w:tblGrid>
      <w:tr>
        <w:trPr/>
        <w:tc>
          <w:tcPr>
            <w:tcW w:w="2096"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Number of new enterprise platform customers added in period</w:t>
            </w:r>
            <w:r>
              <w:rPr>
                <w:rFonts w:ascii="Arial;sans-serif" w:hAnsi="Arial;sans-serif"/>
                <w:b w:val="false"/>
                <w:color w:val="000000"/>
                <w:sz w:val="13"/>
              </w:rPr>
              <w:t>(1)(2)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1,788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2,078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1,882</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60"/>
        <w:jc w:val="left"/>
        <w:rPr/>
      </w:pPr>
      <w:r>
        <w:rPr>
          <w:rFonts w:ascii="Arial;sans-serif" w:hAnsi="Arial;sans-serif"/>
          <w:b w:val="false"/>
          <w:color w:val="000000"/>
          <w:sz w:val="18"/>
          <w:shd w:fill="FFFFFF" w:val="clear"/>
        </w:rPr>
        <w:t>(1)    </w:t>
      </w:r>
      <w:r>
        <w:rPr>
          <w:rFonts w:ascii="Arial;sans-serif" w:hAnsi="Arial;sans-serif"/>
          <w:b w:val="false"/>
          <w:color w:val="000000"/>
          <w:sz w:val="18"/>
        </w:rPr>
        <w:t>We define an enterprise platform customer as a customer that has licensed Tenable One, Tenable Venerability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(2)    The number of new enterprise platform customers added in 2023 and 2021 include 104 and 95 legacy customers, respectively, of companies we acquired.</w:t>
      </w:r>
    </w:p>
    <w:tbl>
      <w:tblPr>
        <w:tblW w:w="10205" w:type="dxa"/>
        <w:jc w:val="left"/>
        <w:tblInd w:w="0" w:type="dxa"/>
        <w:tblLayout w:type="fixed"/>
        <w:tblCellMar>
          <w:top w:w="28" w:type="dxa"/>
          <w:left w:w="28" w:type="dxa"/>
          <w:bottom w:w="28" w:type="dxa"/>
          <w:right w:w="28" w:type="dxa"/>
        </w:tblCellMar>
      </w:tblPr>
      <w:tblGrid>
        <w:gridCol w:w="2804"/>
        <w:gridCol w:w="2468"/>
        <w:gridCol w:w="2475"/>
        <w:gridCol w:w="194"/>
        <w:gridCol w:w="194"/>
        <w:gridCol w:w="198"/>
        <w:gridCol w:w="109"/>
        <w:gridCol w:w="109"/>
        <w:gridCol w:w="109"/>
        <w:gridCol w:w="194"/>
        <w:gridCol w:w="194"/>
        <w:gridCol w:w="198"/>
        <w:gridCol w:w="109"/>
        <w:gridCol w:w="109"/>
        <w:gridCol w:w="109"/>
        <w:gridCol w:w="183"/>
        <w:gridCol w:w="183"/>
        <w:gridCol w:w="266"/>
      </w:tblGrid>
      <w:tr>
        <w:trPr/>
        <w:tc>
          <w:tcPr>
            <w:tcW w:w="2804"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7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8"/>
              </w:rPr>
            </w:pPr>
            <w:r>
              <w:rPr>
                <w:rFonts w:ascii="Arial;sans-serif" w:hAnsi="Arial;sans-serif"/>
                <w:b/>
                <w:color w:val="000000"/>
                <w:sz w:val="18"/>
              </w:rPr>
              <w:t>2021</w:t>
            </w:r>
          </w:p>
        </w:tc>
      </w:tr>
      <w:tr>
        <w:trPr/>
        <w:tc>
          <w:tcPr>
            <w:tcW w:w="7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customers with $100,000 and greater in annual contract value at end of period</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1,095</w:t>
            </w:r>
          </w:p>
        </w:tc>
      </w:tr>
    </w:tbl>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Dollar-Based Net Expansion Rate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dollar-based net expansion rate is evaluated on a last twelve months, or LTM, basis, and is calculated as follows: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Numerator: We measure the ARR for that same cohort of customers representing all subscriptions and maintenance from perpetual licenses based on customer orders as of the end of the reporting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calculate dollar-based net expansion rate by dividing the numerator by the denominator.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dollar-based net expansion rate:</w:t>
      </w:r>
    </w:p>
    <w:tbl>
      <w:tblPr>
        <w:tblW w:w="5907" w:type="dxa"/>
        <w:jc w:val="left"/>
        <w:tblInd w:w="0" w:type="dxa"/>
        <w:tblLayout w:type="fixed"/>
        <w:tblCellMar>
          <w:top w:w="28" w:type="dxa"/>
          <w:left w:w="28" w:type="dxa"/>
          <w:bottom w:w="28" w:type="dxa"/>
          <w:right w:w="28" w:type="dxa"/>
        </w:tblCellMar>
      </w:tblPr>
      <w:tblGrid>
        <w:gridCol w:w="1039"/>
        <w:gridCol w:w="912"/>
        <w:gridCol w:w="914"/>
        <w:gridCol w:w="240"/>
        <w:gridCol w:w="241"/>
        <w:gridCol w:w="300"/>
        <w:gridCol w:w="109"/>
        <w:gridCol w:w="109"/>
        <w:gridCol w:w="109"/>
        <w:gridCol w:w="240"/>
        <w:gridCol w:w="241"/>
        <w:gridCol w:w="300"/>
        <w:gridCol w:w="109"/>
        <w:gridCol w:w="109"/>
        <w:gridCol w:w="109"/>
        <w:gridCol w:w="240"/>
        <w:gridCol w:w="241"/>
        <w:gridCol w:w="345"/>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Dollar-based net expansion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pPr>
      <w:r>
        <w:rPr>
          <w:rFonts w:ascii="Arial;sans-serif" w:hAnsi="Arial;sans-serif"/>
          <w:b/>
          <w:i/>
          <w:color w:val="000000"/>
          <w:sz w:val="20"/>
        </w:rPr>
        <w:t>Non-GAAP Income from Operations and Non-GAAP Operating Margin</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use non-GAAP income from operations along with non-GAAP operating margin as key indicators of our financial performance. We define these non-GAAP financial measures as their respective GAAP measures, excluding the effects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loss from operations, the most directly comparable financial measure calculated in accordance with GAAP, to non-GAAP income from operations, and operating margin, the most directly comparable financial measure calculated in accordance with GAAP, to non-GAAP operating margin:</w:t>
      </w:r>
    </w:p>
    <w:tbl>
      <w:tblPr>
        <w:tblW w:w="8567" w:type="dxa"/>
        <w:jc w:val="left"/>
        <w:tblInd w:w="0" w:type="dxa"/>
        <w:tblLayout w:type="fixed"/>
        <w:tblCellMar>
          <w:top w:w="28" w:type="dxa"/>
          <w:left w:w="28" w:type="dxa"/>
          <w:bottom w:w="28" w:type="dxa"/>
          <w:right w:w="28" w:type="dxa"/>
        </w:tblCellMar>
      </w:tblPr>
      <w:tblGrid>
        <w:gridCol w:w="1414"/>
        <w:gridCol w:w="1240"/>
        <w:gridCol w:w="1245"/>
        <w:gridCol w:w="211"/>
        <w:gridCol w:w="856"/>
        <w:gridCol w:w="286"/>
        <w:gridCol w:w="109"/>
        <w:gridCol w:w="109"/>
        <w:gridCol w:w="109"/>
        <w:gridCol w:w="211"/>
        <w:gridCol w:w="811"/>
        <w:gridCol w:w="286"/>
        <w:gridCol w:w="109"/>
        <w:gridCol w:w="109"/>
        <w:gridCol w:w="109"/>
        <w:gridCol w:w="211"/>
        <w:gridCol w:w="811"/>
        <w:gridCol w:w="331"/>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related to intra-entity asset transfer</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50,985 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(1)    The costs related to the intra-entity asset transfer resulted from our internal restructuring of Cymptom.</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Non-GAAP Net Income and Non-GAAP Earnings Per Share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loss and net loss per share, the most comparable financial measures calculated in accordance with GAAP, to non-GAAP net income and non-GAAP earnings per share:</w:t>
      </w:r>
    </w:p>
    <w:tbl>
      <w:tblPr>
        <w:tblW w:w="10205" w:type="dxa"/>
        <w:jc w:val="left"/>
        <w:tblInd w:w="0" w:type="dxa"/>
        <w:tblLayout w:type="fixed"/>
        <w:tblCellMar>
          <w:top w:w="28" w:type="dxa"/>
          <w:left w:w="28" w:type="dxa"/>
          <w:bottom w:w="28" w:type="dxa"/>
          <w:right w:w="28" w:type="dxa"/>
        </w:tblCellMar>
      </w:tblPr>
      <w:tblGrid>
        <w:gridCol w:w="2306"/>
        <w:gridCol w:w="1914"/>
        <w:gridCol w:w="1926"/>
        <w:gridCol w:w="211"/>
        <w:gridCol w:w="799"/>
        <w:gridCol w:w="109"/>
        <w:gridCol w:w="109"/>
        <w:gridCol w:w="109"/>
        <w:gridCol w:w="109"/>
        <w:gridCol w:w="211"/>
        <w:gridCol w:w="799"/>
        <w:gridCol w:w="109"/>
        <w:gridCol w:w="109"/>
        <w:gridCol w:w="109"/>
        <w:gridCol w:w="109"/>
        <w:gridCol w:w="211"/>
        <w:gridCol w:w="799"/>
        <w:gridCol w:w="157"/>
      </w:tblGrid>
      <w:tr>
        <w:trPr/>
        <w:tc>
          <w:tcPr>
            <w:tcW w:w="230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for per share amounts)</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related to intra-entity asset transfer</w:t>
            </w:r>
            <w:r>
              <w:rPr>
                <w:rFonts w:ascii="Arial;sans-serif" w:hAnsi="Arial;sans-serif"/>
                <w:b w:val="false"/>
                <w:color w:val="000000"/>
                <w:sz w:val="13"/>
              </w:rPr>
              <w:t>(3)</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(4)</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acquisitions</w:t>
            </w:r>
            <w:r>
              <w:rPr>
                <w:rFonts w:ascii="Arial;sans-serif" w:hAnsi="Arial;sans-serif"/>
                <w:b w:val="false"/>
                <w:color w:val="000000"/>
                <w:sz w:val="13"/>
              </w:rPr>
              <w:t>(5)</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intra-entity asset transfers</w:t>
            </w:r>
            <w:r>
              <w:rPr>
                <w:rFonts w:ascii="Arial;sans-serif" w:hAnsi="Arial;sans-serif"/>
                <w:b w:val="false"/>
                <w:color w:val="000000"/>
                <w:sz w:val="13"/>
              </w:rPr>
              <w:t>(6)</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related to intra-entity asset transfer</w:t>
            </w:r>
            <w:r>
              <w:rPr>
                <w:rFonts w:ascii="Arial;sans-serif" w:hAnsi="Arial;sans-serif"/>
                <w:b w:val="false"/>
                <w:color w:val="000000"/>
                <w:sz w:val="13"/>
              </w:rPr>
              <w:t>(3)</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(4)</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acquisitions</w:t>
            </w:r>
            <w:r>
              <w:rPr>
                <w:rFonts w:ascii="Arial;sans-serif" w:hAnsi="Arial;sans-serif"/>
                <w:b w:val="false"/>
                <w:color w:val="000000"/>
                <w:sz w:val="13"/>
              </w:rPr>
              <w:t>(5)</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intra-entity asset transfers</w:t>
            </w:r>
            <w:r>
              <w:rPr>
                <w:rFonts w:ascii="Arial;sans-serif" w:hAnsi="Arial;sans-serif"/>
                <w:b w:val="false"/>
                <w:color w:val="000000"/>
                <w:sz w:val="13"/>
              </w:rPr>
              <w:t>(6)</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(7)</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GAAP net loss per share, diluted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non-GAAP earnings per share, diluted</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114,825</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8"/>
        </w:rPr>
        <w:t>(1)</w:t>
      </w:r>
      <w:r>
        <w:rPr>
          <w:color w:val="000000"/>
        </w:rPr>
        <w:t>    </w:t>
      </w:r>
      <w:r>
        <w:rPr>
          <w:rFonts w:ascii="Arial;sans-serif" w:hAnsi="Arial;sans-serif"/>
          <w:b w:val="false"/>
          <w:color w:val="000000"/>
          <w:sz w:val="18"/>
        </w:rPr>
        <w:t>The tax impact of stock-based compensation is based on the tax treatment for the applicable tax jurisdictions.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(2)    The tax impact of acquisition-related expenses and restructuring expenses are not material.</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(3)    The costs related to the intra-entity asset transfers resulted from our internal restructuring of Cymptom.</w:t>
      </w:r>
    </w:p>
    <w:p>
      <w:pPr>
        <w:pStyle w:val="TextBody"/>
        <w:bidi w:val="0"/>
        <w:spacing w:lineRule="auto" w:line="288" w:before="0" w:after="60"/>
        <w:jc w:val="left"/>
        <w:rPr/>
      </w:pPr>
      <w:r>
        <w:rPr>
          <w:rFonts w:ascii="Arial;sans-serif" w:hAnsi="Arial;sans-serif"/>
          <w:b w:val="false"/>
          <w:color w:val="000000"/>
          <w:sz w:val="18"/>
          <w:shd w:fill="FFFFFF" w:val="clear"/>
        </w:rPr>
        <w:t>(4)    </w:t>
      </w:r>
      <w:r>
        <w:rPr>
          <w:rFonts w:ascii="Arial;sans-serif" w:hAnsi="Arial;sans-serif"/>
          <w:b w:val="false"/>
          <w:color w:val="000000"/>
          <w:sz w:val="18"/>
        </w:rPr>
        <w:t>The tax impact of the amortization of acquired intangible assets is included in the tax impact of acquisitions.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(5)    The tax impact of acquisitions in 2023 includes the deferred tax benefits of the Alsid acquisition and a reversal of deferred tax expense related to indefinite-lived intangible assets. The tax impact of acquisitions in 2022 includes a deferred tax benefit of $1.2 million related to Alsid and reversal of the $2.5 million income tax benefit recognized for GAAP purposes related to the partial release of our valuation allowance associated with the Bit Discovery acquisition. The tax impact of acquisitions in 2021 includes a reversal of the $7.9 million income tax benefit recognized for GAAP purposes related to the partial release of our valuation allowance and a $2.6 million benefit related to Alsid.</w:t>
      </w:r>
    </w:p>
    <w:p>
      <w:pPr>
        <w:pStyle w:val="TextBody"/>
        <w:bidi w:val="0"/>
        <w:spacing w:lineRule="auto" w:line="288" w:before="0" w:after="60"/>
        <w:jc w:val="left"/>
        <w:rPr/>
      </w:pPr>
      <w:r>
        <w:rPr>
          <w:rFonts w:ascii="Arial;sans-serif" w:hAnsi="Arial;sans-serif"/>
          <w:b w:val="false"/>
          <w:color w:val="000000"/>
          <w:sz w:val="18"/>
          <w:shd w:fill="FFFFFF" w:val="clear"/>
        </w:rPr>
        <w:t>(6)    </w:t>
      </w:r>
      <w:r>
        <w:rPr>
          <w:rFonts w:ascii="Arial;sans-serif" w:hAnsi="Arial;sans-serif"/>
          <w:b w:val="false"/>
          <w:color w:val="000000"/>
          <w:sz w:val="18"/>
        </w:rPr>
        <w:t>The tax impact of the intra-entity transfers is related to current tax expense based on the applicable Israeli tax rates resulting from our internal restructuring of Cymptom in 2022 and Indegy in 2021.</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(7)    An adjustment to reconcile GAAP net loss per share, which excludes potentially dilutive shares, to non-GAAP earnings per share, which includes potentially dilutive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Revenue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generate revenue from subscription arrangements for our software and cloud-based solutions, perpetual licenses, maintenance associated with perpetual licenses and professional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 In 2023, we experienced longer sales cycle times in the purchasing and approval phases of our sales cycle, and this trend is expected to continue in 2024. </w:t>
      </w:r>
    </w:p>
    <w:p>
      <w:pPr>
        <w:pStyle w:val="TextBody"/>
        <w:bidi w:val="0"/>
        <w:spacing w:lineRule="auto" w:line="288" w:before="0" w:after="240"/>
        <w:ind w:left="0" w:right="0" w:firstLine="360"/>
        <w:jc w:val="left"/>
        <w:rPr/>
      </w:pPr>
      <w:r>
        <w:rPr>
          <w:rFonts w:ascii="Arial;sans-serif" w:hAnsi="Arial;sans-serif"/>
          <w:b/>
          <w:i/>
          <w:color w:val="000000"/>
          <w:sz w:val="20"/>
        </w:rPr>
        <w:t>Cost of Revenue, Gross Profit and Gross Margin</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intend to continue to invest additional resources in our cloud-based platform and customer support team as we grow our business. The level and timing of investment in these areas could affect our cost of revenue in the future.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Gross profit, or revenue less cost of revenue, and gross margin, or gross profit as a percentage of revenue, have been and will continue to be affected by various factors, including the timing of our acquisition of new customers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Operating Expenses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operating expenses consist of sales and marketing, research and development, general and administrative expenses and restructuring expenses. Personnel costs are the most significant component of operating expenses and consist of salaries, benefits, bonuses, payroll taxes, stock-based compensation and ordinary course severance. Operating expenses also include depreciation and amortization as well as allocated overhead costs, including IT and facilities costs.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Sales and Marketing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Sales and marketing expense consists of personnel costs, sales commissions, marketing programs, travel and entertainment, expenses for conferences, meetings and events and allocated overhead costs. We capitalize sales commissions, including related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 </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Research and Development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General and Administrative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General and administrative expense consists of personnel costs for our executive, finance, legal, human resources and administrative departments. Additional expenses include travel and entertainment, professional fees, insurance, allocated overhead, and acquisition-related expenses.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our general and administrative expense to continue to increase in absolute dollars and decrease as a percentage of our revenue over the long term, although our general and administrative expense may fluctuate from period to period due to the timing and extent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Restructuring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expenses consist of non-ordinary course severance, employee related benefits and other charges to reorganize business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Expense, Net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Interest income consists of income earned on cash and cash equivalents and short-term investments. Interest expense consists primarily of interest expense in connection with our senior secured term loan facility, or Term Loan, unused commitment fees on our senior secured revolving credit facility, or Revolving Credit Facility, and letter of credit fees. Other expense, net consists primarily of foreign currency remeasurement and transaction gains and losses and impairment losses related to our non-marketable simple agreements for future equity ("SAFE") investments.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Provision (Benefit) for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Provision (benefit) for income taxes consists of income taxes in all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set forth our consolidated results of operations for the periods presented: </w:t>
      </w:r>
    </w:p>
    <w:tbl>
      <w:tblPr>
        <w:tblW w:w="7437" w:type="dxa"/>
        <w:jc w:val="left"/>
        <w:tblInd w:w="0" w:type="dxa"/>
        <w:tblLayout w:type="fixed"/>
        <w:tblCellMar>
          <w:top w:w="28" w:type="dxa"/>
          <w:left w:w="28" w:type="dxa"/>
          <w:bottom w:w="28" w:type="dxa"/>
          <w:right w:w="28" w:type="dxa"/>
        </w:tblCellMar>
      </w:tblPr>
      <w:tblGrid>
        <w:gridCol w:w="1165"/>
        <w:gridCol w:w="1022"/>
        <w:gridCol w:w="1023"/>
        <w:gridCol w:w="211"/>
        <w:gridCol w:w="856"/>
        <w:gridCol w:w="109"/>
        <w:gridCol w:w="109"/>
        <w:gridCol w:w="109"/>
        <w:gridCol w:w="109"/>
        <w:gridCol w:w="211"/>
        <w:gridCol w:w="856"/>
        <w:gridCol w:w="109"/>
        <w:gridCol w:w="109"/>
        <w:gridCol w:w="109"/>
        <w:gridCol w:w="109"/>
        <w:gridCol w:w="211"/>
        <w:gridCol w:w="856"/>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(benefit)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Includes stock-based compensation expense as follows:</w:t>
      </w:r>
    </w:p>
    <w:tbl>
      <w:tblPr>
        <w:tblW w:w="7628" w:type="dxa"/>
        <w:jc w:val="left"/>
        <w:tblInd w:w="0" w:type="dxa"/>
        <w:tblLayout w:type="fixed"/>
        <w:tblCellMar>
          <w:top w:w="28" w:type="dxa"/>
          <w:left w:w="28" w:type="dxa"/>
          <w:bottom w:w="28" w:type="dxa"/>
          <w:right w:w="28" w:type="dxa"/>
        </w:tblCellMar>
      </w:tblPr>
      <w:tblGrid>
        <w:gridCol w:w="1355"/>
        <w:gridCol w:w="1196"/>
        <w:gridCol w:w="1199"/>
        <w:gridCol w:w="258"/>
        <w:gridCol w:w="393"/>
        <w:gridCol w:w="403"/>
        <w:gridCol w:w="130"/>
        <w:gridCol w:w="130"/>
        <w:gridCol w:w="130"/>
        <w:gridCol w:w="258"/>
        <w:gridCol w:w="393"/>
        <w:gridCol w:w="403"/>
        <w:gridCol w:w="130"/>
        <w:gridCol w:w="130"/>
        <w:gridCol w:w="130"/>
        <w:gridCol w:w="254"/>
        <w:gridCol w:w="303"/>
        <w:gridCol w:w="433"/>
      </w:tblGrid>
      <w:tr>
        <w:trPr/>
        <w:tc>
          <w:tcPr>
            <w:tcW w:w="135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 of revenue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4,446</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Sales and marketing</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49,383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29,410</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20,593</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Comparison of 2023 and 2022</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w:t>
      </w:r>
    </w:p>
    <w:tbl>
      <w:tblPr>
        <w:tblW w:w="9131" w:type="dxa"/>
        <w:jc w:val="left"/>
        <w:tblInd w:w="0" w:type="dxa"/>
        <w:tblLayout w:type="fixed"/>
        <w:tblCellMar>
          <w:top w:w="28" w:type="dxa"/>
          <w:left w:w="28" w:type="dxa"/>
          <w:bottom w:w="28" w:type="dxa"/>
          <w:right w:w="28" w:type="dxa"/>
        </w:tblCellMar>
      </w:tblPr>
      <w:tblGrid>
        <w:gridCol w:w="1419"/>
        <w:gridCol w:w="1246"/>
        <w:gridCol w:w="125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188"/>
        <w:gridCol w:w="188"/>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increase in revenue of $115.5 million included $125.9 million from existing customers as of January 1, 2023 net of a decrease from new customers of $10.4 million as compared to the prior year. U.S. revenue increased $55.6 million, or 14%. International revenue increased $59.9 million, or 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firstLine="360"/>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7429" w:type="dxa"/>
        <w:jc w:val="left"/>
        <w:tblInd w:w="0" w:type="dxa"/>
        <w:tblLayout w:type="fixed"/>
        <w:tblCellMar>
          <w:top w:w="28" w:type="dxa"/>
          <w:left w:w="28" w:type="dxa"/>
          <w:bottom w:w="28" w:type="dxa"/>
          <w:right w:w="28" w:type="dxa"/>
        </w:tblCellMar>
      </w:tblPr>
      <w:tblGrid>
        <w:gridCol w:w="712"/>
        <w:gridCol w:w="625"/>
        <w:gridCol w:w="627"/>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188"/>
        <w:gridCol w:w="18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cost of revenue of $28.8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$12.2 million increase in personnel costs, primarily due to support for cloud-based products and an increase in headcount, including a $2.9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$10.3 million increase in third-party cloud infrastructure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$2.5 million increase in the amortization of acquired intangible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$1.8 million increase in depreciation and amortization;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$0.7 million increase in allocated overhead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subscription costs;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$0.3 million increase in professional fees.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7075" w:type="dxa"/>
        <w:jc w:val="left"/>
        <w:tblInd w:w="0" w:type="dxa"/>
        <w:tblLayout w:type="fixed"/>
        <w:tblCellMar>
          <w:top w:w="28" w:type="dxa"/>
          <w:left w:w="28" w:type="dxa"/>
          <w:bottom w:w="28" w:type="dxa"/>
          <w:right w:w="28" w:type="dxa"/>
        </w:tblCellMar>
      </w:tblPr>
      <w:tblGrid>
        <w:gridCol w:w="712"/>
        <w:gridCol w:w="625"/>
        <w:gridCol w:w="627"/>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sales and marketing expense of $44.0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$22.9 million increase in personnel costs, related to an increase in headcount, including an $11.9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$9.8 million increase in expenses for demand generation programs, including advertising, sponsorships, and brand awareness efforts;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$9.3 million increase in selling expenses, including travel and meeting costs and software subscription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$1.6 million increase in allocated overhead expenses;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$0.3 million increase in depreciation expense.</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7391" w:type="dxa"/>
        <w:jc w:val="left"/>
        <w:tblInd w:w="0" w:type="dxa"/>
        <w:tblLayout w:type="fixed"/>
        <w:tblCellMar>
          <w:top w:w="28" w:type="dxa"/>
          <w:left w:w="28" w:type="dxa"/>
          <w:bottom w:w="28" w:type="dxa"/>
          <w:right w:w="28" w:type="dxa"/>
        </w:tblCellMar>
      </w:tblPr>
      <w:tblGrid>
        <w:gridCol w:w="903"/>
        <w:gridCol w:w="792"/>
        <w:gridCol w:w="795"/>
        <w:gridCol w:w="211"/>
        <w:gridCol w:w="856"/>
        <w:gridCol w:w="109"/>
        <w:gridCol w:w="109"/>
        <w:gridCol w:w="109"/>
        <w:gridCol w:w="109"/>
        <w:gridCol w:w="211"/>
        <w:gridCol w:w="856"/>
        <w:gridCol w:w="109"/>
        <w:gridCol w:w="109"/>
        <w:gridCol w:w="109"/>
        <w:gridCol w:w="109"/>
        <w:gridCol w:w="211"/>
        <w:gridCol w:w="646"/>
        <w:gridCol w:w="109"/>
        <w:gridCol w:w="109"/>
        <w:gridCol w:w="109"/>
        <w:gridCol w:w="109"/>
        <w:gridCol w:w="135"/>
        <w:gridCol w:w="136"/>
        <w:gridCol w:w="331"/>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research and development expense of $9.6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$9.6 million increase in personnel costs, largely associated with an increase in headcount, including a $5.7 million increase in stock-based compensation and a $1.4 million decrease in capitalized software development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$4.8 million increase in third-party cloud infrastructure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$1.0 million increase in allocated overhead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travel and meeting costs;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$0.4 million increase in depreciation expense;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$4.3 million decrease in costs for independent contractors;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$2.3 million increase in tax credits.</w:t>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General and Administrative</w:t>
      </w:r>
    </w:p>
    <w:tbl>
      <w:tblPr>
        <w:tblW w:w="7555" w:type="dxa"/>
        <w:jc w:val="left"/>
        <w:tblInd w:w="0" w:type="dxa"/>
        <w:tblLayout w:type="fixed"/>
        <w:tblCellMar>
          <w:top w:w="28" w:type="dxa"/>
          <w:left w:w="28" w:type="dxa"/>
          <w:bottom w:w="28" w:type="dxa"/>
          <w:right w:w="28" w:type="dxa"/>
        </w:tblCellMar>
      </w:tblPr>
      <w:tblGrid>
        <w:gridCol w:w="886"/>
        <w:gridCol w:w="778"/>
        <w:gridCol w:w="78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general and administrative expense of $13.0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$5.6 million increase in personnel costs, largely associated with an increase in headcount, including a $4.2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$3.5 million increase in acquisition-related expenses;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$2.1 million increase in professional fees;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$1.1 million increase in indirect taxes such as VAT, GST and other;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$0.9 million increase in bank charges; and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$0.5 million increase in travel and meeting costs; partially offset by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$0.8 million decrease in costs related to intra-entity asset transfers.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Restructuring</w:t>
      </w:r>
    </w:p>
    <w:tbl>
      <w:tblPr>
        <w:tblW w:w="6733" w:type="dxa"/>
        <w:jc w:val="left"/>
        <w:tblInd w:w="0" w:type="dxa"/>
        <w:tblLayout w:type="fixed"/>
        <w:tblCellMar>
          <w:top w:w="28" w:type="dxa"/>
          <w:left w:w="28" w:type="dxa"/>
          <w:bottom w:w="28" w:type="dxa"/>
          <w:right w:w="28" w:type="dxa"/>
        </w:tblCellMar>
      </w:tblPr>
      <w:tblGrid>
        <w:gridCol w:w="712"/>
        <w:gridCol w:w="625"/>
        <w:gridCol w:w="627"/>
        <w:gridCol w:w="244"/>
        <w:gridCol w:w="749"/>
        <w:gridCol w:w="126"/>
        <w:gridCol w:w="126"/>
        <w:gridCol w:w="126"/>
        <w:gridCol w:w="126"/>
        <w:gridCol w:w="244"/>
        <w:gridCol w:w="470"/>
        <w:gridCol w:w="126"/>
        <w:gridCol w:w="109"/>
        <w:gridCol w:w="109"/>
        <w:gridCol w:w="109"/>
        <w:gridCol w:w="211"/>
        <w:gridCol w:w="646"/>
        <w:gridCol w:w="109"/>
        <w:gridCol w:w="109"/>
        <w:gridCol w:w="109"/>
        <w:gridCol w:w="109"/>
        <w:gridCol w:w="240"/>
        <w:gridCol w:w="24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$4.5 million in restructuring includes non-ordinary course severance and employee related benefits related to the optimization of our go-to-market efforts, including reducing our reliance on sales specialists and streamlining layers of management. These changes to our go-to-market and supporting functions resulted in a 5% reduction in our work force. We expect to recognize an additional $2 million to $3 million in the three months ended March 31, 2024 related to the reduction in our work force that took place in January 2024. Additionally, we are currently in negotiations to sublease a portion of our real estate, which could result in a non-cash impairment charge of $6 million to $7 million in 2024.</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Expense, Net</w:t>
      </w:r>
    </w:p>
    <w:tbl>
      <w:tblPr>
        <w:tblW w:w="6865" w:type="dxa"/>
        <w:jc w:val="left"/>
        <w:tblInd w:w="0" w:type="dxa"/>
        <w:tblLayout w:type="fixed"/>
        <w:tblCellMar>
          <w:top w:w="28" w:type="dxa"/>
          <w:left w:w="28" w:type="dxa"/>
          <w:bottom w:w="28" w:type="dxa"/>
          <w:right w:w="28" w:type="dxa"/>
        </w:tblCellMar>
      </w:tblPr>
      <w:tblGrid>
        <w:gridCol w:w="712"/>
        <w:gridCol w:w="625"/>
        <w:gridCol w:w="627"/>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40"/>
        <w:gridCol w:w="24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$18.4 million increase in interest income was due to a higher interest rate on an increased average amount of cash and cash equivalents and short-term investments. The $12.3 million increase in interest expense was primarily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100" w:after="240"/>
        <w:jc w:val="left"/>
        <w:rPr>
          <w:rFonts w:ascii="Arial;sans-serif" w:hAnsi="Arial;sans-serif"/>
          <w:b w:val="false"/>
          <w:color w:val="000000"/>
          <w:sz w:val="20"/>
        </w:rPr>
      </w:pPr>
      <w:r>
        <w:rPr>
          <w:rFonts w:ascii="Arial;sans-serif" w:hAnsi="Arial;sans-serif"/>
          <w:b w:val="false"/>
          <w:color w:val="000000"/>
          <w:sz w:val="20"/>
        </w:rPr>
        <w:t>to an increase in the variable rate of our Term Loan. The $3.8 million increase in other expense, net was primarily due to $5.6 million of impairment losses on our SAFE investments partially offset by a decrease in foreign exchange losses.</w:t>
      </w:r>
    </w:p>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tbl>
      <w:tblPr>
        <w:tblW w:w="7195" w:type="dxa"/>
        <w:jc w:val="left"/>
        <w:tblInd w:w="0" w:type="dxa"/>
        <w:tblLayout w:type="fixed"/>
        <w:tblCellMar>
          <w:top w:w="28" w:type="dxa"/>
          <w:left w:w="28" w:type="dxa"/>
          <w:bottom w:w="28" w:type="dxa"/>
          <w:right w:w="28" w:type="dxa"/>
        </w:tblCellMar>
      </w:tblPr>
      <w:tblGrid>
        <w:gridCol w:w="886"/>
        <w:gridCol w:w="778"/>
        <w:gridCol w:w="780"/>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218"/>
        <w:gridCol w:w="21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2023,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$5.8 million of income taxes in foreign jurisdictions in which we conduct business;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$5.3 million of discrete expenses primarily related to withholding taxes on sales to customers; partially offset by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$0.2 million of deferred tax benefits related to the Alsid acquisition.</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2022,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$4.8 million of income taxes in foreign jurisdictions in which we conduct business;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$3.9 million of discrete expenses primarily related to withholding taxes on sales to customers;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$2.7 million of current expense from the restructuring of our research and development operations in Israel; partially offset by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$2.5 million benefit from releasing a valuation allowance related to the Bit Discovery acquisition;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$1.2 million of deferred tax benefits related to the Alsid acquisition;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$0.8 million of discrete benefits.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Comparison of 2022 and 2021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w:t>
      </w:r>
    </w:p>
    <w:tbl>
      <w:tblPr>
        <w:tblW w:w="9131" w:type="dxa"/>
        <w:jc w:val="left"/>
        <w:tblInd w:w="0" w:type="dxa"/>
        <w:tblLayout w:type="fixed"/>
        <w:tblCellMar>
          <w:top w:w="28" w:type="dxa"/>
          <w:left w:w="28" w:type="dxa"/>
          <w:bottom w:w="28" w:type="dxa"/>
          <w:right w:w="28" w:type="dxa"/>
        </w:tblCellMar>
      </w:tblPr>
      <w:tblGrid>
        <w:gridCol w:w="1419"/>
        <w:gridCol w:w="1246"/>
        <w:gridCol w:w="125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188"/>
        <w:gridCol w:w="188"/>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revenue of $142.1 million included $132.8 million from existing customers at January 1, 2022 and $9.3 million from new customers. U.S. revenue increased $71.2 million, or 23%. International revenue increased $70.9 million, or 31%.</w:t>
      </w:r>
    </w:p>
    <w:p>
      <w:pPr>
        <w:pStyle w:val="TextBody"/>
        <w:bidi w:val="0"/>
        <w:spacing w:lineRule="auto" w:line="288" w:before="0" w:after="60"/>
        <w:ind w:left="0" w:right="0" w:firstLine="360"/>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7429" w:type="dxa"/>
        <w:jc w:val="left"/>
        <w:tblInd w:w="0" w:type="dxa"/>
        <w:tblLayout w:type="fixed"/>
        <w:tblCellMar>
          <w:top w:w="28" w:type="dxa"/>
          <w:left w:w="28" w:type="dxa"/>
          <w:bottom w:w="28" w:type="dxa"/>
          <w:right w:w="28" w:type="dxa"/>
        </w:tblCellMar>
      </w:tblPr>
      <w:tblGrid>
        <w:gridCol w:w="712"/>
        <w:gridCol w:w="625"/>
        <w:gridCol w:w="627"/>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188"/>
        <w:gridCol w:w="18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cost of revenue of $48.4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$24.1 million increase in third-party cloud infrastructure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$13.8 million increase in personnel costs, primarily due to support for cloud-based products and an increase in headcount, including a $3.9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$4.9 million increase in the amortization of acquired intangible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$2.8 million increase in professional fees;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$0.7 million increase in the cost of goods;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$0.7 million increase in depreciation and amortization;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$0.6 million increase in subscription costs;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$0.6 million increase in allocated overhead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amounts above are net of $0.7 million in savings due to the impact of foreign exchange rates.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7075" w:type="dxa"/>
        <w:jc w:val="left"/>
        <w:tblInd w:w="0" w:type="dxa"/>
        <w:tblLayout w:type="fixed"/>
        <w:tblCellMar>
          <w:top w:w="28" w:type="dxa"/>
          <w:left w:w="28" w:type="dxa"/>
          <w:bottom w:w="28" w:type="dxa"/>
          <w:right w:w="28" w:type="dxa"/>
        </w:tblCellMar>
      </w:tblPr>
      <w:tblGrid>
        <w:gridCol w:w="712"/>
        <w:gridCol w:w="625"/>
        <w:gridCol w:w="627"/>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sales and marketing expense of $79.3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$52.5 million increase in personnel costs, related to an increase in headcount, including a $20.0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$14.2 million increase in sales commissions;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$5.8 million increase in expenses for demand generation programs, including advertising, sponsorships, and brand awareness efforts;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$5.4 million increase in selling expenses, including travel and meeting costs and software subscription costs;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$1.5 million increase in allocated overhead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amounts above are net of $3.9 million in savings due to the impact of foreign exchange rates.</w:t>
      </w:r>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7601" w:type="dxa"/>
        <w:jc w:val="left"/>
        <w:tblInd w:w="0" w:type="dxa"/>
        <w:tblLayout w:type="fixed"/>
        <w:tblCellMar>
          <w:top w:w="28" w:type="dxa"/>
          <w:left w:w="28" w:type="dxa"/>
          <w:bottom w:w="28" w:type="dxa"/>
          <w:right w:w="28" w:type="dxa"/>
        </w:tblCellMar>
      </w:tblPr>
      <w:tblGrid>
        <w:gridCol w:w="903"/>
        <w:gridCol w:w="792"/>
        <w:gridCol w:w="795"/>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research and development expense of $27.1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$19.8 million increase in personnel costs, largely associated with an increase in headcount, including a $10.9 million increase in stock-based compensation and is net of a $7.7 million increase in capitalized software development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$3.1 million increase in third-party cloud infrastructure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$2.0 million increase in software subscriptions;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$1.1 million increase in allocated overhead expenses;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$0.5 million increase in travel and meeting costs.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amounts above are net of $2.4 million in savings due to the impact of foreign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firstLine="360"/>
        <w:jc w:val="left"/>
        <w:rPr>
          <w:rFonts w:ascii="Arial;sans-serif" w:hAnsi="Arial;sans-serif"/>
          <w:b w:val="false"/>
          <w:i/>
          <w:color w:val="000000"/>
          <w:sz w:val="20"/>
        </w:rPr>
      </w:pPr>
      <w:r>
        <w:rPr>
          <w:rFonts w:ascii="Arial;sans-serif" w:hAnsi="Arial;sans-serif"/>
          <w:b w:val="false"/>
          <w:i/>
          <w:color w:val="000000"/>
          <w:sz w:val="20"/>
        </w:rPr>
        <w:t>General and Administrative</w:t>
      </w:r>
    </w:p>
    <w:tbl>
      <w:tblPr>
        <w:tblW w:w="7450" w:type="dxa"/>
        <w:jc w:val="left"/>
        <w:tblInd w:w="0" w:type="dxa"/>
        <w:tblLayout w:type="fixed"/>
        <w:tblCellMar>
          <w:top w:w="28" w:type="dxa"/>
          <w:left w:w="28" w:type="dxa"/>
          <w:bottom w:w="28" w:type="dxa"/>
          <w:right w:w="28" w:type="dxa"/>
        </w:tblCellMar>
      </w:tblPr>
      <w:tblGrid>
        <w:gridCol w:w="886"/>
        <w:gridCol w:w="778"/>
        <w:gridCol w:w="780"/>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188"/>
        <w:gridCol w:w="188"/>
        <w:gridCol w:w="331"/>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increase in general and administrative expense of $13.3 million was primarily due to:</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an $11.5 million increase in personnel costs, largely associated with an increase in headcount, including a $6.4 million increase in stock-based compensation;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$1.9 million increase in professional fees;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$0.9 million increase in software subscription costs;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$0.9 million increase in indirect taxes such as VAT or GST;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$0.8 million increase in costs related to intra-entity asset transfers;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$0.3 million increase in travel and meeting costs;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$4.1 million decrease in acquisition-related expenses;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$0.7 million decrease in allocated overhead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amounts above are net of $0.7 million in savings due to the impact of foreign exchange rates.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Interest Income, Interest Expense and Other Expense, Net</w:t>
      </w:r>
    </w:p>
    <w:tbl>
      <w:tblPr>
        <w:tblW w:w="6730" w:type="dxa"/>
        <w:jc w:val="left"/>
        <w:tblInd w:w="0" w:type="dxa"/>
        <w:tblLayout w:type="fixed"/>
        <w:tblCellMar>
          <w:top w:w="28" w:type="dxa"/>
          <w:left w:w="28" w:type="dxa"/>
          <w:bottom w:w="28" w:type="dxa"/>
          <w:right w:w="28" w:type="dxa"/>
        </w:tblCellMar>
      </w:tblPr>
      <w:tblGrid>
        <w:gridCol w:w="712"/>
        <w:gridCol w:w="625"/>
        <w:gridCol w:w="627"/>
        <w:gridCol w:w="235"/>
        <w:gridCol w:w="722"/>
        <w:gridCol w:w="121"/>
        <w:gridCol w:w="121"/>
        <w:gridCol w:w="121"/>
        <w:gridCol w:w="121"/>
        <w:gridCol w:w="235"/>
        <w:gridCol w:w="537"/>
        <w:gridCol w:w="121"/>
        <w:gridCol w:w="109"/>
        <w:gridCol w:w="109"/>
        <w:gridCol w:w="109"/>
        <w:gridCol w:w="211"/>
        <w:gridCol w:w="646"/>
        <w:gridCol w:w="109"/>
        <w:gridCol w:w="109"/>
        <w:gridCol w:w="109"/>
        <w:gridCol w:w="109"/>
        <w:gridCol w:w="240"/>
        <w:gridCol w:w="241"/>
        <w:gridCol w:w="33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The $5.7 million increase in interest income was due to lower returns on our short-term investments in 2021. The $11.5 million increase in interest expense was primarily related to interest expense for our Term Loan entered into in July 2021. The $2.8 million increase in other expense, net was primarily due to an increase in foreign exchange losses.</w:t>
      </w:r>
    </w:p>
    <w:p>
      <w:pPr>
        <w:pStyle w:val="TextBody"/>
        <w:bidi w:val="0"/>
        <w:spacing w:lineRule="auto" w:line="288" w:before="100" w:after="240"/>
        <w:ind w:left="0" w:right="0" w:firstLine="360"/>
        <w:jc w:val="left"/>
        <w:rPr>
          <w:rFonts w:ascii="Arial;sans-serif" w:hAnsi="Arial;sans-serif"/>
          <w:b/>
          <w:i/>
          <w:color w:val="000000"/>
          <w:sz w:val="20"/>
        </w:rPr>
      </w:pPr>
      <w:r>
        <w:rPr>
          <w:rFonts w:ascii="Arial;sans-serif" w:hAnsi="Arial;sans-serif"/>
          <w:b/>
          <w:i/>
          <w:color w:val="000000"/>
          <w:sz w:val="20"/>
        </w:rPr>
        <w:t>Provision (Benefit) for Income Taxes</w:t>
      </w:r>
    </w:p>
    <w:tbl>
      <w:tblPr>
        <w:tblW w:w="8146" w:type="dxa"/>
        <w:jc w:val="left"/>
        <w:tblInd w:w="0" w:type="dxa"/>
        <w:tblLayout w:type="fixed"/>
        <w:tblCellMar>
          <w:top w:w="28" w:type="dxa"/>
          <w:left w:w="28" w:type="dxa"/>
          <w:bottom w:w="28" w:type="dxa"/>
          <w:right w:w="28" w:type="dxa"/>
        </w:tblCellMar>
      </w:tblPr>
      <w:tblGrid>
        <w:gridCol w:w="1164"/>
        <w:gridCol w:w="1021"/>
        <w:gridCol w:w="1025"/>
        <w:gridCol w:w="213"/>
        <w:gridCol w:w="652"/>
        <w:gridCol w:w="110"/>
        <w:gridCol w:w="110"/>
        <w:gridCol w:w="110"/>
        <w:gridCol w:w="110"/>
        <w:gridCol w:w="213"/>
        <w:gridCol w:w="712"/>
        <w:gridCol w:w="110"/>
        <w:gridCol w:w="109"/>
        <w:gridCol w:w="109"/>
        <w:gridCol w:w="109"/>
        <w:gridCol w:w="211"/>
        <w:gridCol w:w="751"/>
        <w:gridCol w:w="109"/>
        <w:gridCol w:w="109"/>
        <w:gridCol w:w="109"/>
        <w:gridCol w:w="109"/>
        <w:gridCol w:w="269"/>
        <w:gridCol w:w="271"/>
        <w:gridCol w:w="331"/>
      </w:tblGrid>
      <w:tr>
        <w:trPr/>
        <w:tc>
          <w:tcPr>
            <w:tcW w:w="116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(benefit) for income taxes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2022, the provision for income taxes included: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$4.8 million of income taxes in foreign jurisdictions in which we conduct business;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$3.9 million of discrete expenses primarily related to withholding taxes on sales to customers;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$2.7 million of current expense from the restructuring of our research and development operations in Israel; partially offset by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$2.5 million benefit from releasing a valuation allowance related to the Bit Discovery acquisition;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$1.2 million of deferred tax benefits related to the Alsid acquisition;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$0.8 million of discrete benefits.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2021, the benefit for income taxes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$7.9 million of income tax benefits related to the partial release of our valuation allowance associated with the Accurics acquisition;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$2.9 million of discrete benefits primarily related to a Supreme Court decision in India on the taxability of software license payments to nonresidents and the associated withholding taxes; and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 $2.6 million deferred tax benefit related to the Alsid acquisition; partially offset by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$3.8 million of income taxes in foreign jurisdictions in which we conduct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$2.8 million of discrete expenses primarily related to withholding taxes on sales to customers;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$2.8 million of current expense from the restructuring of our research and development operations in Israel.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$237.1 million of cash and cash equivalents, which consisted of bank deposits and money market funds, and $236.8 million of short-term investments, which consisted of commercial paper, asset backed securities, certificates of deposit, U.S. Treasury and agency obligations, and corporate and supranational bonds.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Since our inception, we have primarily financed our operations through cash provided by operations, including payments received from customers using our software products and services. Prior to our IPO, we did not raise any 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$825.0 million at December 31, 2023.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December 31, 2023, we had deferred revenue of $750.5 million, of which $580.8 million was recorded as a current liability and is expected to be recognized as revenue in the next 12 months, provided all other revenue recognition criteria are met.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paid $243.3 million and $66.8 million to acquire businesses in 2023 and 2022, respectively. We may in the future enter into arrangements to acquire or invest in other complementary businesses, services and technologies, including intellectual property rights.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expect to continue incurring operating losses in the near term. Even though we generated positive cash flows from operations and free cash flow in 2023, 2022 and 2021, we may not be able to sustain these cash flows. 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 Repurchase Plan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our Board of Directors authorized the repurchase of up to $100 million of our common stock. In 2023, we purchased 356,240 shares for $14.9 million. The remaining amount available to purchase stock under the stock repurchase program was $85.1 million at December 31, 2023.</w:t>
      </w:r>
    </w:p>
    <w:p>
      <w:pPr>
        <w:pStyle w:val="TextBody"/>
        <w:bidi w:val="0"/>
        <w:spacing w:lineRule="auto" w:line="288" w:before="0" w:after="240"/>
        <w:ind w:left="0" w:right="0" w:firstLine="360"/>
        <w:jc w:val="left"/>
        <w:rPr/>
      </w:pPr>
      <w:r>
        <w:rPr>
          <w:rFonts w:ascii="Arial;sans-serif" w:hAnsi="Arial;sans-serif"/>
          <w:b/>
          <w:i/>
          <w:color w:val="000000"/>
          <w:sz w:val="20"/>
        </w:rPr>
        <w:t>Term Loan and Revolving Credit Facility</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July 2021, we entered into a credit agreement, or the Credit Agreement, which is comprised of a $375.0 million Term Loan and a $50.0 million Revolving Credit Facility, with a $15.0 million letter of credit sublimit. On June 1, 2023, we began using SOFR for the base interest rate instead of LIBOR. The Term Loan bears interest at a rate of 2.75% per annum over SOFR, subject to a 0.50% floor, plus a credit spread adjustment depending on the interest period.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January to December 2023, interest rates on our Term Loan have been between 7.16% and 8.21%.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and at December 31, 2023, our first lien net leverage ratio was 1.28.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Revolving Credit Facility bears interest at a rate, depending on first lien net leverage, ranging from 2.00% to 2.50% over SOFR and matures on July 7, 2026. We pay a commitment fee during the term ranging from 0.25% to 0.375% per annum of the average daily undrawn portion of the revolving commitments based on the first lien net leverage ratio. The Credit Agreement contains customary representations and warranties and affirmative and negative covenants. Additionally, if at least 35% of the Revolving Credit Facility is drawn on the last day of the quarter, the total net leverage ratio cannot be greater than 5.50 to 1.00. At December 31, 2023, we were in compliance with the covenants and at December 31, 2023, we had $0.2 million of standby letters of credit outstanding under the Revolving Credit Facility.</w:t>
      </w:r>
    </w:p>
    <w:p>
      <w:pPr>
        <w:pStyle w:val="TextBody"/>
        <w:bidi w:val="0"/>
        <w:spacing w:lineRule="auto" w:line="288" w:before="0" w:after="240"/>
        <w:ind w:left="0" w:right="0" w:firstLine="360"/>
        <w:jc w:val="left"/>
        <w:rPr/>
      </w:pPr>
      <w:r>
        <w:rPr>
          <w:rFonts w:ascii="Arial;sans-serif" w:hAnsi="Arial;sans-serif"/>
          <w:b/>
          <w:i/>
          <w:color w:val="000000"/>
          <w:sz w:val="20"/>
        </w:rPr>
        <w:t>Cash Flows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10205" w:type="dxa"/>
        <w:jc w:val="left"/>
        <w:tblInd w:w="0" w:type="dxa"/>
        <w:tblLayout w:type="fixed"/>
        <w:tblCellMar>
          <w:top w:w="28" w:type="dxa"/>
          <w:left w:w="28" w:type="dxa"/>
          <w:bottom w:w="28" w:type="dxa"/>
          <w:right w:w="28" w:type="dxa"/>
        </w:tblCellMar>
      </w:tblPr>
      <w:tblGrid>
        <w:gridCol w:w="2209"/>
        <w:gridCol w:w="1934"/>
        <w:gridCol w:w="1938"/>
        <w:gridCol w:w="211"/>
        <w:gridCol w:w="856"/>
        <w:gridCol w:w="109"/>
        <w:gridCol w:w="109"/>
        <w:gridCol w:w="109"/>
        <w:gridCol w:w="109"/>
        <w:gridCol w:w="211"/>
        <w:gridCol w:w="856"/>
        <w:gridCol w:w="109"/>
        <w:gridCol w:w="109"/>
        <w:gridCol w:w="109"/>
        <w:gridCol w:w="109"/>
        <w:gridCol w:w="211"/>
        <w:gridCol w:w="751"/>
        <w:gridCol w:w="156"/>
      </w:tblGrid>
      <w:tr>
        <w:trPr/>
        <w:tc>
          <w:tcPr>
            <w:tcW w:w="220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397,646 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2022 to 2023, net cash used in investing activities increased by $84.6 million, primarily due to an increase in cash paid for acquisitions of $176.5 million, partially offset by a $71.6 million net increase in sales of short-term investments, $10.0 million in cash paid for other investments in 2022, a $7.7 million decrease in purchases of property and equipment and a $2.7 million decrease in capitalized software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2021 to 2022, net cash used in investing activities decreased by $263.6 million, primarily due to a decrease in cash paid for acquisitions of $191.7 million and a net decrease in cash paid for short-term investments of $89.4 million in 2022, partially offset by an increase in capitalized software development costs of $7.1 million, an increase in purchases of property and equipment of $5.5 million and an increase in cash paid for other investments of $5.0 million.</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2022 to 2023, net cash provided by financing activities decreased by $22.1 million, primarily due to the repurchase of common stock under our stock repurchase program of $14.9 million and an $8.2 million decrease in proceeds from the exercise of stock options, partially offset by a $1.4 million increase in proceeds from stock issued in connection with our employee stock purchase program.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From 2021 to 2022, net cash provided by financing activities decreased by $374.3 million, primarily due to the net proceeds from the issuance of our Credit Facility in 2021 of $365.7 million, a decrease of $6.5 million in the proceeds from the exercise of stock options and $3.8 million of principal payments made on our Term Loan in 2022, partially offset by a $1.1 million increase in proceeds from stock issued in connection with our employee stock purchase plan.</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We have certain contractual obligations for future payments. See </w:t>
      </w:r>
      <w:hyperlink w:anchor="i8d95df87e60249c78a6b8cdac6111421_115">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 xml:space="preserve">to our Consolidated Financial Statements in this Annual Report on Form 10-K for our required operating lease payments and </w:t>
      </w:r>
      <w:hyperlink w:anchor="i8d95df87e60249c78a6b8cdac6111421_121">
        <w:r>
          <w:rPr>
            <w:rStyle w:val="InternetLink"/>
            <w:rFonts w:ascii="Arial;sans-serif" w:hAnsi="Arial;sans-serif"/>
            <w:b w:val="false"/>
            <w:color w:val="0000FF"/>
            <w:sz w:val="20"/>
            <w:u w:val="single"/>
          </w:rPr>
          <w:t>Note 9</w:t>
        </w:r>
      </w:hyperlink>
      <w:r>
        <w:rPr>
          <w:color w:val="000000"/>
        </w:rPr>
        <w:t xml:space="preserve"> </w:t>
      </w:r>
      <w:r>
        <w:rPr>
          <w:rFonts w:ascii="Arial;sans-serif" w:hAnsi="Arial;sans-serif"/>
          <w:b w:val="false"/>
          <w:color w:val="000000"/>
          <w:sz w:val="20"/>
        </w:rPr>
        <w:t>for our required payments to Microsoft and Amazon Web Services for cloud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other non-cancellable purchase obligations of $26.1 million due in the next twelve months and $22.1 million due thereafter. Additionally, we had $8.3 million of unrecognized tax benefits and $1.4 million of asset retirement obligations, the timing of payments for which is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critical accounting estimates, assumptions and judgments that we believe have the most significant impact on our consolidated financial statements are described below.</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Identify the contract with a customer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Identify the performance obligations in the contract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Determine the transaction price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Allocate the transaction price to the performance obligations in the contract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Recognize revenue when or as performance obligations are satisfied</w:t>
      </w:r>
    </w:p>
    <w:p>
      <w:pPr>
        <w:pStyle w:val="TextBody"/>
        <w:bidi w:val="0"/>
        <w:spacing w:lineRule="auto" w:line="288" w:before="0" w:after="240"/>
        <w:ind w:left="0" w:right="0" w:firstLine="360"/>
        <w:jc w:val="left"/>
        <w:rPr>
          <w:rFonts w:ascii="Arial;sans-serif" w:hAnsi="Arial;sans-serif"/>
          <w:b w:val="false"/>
          <w:color w:val="24282D"/>
          <w:sz w:val="20"/>
        </w:rPr>
      </w:pPr>
      <w:r>
        <w:rPr>
          <w:rFonts w:ascii="Arial;sans-serif" w:hAnsi="Arial;sans-serif"/>
          <w:b w:val="false"/>
          <w:color w:val="24282D"/>
          <w:sz w:val="20"/>
        </w:rPr>
        <w:t xml:space="preserve">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generate revenue from subscription arrangements for our software and cloud-based solutions, perpetual licenses, maintenance associated with perpetual licenses and professional services and other revenue.</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Subscription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Perpetual License and Maintenance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Professional Services and Other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Contracts with Multiple Performance Obligations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Variable Consideration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Deferred Commissions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expense related to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Our performance stock units, or PSUs, vest over a period of 4 years and are subject to defined performance and service conditions. Our PSUs and RSUs that include performance-based vesting conditions are expensed using the accelerated attribution method. We account for forfeitures as they occur.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our RSUs, PSUs and restricted stock is based on the market price of our common stock on the date of grant. Estimating the fair value of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The assumptions and estimates are as follows:</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 xml:space="preserve">Fair Value of Common Stock. </w:t>
      </w:r>
      <w:r>
        <w:rPr>
          <w:rFonts w:ascii="Arial;sans-serif" w:hAnsi="Arial;sans-serif"/>
          <w:b w:val="false"/>
          <w:color w:val="000000"/>
          <w:sz w:val="20"/>
        </w:rPr>
        <w:t>See “Valuations” discussion below.</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Expected Term.</w:t>
      </w:r>
      <w:r>
        <w:rPr>
          <w:color w:val="000000"/>
        </w:rPr>
        <w:t xml:space="preserve"> </w:t>
      </w:r>
      <w:r>
        <w:rPr>
          <w:rFonts w:ascii="Arial;sans-serif" w:hAnsi="Arial;sans-serif"/>
          <w:b w:val="false"/>
          <w:color w:val="000000"/>
          <w:sz w:val="20"/>
        </w:rPr>
        <w:t>We use the actual purchase periods as the expected term in the 2018 ESPP.</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Volatility.</w:t>
      </w:r>
      <w:r>
        <w:rPr>
          <w:color w:val="000000"/>
        </w:rPr>
        <w:t xml:space="preserve"> </w:t>
      </w:r>
      <w:r>
        <w:rPr>
          <w:rFonts w:ascii="Arial;sans-serif" w:hAnsi="Arial;sans-serif"/>
          <w:b w:val="false"/>
          <w:color w:val="000000"/>
          <w:sz w:val="20"/>
        </w:rPr>
        <w:t>This is a measure of the amount by which a financial variable, such as a share price, has fluctuated (historical volatility) or is expected to fluctuate (expected volatility) during a period. We use the volatility of our common stock to calculate expected volatility for the 2018 ESPP.</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Risk-Free Interest Rate.</w:t>
      </w:r>
      <w:r>
        <w:rPr>
          <w:color w:val="000000"/>
        </w:rPr>
        <w:t xml:space="preserve"> </w:t>
      </w:r>
      <w:r>
        <w:rPr>
          <w:rFonts w:ascii="Arial;sans-serif" w:hAnsi="Arial;sans-serif"/>
          <w:b w:val="false"/>
          <w:color w:val="000000"/>
          <w:sz w:val="20"/>
        </w:rPr>
        <w:t>This is the U.S. Treasury rate, having a term that most closely resembles the expected remaining term of each offering of the 2018 ESPP.</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Dividend Yield</w:t>
      </w:r>
      <w:r>
        <w:rPr>
          <w:rFonts w:ascii="Arial;sans-serif" w:hAnsi="Arial;sans-serif"/>
          <w:b w:val="false"/>
          <w:color w:val="000000"/>
          <w:sz w:val="20"/>
        </w:rPr>
        <w:t>. We have not and do not expect to pay dividends on our common stock.</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Valuations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use the market price of our common stock at the date of grant as the fair value.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the 2018 ESPP purchase rights were estimated on the offering or modification dates based on the following assumptions:</w:t>
      </w:r>
    </w:p>
    <w:tbl>
      <w:tblPr>
        <w:tblW w:w="7824" w:type="dxa"/>
        <w:jc w:val="center"/>
        <w:tblInd w:w="0" w:type="dxa"/>
        <w:tblLayout w:type="fixed"/>
        <w:tblCellMar>
          <w:top w:w="28" w:type="dxa"/>
          <w:left w:w="28" w:type="dxa"/>
          <w:bottom w:w="28" w:type="dxa"/>
          <w:right w:w="28" w:type="dxa"/>
        </w:tblCellMar>
      </w:tblPr>
      <w:tblGrid>
        <w:gridCol w:w="819"/>
        <w:gridCol w:w="721"/>
        <w:gridCol w:w="725"/>
        <w:gridCol w:w="507"/>
        <w:gridCol w:w="507"/>
        <w:gridCol w:w="516"/>
        <w:gridCol w:w="154"/>
        <w:gridCol w:w="154"/>
        <w:gridCol w:w="154"/>
        <w:gridCol w:w="507"/>
        <w:gridCol w:w="507"/>
        <w:gridCol w:w="516"/>
        <w:gridCol w:w="154"/>
        <w:gridCol w:w="154"/>
        <w:gridCol w:w="154"/>
        <w:gridCol w:w="459"/>
        <w:gridCol w:w="459"/>
        <w:gridCol w:w="657"/>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46.9% — 58.1%</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42.8% — 61.0%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37.2% — 59.4%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 — 5.4%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val="false"/>
                <w:color w:val="000000"/>
                <w:sz w:val="20"/>
              </w:rPr>
              <w:t>0.1% — 3.4%</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0.1% — 0.2%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 income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costs are expensed as incurred.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See </w:t>
      </w:r>
      <w:hyperlink w:anchor="i8d95df87e60249c78a6b8cdac6111421_97">
        <w:r>
          <w:rPr>
            <w:rStyle w:val="InternetLink"/>
            <w:rFonts w:ascii="Arial;sans-serif" w:hAnsi="Arial;sans-serif"/>
            <w:b w:val="false"/>
            <w:color w:val="0000FF"/>
            <w:sz w:val="20"/>
            <w:u w:val="single"/>
          </w:rPr>
          <w:t>Note 1</w:t>
        </w:r>
      </w:hyperlink>
      <w:r>
        <w:rPr>
          <w:color w:val="000000"/>
        </w:rPr>
        <w:t xml:space="preserve"> </w:t>
      </w:r>
      <w:r>
        <w:rPr>
          <w:rFonts w:ascii="Arial;sans-serif" w:hAnsi="Arial;sans-serif"/>
          <w:b w:val="false"/>
          <w:color w:val="000000"/>
          <w:sz w:val="20"/>
        </w:rPr>
        <w:t>to our Consolidated Financial Statements in this Annual Report on Form 10-K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exposed to market risks in the ordinary course of our business, including interest rate, foreign currency exchange and inflation risks. </w:t>
      </w:r>
    </w:p>
    <w:p>
      <w:pPr>
        <w:pStyle w:val="TextBody"/>
        <w:bidi w:val="0"/>
        <w:spacing w:lineRule="auto" w:line="288" w:before="0" w:after="240"/>
        <w:ind w:left="0" w:right="0" w:firstLine="360"/>
        <w:jc w:val="left"/>
        <w:rPr/>
      </w:pPr>
      <w:r>
        <w:rPr>
          <w:rFonts w:ascii="Arial;sans-serif" w:hAnsi="Arial;sans-serif"/>
          <w:b/>
          <w:i/>
          <w:color w:val="000000"/>
          <w:sz w:val="20"/>
        </w:rPr>
        <w:t>Interest Rate Risk</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December 31, 2023, we had $237.1 million of cash and cash equivalents, which consisted of cash deposits and money market funds. We also had $236.8 million of short-term investments, which consisted of commercial paper, asset backed securities, certificates of deposit, U.S. treasury and agency securities and corporate and supranational bonds. Our investments are carried at their fair market values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the Credit Agreement comprised of a $375.0 million Term Loan and a $50.0 million Revolving Credit Facility. From January to December 2023, interest rates on our Term Loan have been between 7.16% and 8.21%. A one percentage point increase in the rate would increase 2024 interest expense by $2.7 million.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 xml:space="preserve">Foreign Currency Exchange Risk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and Indian Rupee. In 2023, the U.S. dollar strengthened compared to other currencies, which likely negatively impacted our international sales growth and lowered certain international operating expenses. Further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 </w:t>
      </w:r>
    </w:p>
    <w:p>
      <w:pPr>
        <w:pStyle w:val="TextBody"/>
        <w:bidi w:val="0"/>
        <w:spacing w:lineRule="auto" w:line="288" w:before="0" w:after="240"/>
        <w:ind w:left="0" w:right="0" w:firstLine="360"/>
        <w:jc w:val="left"/>
        <w:rPr/>
      </w:pPr>
      <w:r>
        <w:rPr>
          <w:rFonts w:ascii="Arial;sans-serif" w:hAnsi="Arial;sans-serif"/>
          <w:b/>
          <w:i/>
          <w:color w:val="000000"/>
          <w:sz w:val="20"/>
        </w:rPr>
        <w:t>Inflation Risk</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While we do not believe that inflation has had a material effect on our business, results of operations, or financial condition through December 31, 2023, our costs, specifically employee-related and third-party cloud infrastructure costs, may become subject to significant inflationary pressures, and our inability or failure to fully offset such higher costs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6015" w:type="dxa"/>
        <w:jc w:val="left"/>
        <w:tblInd w:w="0" w:type="dxa"/>
        <w:tblLayout w:type="fixed"/>
        <w:tblCellMar>
          <w:top w:w="28" w:type="dxa"/>
          <w:left w:w="28" w:type="dxa"/>
          <w:bottom w:w="28" w:type="dxa"/>
          <w:right w:w="28" w:type="dxa"/>
        </w:tblCellMar>
      </w:tblPr>
      <w:tblGrid>
        <w:gridCol w:w="1963"/>
        <w:gridCol w:w="1721"/>
        <w:gridCol w:w="1730"/>
        <w:gridCol w:w="176"/>
        <w:gridCol w:w="176"/>
        <w:gridCol w:w="249"/>
      </w:tblGrid>
      <w:tr>
        <w:trPr/>
        <w:tc>
          <w:tcPr>
            <w:tcW w:w="1963"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6">
              <w:r>
                <w:rPr>
                  <w:rStyle w:val="InternetLink"/>
                  <w:rFonts w:ascii="Arial;sans-serif" w:hAnsi="Arial;sans-serif"/>
                  <w:b w:val="false"/>
                  <w:color w:val="0000FF"/>
                  <w:sz w:val="20"/>
                  <w:u w:val="single"/>
                </w:rPr>
                <w:t>Reports of Independent Registered Public Accounting Firm</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6">
              <w:r>
                <w:rPr>
                  <w:rStyle w:val="InternetLink"/>
                  <w:rFonts w:ascii="Arial;sans-serif" w:hAnsi="Arial;sans-serif"/>
                  <w:b w:val="false"/>
                  <w:color w:val="0000FF"/>
                  <w:sz w:val="20"/>
                  <w:u w:val="single"/>
                </w:rPr>
                <w:t>72</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9">
              <w:r>
                <w:rPr>
                  <w:rStyle w:val="InternetLink"/>
                  <w:rFonts w:ascii="Arial;sans-serif" w:hAnsi="Arial;sans-serif"/>
                  <w:b w:val="false"/>
                  <w:color w:val="0000FF"/>
                  <w:sz w:val="20"/>
                  <w:u w:val="single"/>
                </w:rPr>
                <w:t>Financial Statements</w:t>
              </w:r>
            </w:hyperlink>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9">
              <w:r>
                <w:rPr>
                  <w:rStyle w:val="InternetLink"/>
                  <w:rFonts w:ascii="Arial;sans-serif" w:hAnsi="Arial;sans-serif"/>
                  <w:b w:val="false"/>
                  <w:color w:val="0000FF"/>
                  <w:sz w:val="20"/>
                  <w:u w:val="single"/>
                </w:rPr>
                <w:t>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79">
              <w:r>
                <w:rPr>
                  <w:rStyle w:val="InternetLink"/>
                  <w:rFonts w:ascii="Arial;sans-serif" w:hAnsi="Arial;sans-serif"/>
                  <w:b w:val="false"/>
                  <w:color w:val="0000FF"/>
                  <w:sz w:val="20"/>
                  <w:u w:val="single"/>
                </w:rPr>
                <w:t>76</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82">
              <w:r>
                <w:rPr>
                  <w:rStyle w:val="InternetLink"/>
                  <w:rFonts w:ascii="Arial;sans-serif" w:hAnsi="Arial;sans-serif"/>
                  <w:b w:val="false"/>
                  <w:color w:val="0000FF"/>
                  <w:sz w:val="20"/>
                  <w:u w:val="single"/>
                </w:rPr>
                <w:t>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82">
              <w:r>
                <w:rPr>
                  <w:rStyle w:val="InternetLink"/>
                  <w:rFonts w:ascii="Arial;sans-serif" w:hAnsi="Arial;sans-serif"/>
                  <w:b w:val="false"/>
                  <w:color w:val="0000FF"/>
                  <w:sz w:val="20"/>
                  <w:u w:val="single"/>
                </w:rPr>
                <w:t>77</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85">
              <w:r>
                <w:rPr>
                  <w:rStyle w:val="InternetLink"/>
                  <w:rFonts w:ascii="Arial;sans-serif" w:hAnsi="Arial;sans-serif"/>
                  <w:b w:val="false"/>
                  <w:color w:val="0000FF"/>
                  <w:sz w:val="20"/>
                  <w:u w:val="single"/>
                </w:rPr>
                <w:t>Consolidated Statements of Comprehensive Loss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85">
              <w:r>
                <w:rPr>
                  <w:rStyle w:val="InternetLink"/>
                  <w:rFonts w:ascii="Arial;sans-serif" w:hAnsi="Arial;sans-serif"/>
                  <w:b w:val="false"/>
                  <w:color w:val="0000FF"/>
                  <w:sz w:val="20"/>
                  <w:u w:val="single"/>
                </w:rPr>
                <w:t>78</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88">
              <w:r>
                <w:rPr>
                  <w:rStyle w:val="InternetLink"/>
                  <w:rFonts w:ascii="Arial;sans-serif" w:hAnsi="Arial;sans-serif"/>
                  <w:b w:val="false"/>
                  <w:color w:val="0000FF"/>
                  <w:sz w:val="20"/>
                  <w:u w:val="single"/>
                </w:rPr>
                <w:t>Consolidated Statements of Stockholders' Equity</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88">
              <w:r>
                <w:rPr>
                  <w:rStyle w:val="InternetLink"/>
                  <w:rFonts w:ascii="Arial;sans-serif" w:hAnsi="Arial;sans-serif"/>
                  <w:b w:val="false"/>
                  <w:color w:val="0000FF"/>
                  <w:sz w:val="20"/>
                  <w:u w:val="single"/>
                </w:rPr>
                <w:t>79</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91">
              <w:r>
                <w:rPr>
                  <w:rStyle w:val="InternetLink"/>
                  <w:rFonts w:ascii="Arial;sans-serif" w:hAnsi="Arial;sans-serif"/>
                  <w:b w:val="false"/>
                  <w:color w:val="0000FF"/>
                  <w:sz w:val="20"/>
                  <w:u w:val="single"/>
                </w:rPr>
                <w:t>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91">
              <w:r>
                <w:rPr>
                  <w:rStyle w:val="InternetLink"/>
                  <w:rFonts w:ascii="Arial;sans-serif" w:hAnsi="Arial;sans-serif"/>
                  <w:b w:val="false"/>
                  <w:color w:val="0000FF"/>
                  <w:sz w:val="20"/>
                  <w:u w:val="single"/>
                </w:rPr>
                <w:t>80</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94">
              <w:r>
                <w:rPr>
                  <w:rStyle w:val="InternetLink"/>
                  <w:rFonts w:ascii="Arial;sans-serif" w:hAnsi="Arial;sans-serif"/>
                  <w:b w:val="false"/>
                  <w:color w:val="0000FF"/>
                  <w:sz w:val="20"/>
                  <w:u w:val="single"/>
                </w:rPr>
                <w:t>Notes to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94">
              <w:r>
                <w:rPr>
                  <w:rStyle w:val="InternetLink"/>
                  <w:rFonts w:ascii="Arial;sans-serif" w:hAnsi="Arial;sans-serif"/>
                  <w:b w:val="false"/>
                  <w:color w:val="0000FF"/>
                  <w:sz w:val="20"/>
                  <w:u w:val="single"/>
                </w:rPr>
                <w:t>81</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97">
              <w:r>
                <w:rPr>
                  <w:rStyle w:val="InternetLink"/>
                  <w:rFonts w:ascii="Arial;sans-serif" w:hAnsi="Arial;sans-serif"/>
                  <w:b w:val="false"/>
                  <w:color w:val="0000FF"/>
                  <w:sz w:val="20"/>
                  <w:u w:val="single"/>
                </w:rPr>
                <w:t>1. Business and Summary of Significant Accounting Policies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97">
              <w:r>
                <w:rPr>
                  <w:rStyle w:val="InternetLink"/>
                  <w:rFonts w:ascii="Arial;sans-serif" w:hAnsi="Arial;sans-serif"/>
                  <w:b w:val="false"/>
                  <w:color w:val="0000FF"/>
                  <w:sz w:val="20"/>
                  <w:u w:val="single"/>
                </w:rPr>
                <w:t>81</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0">
              <w:r>
                <w:rPr>
                  <w:rStyle w:val="InternetLink"/>
                  <w:rFonts w:ascii="Arial;sans-serif" w:hAnsi="Arial;sans-serif"/>
                  <w:b w:val="false"/>
                  <w:color w:val="0000FF"/>
                  <w:sz w:val="20"/>
                  <w:u w:val="single"/>
                </w:rPr>
                <w:t>2. Revenue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0">
              <w:r>
                <w:rPr>
                  <w:rStyle w:val="InternetLink"/>
                  <w:rFonts w:ascii="Arial;sans-serif" w:hAnsi="Arial;sans-serif"/>
                  <w:b w:val="false"/>
                  <w:color w:val="0000FF"/>
                  <w:sz w:val="20"/>
                  <w:u w:val="single"/>
                </w:rPr>
                <w:t>87</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3">
              <w:r>
                <w:rPr>
                  <w:rStyle w:val="InternetLink"/>
                  <w:rFonts w:ascii="Arial;sans-serif" w:hAnsi="Arial;sans-serif"/>
                  <w:b w:val="false"/>
                  <w:color w:val="0000FF"/>
                  <w:sz w:val="20"/>
                  <w:u w:val="single"/>
                </w:rPr>
                <w:t>3. Cash Equivalents and Short-Term Investments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3">
              <w:r>
                <w:rPr>
                  <w:rStyle w:val="InternetLink"/>
                  <w:rFonts w:ascii="Arial;sans-serif" w:hAnsi="Arial;sans-serif"/>
                  <w:b w:val="false"/>
                  <w:color w:val="0000FF"/>
                  <w:sz w:val="20"/>
                  <w:u w:val="single"/>
                </w:rPr>
                <w:t>89</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6">
              <w:r>
                <w:rPr>
                  <w:rStyle w:val="InternetLink"/>
                  <w:rFonts w:ascii="Arial;sans-serif" w:hAnsi="Arial;sans-serif"/>
                  <w:b w:val="false"/>
                  <w:color w:val="0000FF"/>
                  <w:sz w:val="20"/>
                  <w:u w:val="single"/>
                </w:rPr>
                <w:t>4. Fair Value Measurements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6">
              <w:r>
                <w:rPr>
                  <w:rStyle w:val="InternetLink"/>
                  <w:rFonts w:ascii="Arial;sans-serif" w:hAnsi="Arial;sans-serif"/>
                  <w:b w:val="false"/>
                  <w:color w:val="0000FF"/>
                  <w:sz w:val="20"/>
                  <w:u w:val="single"/>
                </w:rPr>
                <w:t>90</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9">
              <w:r>
                <w:rPr>
                  <w:rStyle w:val="InternetLink"/>
                  <w:rFonts w:ascii="Arial;sans-serif" w:hAnsi="Arial;sans-serif"/>
                  <w:b w:val="false"/>
                  <w:color w:val="0000FF"/>
                  <w:sz w:val="20"/>
                  <w:u w:val="single"/>
                </w:rPr>
                <w:t>5. Property and Equipment, Net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09">
              <w:r>
                <w:rPr>
                  <w:rStyle w:val="InternetLink"/>
                  <w:rFonts w:ascii="Arial;sans-serif" w:hAnsi="Arial;sans-serif"/>
                  <w:b w:val="false"/>
                  <w:color w:val="0000FF"/>
                  <w:sz w:val="20"/>
                  <w:u w:val="single"/>
                </w:rPr>
                <w:t>91</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12">
              <w:r>
                <w:rPr>
                  <w:rStyle w:val="InternetLink"/>
                  <w:rFonts w:ascii="Arial;sans-serif" w:hAnsi="Arial;sans-serif"/>
                  <w:b w:val="false"/>
                  <w:color w:val="0000FF"/>
                  <w:sz w:val="20"/>
                  <w:u w:val="single"/>
                </w:rPr>
                <w:t>6. Acquisitions, Goodwill and Intangible Assets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12">
              <w:r>
                <w:rPr>
                  <w:rStyle w:val="InternetLink"/>
                  <w:rFonts w:ascii="Arial;sans-serif" w:hAnsi="Arial;sans-serif"/>
                  <w:b w:val="false"/>
                  <w:color w:val="0000FF"/>
                  <w:sz w:val="20"/>
                  <w:u w:val="single"/>
                </w:rPr>
                <w:t>91</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15">
              <w:r>
                <w:rPr>
                  <w:rStyle w:val="InternetLink"/>
                  <w:rFonts w:ascii="Arial;sans-serif" w:hAnsi="Arial;sans-serif"/>
                  <w:b w:val="false"/>
                  <w:color w:val="0000FF"/>
                  <w:sz w:val="20"/>
                  <w:u w:val="single"/>
                </w:rPr>
                <w:t>7. Leases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15">
              <w:r>
                <w:rPr>
                  <w:rStyle w:val="InternetLink"/>
                  <w:rFonts w:ascii="Arial;sans-serif" w:hAnsi="Arial;sans-serif"/>
                  <w:b w:val="false"/>
                  <w:color w:val="0000FF"/>
                  <w:sz w:val="20"/>
                  <w:u w:val="single"/>
                </w:rPr>
                <w:t>93</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18">
              <w:r>
                <w:rPr>
                  <w:rStyle w:val="InternetLink"/>
                  <w:rFonts w:ascii="Arial;sans-serif" w:hAnsi="Arial;sans-serif"/>
                  <w:b w:val="false"/>
                  <w:color w:val="0000FF"/>
                  <w:sz w:val="20"/>
                  <w:u w:val="single"/>
                </w:rPr>
                <w:t>8. Debt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18">
              <w:r>
                <w:rPr>
                  <w:rStyle w:val="InternetLink"/>
                  <w:rFonts w:ascii="Arial;sans-serif" w:hAnsi="Arial;sans-serif"/>
                  <w:b w:val="false"/>
                  <w:color w:val="0000FF"/>
                  <w:sz w:val="20"/>
                  <w:u w:val="single"/>
                </w:rPr>
                <w:t>94</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21">
              <w:r>
                <w:rPr>
                  <w:rStyle w:val="InternetLink"/>
                  <w:rFonts w:ascii="Arial;sans-serif" w:hAnsi="Arial;sans-serif"/>
                  <w:b w:val="false"/>
                  <w:color w:val="0000FF"/>
                  <w:sz w:val="20"/>
                  <w:u w:val="single"/>
                </w:rPr>
                <w:t>9. Commitments and Contingencies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21">
              <w:r>
                <w:rPr>
                  <w:rStyle w:val="InternetLink"/>
                  <w:rFonts w:ascii="Arial;sans-serif" w:hAnsi="Arial;sans-serif"/>
                  <w:b w:val="false"/>
                  <w:color w:val="0000FF"/>
                  <w:sz w:val="20"/>
                  <w:u w:val="single"/>
                </w:rPr>
                <w:t>95</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24">
              <w:r>
                <w:rPr>
                  <w:rStyle w:val="InternetLink"/>
                  <w:rFonts w:ascii="Arial;sans-serif" w:hAnsi="Arial;sans-serif"/>
                  <w:b w:val="false"/>
                  <w:color w:val="0000FF"/>
                  <w:sz w:val="20"/>
                  <w:u w:val="single"/>
                </w:rPr>
                <w:t>10. Stock-Based Compensation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24">
              <w:r>
                <w:rPr>
                  <w:rStyle w:val="InternetLink"/>
                  <w:rFonts w:ascii="Arial;sans-serif" w:hAnsi="Arial;sans-serif"/>
                  <w:b w:val="false"/>
                  <w:color w:val="0000FF"/>
                  <w:sz w:val="20"/>
                  <w:u w:val="single"/>
                </w:rPr>
                <w:t>96</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27">
              <w:r>
                <w:rPr>
                  <w:rStyle w:val="InternetLink"/>
                  <w:rFonts w:ascii="Arial;sans-serif" w:hAnsi="Arial;sans-serif"/>
                  <w:b w:val="false"/>
                  <w:color w:val="0000FF"/>
                  <w:sz w:val="20"/>
                  <w:u w:val="single"/>
                </w:rPr>
                <w:t>11. Income Taxes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27">
              <w:r>
                <w:rPr>
                  <w:rStyle w:val="InternetLink"/>
                  <w:rFonts w:ascii="Arial;sans-serif" w:hAnsi="Arial;sans-serif"/>
                  <w:b w:val="false"/>
                  <w:color w:val="0000FF"/>
                  <w:sz w:val="20"/>
                  <w:u w:val="single"/>
                </w:rPr>
                <w:t>99</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0">
              <w:r>
                <w:rPr>
                  <w:rStyle w:val="InternetLink"/>
                  <w:rFonts w:ascii="Arial;sans-serif" w:hAnsi="Arial;sans-serif"/>
                  <w:b w:val="false"/>
                  <w:color w:val="0000FF"/>
                  <w:sz w:val="20"/>
                  <w:u w:val="single"/>
                </w:rPr>
                <w:t>12. Net Loss Per Share</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0">
              <w:r>
                <w:rPr>
                  <w:rStyle w:val="InternetLink"/>
                  <w:rFonts w:ascii="Arial;sans-serif" w:hAnsi="Arial;sans-serif"/>
                  <w:b w:val="false"/>
                  <w:color w:val="0000FF"/>
                  <w:sz w:val="20"/>
                  <w:u w:val="single"/>
                </w:rPr>
                <w:t>102</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3">
              <w:r>
                <w:rPr>
                  <w:rStyle w:val="InternetLink"/>
                  <w:rFonts w:ascii="Arial;sans-serif" w:hAnsi="Arial;sans-serif"/>
                  <w:b w:val="false"/>
                  <w:color w:val="0000FF"/>
                  <w:sz w:val="20"/>
                  <w:u w:val="single"/>
                </w:rPr>
                <w:t>13. Geographic Information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3">
              <w:r>
                <w:rPr>
                  <w:rStyle w:val="InternetLink"/>
                  <w:rFonts w:ascii="Arial;sans-serif" w:hAnsi="Arial;sans-serif"/>
                  <w:b w:val="false"/>
                  <w:color w:val="0000FF"/>
                  <w:sz w:val="20"/>
                  <w:u w:val="single"/>
                </w:rPr>
                <w:t>103</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6">
              <w:r>
                <w:rPr>
                  <w:rStyle w:val="InternetLink"/>
                  <w:rFonts w:ascii="Arial;sans-serif" w:hAnsi="Arial;sans-serif"/>
                  <w:b w:val="false"/>
                  <w:color w:val="0000FF"/>
                  <w:sz w:val="20"/>
                  <w:u w:val="single"/>
                </w:rPr>
                <w:t>14. Benefit Plans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36">
              <w:r>
                <w:rPr>
                  <w:rStyle w:val="InternetLink"/>
                  <w:rFonts w:ascii="Arial;sans-serif" w:hAnsi="Arial;sans-serif"/>
                  <w:b w:val="false"/>
                  <w:color w:val="0000FF"/>
                  <w:sz w:val="20"/>
                  <w:u w:val="single"/>
                </w:rPr>
                <w:t>103</w:t>
              </w:r>
            </w:hyperlink>
          </w:p>
        </w:tc>
      </w:tr>
    </w:tbl>
    <w:p>
      <w:pPr>
        <w:pStyle w:val="TextBody"/>
        <w:bidi w:val="0"/>
        <w:spacing w:before="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the Stockholders and the Board of Directors of Tenable Holdings, Inc.</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Tenable Holdings, Inc. (the Company) as of December 31, 2023 and 2022, the related consolidated statements of operations, comprehensive loss, stockholders' equity and cash flows for each of the three years in the period ended December 31, 2023,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488"/>
        <w:gridCol w:w="429"/>
        <w:gridCol w:w="430"/>
        <w:gridCol w:w="2592"/>
        <w:gridCol w:w="2592"/>
        <w:gridCol w:w="367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i/>
                <w:color w:val="000000"/>
                <w:sz w:val="20"/>
              </w:rPr>
            </w:pPr>
            <w:r>
              <w:rPr>
                <w:rFonts w:ascii="Arial;sans-serif" w:hAnsi="Arial;sans-serif"/>
                <w:b/>
                <w:i/>
                <w:color w:val="000000"/>
                <w:sz w:val="20"/>
              </w:rPr>
              <w:t>Revenue Recognition – Identification and Evaluation of Contracts with Non-Standard Terms and Conditions</w:t>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5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24282D"/>
                <w:sz w:val="20"/>
              </w:rPr>
            </w:pPr>
            <w:r>
              <w:rPr>
                <w:rFonts w:ascii="Arial;sans-serif" w:hAnsi="Arial;sans-serif"/>
                <w:b w:val="false"/>
                <w:color w:val="24282D"/>
                <w:sz w:val="20"/>
              </w:rPr>
              <w:t>As described in Note 1 to the consolidated financial statements, management enters into certain contracts with customers, including software subscription arrangements and perpetual licenses with related maintenance, with non-standard terms and conditions.</w:t>
            </w:r>
          </w:p>
          <w:p>
            <w:pPr>
              <w:pStyle w:val="TableContents"/>
              <w:bidi w:val="0"/>
              <w:spacing w:lineRule="auto" w:line="288" w:before="0" w:after="0"/>
              <w:jc w:val="left"/>
              <w:rPr>
                <w:rFonts w:ascii="Arial;sans-serif" w:hAnsi="Arial;sans-serif"/>
                <w:b w:val="false"/>
                <w:color w:val="24282D"/>
                <w:sz w:val="20"/>
              </w:rPr>
            </w:pPr>
            <w:r>
              <w:rPr>
                <w:rFonts w:ascii="Arial;sans-serif" w:hAnsi="Arial;sans-serif"/>
                <w:b w:val="false"/>
                <w:color w:val="24282D"/>
                <w:sz w:val="20"/>
              </w:rPr>
              <w:t>Performing procedures relating to the identification and evaluation of non-standard terms and conditions in contracts is a critical audit matter because there is a significant amount of judgment required by management in identifying and evaluating non-standard terms and conditions and determining the impact of such terms and conditions on the amount and timing of revenue recognition. Accordingly, there is significant auditor judgment and significant audit effort in performing our audit procedures to evaluate whether non-standard terms and conditions in contracts were appropriately identified and evaluated by management.</w:t>
            </w:r>
          </w:p>
          <w:p>
            <w:pPr>
              <w:pStyle w:val="TableContents"/>
              <w:bidi w:val="0"/>
              <w:spacing w:before="0" w:after="0"/>
              <w:jc w:val="left"/>
              <w:rPr/>
            </w:pPr>
            <w:r>
              <w:rPr/>
            </w:r>
          </w:p>
          <w:p>
            <w:pPr>
              <w:pStyle w:val="TableContents"/>
              <w:bidi w:val="0"/>
              <w:spacing w:before="0" w:after="0"/>
              <w:jc w:val="left"/>
              <w:rPr/>
            </w:pPr>
            <w:r>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5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i/>
                <w:color w:val="000000"/>
                <w:sz w:val="20"/>
              </w:rPr>
            </w:pPr>
            <w:r>
              <w:rPr>
                <w:rFonts w:ascii="Arial;sans-serif" w:hAnsi="Arial;sans-serif"/>
                <w:b/>
                <w:i/>
                <w:color w:val="000000"/>
                <w:sz w:val="20"/>
              </w:rPr>
              <w:t>Valuation of Acquired Developed Technology Intangible Assets</w:t>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85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described in Note 6 to the consolidated financial statements, during the year ended December 31, 2023, the Company completed the acquisition of Ermetic Ltd. (“Ermetic”) for $243.8 million, net of cash acquired. The Company’s accounting for the acquisition included determining the fair value of the acquired intangible assets using an income approach, including developed technology of $45.5 million. Auditing the accounting for the valuation of the acquired developed technology involved complex auditor judgment due to the estimation required in management’s determination of the fair value. The estimation was significant primarily due to the sensitivity of the fair value of the developed technology to the underlying assumptions, including the projected revenue growth rates, the discount rate and the obsolescence factor. These significant assumptions are forward-looking and could be affected by future economic and market conditions.</w:t>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85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obtained an understanding, evaluated the design and tested the operating effectiveness of controls over the Company’s process for accounting for the valuation of the acquired developed technology. For example, we tested controls over management’s review of the valuation models and significant assumptions used in determining the fair value of the acquired developed technology as well as controls over the completeness and accuracy of the data used in the models and assumptions.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test the fair value of the acquired developed technology, our audit procedures included, among others, evaluating the Company's valuation methodology used, significant assumptions, and significant aspects of prospective financial information and testing the completeness and accuracy of underlying data. We involved our valuation specialists to assist in testing the valuation of the acquired developed technology. For example, we compared the significant assumptions to current industry and market trends and to other relevant factors. We also performed sensitivity analyses of the significant assumptions to evaluate the change in the fair value resulting from changes in the assumptions.</w:t>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We have served as the Company’s auditor since 2014</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Baltimore, Maryland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February 28,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240"/>
        <w:jc w:val="left"/>
        <w:rPr>
          <w:rFonts w:ascii="Arial;sans-serif" w:hAnsi="Arial;sans-serif"/>
          <w:b w:val="false"/>
          <w:color w:val="212529"/>
          <w:sz w:val="20"/>
          <w:shd w:fill="FFFFFF" w:val="clear"/>
        </w:rPr>
      </w:pPr>
      <w:r>
        <w:rPr>
          <w:rFonts w:ascii="Arial;sans-serif" w:hAnsi="Arial;sans-serif"/>
          <w:b w:val="false"/>
          <w:color w:val="212529"/>
          <w:sz w:val="20"/>
          <w:shd w:fill="FFFFFF" w:val="clear"/>
        </w:rPr>
        <w:t>To the Stockholders and Board of Directors of Tenable Holdings, Inc.</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audited Tenable Holdings, Inc.’s internal control over financial reporting as of December 31, 2023,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2023, based on the COSO criteria.</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indicated in the accompanying Management’s Report on Internal Control Over Financial Reporting, management’s assessment of and conclusion on the effectiveness of internal control over financial reporting did not include the internal controls of Ermetic Ltd., which is included in the 2023 consolidated financial statements of the Company and constituted 4% of total assets as of December 31, 2023 and less than 1% and 2% of revenues and operating expenses, respectively, for the year then ended. Our audit of internal control over financial reporting of the Company also did not include an evaluation of the internal control over financial reporting of Ermetic Ltd.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loss, stockholders' equity and cash flows for each of the three years in the period ended December 31, 2023, and the related notes and the financial statement schedule listed in the Index at Item 15(a)(2) and our report dated February 28, 2024 expressed an unqualified opinion thereon.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Baltimore, Maryland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707"/>
        <w:gridCol w:w="2214"/>
        <w:gridCol w:w="2228"/>
        <w:gridCol w:w="211"/>
        <w:gridCol w:w="1021"/>
        <w:gridCol w:w="109"/>
        <w:gridCol w:w="109"/>
        <w:gridCol w:w="109"/>
        <w:gridCol w:w="109"/>
        <w:gridCol w:w="211"/>
        <w:gridCol w:w="1021"/>
        <w:gridCol w:w="156"/>
      </w:tblGrid>
      <w:tr>
        <w:trPr/>
        <w:tc>
          <w:tcPr>
            <w:tcW w:w="270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Assets </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 of $470 and $1,400 at December 31, 2023 and 2022,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assets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857,167 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Property and equipment, net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assets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1,439,530 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liabilities: </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liabilities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584,160 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revenue (net of current portion)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liabilities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liabilities </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1,168,664 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Arial;sans-serif" w:hAnsi="Arial;sans-serif"/>
                <w:b w:val="false"/>
                <w:color w:val="000000"/>
                <w:sz w:val="20"/>
              </w:rPr>
            </w:pPr>
            <w:r>
              <w:rPr>
                <w:rFonts w:ascii="Arial;sans-serif" w:hAnsi="Arial;sans-serif"/>
                <w:b w:val="false"/>
                <w:color w:val="000000"/>
                <w:sz w:val="20"/>
              </w:rPr>
              <w:t>Common stock (par value: $0.01; 500,000 shares authorized, 117,504 and 113,056 shares issued at December 31, 2023 and 2022,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356 and 0 shares at December 31, 2023 and 2022,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(746,751)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270,866 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1,439,530 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2243"/>
        <w:gridCol w:w="1862"/>
        <w:gridCol w:w="1872"/>
        <w:gridCol w:w="211"/>
        <w:gridCol w:w="856"/>
        <w:gridCol w:w="109"/>
        <w:gridCol w:w="109"/>
        <w:gridCol w:w="109"/>
        <w:gridCol w:w="109"/>
        <w:gridCol w:w="211"/>
        <w:gridCol w:w="856"/>
        <w:gridCol w:w="109"/>
        <w:gridCol w:w="109"/>
        <w:gridCol w:w="109"/>
        <w:gridCol w:w="109"/>
        <w:gridCol w:w="211"/>
        <w:gridCol w:w="856"/>
        <w:gridCol w:w="155"/>
      </w:tblGrid>
      <w:tr>
        <w:trPr/>
        <w:tc>
          <w:tcPr>
            <w:tcW w:w="224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(benefit)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loss per share, basic and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106,387 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CONSOLIDATED STATEMENTS OF COMPREHENSIVE LOSS</w:t>
      </w:r>
    </w:p>
    <w:tbl>
      <w:tblPr>
        <w:tblW w:w="9101" w:type="dxa"/>
        <w:jc w:val="center"/>
        <w:tblInd w:w="0" w:type="dxa"/>
        <w:tblLayout w:type="fixed"/>
        <w:tblCellMar>
          <w:top w:w="28" w:type="dxa"/>
          <w:left w:w="28" w:type="dxa"/>
          <w:bottom w:w="28" w:type="dxa"/>
          <w:right w:w="28" w:type="dxa"/>
        </w:tblCellMar>
      </w:tblPr>
      <w:tblGrid>
        <w:gridCol w:w="1815"/>
        <w:gridCol w:w="1592"/>
        <w:gridCol w:w="1602"/>
        <w:gridCol w:w="211"/>
        <w:gridCol w:w="811"/>
        <w:gridCol w:w="109"/>
        <w:gridCol w:w="109"/>
        <w:gridCol w:w="109"/>
        <w:gridCol w:w="109"/>
        <w:gridCol w:w="211"/>
        <w:gridCol w:w="811"/>
        <w:gridCol w:w="109"/>
        <w:gridCol w:w="109"/>
        <w:gridCol w:w="109"/>
        <w:gridCol w:w="109"/>
        <w:gridCol w:w="211"/>
        <w:gridCol w:w="811"/>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(losses) on available-for-sale securities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CONSOLIDATED STATEMENTS OF STOCKHOLDERS' EQUITY</w:t>
      </w:r>
    </w:p>
    <w:tbl>
      <w:tblPr>
        <w:tblW w:w="10888" w:type="dxa"/>
        <w:jc w:val="left"/>
        <w:tblInd w:w="0" w:type="dxa"/>
        <w:tblLayout w:type="fixed"/>
        <w:tblCellMar>
          <w:top w:w="28" w:type="dxa"/>
          <w:left w:w="28" w:type="dxa"/>
          <w:bottom w:w="28" w:type="dxa"/>
          <w:right w:w="28" w:type="dxa"/>
        </w:tblCellMar>
      </w:tblPr>
      <w:tblGrid>
        <w:gridCol w:w="526"/>
        <w:gridCol w:w="408"/>
        <w:gridCol w:w="312"/>
        <w:gridCol w:w="368"/>
        <w:gridCol w:w="368"/>
        <w:gridCol w:w="233"/>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416"/>
        <w:gridCol w:w="702"/>
        <w:gridCol w:w="233"/>
        <w:gridCol w:w="109"/>
        <w:gridCol w:w="109"/>
        <w:gridCol w:w="109"/>
        <w:gridCol w:w="214"/>
        <w:gridCol w:w="822"/>
        <w:gridCol w:w="120"/>
        <w:gridCol w:w="109"/>
        <w:gridCol w:w="109"/>
        <w:gridCol w:w="109"/>
        <w:gridCol w:w="216"/>
        <w:gridCol w:w="813"/>
        <w:gridCol w:w="172"/>
      </w:tblGrid>
      <w:tr>
        <w:trPr/>
        <w:tc>
          <w:tcPr>
            <w:tcW w:w="52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2020</w:t>
            </w:r>
          </w:p>
        </w:tc>
        <w:tc>
          <w:tcPr>
            <w:tcW w:w="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(607,852)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150,665 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18,268 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13,736 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2021</w:t>
            </w:r>
          </w:p>
        </w:tc>
        <w:tc>
          <w:tcPr>
            <w:tcW w:w="96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108,929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869,059 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23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(654,529)</w:t>
            </w:r>
          </w:p>
        </w:tc>
        <w:tc>
          <w:tcPr>
            <w:tcW w:w="12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215,313 </w:t>
            </w:r>
          </w:p>
        </w:tc>
        <w:tc>
          <w:tcPr>
            <w:tcW w:w="17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2,510 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122,308 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(92,222)</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(92,222)</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(746,751)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270,866 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performance stock units</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restricted stock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16,224 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replacement equity attributable to pre-acquisition service</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1,389 </w:t>
            </w:r>
          </w:p>
        </w:tc>
        <w:tc>
          <w:tcPr>
            <w:tcW w:w="23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1,389 </w:t>
            </w:r>
          </w:p>
        </w:tc>
        <w:tc>
          <w:tcPr>
            <w:tcW w:w="17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736" w:type="dxa"/>
            <w:gridSpan w:val="2"/>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117,504 </w:t>
            </w:r>
          </w:p>
        </w:tc>
        <w:tc>
          <w:tcPr>
            <w:tcW w:w="23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1,185,100 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(14,934)</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3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(825,035)</w:t>
            </w:r>
          </w:p>
        </w:tc>
        <w:tc>
          <w:tcPr>
            <w:tcW w:w="12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346,344 </w:t>
            </w:r>
          </w:p>
        </w:tc>
        <w:tc>
          <w:tcPr>
            <w:tcW w:w="172"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23"/>
        <w:gridCol w:w="1920"/>
        <w:gridCol w:w="1923"/>
        <w:gridCol w:w="211"/>
        <w:gridCol w:w="826"/>
        <w:gridCol w:w="109"/>
        <w:gridCol w:w="109"/>
        <w:gridCol w:w="109"/>
        <w:gridCol w:w="109"/>
        <w:gridCol w:w="211"/>
        <w:gridCol w:w="826"/>
        <w:gridCol w:w="109"/>
        <w:gridCol w:w="109"/>
        <w:gridCol w:w="109"/>
        <w:gridCol w:w="109"/>
        <w:gridCol w:w="211"/>
        <w:gridCol w:w="826"/>
        <w:gridCol w:w="156"/>
      </w:tblGrid>
      <w:tr>
        <w:trPr/>
        <w:tc>
          <w:tcPr>
            <w:tcW w:w="2223"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accretion of discounts and amortization of premiums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other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expenses and 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other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combinations,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(258,465)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facility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issued in connection with the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Cash and cash equivalents and restricted cash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 net of refunds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cash flow information related to leases: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 xml:space="preserve">1. Business and Summary of Significant Accounting Policies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Business Description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Tenable Holdings, Inc. (the “Company,” “we,” "us," or “our”) is a provider of exposure management solutions, which is an effective discipline for managing, measuring and comparing cybersecurity risk in today's complex IT environments. Our solutions provide broad visibility into security issues such as vulnerabilities, misconfigurations, internal and regulatory compliance violations and other indicators of the state of an organization’s security across IT infrastructure and applications, cloud environments, Active Directory and industrial internet of things and operational technology environments.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$3.1 million, $4.8 million and $1.9 million in 2023, 2022 and 2021, respectively, and are included as a component of other expense, net in the consolidated statements of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We recognize revenue in order to depict the transfer of promised goods or services to customers in an amount that reflects the consideration we expect to be entitled in exchange for those goods or services. To achieve this, we apply the following steps: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Identify the contract with a customer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Identify the performance obligations in the contract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Determine the transaction price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Allocate the transaction price to the performance obligations in the contract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Recognize revenue when or as performance obligations are satisfied</w:t>
      </w:r>
    </w:p>
    <w:p>
      <w:pPr>
        <w:pStyle w:val="TextBody"/>
        <w:bidi w:val="0"/>
        <w:spacing w:lineRule="auto" w:line="288" w:before="0" w:after="240"/>
        <w:ind w:left="0" w:right="0" w:firstLine="360"/>
        <w:jc w:val="left"/>
        <w:rPr>
          <w:rFonts w:ascii="Arial;sans-serif" w:hAnsi="Arial;sans-serif"/>
          <w:b w:val="false"/>
          <w:color w:val="24282D"/>
          <w:sz w:val="20"/>
        </w:rPr>
      </w:pPr>
      <w:r>
        <w:rPr>
          <w:rFonts w:ascii="Arial;sans-serif" w:hAnsi="Arial;sans-serif"/>
          <w:b w:val="false"/>
          <w:color w:val="24282D"/>
          <w:sz w:val="20"/>
        </w:rPr>
        <w:t xml:space="preserve">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pStyle w:val="TextBody"/>
        <w:bidi w:val="0"/>
        <w:spacing w:lineRule="auto" w:line="288" w:before="0" w:after="240"/>
        <w:ind w:left="0" w:right="0" w:firstLine="360"/>
        <w:jc w:val="left"/>
        <w:rPr/>
      </w:pPr>
      <w:r>
        <w:rPr>
          <w:rFonts w:ascii="Arial;sans-serif" w:hAnsi="Arial;sans-serif"/>
          <w:b w:val="false"/>
          <w:i/>
          <w:color w:val="000000"/>
          <w:sz w:val="20"/>
        </w:rPr>
        <w:t>Subscription Revenue</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Perpetual License and Maintenance Revenue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While we believe that the estimates we have made are reasonable and appropriate, different assumptions and estimates could materially impact our reported financial results.</w:t>
      </w:r>
    </w:p>
    <w:p>
      <w:pPr>
        <w:pStyle w:val="TextBody"/>
        <w:bidi w:val="0"/>
        <w:spacing w:lineRule="auto" w:line="288" w:before="0" w:after="240"/>
        <w:ind w:left="0" w:right="0" w:firstLine="360"/>
        <w:jc w:val="left"/>
        <w:rPr/>
      </w:pPr>
      <w:r>
        <w:rPr>
          <w:rFonts w:ascii="Arial;sans-serif" w:hAnsi="Arial;sans-serif"/>
          <w:b w:val="false"/>
          <w:i/>
          <w:color w:val="000000"/>
          <w:sz w:val="20"/>
        </w:rPr>
        <w:t>Professional Services and Other Revenue</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 </w:t>
      </w:r>
    </w:p>
    <w:p>
      <w:pPr>
        <w:pStyle w:val="TextBody"/>
        <w:bidi w:val="0"/>
        <w:spacing w:lineRule="auto" w:line="288" w:before="0" w:after="240"/>
        <w:ind w:left="0" w:right="0" w:firstLine="360"/>
        <w:jc w:val="left"/>
        <w:rPr/>
      </w:pPr>
      <w:r>
        <w:rPr>
          <w:rFonts w:ascii="Arial;sans-serif" w:hAnsi="Arial;sans-serif"/>
          <w:b w:val="false"/>
          <w:i/>
          <w:color w:val="000000"/>
          <w:sz w:val="20"/>
        </w:rPr>
        <w:t>Contracts with Multiple Performance Obligations</w:t>
      </w:r>
      <w:r>
        <w:rPr>
          <w:color w:val="000000"/>
        </w:rPr>
        <w:t xml:space="preserv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 </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Variable Consideration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record revenue from sales at the net sales price, which is the transaction price, including estimates of variable consideration when applicable. Certain of our customers may be entitled to receive credits and in limited circumstances, refunds, if service level commitments are not met. We have not historically experienced significant incidents affecting the ability to meet these service level commitments and any estimated refunds related to these agreements have not been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Sales through our channel network of distributors and resellers are generally discounted as compared to the price that we would sell to an end user. Revenue for sales through our channel network is recorded net of any distributor or reseller margin.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consider all highly liquid financial instruments with an original maturity of three months or less when purchased to be cash equivalents.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and 2022, cash and cash equivalents included $5.8 million of restricted cash primarily related to collateral for outstanding letters of credit.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Short-term Investments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short-term investments include asset backed securities, certificates of deposit, commercial paper, corporate and supranational bonds, and U.S. treasury and agency obligations. Our investments are classified as available-for-sale and recorded at fair value, with unrealized gains and losses reported in accumulated other comprehensive income (loss) within stockholders’ equity.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Other Investments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other investments consist of non-marketable simple agreements for future equity ("SAFE") investments with privately held companies. These SAFE investments convert our investment value into preferred stock of the issuer upon a future equity financing or give us the right to redeem the investments upon a dissolution or liquidity event in the form of cash or common stock, and include customary investor protections and incentives, including information rights, pro-rata rights to participate in subsequent equity financings, and a right of first notice in the event of a potential acquisition of the issuer. We have elected to apply the measurement alternative and record these SAFE investments at cost, less any impairment, plus or minus observable price changes for similar investments of the same issuer. At December 31, 2023 and 2022, we had $9.4 million and $15.0 million, respectively, which are included in other assets on our consolidated balance sheets. In 2023, we identified impairment indicators for two of our SAFE investments and determined our investments were impaired, resulting in an impairment loss of $5.6 million that was recorded in other expense, net on our consolidated statement of operations. No material events impacted the carrying value of our SAFE investments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these estimates may change and future credit losses may differ from our estimates. Expected credit losses from accounts receivable are recognized as expense in our statement of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Deferred Commissions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 net includes right-of-use assets acquired under finance leases. Amortization of assets acquired under finance leases is included in depreciation expense. Repairs and maintenance costs are expensed as incurred.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and lease liability when it is reasonably certain we will exercise that option. An option to terminate is considered unless it is reasonably certain we will not exercise the option.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Lease expense for lease payments is recognized on a straight-line basis over the term of the lease.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2023, 2022 or 2021.</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determine the fair value of acquired technology using the multi-period excess earnings method, a form of the income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costs are expensed as incurred.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authorized 500,000,000 shares of common stock and 10,000,000 shares of preferred stock. There were no shares of preferred stock issued or outstanding at December 31, 2023 or 2022. 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Treasury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our Board of Directors authorized the repurchase of up to $100 million of our common stock. We account for purchases of treasury stock under the cost method. Shares are held for future issuance and not retired. In 2023, we purchased 356,240 shares for $14.9 million. The remaining amount available under the stock repurchase program was $85.1 million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expense related to restricted stock units ("RSUs"), purchase rights issued under our 2018 Employee Stock Purchase Plan ("2018 ESPP"), stock options and restricted stock is calculated based on the fair value of the awards granted and is recognized on a straight-line basis over the requisite service period, which is generally two to four years. Our performance stock units ("PSUs") vest over a period of 4 years and are subject to defined performance and service conditions. Our PSUs are expensed using the accelerated attribution method. We account for forfeitures as they occur.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RSUs, PSUs and restricted stock is based on the market price of our common stock on the date of grant. The fair value of 2018 ESPP purchase rights is estimated on the grant date using the Black-Scholes option pricing model, which requires us to make assumptions and judgments, including the expected term, expected volatility, and risk-free interest rates. We use the market price of our common stock at the date of grant.</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Advertising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Advertising costs are expensed as they are incurred. We incurred advertising costs of $16.2 million in 2023 and $13.6 million in each of 2022 and 2021, which are included in sales and marketing expense in the consolidated statements of operations.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Software Development Costs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2023, 2022 and 2021, we capitalized $8.8 million, $11.5 million and $2.9 million of development costs related to internal use software, including capitalized stock-based compensation of $1.7 million, $1.7 million, and $0.2 million, respectively.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Restructuring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Restructuring expenses consist of non-ordinary course severance, employee related benefits and other charges. The $4.5 million in restructuring expense relates to the optimization of our go-to-market efforts, including reducing our reliance on sales specialists and streamlining layers of management. These changes to our go-to-market and supporting functions resulted in a 5% reduction in our work force.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calculate basic net loss per share by dividing the net loss by the weighted-average number of shares of common stock outstanding during the period.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Diluted earnings per share is computed by giving effect to all potentially dilutive common stock equivalents in the period, including unvested RSUs, PSUs, stock options, unvested restricted shares and shares to be issued under our 2018 ESPP. As we have reported losses for all periods presented, all potentially dilutive securities have been excluded from the calculation of diluted net loss per share as their effect would be antidilutive.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operate as one operating segment as our chief executive officer, who is our chief operating decision maker,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reviews financial information on a consolidated basis for purposes of making operating decisions, allocating resources, and evaluating financial performance.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recognize tax benefits from an uncertain tax position if it is more likely than not to be sustained upon audit by the relevant taxing authority. Interest and penalties associated with such uncertain tax positions are classified as a component of income tax expense.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the Financial Accounting Standards Board (“FASB”) issued ASU 2023-07 - Segment Reporting (Topic 280): Improvements to Reportable Segment Disclosures, which requires public entities with a single reportable segment to provide all the disclosures required by this standard and all existing segment disclosures in Topic 280 on an interim and annual basis, including new requirements to disclose significant segment expenses that are regularly provided to the CODM and included within the reported measure(s) of a segment's profit or loss, the amount and composition of any other segment items, the title and position of the CODM, and how the CODM uses the reported measure(s) of a segment's profit or loss to assess performance and decide how to allocate resources. The guidance is effective for our annual period beginning January 1, 2025, and interim periods thereafter, applied retrospectively with early adoption permitted. We are currently evaluating the impact of adoption of this standard on our consolidated financial statements and disclosures.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the FASB issued ASU 2023-09 - Income Taxes (Topic 740): Improvements to Income Tax Disclosures, which requires public entities to provide greater disaggregation within their annual rate reconciliation, including new requirements to present reconciling items on a gross basis in specified categories, disclose both percentages and dollar amounts, and disaggregate individual reconciling items by jurisdiction and nature when the effect of the items meet a quantitative threshold. The guidance also requires disaggregating the annual disclosure of income taxes paid, net of refunds received, by federal (national), state, and foreign taxes, with separate presentation of individual jurisdictions that meet a quantitative threshold. The guidance is effective for our annual periods beginning January 1, 2025 on a prospective basis, with a retrospective option, and early adoption is permitted. We are currently evaluating the impact of adoption of this standard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2. Revenue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a summary of revenue:</w:t>
      </w:r>
    </w:p>
    <w:tbl>
      <w:tblPr>
        <w:tblW w:w="8142" w:type="dxa"/>
        <w:jc w:val="left"/>
        <w:tblInd w:w="0" w:type="dxa"/>
        <w:tblLayout w:type="fixed"/>
        <w:tblCellMar>
          <w:top w:w="28" w:type="dxa"/>
          <w:left w:w="28" w:type="dxa"/>
          <w:bottom w:w="28" w:type="dxa"/>
          <w:right w:w="28" w:type="dxa"/>
        </w:tblCellMar>
      </w:tblPr>
      <w:tblGrid>
        <w:gridCol w:w="1419"/>
        <w:gridCol w:w="1247"/>
        <w:gridCol w:w="1249"/>
        <w:gridCol w:w="211"/>
        <w:gridCol w:w="856"/>
        <w:gridCol w:w="109"/>
        <w:gridCol w:w="109"/>
        <w:gridCol w:w="109"/>
        <w:gridCol w:w="109"/>
        <w:gridCol w:w="211"/>
        <w:gridCol w:w="856"/>
        <w:gridCol w:w="109"/>
        <w:gridCol w:w="109"/>
        <w:gridCol w:w="109"/>
        <w:gridCol w:w="109"/>
        <w:gridCol w:w="211"/>
        <w:gridCol w:w="85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Concentrations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93% of revenue in 2023 and 92% of revenue in 2022 and 2021. One of our distributors accounted for 36%, 38% and 39% of revenue in 2023, 2022 and 2021, respectively. That same distributor accounted for 32% and 36% of accounts receivable at December 31, 2023 and 2022, respectively.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2023, 2022 and 2021, we recognized revenue of $502.8 million, $407.5 million and $329.0 million, respectively, that was included in the deferred revenue balance at the beginning of each of the respective periods.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Remaining Performance Obligations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the future estimated revenue related to unsatisfied performance obligations was $775.0 million, of which $595.1 million is expected to be recognized as revenue over the next twelve months, and the remainder is expected to be recognized over the four years thereafter.</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Deferred Commissions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summarizes the activity of deferred incremental costs of obtaining a contract:</w:t>
      </w:r>
    </w:p>
    <w:tbl>
      <w:tblPr>
        <w:tblW w:w="7223" w:type="dxa"/>
        <w:jc w:val="left"/>
        <w:tblInd w:w="0" w:type="dxa"/>
        <w:tblLayout w:type="fixed"/>
        <w:tblCellMar>
          <w:top w:w="28" w:type="dxa"/>
          <w:left w:w="28" w:type="dxa"/>
          <w:bottom w:w="28" w:type="dxa"/>
          <w:right w:w="28" w:type="dxa"/>
        </w:tblCellMar>
      </w:tblPr>
      <w:tblGrid>
        <w:gridCol w:w="1632"/>
        <w:gridCol w:w="1432"/>
        <w:gridCol w:w="1435"/>
        <w:gridCol w:w="211"/>
        <w:gridCol w:w="856"/>
        <w:gridCol w:w="109"/>
        <w:gridCol w:w="109"/>
        <w:gridCol w:w="109"/>
        <w:gridCol w:w="109"/>
        <w:gridCol w:w="211"/>
        <w:gridCol w:w="856"/>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contract acquisition costs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111,508 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3. Cash Equivalents and Short-Term Investments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 the amortized cost, unrealized gain and loss and estimated fair value of cash equivalents and short-term investments:</w:t>
      </w:r>
    </w:p>
    <w:tbl>
      <w:tblPr>
        <w:tblW w:w="10205" w:type="dxa"/>
        <w:jc w:val="center"/>
        <w:tblInd w:w="0" w:type="dxa"/>
        <w:tblLayout w:type="fixed"/>
        <w:tblCellMar>
          <w:top w:w="28" w:type="dxa"/>
          <w:left w:w="28" w:type="dxa"/>
          <w:bottom w:w="28" w:type="dxa"/>
          <w:right w:w="28" w:type="dxa"/>
        </w:tblCellMar>
      </w:tblPr>
      <w:tblGrid>
        <w:gridCol w:w="1150"/>
        <w:gridCol w:w="996"/>
        <w:gridCol w:w="993"/>
        <w:gridCol w:w="252"/>
        <w:gridCol w:w="1025"/>
        <w:gridCol w:w="130"/>
        <w:gridCol w:w="109"/>
        <w:gridCol w:w="109"/>
        <w:gridCol w:w="109"/>
        <w:gridCol w:w="368"/>
        <w:gridCol w:w="843"/>
        <w:gridCol w:w="192"/>
        <w:gridCol w:w="109"/>
        <w:gridCol w:w="109"/>
        <w:gridCol w:w="109"/>
        <w:gridCol w:w="375"/>
        <w:gridCol w:w="859"/>
        <w:gridCol w:w="195"/>
        <w:gridCol w:w="109"/>
        <w:gridCol w:w="109"/>
        <w:gridCol w:w="109"/>
        <w:gridCol w:w="317"/>
        <w:gridCol w:w="1289"/>
        <w:gridCol w:w="240"/>
      </w:tblGrid>
      <w:tr>
        <w:trPr/>
        <w:tc>
          <w:tcPr>
            <w:tcW w:w="11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82,216 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71,519 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236,802 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236,840 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56"/>
        <w:gridCol w:w="995"/>
        <w:gridCol w:w="992"/>
        <w:gridCol w:w="252"/>
        <w:gridCol w:w="1025"/>
        <w:gridCol w:w="130"/>
        <w:gridCol w:w="109"/>
        <w:gridCol w:w="109"/>
        <w:gridCol w:w="109"/>
        <w:gridCol w:w="407"/>
        <w:gridCol w:w="783"/>
        <w:gridCol w:w="213"/>
        <w:gridCol w:w="109"/>
        <w:gridCol w:w="109"/>
        <w:gridCol w:w="109"/>
        <w:gridCol w:w="293"/>
        <w:gridCol w:w="984"/>
        <w:gridCol w:w="151"/>
        <w:gridCol w:w="109"/>
        <w:gridCol w:w="109"/>
        <w:gridCol w:w="109"/>
        <w:gridCol w:w="316"/>
        <w:gridCol w:w="1288"/>
        <w:gridCol w:w="239"/>
      </w:tblGrid>
      <w:tr>
        <w:trPr/>
        <w:tc>
          <w:tcPr>
            <w:tcW w:w="115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Supranational bonds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267,920 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266,569 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December 31, 2023 and 2022, our unrealized losses were due to rising market interest rates compared to when the investments were initiated. We do not believe any unrealized losses represent credit losses, and it is unlikely we would sell the investments before we would recover their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contractual maturities of our short-term investments are as follows:</w:t>
      </w:r>
    </w:p>
    <w:tbl>
      <w:tblPr>
        <w:tblW w:w="10205" w:type="dxa"/>
        <w:jc w:val="left"/>
        <w:tblInd w:w="0" w:type="dxa"/>
        <w:tblLayout w:type="fixed"/>
        <w:tblCellMar>
          <w:top w:w="28" w:type="dxa"/>
          <w:left w:w="28" w:type="dxa"/>
          <w:bottom w:w="28" w:type="dxa"/>
          <w:right w:w="28" w:type="dxa"/>
        </w:tblCellMar>
      </w:tblPr>
      <w:tblGrid>
        <w:gridCol w:w="1006"/>
        <w:gridCol w:w="869"/>
        <w:gridCol w:w="872"/>
        <w:gridCol w:w="253"/>
        <w:gridCol w:w="1028"/>
        <w:gridCol w:w="130"/>
        <w:gridCol w:w="109"/>
        <w:gridCol w:w="109"/>
        <w:gridCol w:w="109"/>
        <w:gridCol w:w="323"/>
        <w:gridCol w:w="1313"/>
        <w:gridCol w:w="166"/>
        <w:gridCol w:w="109"/>
        <w:gridCol w:w="109"/>
        <w:gridCol w:w="109"/>
        <w:gridCol w:w="253"/>
        <w:gridCol w:w="1028"/>
        <w:gridCol w:w="130"/>
        <w:gridCol w:w="109"/>
        <w:gridCol w:w="109"/>
        <w:gridCol w:w="109"/>
        <w:gridCol w:w="318"/>
        <w:gridCol w:w="1296"/>
        <w:gridCol w:w="239"/>
      </w:tblGrid>
      <w:tr>
        <w:trPr/>
        <w:tc>
          <w:tcPr>
            <w:tcW w:w="10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within one year</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242,129 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between one and four years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236,802 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236,840 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267,920 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266,569 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4. Fair Value Measurements</w:t>
      </w:r>
    </w:p>
    <w:p>
      <w:pPr>
        <w:pStyle w:val="TextBody"/>
        <w:bidi w:val="0"/>
        <w:spacing w:lineRule="auto" w:line="288" w:before="0" w:after="120"/>
        <w:ind w:left="0" w:right="0" w:firstLine="360"/>
        <w:jc w:val="left"/>
        <w:rPr>
          <w:rFonts w:ascii="Arial;sans-serif" w:hAnsi="Arial;sans-serif"/>
          <w:b w:val="false"/>
          <w:color w:val="000000"/>
          <w:sz w:val="20"/>
        </w:rPr>
      </w:pPr>
      <w:r>
        <w:rPr>
          <w:rFonts w:ascii="Arial;sans-serif" w:hAnsi="Arial;sans-serif"/>
          <w:b w:val="false"/>
          <w:color w:val="000000"/>
          <w:sz w:val="20"/>
        </w:rPr>
        <w:t>We measure certain financial instruments at fair value using a fair value hierarchy. In the hierarchy, assets are classified based on the lowest level inputs used in valuation into the following categories:</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Level 1</w:t>
      </w:r>
      <w:r>
        <w:rPr>
          <w:color w:val="000000"/>
        </w:rPr>
        <w:t xml:space="preserve"> — </w:t>
      </w:r>
      <w:r>
        <w:rPr>
          <w:rFonts w:ascii="Arial;sans-serif" w:hAnsi="Arial;sans-serif"/>
          <w:b w:val="false"/>
          <w:color w:val="000000"/>
          <w:sz w:val="20"/>
        </w:rPr>
        <w:t>Quoted prices in active markets for identical assets and liabilities;</w:t>
      </w:r>
    </w:p>
    <w:p>
      <w:pPr>
        <w:pStyle w:val="TextBody"/>
        <w:bidi w:val="0"/>
        <w:spacing w:lineRule="auto" w:line="288" w:before="0" w:after="60"/>
        <w:ind w:left="0" w:right="0" w:hanging="360"/>
        <w:jc w:val="left"/>
        <w:rPr/>
      </w:pPr>
      <w:r>
        <w:rPr>
          <w:color w:val="000000"/>
        </w:rPr>
        <w:t>•</w:t>
      </w:r>
      <w:r>
        <w:rPr>
          <w:rFonts w:ascii="Arial;sans-serif" w:hAnsi="Arial;sans-serif"/>
          <w:b w:val="false"/>
          <w:i/>
          <w:color w:val="000000"/>
          <w:sz w:val="20"/>
        </w:rPr>
        <w:t>Level 2</w:t>
      </w:r>
      <w:r>
        <w:rPr>
          <w:color w:val="000000"/>
        </w:rPr>
        <w:t xml:space="preserve"> — </w:t>
      </w:r>
      <w:r>
        <w:rPr>
          <w:rFonts w:ascii="Arial;sans-serif" w:hAnsi="Arial;sans-serif"/>
          <w:b w:val="false"/>
          <w:color w:val="000000"/>
          <w:sz w:val="20"/>
        </w:rPr>
        <w:t>Observable inputs including quoted market prices for similar assets and liabilities in active markets, quoted prices for identical assets and liabilities in inactive markets, or inputs that are corroborated by observable market data; and</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Level 3</w:t>
      </w:r>
      <w:r>
        <w:rPr>
          <w:color w:val="000000"/>
        </w:rPr>
        <w:t xml:space="preserve"> — </w:t>
      </w:r>
      <w:r>
        <w:rPr>
          <w:rFonts w:ascii="Arial;sans-serif" w:hAnsi="Arial;sans-serif"/>
          <w:b w:val="false"/>
          <w:color w:val="000000"/>
          <w:sz w:val="20"/>
        </w:rPr>
        <w:t>Unobservable inputs.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 assets that are measured at fair value:</w:t>
      </w:r>
    </w:p>
    <w:tbl>
      <w:tblPr>
        <w:tblW w:w="8669" w:type="dxa"/>
        <w:jc w:val="center"/>
        <w:tblInd w:w="0" w:type="dxa"/>
        <w:tblLayout w:type="fixed"/>
        <w:tblCellMar>
          <w:top w:w="28" w:type="dxa"/>
          <w:left w:w="28" w:type="dxa"/>
          <w:bottom w:w="28" w:type="dxa"/>
          <w:right w:w="28" w:type="dxa"/>
        </w:tblCellMar>
      </w:tblPr>
      <w:tblGrid>
        <w:gridCol w:w="1230"/>
        <w:gridCol w:w="1078"/>
        <w:gridCol w:w="1081"/>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Yankee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tbl>
      <w:tblPr>
        <w:tblW w:w="8669" w:type="dxa"/>
        <w:jc w:val="center"/>
        <w:tblInd w:w="0" w:type="dxa"/>
        <w:tblLayout w:type="fixed"/>
        <w:tblCellMar>
          <w:top w:w="28" w:type="dxa"/>
          <w:left w:w="28" w:type="dxa"/>
          <w:bottom w:w="28" w:type="dxa"/>
          <w:right w:w="28" w:type="dxa"/>
        </w:tblCellMar>
      </w:tblPr>
      <w:tblGrid>
        <w:gridCol w:w="1230"/>
        <w:gridCol w:w="1078"/>
        <w:gridCol w:w="1081"/>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investments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backed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Supranational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agency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and December 31, 2022, we had $9.4 million and $15.0 million, respectively, of SAFE investments with privately held companies, which are included in other assets on our consolidated balance sheets. We record our SAFE investments at cost, less any impairment, plus or minus observable price changes for similar investments of the same issuer. During the fiscal year ended December 31, 2023, we identified impairment indicators for two of our SAFE investments and determined our investments were impaired, resulting in an impairment loss of $5.6 million that was recorded in other expense, net on our consolidated statement of operations. No material events impacted the carrying value of our SAFE investments in 2022.</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did not have any liabilities measured and recorded at fair value on a recurring basis at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5. Property and Equipment, Net</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Property and equipment, net consisted of the following:</w:t>
      </w:r>
    </w:p>
    <w:tbl>
      <w:tblPr>
        <w:tblW w:w="7137" w:type="dxa"/>
        <w:jc w:val="left"/>
        <w:tblInd w:w="0" w:type="dxa"/>
        <w:tblLayout w:type="fixed"/>
        <w:tblCellMar>
          <w:top w:w="28" w:type="dxa"/>
          <w:left w:w="28" w:type="dxa"/>
          <w:bottom w:w="28" w:type="dxa"/>
          <w:right w:w="28" w:type="dxa"/>
        </w:tblCellMar>
      </w:tblPr>
      <w:tblGrid>
        <w:gridCol w:w="1582"/>
        <w:gridCol w:w="1395"/>
        <w:gridCol w:w="1402"/>
        <w:gridCol w:w="347"/>
        <w:gridCol w:w="463"/>
        <w:gridCol w:w="349"/>
        <w:gridCol w:w="119"/>
        <w:gridCol w:w="119"/>
        <w:gridCol w:w="119"/>
        <w:gridCol w:w="368"/>
        <w:gridCol w:w="442"/>
        <w:gridCol w:w="432"/>
      </w:tblGrid>
      <w:tr>
        <w:trPr/>
        <w:tc>
          <w:tcPr>
            <w:tcW w:w="15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Computer software and equipment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Internally developed software</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23,479</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5,940</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28,214</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89,973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80,057</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(44,537)</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(33,331)</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46,726</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Depreciation and amortization related to property and equipment was $13.2 million, $10.8 million and $9.5 million in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6. Acquisitions, Goodwill and Intangible Assets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2023, we acquired Ermetic, an innovative cloud-native application protection platform company and a leading provider of cloud infrastructure entitlement management. The addition of Ermetic enhances our Tenable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Exposure Management Platform and Tenable Cloud Security solution to deliver contextual risk visibility, prioritization and remediation across infrastructure and identities both on-premises and in the cloud. We acquired 100% of Ermetic's equity through a share purchase agreement for total consideration of $243.8 million, including $243.3 million in cash, net of $6.1 million cash acquired, and $0.5 million fair value of replacement equity.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June 2022, we acquired Bit Discovery, a leader in external attack surface management (EASM). Adding Bit Discovery's EASM capabilities to our solutions provides customers with a comprehensive view of their attack surface and helps identify and eliminate areas of risk. We acquired 100% of Bit Discovery's equity for $43.8 million in cash, net of cash acquired of $2.0 million, through a share purchase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February 2022, we acquired Cymptom, a platform that proactively measures, maps and prioritizes probable attack paths, and enables security teams to preemptively focus response ahead of and during breaches. Through a share purchase agreement, we acquired 100% of Cymptom's equity in exchange for cash consideration, net of cash acquired, for $23.0 million.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Purchase consideration, net of cash acquired, was allocated as follows:</w:t>
      </w:r>
    </w:p>
    <w:tbl>
      <w:tblPr>
        <w:tblW w:w="7370" w:type="dxa"/>
        <w:jc w:val="left"/>
        <w:tblInd w:w="0" w:type="dxa"/>
        <w:tblLayout w:type="fixed"/>
        <w:tblCellMar>
          <w:top w:w="28" w:type="dxa"/>
          <w:left w:w="28" w:type="dxa"/>
          <w:bottom w:w="28" w:type="dxa"/>
          <w:right w:w="28" w:type="dxa"/>
        </w:tblCellMar>
      </w:tblPr>
      <w:tblGrid>
        <w:gridCol w:w="1143"/>
        <w:gridCol w:w="1003"/>
        <w:gridCol w:w="1004"/>
        <w:gridCol w:w="211"/>
        <w:gridCol w:w="856"/>
        <w:gridCol w:w="109"/>
        <w:gridCol w:w="109"/>
        <w:gridCol w:w="109"/>
        <w:gridCol w:w="109"/>
        <w:gridCol w:w="251"/>
        <w:gridCol w:w="894"/>
        <w:gridCol w:w="129"/>
        <w:gridCol w:w="109"/>
        <w:gridCol w:w="109"/>
        <w:gridCol w:w="109"/>
        <w:gridCol w:w="211"/>
        <w:gridCol w:w="751"/>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Ermetic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Bit Discovery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Cymptom</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purchase price allocation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43,807 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still finalizing the allocation of the purchase price for Ermetic, which may change as additional information becomes available related to working capital and income taxes.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Acquired intangible assets and their estimated useful lives at the date of acquisition are as follows:</w:t>
      </w:r>
    </w:p>
    <w:tbl>
      <w:tblPr>
        <w:tblW w:w="10205" w:type="dxa"/>
        <w:jc w:val="left"/>
        <w:tblInd w:w="0" w:type="dxa"/>
        <w:tblLayout w:type="fixed"/>
        <w:tblCellMar>
          <w:top w:w="28" w:type="dxa"/>
          <w:left w:w="28" w:type="dxa"/>
          <w:bottom w:w="28" w:type="dxa"/>
          <w:right w:w="28" w:type="dxa"/>
        </w:tblCellMar>
      </w:tblPr>
      <w:tblGrid>
        <w:gridCol w:w="570"/>
        <w:gridCol w:w="474"/>
        <w:gridCol w:w="475"/>
        <w:gridCol w:w="211"/>
        <w:gridCol w:w="751"/>
        <w:gridCol w:w="109"/>
        <w:gridCol w:w="109"/>
        <w:gridCol w:w="109"/>
        <w:gridCol w:w="109"/>
        <w:gridCol w:w="432"/>
        <w:gridCol w:w="432"/>
        <w:gridCol w:w="433"/>
        <w:gridCol w:w="109"/>
        <w:gridCol w:w="109"/>
        <w:gridCol w:w="109"/>
        <w:gridCol w:w="211"/>
        <w:gridCol w:w="751"/>
        <w:gridCol w:w="109"/>
        <w:gridCol w:w="109"/>
        <w:gridCol w:w="109"/>
        <w:gridCol w:w="109"/>
        <w:gridCol w:w="432"/>
        <w:gridCol w:w="432"/>
        <w:gridCol w:w="433"/>
        <w:gridCol w:w="109"/>
        <w:gridCol w:w="109"/>
        <w:gridCol w:w="109"/>
        <w:gridCol w:w="211"/>
        <w:gridCol w:w="646"/>
        <w:gridCol w:w="109"/>
        <w:gridCol w:w="109"/>
        <w:gridCol w:w="109"/>
        <w:gridCol w:w="109"/>
        <w:gridCol w:w="393"/>
        <w:gridCol w:w="393"/>
        <w:gridCol w:w="563"/>
      </w:tblGrid>
      <w:tr>
        <w:trPr/>
        <w:tc>
          <w:tcPr>
            <w:tcW w:w="5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Ermetic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Bit Discovery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Cymptom</w:t>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Useful Life</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 years</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results of operations of Ermetic, Bit Discovery and Cymptom are included in our consolidated statements of operations from the applicable acquisition dates and were not material. Pro forma results of operations are not presented as they are not material to the consolidated statements of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recognized acquisition-related expenses, primarily in general and administrative expense, of $9.5 million, $2.6 million and $6.9 million in 2023, 2022 and 2021, respectively.</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Goodwill and Acquired Intangible Assets</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changes in the carrying amount of goodwill are as follows:</w:t>
      </w:r>
    </w:p>
    <w:tbl>
      <w:tblPr>
        <w:tblW w:w="4026" w:type="dxa"/>
        <w:jc w:val="left"/>
        <w:tblInd w:w="0" w:type="dxa"/>
        <w:tblLayout w:type="fixed"/>
        <w:tblCellMar>
          <w:top w:w="28" w:type="dxa"/>
          <w:left w:w="28" w:type="dxa"/>
          <w:bottom w:w="28" w:type="dxa"/>
          <w:right w:w="28" w:type="dxa"/>
        </w:tblCellMar>
      </w:tblPr>
      <w:tblGrid>
        <w:gridCol w:w="1017"/>
        <w:gridCol w:w="893"/>
        <w:gridCol w:w="895"/>
        <w:gridCol w:w="211"/>
        <w:gridCol w:w="856"/>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excess purchase consideration over the fair value of acquired assets and liabilities is recorded as goodwill. The acquired goodwill reflects the synergies we expect from marketing and selling these new capabilities from Ermetic, Bit Discovery and Cymptom to our customers. The acquired goodwill is generally not tax deductible.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Acquired intangible assets subject to amortization are as follows:</w:t>
      </w:r>
    </w:p>
    <w:tbl>
      <w:tblPr>
        <w:tblW w:w="10205" w:type="dxa"/>
        <w:jc w:val="left"/>
        <w:tblInd w:w="0" w:type="dxa"/>
        <w:tblLayout w:type="fixed"/>
        <w:tblCellMar>
          <w:top w:w="28" w:type="dxa"/>
          <w:left w:w="28" w:type="dxa"/>
          <w:bottom w:w="28" w:type="dxa"/>
          <w:right w:w="28" w:type="dxa"/>
        </w:tblCellMar>
      </w:tblPr>
      <w:tblGrid>
        <w:gridCol w:w="406"/>
        <w:gridCol w:w="357"/>
        <w:gridCol w:w="359"/>
        <w:gridCol w:w="223"/>
        <w:gridCol w:w="905"/>
        <w:gridCol w:w="115"/>
        <w:gridCol w:w="109"/>
        <w:gridCol w:w="109"/>
        <w:gridCol w:w="109"/>
        <w:gridCol w:w="260"/>
        <w:gridCol w:w="929"/>
        <w:gridCol w:w="136"/>
        <w:gridCol w:w="109"/>
        <w:gridCol w:w="109"/>
        <w:gridCol w:w="109"/>
        <w:gridCol w:w="220"/>
        <w:gridCol w:w="894"/>
        <w:gridCol w:w="113"/>
        <w:gridCol w:w="109"/>
        <w:gridCol w:w="109"/>
        <w:gridCol w:w="109"/>
        <w:gridCol w:w="225"/>
        <w:gridCol w:w="803"/>
        <w:gridCol w:w="116"/>
        <w:gridCol w:w="109"/>
        <w:gridCol w:w="109"/>
        <w:gridCol w:w="109"/>
        <w:gridCol w:w="260"/>
        <w:gridCol w:w="929"/>
        <w:gridCol w:w="136"/>
        <w:gridCol w:w="109"/>
        <w:gridCol w:w="109"/>
        <w:gridCol w:w="109"/>
        <w:gridCol w:w="222"/>
        <w:gridCol w:w="791"/>
        <w:gridCol w:w="171"/>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technology</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(35,520)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(36,010)</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107,017 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97,527 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(22,151)</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75,376 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Amortization of acquired intangible assets was $13.9 million, $11.4 million and $6.4 million in 2023, 2022 and 2021, respectively. At December 31, 2023, our acquired intangible assets are expected to be amortized over an estimated weighted average period of 6.2 years.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estimated future amortization of intangible assets is as follows:</w:t>
      </w:r>
    </w:p>
    <w:tbl>
      <w:tblPr>
        <w:tblW w:w="3651" w:type="dxa"/>
        <w:jc w:val="center"/>
        <w:tblInd w:w="0" w:type="dxa"/>
        <w:tblLayout w:type="fixed"/>
        <w:tblCellMar>
          <w:top w:w="28" w:type="dxa"/>
          <w:left w:w="28" w:type="dxa"/>
          <w:bottom w:w="28" w:type="dxa"/>
          <w:right w:w="28" w:type="dxa"/>
        </w:tblCellMar>
      </w:tblPr>
      <w:tblGrid>
        <w:gridCol w:w="878"/>
        <w:gridCol w:w="774"/>
        <w:gridCol w:w="778"/>
        <w:gridCol w:w="211"/>
        <w:gridCol w:w="85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7. Leases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operating leases for office facilities. Our leases have remaining terms of six months to just over eight years, some of which include one or more options to renew, with renewal terms up to five years and some of which include options to terminate the leases within the next one to three years.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5517" w:type="dxa"/>
        <w:jc w:val="center"/>
        <w:tblInd w:w="0" w:type="dxa"/>
        <w:tblLayout w:type="fixed"/>
        <w:tblCellMar>
          <w:top w:w="28" w:type="dxa"/>
          <w:left w:w="28" w:type="dxa"/>
          <w:bottom w:w="28" w:type="dxa"/>
          <w:right w:w="28" w:type="dxa"/>
        </w:tblCellMar>
      </w:tblPr>
      <w:tblGrid>
        <w:gridCol w:w="694"/>
        <w:gridCol w:w="612"/>
        <w:gridCol w:w="614"/>
        <w:gridCol w:w="211"/>
        <w:gridCol w:w="646"/>
        <w:gridCol w:w="109"/>
        <w:gridCol w:w="109"/>
        <w:gridCol w:w="109"/>
        <w:gridCol w:w="109"/>
        <w:gridCol w:w="211"/>
        <w:gridCol w:w="646"/>
        <w:gridCol w:w="109"/>
        <w:gridCol w:w="109"/>
        <w:gridCol w:w="109"/>
        <w:gridCol w:w="109"/>
        <w:gridCol w:w="211"/>
        <w:gridCol w:w="64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Rent expense for short-term leases was not material in 2023, 2022 and 2021.</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information related to leases was as follows:</w:t>
      </w:r>
    </w:p>
    <w:tbl>
      <w:tblPr>
        <w:tblW w:w="7464" w:type="dxa"/>
        <w:jc w:val="center"/>
        <w:tblInd w:w="0" w:type="dxa"/>
        <w:tblLayout w:type="fixed"/>
        <w:tblCellMar>
          <w:top w:w="28" w:type="dxa"/>
          <w:left w:w="28" w:type="dxa"/>
          <w:bottom w:w="28" w:type="dxa"/>
          <w:right w:w="28" w:type="dxa"/>
        </w:tblCellMar>
      </w:tblPr>
      <w:tblGrid>
        <w:gridCol w:w="1289"/>
        <w:gridCol w:w="1128"/>
        <w:gridCol w:w="1137"/>
        <w:gridCol w:w="589"/>
        <w:gridCol w:w="589"/>
        <w:gridCol w:w="591"/>
        <w:gridCol w:w="109"/>
        <w:gridCol w:w="109"/>
        <w:gridCol w:w="109"/>
        <w:gridCol w:w="530"/>
        <w:gridCol w:w="530"/>
        <w:gridCol w:w="754"/>
      </w:tblGrid>
      <w:tr>
        <w:trPr/>
        <w:tc>
          <w:tcPr>
            <w:tcW w:w="128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Operating leases</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 years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tbl>
      <w:tblPr>
        <w:tblW w:w="8381" w:type="dxa"/>
        <w:jc w:val="center"/>
        <w:tblInd w:w="0" w:type="dxa"/>
        <w:tblLayout w:type="fixed"/>
        <w:tblCellMar>
          <w:top w:w="28" w:type="dxa"/>
          <w:left w:w="28" w:type="dxa"/>
          <w:bottom w:w="28" w:type="dxa"/>
          <w:right w:w="28" w:type="dxa"/>
        </w:tblCellMar>
      </w:tblPr>
      <w:tblGrid>
        <w:gridCol w:w="1729"/>
        <w:gridCol w:w="1524"/>
        <w:gridCol w:w="1531"/>
        <w:gridCol w:w="211"/>
        <w:gridCol w:w="646"/>
        <w:gridCol w:w="109"/>
        <w:gridCol w:w="109"/>
        <w:gridCol w:w="109"/>
        <w:gridCol w:w="109"/>
        <w:gridCol w:w="211"/>
        <w:gridCol w:w="646"/>
        <w:gridCol w:w="109"/>
        <w:gridCol w:w="109"/>
        <w:gridCol w:w="109"/>
        <w:gridCol w:w="109"/>
        <w:gridCol w:w="211"/>
        <w:gridCol w:w="64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ROU assets obtained in exchange for lease obligations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2023, 2022 and 2021, we did not obtain any right-of-use assets in exchange for finance lease liabilities.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Maturities of operating lease liabilities at December 31, 2023 were as follows:</w:t>
      </w:r>
    </w:p>
    <w:tbl>
      <w:tblPr>
        <w:tblW w:w="3546" w:type="dxa"/>
        <w:jc w:val="left"/>
        <w:tblInd w:w="0" w:type="dxa"/>
        <w:tblLayout w:type="fixed"/>
        <w:tblCellMar>
          <w:top w:w="28" w:type="dxa"/>
          <w:left w:w="28" w:type="dxa"/>
          <w:bottom w:w="28" w:type="dxa"/>
          <w:right w:w="28" w:type="dxa"/>
        </w:tblCellMar>
      </w:tblPr>
      <w:tblGrid>
        <w:gridCol w:w="878"/>
        <w:gridCol w:w="774"/>
        <w:gridCol w:w="778"/>
        <w:gridCol w:w="211"/>
        <w:gridCol w:w="75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lease payments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Less: Imputed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 xml:space="preserve">8. Debt </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Credit Agreement</w:t>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a credit agreement ("Credit Agreement") which is comprised of:</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a $375.0 million senior secured term loan facility ("Term Loan");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a $50.0 million senior secured revolving credit facility ("Revolving Credit Facility").</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table below summarizes the carrying value of the Term Loan:</w:t>
      </w:r>
    </w:p>
    <w:tbl>
      <w:tblPr>
        <w:tblW w:w="6780" w:type="dxa"/>
        <w:jc w:val="left"/>
        <w:tblInd w:w="0" w:type="dxa"/>
        <w:tblLayout w:type="fixed"/>
        <w:tblCellMar>
          <w:top w:w="28" w:type="dxa"/>
          <w:left w:w="28" w:type="dxa"/>
          <w:bottom w:w="28" w:type="dxa"/>
          <w:right w:w="28" w:type="dxa"/>
        </w:tblCellMar>
      </w:tblPr>
      <w:tblGrid>
        <w:gridCol w:w="1800"/>
        <w:gridCol w:w="1581"/>
        <w:gridCol w:w="1584"/>
        <w:gridCol w:w="313"/>
        <w:gridCol w:w="1273"/>
        <w:gridCol w:w="229"/>
      </w:tblGrid>
      <w:tr>
        <w:trPr/>
        <w:tc>
          <w:tcPr>
            <w:tcW w:w="180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367,500 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discount and issuance costs</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w:t>
            </w:r>
          </w:p>
        </w:tc>
        <w:tc>
          <w:tcPr>
            <w:tcW w:w="1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361,952 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Less: Term loan, net, current </w:t>
            </w:r>
            <w:r>
              <w:rPr>
                <w:rFonts w:ascii="Arial;sans-serif" w:hAnsi="Arial;sans-serif"/>
                <w:b w:val="false"/>
                <w:color w:val="000000"/>
                <w:sz w:val="13"/>
              </w:rPr>
              <w:t>(1)</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359,281 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8"/>
          <w:shd w:fill="FFFFFF" w:val="clear"/>
        </w:rPr>
        <w:t xml:space="preserve">(1)    Term loan, net, current is included in other current liabilities </w:t>
      </w:r>
      <w:r>
        <w:rPr>
          <w:rFonts w:ascii="Arial;sans-serif" w:hAnsi="Arial;sans-serif"/>
          <w:b w:val="false"/>
          <w:color w:val="000000"/>
          <w:sz w:val="18"/>
        </w:rPr>
        <w:t>on our consolidated balance sheets.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June 1, 2023, we began using the Secured Overnight Financing Rate ("SOFR") instead of LIBOR. The Term Loan bears interest at a rate of 2.75% per annum over SOFR, subject to a 0.50% floor, plus a credit spread adjustment depending on the interest period. The Term Loan is being amortized at 1% per annum in equal quarterly installments until the final payment of $350.6 million on the July 7, 2028 maturity date.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Term Loan is recorded at its carrying value. At December 31, 2023, the fair value of our Term Loan was approximately $366.6 million. In the fair value hierarchy, our Term Loan is classified as Level 2 as it is traded in less active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maturities of the Term Loan at December 31, 2023 were as follows:</w:t>
      </w:r>
    </w:p>
    <w:tbl>
      <w:tblPr>
        <w:tblW w:w="3651" w:type="dxa"/>
        <w:jc w:val="left"/>
        <w:tblInd w:w="0" w:type="dxa"/>
        <w:tblLayout w:type="fixed"/>
        <w:tblCellMar>
          <w:top w:w="28" w:type="dxa"/>
          <w:left w:w="28" w:type="dxa"/>
          <w:bottom w:w="28" w:type="dxa"/>
          <w:right w:w="28" w:type="dxa"/>
        </w:tblCellMar>
      </w:tblPr>
      <w:tblGrid>
        <w:gridCol w:w="878"/>
        <w:gridCol w:w="774"/>
        <w:gridCol w:w="778"/>
        <w:gridCol w:w="211"/>
        <w:gridCol w:w="85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Year ending December 31,</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may be subject to mandatory Term Loan prepayments related to the excess cash flow provisions. These prepayments would only be required if our first lien net leverage ratio (as defined in our Credit Agreement) exceeds 3.5 at the end of each year. At December 31, 2023, our first lien net leverage ratio was 1.28.</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Revolving Credit Facility bears interest at a rate, depending on first lien net leverage, ranging from 2.00% to 2.50% over SOFR and matures on July 7, 2026. Additionally, we pay a commitment fee during the term ranging from 0.25% to 0.375% per annum of the average daily undrawn portion of the revolving commitments based on the first lien net leverage ratio. The Revolving Credit Facility contains a $15.0 million letter of credit sublimit.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Credit Agreement contains certain customary events of default, which include failure to make payments when due, the material inaccuracy of representations or warranties, failure to observe or perform certain covenants, cross-defaults, bankruptcy and insolvency-related events, certain judgments, certain ERISA-related events, failure of any lien created under the Security Documents (as defined in the Credit Agreement) to be valid and perfected (subject to certain exceptions), failure of any material guarantee of the Loan Document Obligations (as defined in the Credit Agreement) to be in full force and effect and a Change of Control (as defined in the Credit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Credit Agreement is guaranteed by the Company and Tenable Public Sector LLC, an indirect subsidiary of the Company, as guarantors, and is supported by a security interest in substantially all of the assets of Tenable, Inc. and the guarantors.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Credit Agreement contains certain customary representations and warranties and affirmative and negative covenants, including certain restrictions on incurring additional indebtedness or guaranteeing indebtedness of others, creating liens on properties or assets, making certain investments, loans, advances and guarantees, selling assets, making certain restricted payments and entering into certain sale and leaseback transactions, affiliate transactions, restrictive agreements and asset and stock-based transactions. Additionally, if at least 35% of the Revolving Credit Facility is drawn on the last day of the quarter, the total net leverage ratio cannot be greater than 5.50 to 1.00. At December 31, 2023, we had $0.2 million of standby letters of credit outstanding under our Revolving Credit Facility related to one of our operating leases. At December 31, 2023, we were in compliance with the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we entered into a contract with Microsoft for cloud services from February 2024 through January 2027. Under the terms of the contract we committed to spend EUR 28.5 million. If we do not meet our commitment by the end of the term, we will be required to pay the difference.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2021, we entered into a contract with Amazon Web Services ("AWS") for cloud services from August 2021 through July 2024. Under the terms of the contract, we committed to spend $43.7 million, $46.8 million and $50.1 million in contract years one, two and three, respectively, for a total of $140.6 million. If we do not meet the minimum purchase obligation during any of those years, we will be required to pay the difference. We met our commitment for both the first and second years of our contract with AWS, and as of December 31, 2023, we have spent $32.7 million of our third year commitment.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Letters of Credit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$5.7 million of standby letters of credit related to our grant agreements with the State of Maryland and our operating leases. Collateral for $5.5 million of our letters of credit was classified as restricted cash in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10. Stock-Based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2018, our Board of Directors adopted, and our stockholders approved, our 2018 Equity Incentive Plan ("2018 Plan"). Under the evergreen provision in the 2018 Plan, in January 2023 we reserved an additional 5.7 million shares of our common stock. At December 31, 2023, there were 23.4 million shares available for grant.</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Stock-based compensation expense included in the consolidated statements of operations was as follows: </w:t>
      </w:r>
    </w:p>
    <w:tbl>
      <w:tblPr>
        <w:tblW w:w="7628" w:type="dxa"/>
        <w:jc w:val="left"/>
        <w:tblInd w:w="0" w:type="dxa"/>
        <w:tblLayout w:type="fixed"/>
        <w:tblCellMar>
          <w:top w:w="28" w:type="dxa"/>
          <w:left w:w="28" w:type="dxa"/>
          <w:bottom w:w="28" w:type="dxa"/>
          <w:right w:w="28" w:type="dxa"/>
        </w:tblCellMar>
      </w:tblPr>
      <w:tblGrid>
        <w:gridCol w:w="1355"/>
        <w:gridCol w:w="1196"/>
        <w:gridCol w:w="1199"/>
        <w:gridCol w:w="258"/>
        <w:gridCol w:w="393"/>
        <w:gridCol w:w="403"/>
        <w:gridCol w:w="130"/>
        <w:gridCol w:w="130"/>
        <w:gridCol w:w="130"/>
        <w:gridCol w:w="258"/>
        <w:gridCol w:w="393"/>
        <w:gridCol w:w="403"/>
        <w:gridCol w:w="130"/>
        <w:gridCol w:w="130"/>
        <w:gridCol w:w="130"/>
        <w:gridCol w:w="254"/>
        <w:gridCol w:w="303"/>
        <w:gridCol w:w="433"/>
      </w:tblGrid>
      <w:tr>
        <w:trPr/>
        <w:tc>
          <w:tcPr>
            <w:tcW w:w="135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(in thousands)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Cost of revenue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4,446</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Sales and marketing</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49,383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29,410</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20,593</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120,633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79,405</w:t>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the unrecognized stock-based compensation expense related to unvested RSUs was $275.7 million, which is expected to be recognized over an estimated weighted average remaining period of 2.7 years.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the unrecognized stock-based compensation expense related to unvested PSUs was $4.8 million, which is expected to be recognized over an estimated remaining weighted average period of 2.8 years.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the unrecognized stock-based compensation expense related to unvested restricted share awards was $12.8 million, which is expected to be recognized over an estimated remaining period of 2.3 years.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the unrecognized stock-based compensation expense related to our 2018 ESPP was $4.9 million, which is expected to be recognized over an estimated weighted average period of 0.6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Restricted Stock, RSUs and PSUs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our restricted stock, RSU and PSU activity is presented below:</w:t>
      </w:r>
    </w:p>
    <w:tbl>
      <w:tblPr>
        <w:tblW w:w="10205" w:type="dxa"/>
        <w:jc w:val="center"/>
        <w:tblInd w:w="0" w:type="dxa"/>
        <w:tblLayout w:type="fixed"/>
        <w:tblCellMar>
          <w:top w:w="28" w:type="dxa"/>
          <w:left w:w="28" w:type="dxa"/>
          <w:bottom w:w="28" w:type="dxa"/>
          <w:right w:w="28" w:type="dxa"/>
        </w:tblCellMar>
      </w:tblPr>
      <w:tblGrid>
        <w:gridCol w:w="828"/>
        <w:gridCol w:w="552"/>
        <w:gridCol w:w="555"/>
        <w:gridCol w:w="276"/>
        <w:gridCol w:w="276"/>
        <w:gridCol w:w="277"/>
        <w:gridCol w:w="109"/>
        <w:gridCol w:w="109"/>
        <w:gridCol w:w="109"/>
        <w:gridCol w:w="285"/>
        <w:gridCol w:w="733"/>
        <w:gridCol w:w="149"/>
        <w:gridCol w:w="109"/>
        <w:gridCol w:w="109"/>
        <w:gridCol w:w="109"/>
        <w:gridCol w:w="330"/>
        <w:gridCol w:w="330"/>
        <w:gridCol w:w="277"/>
        <w:gridCol w:w="109"/>
        <w:gridCol w:w="109"/>
        <w:gridCol w:w="109"/>
        <w:gridCol w:w="265"/>
        <w:gridCol w:w="813"/>
        <w:gridCol w:w="137"/>
        <w:gridCol w:w="109"/>
        <w:gridCol w:w="109"/>
        <w:gridCol w:w="109"/>
        <w:gridCol w:w="276"/>
        <w:gridCol w:w="276"/>
        <w:gridCol w:w="277"/>
        <w:gridCol w:w="109"/>
        <w:gridCol w:w="109"/>
        <w:gridCol w:w="109"/>
        <w:gridCol w:w="338"/>
        <w:gridCol w:w="651"/>
        <w:gridCol w:w="177"/>
        <w:gridCol w:w="109"/>
        <w:gridCol w:w="109"/>
        <w:gridCol w:w="109"/>
        <w:gridCol w:w="165"/>
      </w:tblGrid>
      <w:tr>
        <w:trPr/>
        <w:tc>
          <w:tcPr>
            <w:tcW w:w="8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for per share data)</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Weighted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Average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December 31, 2020</w:t>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Granted</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Vested</w:t>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Forfeited</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December 31, 2021</w:t>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Granted</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Vested</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Forfeited</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December 31, 2022</w:t>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Granted</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Performance adjustment</w:t>
            </w:r>
            <w:r>
              <w:rPr>
                <w:rFonts w:ascii="Arial;sans-serif" w:hAnsi="Arial;sans-serif"/>
                <w:b w:val="false"/>
                <w:color w:val="000000"/>
                <w:sz w:val="13"/>
              </w:rPr>
              <w:t>(1)</w:t>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Vested</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Forfeited</w:t>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 at December 31, 2023</w:t>
            </w:r>
          </w:p>
        </w:tc>
        <w:tc>
          <w:tcPr>
            <w:tcW w:w="8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9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(1)    Represents adjustments due to the achievement of predefined financial performance targets.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part of the acquisition of Ermetic we issued replacement equity awards, of which $0.5 million was attributable to services performed prior to the acquisition date and allocated to purchase consideration. The remaining fair value was allocated to future services and will be expensed over the remaining service periods as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our stock option activity is presented below:</w:t>
      </w:r>
    </w:p>
    <w:tbl>
      <w:tblPr>
        <w:tblW w:w="10205" w:type="dxa"/>
        <w:jc w:val="left"/>
        <w:tblInd w:w="0" w:type="dxa"/>
        <w:tblLayout w:type="fixed"/>
        <w:tblCellMar>
          <w:top w:w="28" w:type="dxa"/>
          <w:left w:w="28" w:type="dxa"/>
          <w:bottom w:w="28" w:type="dxa"/>
          <w:right w:w="28" w:type="dxa"/>
        </w:tblCellMar>
      </w:tblPr>
      <w:tblGrid>
        <w:gridCol w:w="1044"/>
        <w:gridCol w:w="772"/>
        <w:gridCol w:w="777"/>
        <w:gridCol w:w="282"/>
        <w:gridCol w:w="282"/>
        <w:gridCol w:w="283"/>
        <w:gridCol w:w="109"/>
        <w:gridCol w:w="109"/>
        <w:gridCol w:w="109"/>
        <w:gridCol w:w="263"/>
        <w:gridCol w:w="679"/>
        <w:gridCol w:w="137"/>
        <w:gridCol w:w="109"/>
        <w:gridCol w:w="109"/>
        <w:gridCol w:w="109"/>
        <w:gridCol w:w="1000"/>
        <w:gridCol w:w="1000"/>
        <w:gridCol w:w="1001"/>
        <w:gridCol w:w="109"/>
        <w:gridCol w:w="109"/>
        <w:gridCol w:w="109"/>
        <w:gridCol w:w="684"/>
        <w:gridCol w:w="510"/>
        <w:gridCol w:w="510"/>
      </w:tblGrid>
      <w:tr>
        <w:trPr/>
        <w:tc>
          <w:tcPr>
            <w:tcW w:w="10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 except for per share data and years)</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Weighted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Average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Aggregate Intrinsic Value</w:t>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2020</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412,547</w:t>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Exercised</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111,256</w:t>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Forfeited/canceled</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2021</w:t>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308,677</w:t>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Exercised</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47,880</w:t>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Forfeited/canceled</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160,135</w:t>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Exercised</w:t>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13,364</w:t>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Forfeited/canceled</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and exercisable at December 31, 2023</w:t>
            </w:r>
          </w:p>
        </w:tc>
        <w:tc>
          <w:tcPr>
            <w:tcW w:w="8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189,108</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there were 5.1 million stock options outstanding that were vested and expected to vest.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Stock options were last granted in 2018. Stock options granted under our stock incentive plans have a maximum term of ten years, generally vest over a period of three to four years, and the exercise price cannot be less than the fair market value on the date of grant.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Estimating the fair value of ESPP purchase rights using the Black-Scholes option-pricing model requires assumptions as to the fair value of common stock, expected term, expected volatility, the risk-free interest rate and the expected dividend yield. </w:t>
      </w:r>
    </w:p>
    <w:p>
      <w:pPr>
        <w:pStyle w:val="TextBody"/>
        <w:bidi w:val="0"/>
        <w:spacing w:lineRule="auto" w:line="288" w:before="0" w:after="240"/>
        <w:ind w:left="0" w:right="0" w:firstLine="360"/>
        <w:jc w:val="left"/>
        <w:rPr/>
      </w:pPr>
      <w:r>
        <w:rPr>
          <w:rFonts w:ascii="Arial;sans-serif" w:hAnsi="Arial;sans-serif"/>
          <w:b w:val="false"/>
          <w:i/>
          <w:color w:val="000000"/>
          <w:sz w:val="20"/>
        </w:rPr>
        <w:t xml:space="preserve">Fair Value of Common Stock. </w:t>
      </w:r>
      <w:r>
        <w:rPr>
          <w:rFonts w:ascii="Arial;sans-serif" w:hAnsi="Arial;sans-serif"/>
          <w:b w:val="false"/>
          <w:color w:val="000000"/>
          <w:sz w:val="20"/>
        </w:rPr>
        <w:t>We use the market price of our common stock at the date of grant.</w:t>
      </w:r>
    </w:p>
    <w:p>
      <w:pPr>
        <w:pStyle w:val="TextBody"/>
        <w:bidi w:val="0"/>
        <w:spacing w:lineRule="auto" w:line="288" w:before="0" w:after="240"/>
        <w:ind w:left="0" w:right="0" w:firstLine="360"/>
        <w:jc w:val="left"/>
        <w:rPr/>
      </w:pPr>
      <w:r>
        <w:rPr>
          <w:rFonts w:ascii="Arial;sans-serif" w:hAnsi="Arial;sans-serif"/>
          <w:b w:val="false"/>
          <w:i/>
          <w:color w:val="000000"/>
          <w:sz w:val="20"/>
        </w:rPr>
        <w:t xml:space="preserve">Expected Term. </w:t>
      </w:r>
      <w:r>
        <w:rPr>
          <w:rFonts w:ascii="Arial;sans-serif" w:hAnsi="Arial;sans-serif"/>
          <w:b w:val="false"/>
          <w:color w:val="000000"/>
          <w:sz w:val="20"/>
        </w:rPr>
        <w:t>We use the actual purchase periods as the expected term in the 2018 ESPP.</w:t>
      </w:r>
    </w:p>
    <w:p>
      <w:pPr>
        <w:pStyle w:val="TextBody"/>
        <w:bidi w:val="0"/>
        <w:spacing w:lineRule="auto" w:line="288" w:before="0" w:after="240"/>
        <w:ind w:left="0" w:right="0" w:firstLine="360"/>
        <w:jc w:val="left"/>
        <w:rPr/>
      </w:pPr>
      <w:r>
        <w:rPr>
          <w:rFonts w:ascii="Arial;sans-serif" w:hAnsi="Arial;sans-serif"/>
          <w:b w:val="false"/>
          <w:i/>
          <w:color w:val="000000"/>
          <w:sz w:val="20"/>
        </w:rPr>
        <w:t xml:space="preserve">Expected Volatility. </w:t>
      </w:r>
      <w:r>
        <w:rPr>
          <w:rFonts w:ascii="Arial;sans-serif" w:hAnsi="Arial;sans-serif"/>
          <w:b w:val="false"/>
          <w:color w:val="000000"/>
          <w:sz w:val="20"/>
        </w:rPr>
        <w:t xml:space="preserve">Volatility is a measure of the amount by which a financial variable, such as a share price, has fluctuated (historical volatility) or is 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 </w:t>
      </w:r>
    </w:p>
    <w:p>
      <w:pPr>
        <w:pStyle w:val="TextBody"/>
        <w:bidi w:val="0"/>
        <w:spacing w:lineRule="auto" w:line="288" w:before="0" w:after="240"/>
        <w:ind w:left="0" w:right="0" w:firstLine="360"/>
        <w:jc w:val="left"/>
        <w:rPr/>
      </w:pPr>
      <w:r>
        <w:rPr>
          <w:rFonts w:ascii="Arial;sans-serif" w:hAnsi="Arial;sans-serif"/>
          <w:b w:val="false"/>
          <w:i/>
          <w:color w:val="000000"/>
          <w:sz w:val="20"/>
        </w:rPr>
        <w:t xml:space="preserve">Risk-Free Interest Rate. </w:t>
      </w:r>
      <w:r>
        <w:rPr>
          <w:rFonts w:ascii="Arial;sans-serif" w:hAnsi="Arial;sans-serif"/>
          <w:b w:val="false"/>
          <w:color w:val="000000"/>
          <w:sz w:val="20"/>
        </w:rPr>
        <w:t>This is the U.S. Treasury rate, having a term that most closely resembles the expected life of the stock option.</w:t>
      </w:r>
    </w:p>
    <w:p>
      <w:pPr>
        <w:pStyle w:val="TextBody"/>
        <w:bidi w:val="0"/>
        <w:spacing w:lineRule="auto" w:line="288" w:before="0" w:after="240"/>
        <w:ind w:left="0" w:right="0" w:firstLine="360"/>
        <w:jc w:val="left"/>
        <w:rPr/>
      </w:pPr>
      <w:r>
        <w:rPr>
          <w:rFonts w:ascii="Arial;sans-serif" w:hAnsi="Arial;sans-serif"/>
          <w:b w:val="false"/>
          <w:i/>
          <w:color w:val="000000"/>
          <w:sz w:val="20"/>
        </w:rPr>
        <w:t xml:space="preserve">Expected Dividend Yield. </w:t>
      </w:r>
      <w:r>
        <w:rPr>
          <w:rFonts w:ascii="Arial;sans-serif" w:hAnsi="Arial;sans-serif"/>
          <w:b w:val="false"/>
          <w:color w:val="000000"/>
          <w:sz w:val="20"/>
        </w:rPr>
        <w:t>We have never declared or paid dividends and have no plans to do so in the foreseeable future.</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2018 Employee Stock Purchase Plan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2018, our Board of Directors adopted, and our stockholders approved our 2018 ESPP. Under the evergreen provision, in January 2023 we reserved an additional 1.7 million shares of our common stock for issuance. At December 31, 2023, there were 8.7 million shares reserved for issuance under the 2018 ESPP.</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Under our 2018 ESPP, employees may set aside up to 15% of their gross earnings, on an after-tax basis, to purchase our common stock at a discounted price, which is calculated at 85% of the lower of the fair market value of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stock on the first day of an offering or on the date of purchase. The 2018 ESPP permits offerings up to 27 months in duration, with one or more purchase periods in each offering. 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and purchase periods every six months.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employees purchased 506,390 shares of our common stock at a weighted average price of $32.04 per share, resulting in $16.2 million of cash proceeds.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2022, employees purchased 442,629 shares of our common stock at a weighted average price of $33.42 per share resulting in $14.8 million of cash proceeds.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2021, employees purchased 670,534 shares of our common stock at a weighted average price of $20.48 per share resulting in $13.7 million of cash proceeds.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December 31, 2023 and 2022 there were $7.9 million and $6.8 million, respectively, of employee contributions to the 2018 ESPP included in accrued compensation.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the 2018 ESPP purchase rights was estimated on the offering or modification dates using a Black-Scholes option-pricing model and the following assumptions:</w:t>
      </w:r>
    </w:p>
    <w:tbl>
      <w:tblPr>
        <w:tblW w:w="7824" w:type="dxa"/>
        <w:jc w:val="center"/>
        <w:tblInd w:w="0" w:type="dxa"/>
        <w:tblLayout w:type="fixed"/>
        <w:tblCellMar>
          <w:top w:w="28" w:type="dxa"/>
          <w:left w:w="28" w:type="dxa"/>
          <w:bottom w:w="28" w:type="dxa"/>
          <w:right w:w="28" w:type="dxa"/>
        </w:tblCellMar>
      </w:tblPr>
      <w:tblGrid>
        <w:gridCol w:w="819"/>
        <w:gridCol w:w="721"/>
        <w:gridCol w:w="725"/>
        <w:gridCol w:w="507"/>
        <w:gridCol w:w="507"/>
        <w:gridCol w:w="516"/>
        <w:gridCol w:w="154"/>
        <w:gridCol w:w="154"/>
        <w:gridCol w:w="154"/>
        <w:gridCol w:w="507"/>
        <w:gridCol w:w="507"/>
        <w:gridCol w:w="516"/>
        <w:gridCol w:w="154"/>
        <w:gridCol w:w="154"/>
        <w:gridCol w:w="154"/>
        <w:gridCol w:w="459"/>
        <w:gridCol w:w="459"/>
        <w:gridCol w:w="657"/>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0.5 — 2.0</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46.9% — 58.1%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42.8% — 61.0%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37.2% — 59.4%</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 — 5.4%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0.1% — 3.4%</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0.1% — 0.2%</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11. Income Taxes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U.S. and foreign components of the loss before income taxes were as follows:</w:t>
      </w:r>
    </w:p>
    <w:tbl>
      <w:tblPr>
        <w:tblW w:w="6897" w:type="dxa"/>
        <w:jc w:val="left"/>
        <w:tblInd w:w="0" w:type="dxa"/>
        <w:tblLayout w:type="fixed"/>
        <w:tblCellMar>
          <w:top w:w="28" w:type="dxa"/>
          <w:left w:w="28" w:type="dxa"/>
          <w:bottom w:w="28" w:type="dxa"/>
          <w:right w:w="28" w:type="dxa"/>
        </w:tblCellMar>
      </w:tblPr>
      <w:tblGrid>
        <w:gridCol w:w="1017"/>
        <w:gridCol w:w="893"/>
        <w:gridCol w:w="895"/>
        <w:gridCol w:w="211"/>
        <w:gridCol w:w="811"/>
        <w:gridCol w:w="109"/>
        <w:gridCol w:w="109"/>
        <w:gridCol w:w="109"/>
        <w:gridCol w:w="109"/>
        <w:gridCol w:w="211"/>
        <w:gridCol w:w="811"/>
        <w:gridCol w:w="109"/>
        <w:gridCol w:w="109"/>
        <w:gridCol w:w="109"/>
        <w:gridCol w:w="109"/>
        <w:gridCol w:w="211"/>
        <w:gridCol w:w="811"/>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loss</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the provision for income taxes were as follows: </w:t>
      </w:r>
    </w:p>
    <w:tbl>
      <w:tblPr>
        <w:tblW w:w="7436" w:type="dxa"/>
        <w:jc w:val="center"/>
        <w:tblInd w:w="0" w:type="dxa"/>
        <w:tblLayout w:type="fixed"/>
        <w:tblCellMar>
          <w:top w:w="28" w:type="dxa"/>
          <w:left w:w="28" w:type="dxa"/>
          <w:bottom w:w="28" w:type="dxa"/>
          <w:right w:w="28" w:type="dxa"/>
        </w:tblCellMar>
      </w:tblPr>
      <w:tblGrid>
        <w:gridCol w:w="1331"/>
        <w:gridCol w:w="1170"/>
        <w:gridCol w:w="1173"/>
        <w:gridCol w:w="211"/>
        <w:gridCol w:w="751"/>
        <w:gridCol w:w="109"/>
        <w:gridCol w:w="109"/>
        <w:gridCol w:w="109"/>
        <w:gridCol w:w="109"/>
        <w:gridCol w:w="211"/>
        <w:gridCol w:w="646"/>
        <w:gridCol w:w="109"/>
        <w:gridCol w:w="109"/>
        <w:gridCol w:w="109"/>
        <w:gridCol w:w="109"/>
        <w:gridCol w:w="211"/>
        <w:gridCol w:w="70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tax expense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expense (benefit)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provision (benefit)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2022 acquisition of Bit Discovery, we elected to first offset our existing deferred tax assets with acquired deferred tax liabilities. This resulted in releasing $2.5 million of the federal and state valuation allowance, which was recorded as a component of our deferred tax benefit.</w:t>
      </w:r>
    </w:p>
    <w:p>
      <w:pPr>
        <w:pStyle w:val="TextBody"/>
        <w:bidi w:val="0"/>
        <w:spacing w:lineRule="auto" w:line="288" w:before="100" w:after="24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2021 acquisition of Accurics, we elected to first offset our existing deferred tax assets with acquired deferred tax liabilities. This resulted in releasing $7.9 million of the federal and state valuation allowance, which was recorded as a component of our deferred tax benefit.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2022 and 2021, we restructured our operations in Israel through intercompany transactions, which resulted in $2.7 million and $2.8 million, respectively, of current tax expense.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items accounting for the difference between income taxes computed at the federal statutory rate and our effective tax rate were as follows:</w:t>
      </w:r>
    </w:p>
    <w:tbl>
      <w:tblPr>
        <w:tblW w:w="7165" w:type="dxa"/>
        <w:jc w:val="center"/>
        <w:tblInd w:w="0" w:type="dxa"/>
        <w:tblLayout w:type="fixed"/>
        <w:tblCellMar>
          <w:top w:w="28" w:type="dxa"/>
          <w:left w:w="28" w:type="dxa"/>
          <w:bottom w:w="28" w:type="dxa"/>
          <w:right w:w="28" w:type="dxa"/>
        </w:tblCellMar>
      </w:tblPr>
      <w:tblGrid>
        <w:gridCol w:w="1337"/>
        <w:gridCol w:w="1174"/>
        <w:gridCol w:w="1179"/>
        <w:gridCol w:w="299"/>
        <w:gridCol w:w="301"/>
        <w:gridCol w:w="308"/>
        <w:gridCol w:w="117"/>
        <w:gridCol w:w="117"/>
        <w:gridCol w:w="117"/>
        <w:gridCol w:w="299"/>
        <w:gridCol w:w="301"/>
        <w:gridCol w:w="308"/>
        <w:gridCol w:w="117"/>
        <w:gridCol w:w="117"/>
        <w:gridCol w:w="117"/>
        <w:gridCol w:w="299"/>
        <w:gridCol w:w="301"/>
        <w:gridCol w:w="357"/>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taxes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rate differential</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intercompany sale, net of losses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withholding tax</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deferred FX remeasurement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costs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maintain a valuation allowance on U.S. federal, state and foreign net deferred tax assets as the realization of our deferred tax assets is dependent upon future earnings, if any, the timing and amount of which are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the deferred tax assets and liabilities were as follows: </w:t>
      </w:r>
    </w:p>
    <w:tbl>
      <w:tblPr>
        <w:tblW w:w="6159" w:type="dxa"/>
        <w:jc w:val="center"/>
        <w:tblInd w:w="0" w:type="dxa"/>
        <w:tblLayout w:type="fixed"/>
        <w:tblCellMar>
          <w:top w:w="28" w:type="dxa"/>
          <w:left w:w="28" w:type="dxa"/>
          <w:bottom w:w="28" w:type="dxa"/>
          <w:right w:w="28" w:type="dxa"/>
        </w:tblCellMar>
      </w:tblPr>
      <w:tblGrid>
        <w:gridCol w:w="1244"/>
        <w:gridCol w:w="1094"/>
        <w:gridCol w:w="1097"/>
        <w:gridCol w:w="211"/>
        <w:gridCol w:w="856"/>
        <w:gridCol w:w="109"/>
        <w:gridCol w:w="109"/>
        <w:gridCol w:w="109"/>
        <w:gridCol w:w="109"/>
        <w:gridCol w:w="211"/>
        <w:gridCol w:w="85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tax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Deferred tax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we had net operating loss (“NOL”) carryforwards for federal, state and foreign tax purposes of $372.5 million, $246.6 million, and $469.3 million, respectively, which will begin to expire in 2030, as well as $27.6 million of federal, state and foreign research and development tax credits, foreign tax credits, minimum tax credits and certain states’ job creation tax credits. The federal research and development and foreign tax credits will begin to expire in 2032 and the state job creation tax credits will begin to expire in 2024.</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and 2022, the total amount of gross unrecognized tax benefits was $8.3 million and $7.8 million, respectively, which, if recognized, would impact our effective tax rate by approximately $0.2 million in each year. Interest and penalties associated with uncertain tax positions recognized as a component of income tax expense were immaterial in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change in gross unrecognized tax benefits, excluding accrued interest, were as follows: </w:t>
      </w:r>
    </w:p>
    <w:tbl>
      <w:tblPr>
        <w:tblW w:w="8561" w:type="dxa"/>
        <w:jc w:val="center"/>
        <w:tblInd w:w="0" w:type="dxa"/>
        <w:tblLayout w:type="fixed"/>
        <w:tblCellMar>
          <w:top w:w="28" w:type="dxa"/>
          <w:left w:w="28" w:type="dxa"/>
          <w:bottom w:w="28" w:type="dxa"/>
          <w:right w:w="28" w:type="dxa"/>
        </w:tblCellMar>
      </w:tblPr>
      <w:tblGrid>
        <w:gridCol w:w="1800"/>
        <w:gridCol w:w="1580"/>
        <w:gridCol w:w="1584"/>
        <w:gridCol w:w="211"/>
        <w:gridCol w:w="646"/>
        <w:gridCol w:w="109"/>
        <w:gridCol w:w="109"/>
        <w:gridCol w:w="109"/>
        <w:gridCol w:w="109"/>
        <w:gridCol w:w="211"/>
        <w:gridCol w:w="646"/>
        <w:gridCol w:w="109"/>
        <w:gridCol w:w="109"/>
        <w:gridCol w:w="109"/>
        <w:gridCol w:w="109"/>
        <w:gridCol w:w="211"/>
        <w:gridCol w:w="646"/>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tax benefits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in the current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prior year positions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prior year positions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tax benefits at the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2023, we were not under examination for income tax audits by the Internal Revenue Service. We are currently under tax examination in France for tax years 2019 through 2022 and in Israel for tax years 2018 through 2021.</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12. Net Loss Per Share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2291"/>
        <w:gridCol w:w="1920"/>
        <w:gridCol w:w="1930"/>
        <w:gridCol w:w="211"/>
        <w:gridCol w:w="800"/>
        <w:gridCol w:w="109"/>
        <w:gridCol w:w="109"/>
        <w:gridCol w:w="109"/>
        <w:gridCol w:w="109"/>
        <w:gridCol w:w="211"/>
        <w:gridCol w:w="800"/>
        <w:gridCol w:w="109"/>
        <w:gridCol w:w="109"/>
        <w:gridCol w:w="109"/>
        <w:gridCol w:w="109"/>
        <w:gridCol w:w="211"/>
        <w:gridCol w:w="800"/>
        <w:gridCol w:w="159"/>
      </w:tblGrid>
      <w:tr>
        <w:trPr/>
        <w:tc>
          <w:tcPr>
            <w:tcW w:w="2291"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loss per share, basic and diluted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106,387 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potentially dilutive securities have been excluded from the diluted per share calculations because they would have been antidilutive:</w:t>
      </w:r>
    </w:p>
    <w:tbl>
      <w:tblPr>
        <w:tblW w:w="7576" w:type="dxa"/>
        <w:jc w:val="left"/>
        <w:tblInd w:w="0" w:type="dxa"/>
        <w:tblLayout w:type="fixed"/>
        <w:tblCellMar>
          <w:top w:w="28" w:type="dxa"/>
          <w:left w:w="28" w:type="dxa"/>
          <w:bottom w:w="28" w:type="dxa"/>
          <w:right w:w="28" w:type="dxa"/>
        </w:tblCellMar>
      </w:tblPr>
      <w:tblGrid>
        <w:gridCol w:w="1381"/>
        <w:gridCol w:w="1213"/>
        <w:gridCol w:w="1216"/>
        <w:gridCol w:w="375"/>
        <w:gridCol w:w="376"/>
        <w:gridCol w:w="176"/>
        <w:gridCol w:w="154"/>
        <w:gridCol w:w="154"/>
        <w:gridCol w:w="154"/>
        <w:gridCol w:w="375"/>
        <w:gridCol w:w="376"/>
        <w:gridCol w:w="176"/>
        <w:gridCol w:w="154"/>
        <w:gridCol w:w="154"/>
        <w:gridCol w:w="154"/>
        <w:gridCol w:w="375"/>
        <w:gridCol w:w="376"/>
        <w:gridCol w:w="237"/>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 thousands)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to be issued under the 2018 ESPP</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13. Geographic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Revenue by region, based on the address of the end user as specified in our subscription, license or service agreements, was as follows:</w:t>
      </w:r>
    </w:p>
    <w:tbl>
      <w:tblPr>
        <w:tblW w:w="7061" w:type="dxa"/>
        <w:jc w:val="left"/>
        <w:tblInd w:w="0" w:type="dxa"/>
        <w:tblLayout w:type="fixed"/>
        <w:tblCellMar>
          <w:top w:w="28" w:type="dxa"/>
          <w:left w:w="28" w:type="dxa"/>
          <w:bottom w:w="28" w:type="dxa"/>
          <w:right w:w="28" w:type="dxa"/>
        </w:tblCellMar>
      </w:tblPr>
      <w:tblGrid>
        <w:gridCol w:w="1028"/>
        <w:gridCol w:w="902"/>
        <w:gridCol w:w="904"/>
        <w:gridCol w:w="211"/>
        <w:gridCol w:w="856"/>
        <w:gridCol w:w="109"/>
        <w:gridCol w:w="109"/>
        <w:gridCol w:w="109"/>
        <w:gridCol w:w="109"/>
        <w:gridCol w:w="211"/>
        <w:gridCol w:w="856"/>
        <w:gridCol w:w="109"/>
        <w:gridCol w:w="109"/>
        <w:gridCol w:w="109"/>
        <w:gridCol w:w="109"/>
        <w:gridCol w:w="211"/>
        <w:gridCol w:w="85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Customers located in the United States accounted for 55%, 56% and 58% of revenue in 2023, 2022 and 2021, respectively. No other country accounted for 10% or more of revenue in the periods presented.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property and equipment, net by geographic area is summarized as follows:</w:t>
      </w:r>
    </w:p>
    <w:tbl>
      <w:tblPr>
        <w:tblW w:w="5093" w:type="dxa"/>
        <w:jc w:val="left"/>
        <w:tblInd w:w="0" w:type="dxa"/>
        <w:tblLayout w:type="fixed"/>
        <w:tblCellMar>
          <w:top w:w="28" w:type="dxa"/>
          <w:left w:w="28" w:type="dxa"/>
          <w:bottom w:w="28" w:type="dxa"/>
          <w:right w:w="28" w:type="dxa"/>
        </w:tblCellMar>
      </w:tblPr>
      <w:tblGrid>
        <w:gridCol w:w="935"/>
        <w:gridCol w:w="821"/>
        <w:gridCol w:w="823"/>
        <w:gridCol w:w="211"/>
        <w:gridCol w:w="751"/>
        <w:gridCol w:w="109"/>
        <w:gridCol w:w="109"/>
        <w:gridCol w:w="109"/>
        <w:gridCol w:w="109"/>
        <w:gridCol w:w="211"/>
        <w:gridCol w:w="75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14. Benefit Plans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maintain a contributory defined contribution 401(k) plan for our U.S. employees, where company-matched contributions are fully vested. Additional contributory plans are in effect internationally, including in the U.K. and Ireland. Contribution expense for such plans was $10.3 million, $9.7 million and $7.6 million in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2023,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Management's Report on Internal Control Over Financial Reporting</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sans-serif" w:hAnsi="Arial;sans-serif"/>
          <w:b w:val="false"/>
          <w:i/>
          <w:color w:val="000000"/>
          <w:sz w:val="20"/>
        </w:rPr>
        <w:t>Internal Control—Integrated Framework (2013)</w:t>
      </w:r>
      <w:r>
        <w:rPr>
          <w:color w:val="000000"/>
        </w:rPr>
        <w:t xml:space="preserve"> </w:t>
      </w:r>
      <w:r>
        <w:rPr>
          <w:rFonts w:ascii="Arial;sans-serif" w:hAnsi="Arial;sans-serif"/>
          <w:b w:val="false"/>
          <w:color w:val="000000"/>
          <w:sz w:val="20"/>
        </w:rPr>
        <w:t>issued by the Committee of Sponsoring Organizations of the Treadway Commission, and concluded that our internal control over financial reporting was effective at December 31, 2023. We completed our acquisition of Ermetic on October 2, 2023. Since we have not yet fully incorporated the internal controls and procedures of Ermetic into our internal control over financial reporting, management excluded Ermetic from its assessment of the effectiveness of our internal controls as of December 31, 2023. Ermetic represented approximately 4% of our total assets at December 31, 2023 and less than 1% of our revenue and less than 2% of operating expenses in 2023.</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independent registered public accounting firm, Ernst &amp; Young LLP (PCAOB ID: 42), has issued an audit report with respect to our internal control over financial reporting as of December 31, 2023, which is included in Part II, Item 8 of this Annual Report on Form 10-K.</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management’s evaluation pursuant to Rules 13a-15(d) or 15d-15(d) of the Exchange Act during the three months ended December 31, 2023 that materially affected, or are reasonably likely to materially affect, our internal control over financial reporting.</w:t>
      </w:r>
    </w:p>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Inherent Limitations on Effectiveness of Internal Controls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0" w:after="240"/>
        <w:ind w:left="0" w:right="0" w:firstLine="360"/>
        <w:jc w:val="left"/>
        <w:rPr>
          <w:rFonts w:ascii="Arial;sans-serif" w:hAnsi="Arial;sans-serif"/>
          <w:b/>
          <w:i/>
          <w:color w:val="000000"/>
          <w:sz w:val="20"/>
          <w:shd w:fill="FFFFFF" w:val="clear"/>
        </w:rPr>
      </w:pPr>
      <w:r>
        <w:rPr>
          <w:rFonts w:ascii="Arial;sans-serif" w:hAnsi="Arial;sans-serif"/>
          <w:b/>
          <w:i/>
          <w:color w:val="000000"/>
          <w:sz w:val="20"/>
          <w:shd w:fill="FFFFFF" w:val="clear"/>
        </w:rPr>
        <w:t>Rule 10b5-1 Plan Elections</w:t>
      </w:r>
    </w:p>
    <w:p>
      <w:pPr>
        <w:pStyle w:val="TextBody"/>
        <w:bidi w:val="0"/>
        <w:spacing w:lineRule="auto" w:line="288" w:before="0" w:after="240"/>
        <w:ind w:left="0" w:right="0" w:firstLine="360"/>
        <w:jc w:val="left"/>
        <w:rPr/>
      </w:pPr>
      <w:r>
        <w:rPr>
          <w:rFonts w:ascii="Arial;sans-serif" w:hAnsi="Arial;sans-serif"/>
          <w:b w:val="false"/>
          <w:color w:val="000000"/>
          <w:sz w:val="20"/>
        </w:rPr>
        <w:t>Amit Yoran, our Chief Executive Officer, en</w:t>
      </w:r>
      <w:r>
        <w:rPr>
          <w:rFonts w:ascii="Arial;sans-serif" w:hAnsi="Arial;sans-serif"/>
          <w:b w:val="false"/>
          <w:color w:val="000000"/>
          <w:sz w:val="20"/>
          <w:shd w:fill="FFFFFF" w:val="clear"/>
        </w:rPr>
        <w:t>tered into a prearranged stock trading plan on December 4, 2023. Mr. Yoran's plan includes the potential sale of 1,220,000 shares held by Mr. Yoran and 180,000 shares held by the Amit Yoran 2020 Family Trust between March 4, 2024 and February 18, 2025. Of the shares of common stock that may be sold pursuant to Mr. Yoran's plan, 1,220,000 are to be issued upon the exercise of vested options held by Mr. Yoran.</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Stephen Vintz, our Chief Financial Officer entered into a prearranged stock trading plan on December 12, 2023. Mr. Vintz's plan includes the potential sale of 305,500 shares of our common stock between March 12, 2024 and September 24, 2024. All of the shares of common stock that may be sold pursuant to Mr. Vintz's plan are shares to be issued upon the exercise of vested stock options.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Raymond Vicks, Jr., a member of our Board of Directors, entered into a prearranged stock trading plan on November 30, 2023. Mr. Vicks' plan includes the potential sale of 2,369 shares of our common stock between February 29, 2024 and May 24, 2024. All of the shares of common stock that may be sold pursuant to Mr. Vicks' plan are shares to be issued upon the vesting of restricted stock units.</w:t>
      </w:r>
    </w:p>
    <w:p>
      <w:pPr>
        <w:pStyle w:val="TextBody"/>
        <w:bidi w:val="0"/>
        <w:spacing w:lineRule="auto" w:line="288" w:before="0" w:after="24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of the aforementioned trading plans were entered into during an open trading window and are intended to satisfy the affirmative defense of Rule 10b5-1(c) under the Exchange Act and our policies regarding insider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Executive Officers and Directors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contained in our definitive proxy statement to be filed with the SEC in connection with our 2024 annual meeting of stockholders, or the Proxy Statement, which is expected to be filed not later than 120 days after the end of our fiscal year ended December 31, 2023, under the captions "Information Regarding the Board of Directors and Corporate Governance," "Election of Directors" and "Executive Officers" and is incorporated in this report by reference.</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Code of Ethics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Code of Business Conduct and Ethics applies to all officers, directors and employees, and is available on our website at https://investors.tenable.com. If we make any substantive amendments to the Code of Business Conduct and Ethics or grant any waiver from a provision of the Code to any executive officer or director, we will promptly disclose the nature of the amendment or waiver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the Proxy Statement under the captions "Executive Compensation"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the Proxy Statement under the captions "Transactions with Related Persons and Indemnification" and "Independence of the Board of Directors"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by this item will be set forth in the Proxy Statement under the caption "Ratification of Selection of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(a)(1) Financial Statements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See the Index to Consolidated Financial Statements in Item 8 of this Annual Report on Form 10-K.</w:t>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(a)(2) Financial Statement Schedules</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SCHEDULE II</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SUPPLEMENTARY CONSOLIDATED FINANCIAL STATEMENT SCHEDULE</w:t>
      </w:r>
    </w:p>
    <w:p>
      <w:pPr>
        <w:pStyle w:val="TextBody"/>
        <w:bidi w:val="0"/>
        <w:spacing w:lineRule="auto" w:line="288" w:before="0" w:after="0"/>
        <w:ind w:left="0" w:right="0" w:firstLine="360"/>
        <w:jc w:val="center"/>
        <w:rPr>
          <w:rFonts w:ascii="Arial;sans-serif" w:hAnsi="Arial;sans-serif"/>
          <w:b/>
          <w:color w:val="000000"/>
          <w:sz w:val="20"/>
        </w:rPr>
      </w:pPr>
      <w:r>
        <w:rPr>
          <w:rFonts w:ascii="Arial;sans-serif" w:hAnsi="Arial;sans-serif"/>
          <w:b/>
          <w:color w:val="000000"/>
          <w:sz w:val="20"/>
        </w:rPr>
        <w:t>VALUATION AND QUALIFYING ACCOUNTS</w:t>
      </w:r>
    </w:p>
    <w:tbl>
      <w:tblPr>
        <w:tblW w:w="10205" w:type="dxa"/>
        <w:jc w:val="left"/>
        <w:tblInd w:w="0" w:type="dxa"/>
        <w:tblLayout w:type="fixed"/>
        <w:tblCellMar>
          <w:top w:w="28" w:type="dxa"/>
          <w:left w:w="28" w:type="dxa"/>
          <w:bottom w:w="28" w:type="dxa"/>
          <w:right w:w="28" w:type="dxa"/>
        </w:tblCellMar>
      </w:tblPr>
      <w:tblGrid>
        <w:gridCol w:w="920"/>
        <w:gridCol w:w="704"/>
        <w:gridCol w:w="706"/>
        <w:gridCol w:w="431"/>
        <w:gridCol w:w="1322"/>
        <w:gridCol w:w="223"/>
        <w:gridCol w:w="109"/>
        <w:gridCol w:w="109"/>
        <w:gridCol w:w="109"/>
        <w:gridCol w:w="708"/>
        <w:gridCol w:w="1615"/>
        <w:gridCol w:w="366"/>
        <w:gridCol w:w="109"/>
        <w:gridCol w:w="109"/>
        <w:gridCol w:w="109"/>
        <w:gridCol w:w="258"/>
        <w:gridCol w:w="795"/>
        <w:gridCol w:w="136"/>
        <w:gridCol w:w="109"/>
        <w:gridCol w:w="109"/>
        <w:gridCol w:w="109"/>
        <w:gridCol w:w="256"/>
        <w:gridCol w:w="586"/>
        <w:gridCol w:w="198"/>
      </w:tblGrid>
      <w:tr>
        <w:trPr/>
        <w:tc>
          <w:tcPr>
            <w:tcW w:w="92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Deductions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Balance at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 of Year</w:t>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Allowance for Doubtful Accounts</w:t>
            </w:r>
          </w:p>
        </w:tc>
        <w:tc>
          <w:tcPr>
            <w:tcW w:w="1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2022</w:t>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2021</w:t>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(1)    Consists of recoveries and write-offs of uncollectible accounts.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All other schedules have been omitted because they are not required, not applicable, or the required information is included in the financial statements or the notes to the financial statements.</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(a)(3) Exhibits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350"/>
        <w:gridCol w:w="307"/>
        <w:gridCol w:w="308"/>
        <w:gridCol w:w="109"/>
        <w:gridCol w:w="109"/>
        <w:gridCol w:w="109"/>
        <w:gridCol w:w="1724"/>
        <w:gridCol w:w="1724"/>
        <w:gridCol w:w="1741"/>
        <w:gridCol w:w="109"/>
        <w:gridCol w:w="109"/>
        <w:gridCol w:w="109"/>
        <w:gridCol w:w="1030"/>
        <w:gridCol w:w="973"/>
        <w:gridCol w:w="1394"/>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w:t>
            </w:r>
          </w:p>
        </w:tc>
      </w:tr>
      <w:tr>
        <w:trPr/>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Amended and Restated Certificate of Incorporation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3.1 to the Company's Current Report on Form 8-K (File No. 001-38600) on July 30, 2018</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Second Amended and Restated Bylaws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3.1 to the Company's Current Report on Form 8-K (File No. 001-38600) on November 15, 2023</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Common Stock Certificate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4.1 to the Company's Registration Statement on Form S-1 (File No. 333-226002) on July 16, 2018</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Investors' Rights Agreement by and among Tenable Holdings, Inc. and certain of its stockholders, dated December 18,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4.2 to the Company's Registration Statement on Form S-1 (File No. 333-226002) on July 16, 2018</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Description of Common Stock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4.3 to the Company's Annual Report on Form 10-K (File No. 001-38600) on February 28, 2020</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2016 Stock Incentive Plan and Irish Supplement and Forms of Option Grant Notice and Agreement and Exercise Notice and Form of Restricted Stock Grant Notice and Agreement thereunder, as amended to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 to the Company's Registration Statement on Form S-8 (File No. 333-226347) on July 26, 2018</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2012 Stock Incentive Plan and Form of Notice of Stock Option Grant and Form of Stock Option Agreement and Notice of Exercise and Common Stock Purchase Agreement thereunder, as amended to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10.2 to the Company's Registration Statement on Form S-8 (File No. 333-226347) on July 26, 2018</w:t>
            </w:r>
          </w:p>
        </w:tc>
      </w:tr>
      <w:tr>
        <w:trPr/>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2002 Stock Incentive Plan and Form of Notice of Option Grant and Form of Stock Option Agreement and Form of Notice of Stock Option Exercise and Form of Stock Award Agreement thereunder, as amended to date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10.3 to the Company's Registration Statement on Form S-8 (File No. 333-226347) on July 26, 2018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17"/>
        <w:gridCol w:w="191"/>
        <w:gridCol w:w="194"/>
        <w:gridCol w:w="109"/>
        <w:gridCol w:w="109"/>
        <w:gridCol w:w="109"/>
        <w:gridCol w:w="2289"/>
        <w:gridCol w:w="1943"/>
        <w:gridCol w:w="1948"/>
        <w:gridCol w:w="109"/>
        <w:gridCol w:w="109"/>
        <w:gridCol w:w="109"/>
        <w:gridCol w:w="809"/>
        <w:gridCol w:w="809"/>
        <w:gridCol w:w="115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2018 Equity Incentive Plan and Forms of Stock Option Grant Notice and Agreement and Restricted Stock Unit Grant Notice and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10.4 to the Company's Registration Statement on Form S-8 (File No. 333-226347) on July 26, 2018</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Form of Performance Restricted Stock Unit Grant Notice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 to the Company's Current Report on Form 8-K (File No. 001-38600) filed on February 28, 2022</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10.5 to the Company's Registration Statement on Form S-8 (File No. 333-226347) on July 26, 2018</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Form of Indemnification Agreement by and between Tenable Holdings, Inc.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10.6 to the Company's Registration Statement on Form S-1 (File No. 333-226002) on July 16, 2018</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Amended and Restated Employment Agreement, dated as of February 20, 2019, by and between Tenable, Inc. and Amit Yoran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 to the Company's Current Report on Form 8-K (File No. 001-38600) on February 22,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Amended and Restated Employment Agreement, dated as of February 20, 2019, by and between Tenable, Inc. and Stephen A. Vintz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10.2 to the Company's Current Report on Form 8-K (File No. 001-38600) on February 22, 2019</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Employment Agreement, dated as of January 1, 2020, by and between Tenable, Inc. and Mark Thurmond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10.11 to the Company's Annual Report on Form 10-K (File No. 001-38600) on February 24,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Distribution Agreement, dated as of September 10, 2012, by and between Tenable Network Security, Inc. and Ingram Micro,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10.12 to the Company's Registration Statement on Form S-1 (File No. 333-226002) on July 16, 2018</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Arial;sans-serif" w:hAnsi="Arial;sans-serif"/>
                  <w:b w:val="false"/>
                  <w:color w:val="0000FF"/>
                  <w:sz w:val="18"/>
                  <w:u w:val="single"/>
                </w:rPr>
                <w:t>Credit Agreement, dated as of July 7, 2021, by and among Tenable, Inc., the lenders party thereto and JPMorgan Chase Bank, N.A.,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10.2 to the Company's Form 10-Q (File No. 001-38600) on August 2, 2021</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Share Purchase Agreement, dated as of September 13, 2021, by and among Tenable, Inc., Accurics, Inc., the shareholders of Accurics identified in the Purchase Agreement or joined to the Purchase Agreement pursuant to a joinder agreement, and Shareholder Representative Services LLC, as the representative of Accurics' shareholders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 to the Company's Current Report on Form 8-K (File No. 001-38600) on September 13, 2021</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Share Purchase Agreement, dated as of September 7, 2023, by and among Tenable, Inc., Ermetic Ltd., the shareholders of Ermetic identified on the signature pages thereto and Shareholder Representative Services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2.1 to the Company's Current Report on Form 8-K (File No. 001-38600) on September 7,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Form of Restricted Stock Unit Grant Notice and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10.2 to the Company's Form 10-Q (File No. 001-38600) on August 2,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Form of Restricted Stock Unit Grant Notice and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 to the Company's Form 10-Q (File No. 001-38600) on November 9,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Amendment No. 1 to Credit Agreement, dated as of June 1, 2023, by and among Tenable, Inc., the lenders party thereto and JPMorgan Chase Bank, N.A., as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Previously filed as Exhibit 10.1 to the Company's Form 10-Q (File No. 001-38600) on August 2, 2023</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211.htm">
              <w:r>
                <w:rPr>
                  <w:rStyle w:val="InternetLink"/>
                  <w:rFonts w:ascii="Arial;sans-serif" w:hAnsi="Arial;sans-serif"/>
                  <w:b w:val="false"/>
                  <w:color w:val="0000FF"/>
                  <w:sz w:val="18"/>
                  <w:u w:val="single"/>
                </w:rPr>
                <w:t>Subsidiaries of Tenable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231.htm">
              <w:r>
                <w:rPr>
                  <w:rStyle w:val="InternetLink"/>
                  <w:rFonts w:ascii="Arial;sans-serif" w:hAnsi="Arial;sans-serif"/>
                  <w:b w:val="false"/>
                  <w:color w:val="0000FF"/>
                  <w:sz w:val="18"/>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95df87e60249c78a6b8cdac6111421_187">
              <w:r>
                <w:rPr>
                  <w:rStyle w:val="InternetLink"/>
                  <w:rFonts w:ascii="Arial;sans-serif" w:hAnsi="Arial;sans-serif"/>
                  <w:b w:val="false"/>
                  <w:color w:val="0000FF"/>
                  <w:sz w:val="18"/>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311.htm">
              <w:r>
                <w:rPr>
                  <w:rStyle w:val="InternetLink"/>
                  <w:rFonts w:ascii="Arial;sans-serif" w:hAnsi="Arial;sans-serif"/>
                  <w:b w:val="false"/>
                  <w:color w:val="0000FF"/>
                  <w:sz w:val="18"/>
                  <w:u w:val="single"/>
                </w:rPr>
                <w:t>Certification of the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312.htm">
              <w:r>
                <w:rPr>
                  <w:rStyle w:val="InternetLink"/>
                  <w:rFonts w:ascii="Arial;sans-serif" w:hAnsi="Arial;sans-serif"/>
                  <w:b w:val="false"/>
                  <w:color w:val="0000FF"/>
                  <w:sz w:val="18"/>
                  <w:u w:val="single"/>
                </w:rPr>
                <w:t>Certification of the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1"/>
        <w:gridCol w:w="209"/>
        <w:gridCol w:w="209"/>
        <w:gridCol w:w="109"/>
        <w:gridCol w:w="109"/>
        <w:gridCol w:w="109"/>
        <w:gridCol w:w="2522"/>
        <w:gridCol w:w="2522"/>
        <w:gridCol w:w="2527"/>
        <w:gridCol w:w="109"/>
        <w:gridCol w:w="109"/>
        <w:gridCol w:w="109"/>
        <w:gridCol w:w="382"/>
        <w:gridCol w:w="382"/>
        <w:gridCol w:w="547"/>
      </w:tblGrid>
      <w:tr>
        <w:trPr/>
        <w:tc>
          <w:tcPr>
            <w:tcW w:w="2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321.htm">
              <w:r>
                <w:rPr>
                  <w:rStyle w:val="InternetLink"/>
                  <w:rFonts w:ascii="Arial;sans-serif" w:hAnsi="Arial;sans-serif"/>
                  <w:b w:val="false"/>
                  <w:color w:val="0000FF"/>
                  <w:sz w:val="18"/>
                  <w:u w:val="single"/>
                </w:rPr>
                <w:t>Certification of the Principal Executive Officer and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Furnished herewith</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exhibit971.htm">
              <w:r>
                <w:rPr>
                  <w:rStyle w:val="InternetLink"/>
                  <w:rFonts w:ascii="Arial;sans-serif" w:hAnsi="Arial;sans-serif"/>
                  <w:b w:val="false"/>
                  <w:color w:val="0000FF"/>
                  <w:sz w:val="18"/>
                  <w:u w:val="single"/>
                </w:rPr>
                <w:t>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with applicable taxonomy extension information contained in Exhibits 101.SCH, 101.CAL, 101.DEF, 101.LAB and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Indicates management contract or compensatory plan.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Confidential treatment has been granted as to certain portions, indicated by asterisks, which portions have been omitted and filed separately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934" w:type="dxa"/>
        <w:jc w:val="left"/>
        <w:tblInd w:w="0" w:type="dxa"/>
        <w:tblLayout w:type="fixed"/>
        <w:tblCellMar>
          <w:top w:w="28" w:type="dxa"/>
          <w:left w:w="28" w:type="dxa"/>
          <w:bottom w:w="28" w:type="dxa"/>
          <w:right w:w="28" w:type="dxa"/>
        </w:tblCellMar>
      </w:tblPr>
      <w:tblGrid>
        <w:gridCol w:w="211"/>
        <w:gridCol w:w="186"/>
        <w:gridCol w:w="188"/>
        <w:gridCol w:w="559"/>
        <w:gridCol w:w="559"/>
        <w:gridCol w:w="561"/>
        <w:gridCol w:w="412"/>
        <w:gridCol w:w="412"/>
        <w:gridCol w:w="412"/>
        <w:gridCol w:w="997"/>
        <w:gridCol w:w="997"/>
        <w:gridCol w:w="144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Yoran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240"/>
        <w:jc w:val="left"/>
        <w:rPr/>
      </w:pPr>
      <w:hyperlink w:anchor="i8d95df87e60249c78a6b8cdac6111421_7">
        <w:r>
          <w:rPr>
            <w:rStyle w:val="InternetLink"/>
          </w:rPr>
          <w:t xml:space="preserve">Table of </w:t>
        </w:r>
      </w:hyperlink>
      <w:hyperlink w:anchor="i8d95df87e60249c78a6b8cdac6111421_7">
        <w:r>
          <w:rPr>
            <w:rStyle w:val="InternetLink"/>
          </w:rPr>
          <w:t>Contents</w:t>
        </w:r>
      </w:hyperlink>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KNOW ALL PERSONS BY THESE PRESENTS, that each person whose signature appears below constitutes and appoints Amit Yoran, Stephen A. Vintz and Michelle VonderHaar,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956"/>
        <w:gridCol w:w="839"/>
        <w:gridCol w:w="842"/>
        <w:gridCol w:w="109"/>
        <w:gridCol w:w="109"/>
        <w:gridCol w:w="109"/>
        <w:gridCol w:w="1730"/>
        <w:gridCol w:w="1727"/>
        <w:gridCol w:w="1750"/>
        <w:gridCol w:w="109"/>
        <w:gridCol w:w="109"/>
        <w:gridCol w:w="109"/>
        <w:gridCol w:w="494"/>
        <w:gridCol w:w="494"/>
        <w:gridCol w:w="719"/>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2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Yoran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Arthur W. Coviello,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Arthur W. Coviello,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Linda Zecher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Linda Zecher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Niloofar Razi Howe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Niloofar Razi Howe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C. Huffard,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C. Huffard,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Margaret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Margaret Keane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 Brooke Seawell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Brooke Seawell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George Alexander Tosheff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Alexander Tosheff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Raymond Vicks,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r>
      <w:tr>
        <w:trPr/>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Raymond Vicks,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SUBSIDIARIES OF TENABLE HOLDINGS, INC.</w:t>
      </w:r>
    </w:p>
    <w:p>
      <w:pPr>
        <w:pStyle w:val="TextBody"/>
        <w:bidi w:val="0"/>
        <w:spacing w:before="0" w:after="0"/>
        <w:jc w:val="center"/>
        <w:rPr/>
      </w:pPr>
      <w:r>
        <w:rPr/>
      </w:r>
    </w:p>
    <w:tbl>
      <w:tblPr>
        <w:tblW w:w="6509" w:type="dxa"/>
        <w:jc w:val="center"/>
        <w:tblInd w:w="0" w:type="dxa"/>
        <w:tblLayout w:type="fixed"/>
        <w:tblCellMar>
          <w:top w:w="28" w:type="dxa"/>
          <w:left w:w="28" w:type="dxa"/>
          <w:bottom w:w="28" w:type="dxa"/>
          <w:right w:w="28" w:type="dxa"/>
        </w:tblCellMar>
      </w:tblPr>
      <w:tblGrid>
        <w:gridCol w:w="1337"/>
        <w:gridCol w:w="1174"/>
        <w:gridCol w:w="1179"/>
        <w:gridCol w:w="825"/>
        <w:gridCol w:w="825"/>
        <w:gridCol w:w="116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Subsidiary</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Jurisdiction of Incorporation</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Tenable, Inc.</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Accurics, Inc.</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Ermetic,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Israel</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Tenable Network Security Ireland Limited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Ireland</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Alsid, SAS</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Tenable Public Sector LLC</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tbl>
      <w:tblPr>
        <w:tblW w:w="10205" w:type="dxa"/>
        <w:jc w:val="center"/>
        <w:tblInd w:w="0" w:type="dxa"/>
        <w:tblLayout w:type="fixed"/>
        <w:tblCellMar>
          <w:top w:w="28" w:type="dxa"/>
          <w:left w:w="28" w:type="dxa"/>
          <w:bottom w:w="28" w:type="dxa"/>
          <w:right w:w="28" w:type="dxa"/>
        </w:tblCellMar>
      </w:tblPr>
      <w:tblGrid>
        <w:gridCol w:w="159"/>
        <w:gridCol w:w="140"/>
        <w:gridCol w:w="109"/>
        <w:gridCol w:w="109"/>
        <w:gridCol w:w="109"/>
        <w:gridCol w:w="109"/>
        <w:gridCol w:w="2770"/>
        <w:gridCol w:w="2770"/>
        <w:gridCol w:w="3930"/>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Registration Statement (Form S-3ASR No. 333-240164) of Tenable Holdings, Inc.,</w:t>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Registration Statement (Form S-8 No. 333-236759) pertaining to the Tenable Holdings, Inc. 2018 Equity Incentive Plan, and the Tenable Holdings, Inc. 2018 Employee Stock Purchase Plan, </w:t>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333-253376) pertaining to the Tenable Holdings, Inc. 2018 Equity Incentive Plan, and the Tenable Holdings, Inc. 2018 Employee Stock Purchase Plan,</w:t>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w:t>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Registration Statement (Form S-8 No. 333-230040) pertaining to the Tenable Holdings, Inc. 2018 Equity Incentive Plan and the Tenable Holdings, Inc. 2018 Employee Stock Purchase Plan,</w:t>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333-263050) pertaining to the Tenable Holdings, Inc. 2018 Equity Incentive Plan and the Tenable Holdings, Inc. 2018 Employee Stock Purchase Plan, and</w:t>
            </w:r>
          </w:p>
        </w:tc>
      </w:tr>
      <w:tr>
        <w:trPr/>
        <w:tc>
          <w:tcPr>
            <w:tcW w:w="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Registration Statement (Form S-8 No. 333-270021) pertaining to the Tenable Holdings, Inc. 2018 Equity Incentive Plan and the Tenable Holdings, Inc. 2018 Employee Stock Purchase Plan;</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of our reports dated February 28, 2024, with respect to the consolidated financial statements and schedule of Tenable Holdings, Inc. and the effectiveness of internal control over financial reporting of Tenable Holdings, Inc. included in this Annual Report (Form 10-K) for the year ended December 31, 2023.</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Baltimore, Maryland</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February 28,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36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I, Amit Yoran, certify that: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Tenable Holdings, Inc.;</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103" w:type="dxa"/>
        <w:jc w:val="center"/>
        <w:tblInd w:w="0" w:type="dxa"/>
        <w:tblLayout w:type="fixed"/>
        <w:tblCellMar>
          <w:top w:w="28" w:type="dxa"/>
          <w:left w:w="28" w:type="dxa"/>
          <w:bottom w:w="28" w:type="dxa"/>
          <w:right w:w="28" w:type="dxa"/>
        </w:tblCellMar>
      </w:tblPr>
      <w:tblGrid>
        <w:gridCol w:w="211"/>
        <w:gridCol w:w="186"/>
        <w:gridCol w:w="188"/>
        <w:gridCol w:w="559"/>
        <w:gridCol w:w="559"/>
        <w:gridCol w:w="561"/>
        <w:gridCol w:w="134"/>
        <w:gridCol w:w="134"/>
        <w:gridCol w:w="136"/>
        <w:gridCol w:w="1002"/>
        <w:gridCol w:w="1002"/>
        <w:gridCol w:w="143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Yoran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Chairman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12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ind w:left="0" w:right="0" w:firstLine="36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60"/>
        <w:jc w:val="center"/>
        <w:rPr/>
      </w:pPr>
      <w:r>
        <w:rPr/>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I, Stephen A. Vintz, certify that:</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Tenable Holdings, Inc.;</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8038" w:type="dxa"/>
        <w:jc w:val="center"/>
        <w:tblInd w:w="0" w:type="dxa"/>
        <w:tblLayout w:type="fixed"/>
        <w:tblCellMar>
          <w:top w:w="28" w:type="dxa"/>
          <w:left w:w="28" w:type="dxa"/>
          <w:bottom w:w="28" w:type="dxa"/>
          <w:right w:w="28" w:type="dxa"/>
        </w:tblCellMar>
      </w:tblPr>
      <w:tblGrid>
        <w:gridCol w:w="211"/>
        <w:gridCol w:w="186"/>
        <w:gridCol w:w="188"/>
        <w:gridCol w:w="559"/>
        <w:gridCol w:w="559"/>
        <w:gridCol w:w="561"/>
        <w:gridCol w:w="134"/>
        <w:gridCol w:w="134"/>
        <w:gridCol w:w="136"/>
        <w:gridCol w:w="1572"/>
        <w:gridCol w:w="1572"/>
        <w:gridCol w:w="222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ind w:left="0" w:right="0" w:firstLine="36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60"/>
                        <w:ind w:left="0" w:right="0" w:firstLine="360"/>
                        <w:jc w:val="left"/>
                        <w:rPr/>
                      </w:pPr>
                      <w:r>
                        <w:rPr/>
                      </w:r>
                    </w:p>
                  </w:txbxContent>
                </v:textbox>
                <w10:wrap type="none"/>
              </v:rect>
            </w:pict>
          </mc:Fallback>
        </mc:AlternateConten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CERTIFICATIONS OF PRINCIPAL EXECUTIVE OFFICER AND PRINCIPAL FINANCIAL OFFICER</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60"/>
        <w:ind w:left="0" w:right="0" w:firstLine="360"/>
        <w:jc w:val="center"/>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Each of the undersigned hereby certifies, pursuant to 18 U.S.C. Section 1350, as adopted pursuant to Section 906 of the Sarbanes-Oxley Act of 2002, that the Annual Report on Form 10-K of Tenable Holdings, Inc.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tbl>
      <w:tblPr>
        <w:tblW w:w="8037" w:type="dxa"/>
        <w:jc w:val="center"/>
        <w:tblInd w:w="0" w:type="dxa"/>
        <w:tblLayout w:type="fixed"/>
        <w:tblCellMar>
          <w:top w:w="28" w:type="dxa"/>
          <w:left w:w="28" w:type="dxa"/>
          <w:bottom w:w="28" w:type="dxa"/>
          <w:right w:w="28" w:type="dxa"/>
        </w:tblCellMar>
      </w:tblPr>
      <w:tblGrid>
        <w:gridCol w:w="211"/>
        <w:gridCol w:w="186"/>
        <w:gridCol w:w="188"/>
        <w:gridCol w:w="559"/>
        <w:gridCol w:w="559"/>
        <w:gridCol w:w="561"/>
        <w:gridCol w:w="134"/>
        <w:gridCol w:w="134"/>
        <w:gridCol w:w="136"/>
        <w:gridCol w:w="1566"/>
        <w:gridCol w:w="1566"/>
        <w:gridCol w:w="223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Amit Yoran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Amit Yoran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Chairman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A. Vintz</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spacing w:before="0" w:after="6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ind w:left="0" w:right="0" w:firstLine="36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Tenable Holdings, Inc.</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1.    Introduction</w:t>
      </w:r>
    </w:p>
    <w:p>
      <w:pPr>
        <w:pStyle w:val="TextBody"/>
        <w:bidi w:val="0"/>
        <w:spacing w:lineRule="auto" w:line="288" w:before="0" w:after="60"/>
        <w:ind w:left="0" w:right="0" w:firstLine="720"/>
        <w:jc w:val="both"/>
        <w:rPr/>
      </w:pPr>
      <w:r>
        <w:rPr>
          <w:rFonts w:ascii="Times New Roman;sans-serif" w:hAnsi="Times New Roman;sans-serif"/>
          <w:b w:val="false"/>
          <w:color w:val="000000"/>
          <w:sz w:val="22"/>
        </w:rPr>
        <w:t>The Compensation Committee of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Tenable Holdings,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determined that it is in the best interests of the Company and its stockholders to adopt this Incentive Compensation Recoupment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88" w:before="0" w:after="60"/>
        <w:ind w:left="0" w:right="0" w:firstLine="720"/>
        <w:jc w:val="both"/>
        <w:rPr/>
      </w:pPr>
      <w:r>
        <w:rPr>
          <w:rFonts w:ascii="Times New Roman;sans-serif" w:hAnsi="Times New Roman;sans-serif"/>
          <w:b w:val="false"/>
          <w:color w:val="000000"/>
          <w:sz w:val="22"/>
        </w:rPr>
        <w:t>This Policy is designed to comply with, and shall be interpreted to be consistent with, Section 10D of the Exchange Act, Rule 10D-1 promulgated thereunder (“</w:t>
      </w:r>
      <w:r>
        <w:rPr>
          <w:rFonts w:ascii="Times New Roman;sans-serif" w:hAnsi="Times New Roman;sans-serif"/>
          <w:b/>
          <w:i/>
          <w:color w:val="000000"/>
          <w:sz w:val="22"/>
        </w:rPr>
        <w:t>Rule 10D-1</w:t>
      </w:r>
      <w:r>
        <w:rPr>
          <w:color w:val="000000"/>
        </w:rPr>
        <w:t>”</w:t>
      </w:r>
      <w:r>
        <w:rPr>
          <w:rFonts w:ascii="Times New Roman;sans-serif" w:hAnsi="Times New Roman;sans-serif"/>
          <w:b w:val="false"/>
          <w:color w:val="000000"/>
          <w:sz w:val="22"/>
        </w:rPr>
        <w:t>) and Nasdaq Listing Rule 5608 (the “</w:t>
      </w:r>
      <w:r>
        <w:rPr>
          <w:rFonts w:ascii="Times New Roman;sans-serif" w:hAnsi="Times New Roman;sans-serif"/>
          <w:b/>
          <w:i/>
          <w:color w:val="000000"/>
          <w:sz w:val="22"/>
        </w:rPr>
        <w:t>Listing Standards</w:t>
      </w:r>
      <w:r>
        <w:rPr>
          <w:color w:val="000000"/>
        </w:rPr>
        <w:t>”</w:t>
      </w:r>
      <w:r>
        <w:rPr>
          <w:rFonts w:ascii="Times New Roman;sans-serif" w:hAnsi="Times New Roman;sans-serif"/>
          <w:b w:val="false"/>
          <w:color w:val="000000"/>
          <w:sz w:val="22"/>
        </w:rPr>
        <w:t>).</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2.     Effective Date</w:t>
      </w:r>
    </w:p>
    <w:p>
      <w:pPr>
        <w:pStyle w:val="TextBody"/>
        <w:bidi w:val="0"/>
        <w:spacing w:lineRule="auto" w:line="288" w:before="0" w:after="60"/>
        <w:ind w:left="0" w:right="0" w:firstLine="720"/>
        <w:jc w:val="both"/>
        <w:rPr/>
      </w:pPr>
      <w:r>
        <w:rPr>
          <w:rFonts w:ascii="Times New Roman;sans-serif" w:hAnsi="Times New Roman;sans-serif"/>
          <w:b w:val="false"/>
          <w:color w:val="000000"/>
          <w:sz w:val="22"/>
        </w:rPr>
        <w:t>This Policy shall apply to all Incentive Compensation that is received by a Covered Officer on or after October 2,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Incentive Compensation is deemed “</w:t>
      </w:r>
      <w:r>
        <w:rPr>
          <w:rFonts w:ascii="Times New Roman;sans-serif" w:hAnsi="Times New Roman;sans-serif"/>
          <w:b/>
          <w:i/>
          <w:color w:val="000000"/>
          <w:sz w:val="22"/>
        </w:rPr>
        <w:t>received</w:t>
      </w:r>
      <w:r>
        <w:rPr>
          <w:color w:val="000000"/>
        </w:rPr>
        <w:t xml:space="preserve">” </w:t>
      </w:r>
      <w:r>
        <w:rPr>
          <w:rFonts w:ascii="Times New Roman;sans-serif" w:hAnsi="Times New Roman;sans-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3.    Definitions</w:t>
      </w:r>
    </w:p>
    <w:p>
      <w:pPr>
        <w:pStyle w:val="TextBody"/>
        <w:bidi w:val="0"/>
        <w:spacing w:lineRule="auto" w:line="288" w:before="0" w:after="60"/>
        <w:ind w:left="0" w:right="0" w:firstLine="810"/>
        <w:jc w:val="both"/>
        <w:rPr/>
      </w:pPr>
      <w:r>
        <w:rPr>
          <w:color w:val="000000"/>
        </w:rPr>
        <w:t>“</w:t>
      </w:r>
      <w:r>
        <w:rPr>
          <w:rFonts w:ascii="Times New Roman;sans-serif" w:hAnsi="Times New Roman;sans-serif"/>
          <w:b/>
          <w:i/>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Accounting Restatement Date</w:t>
      </w:r>
      <w:r>
        <w:rPr>
          <w:color w:val="000000"/>
        </w:rPr>
        <w:t xml:space="preserve">” </w:t>
      </w:r>
      <w:r>
        <w:rPr>
          <w:rFonts w:ascii="Times New Roman;sans-serif" w:hAnsi="Times New Roman;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Administrator</w:t>
      </w:r>
      <w:r>
        <w:rPr>
          <w:color w:val="000000"/>
        </w:rPr>
        <w:t xml:space="preserve">” </w:t>
      </w:r>
      <w:r>
        <w:rPr>
          <w:rFonts w:ascii="Times New Roman;sans-serif" w:hAnsi="Times New Roman;sans-serif"/>
          <w:b w:val="false"/>
          <w:color w:val="000000"/>
          <w:sz w:val="22"/>
        </w:rPr>
        <w:t>means the Compensation Committee or, in the absence of such committee, the Board.</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 and the regulations promulgated thereunder.</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Compensation Committee</w:t>
      </w:r>
      <w:r>
        <w:rPr>
          <w:color w:val="000000"/>
        </w:rPr>
        <w:t xml:space="preserve">” </w:t>
      </w:r>
      <w:r>
        <w:rPr>
          <w:rFonts w:ascii="Times New Roman;sans-serif" w:hAnsi="Times New Roman;sans-serif"/>
          <w:b w:val="false"/>
          <w:color w:val="000000"/>
          <w:sz w:val="22"/>
        </w:rPr>
        <w:t>means the Compensation Committee of the Board.</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Covered Officer</w:t>
      </w:r>
      <w:r>
        <w:rPr>
          <w:color w:val="000000"/>
        </w:rPr>
        <w:t xml:space="preserve">” </w:t>
      </w:r>
      <w:r>
        <w:rPr>
          <w:rFonts w:ascii="Times New Roman;sans-serif" w:hAnsi="Times New Roman;sans-serif"/>
          <w:b w:val="false"/>
          <w:color w:val="000000"/>
          <w:sz w:val="22"/>
        </w:rPr>
        <w:t>means each current and former Executive Officer.</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U.S. Securities Exchange Act of 1934, as amended.</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Executive Officer</w:t>
      </w:r>
      <w:r>
        <w:rPr>
          <w:color w:val="000000"/>
        </w:rPr>
        <w:t xml:space="preserve">” </w:t>
      </w:r>
      <w:r>
        <w:rPr>
          <w:rFonts w:ascii="Times New Roman;sans-serif" w:hAnsi="Times New Roman;sans-serif"/>
          <w:b w:val="false"/>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 A measure need not be presented in the Company’s financial statements or included in a filing with the SEC in order to be a Financial Reporting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Incentive Compensation</w:t>
      </w:r>
      <w:r>
        <w:rPr>
          <w:color w:val="000000"/>
        </w:rPr>
        <w:t xml:space="preserve">” </w:t>
      </w:r>
      <w:r>
        <w:rPr>
          <w:rFonts w:ascii="Times New Roman;sans-serif" w:hAnsi="Times New Roman;sans-serif"/>
          <w:b w:val="false"/>
          <w:color w:val="000000"/>
          <w:sz w:val="22"/>
        </w:rPr>
        <w:t xml:space="preserve">means any compensation that is granted, earned or vested based wholly or in part upon the attainment of a Financial Reporting Measure. </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Lookback Period</w:t>
      </w:r>
      <w:r>
        <w:rPr>
          <w:color w:val="000000"/>
        </w:rPr>
        <w:t xml:space="preserve">” </w:t>
      </w:r>
      <w:r>
        <w:rPr>
          <w:rFonts w:ascii="Times New Roman;sans-serif" w:hAnsi="Times New Roman;sans-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Recoverable Incentive Compensation</w:t>
      </w:r>
      <w:r>
        <w:rPr>
          <w:color w:val="000000"/>
        </w:rPr>
        <w:t xml:space="preserve">” </w:t>
      </w:r>
      <w:r>
        <w:rPr>
          <w:rFonts w:ascii="Times New Roman;sans-serif" w:hAnsi="Times New Roman;sans-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ans-serif" w:hAnsi="Times New Roman;sans-serif"/>
          <w:b w:val="false"/>
          <w:i/>
          <w:color w:val="000000"/>
          <w:sz w:val="22"/>
        </w:rPr>
        <w:t>i.e.</w:t>
      </w:r>
      <w:r>
        <w:rPr>
          <w:rFonts w:ascii="Times New Roman;sans-serif" w:hAnsi="Times New Roman;sans-serif"/>
          <w:b w:val="false"/>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88" w:before="0" w:after="60"/>
        <w:ind w:left="0" w:right="0" w:firstLine="720"/>
        <w:jc w:val="both"/>
        <w:rPr/>
      </w:pP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U.S. Securities and Exchange Commission.</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4.    Recoupment</w:t>
      </w:r>
    </w:p>
    <w:p>
      <w:pPr>
        <w:pStyle w:val="TextBody"/>
        <w:bidi w:val="0"/>
        <w:spacing w:lineRule="auto" w:line="288" w:before="0" w:after="60"/>
        <w:ind w:left="0" w:right="0" w:firstLine="720"/>
        <w:jc w:val="both"/>
        <w:rPr/>
      </w:pPr>
      <w:r>
        <w:rPr>
          <w:rFonts w:ascii="Times New Roman;sans-serif" w:hAnsi="Times New Roman;sans-serif"/>
          <w:b/>
          <w:color w:val="000000"/>
          <w:sz w:val="22"/>
        </w:rPr>
        <w:t xml:space="preserve">(a)    Applicability of Policy. </w:t>
      </w:r>
      <w:r>
        <w:rPr>
          <w:rFonts w:ascii="Times New Roman;sans-serif" w:hAnsi="Times New Roman;sans-serif"/>
          <w:b w:val="false"/>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88" w:before="0" w:after="60"/>
        <w:ind w:left="0" w:right="0" w:firstLine="720"/>
        <w:jc w:val="both"/>
        <w:rPr/>
      </w:pPr>
      <w:r>
        <w:rPr>
          <w:rFonts w:ascii="Times New Roman;sans-serif" w:hAnsi="Times New Roman;sans-serif"/>
          <w:b/>
          <w:color w:val="000000"/>
          <w:sz w:val="22"/>
        </w:rPr>
        <w:t xml:space="preserve">(b)    Recoupment Generally. </w:t>
      </w:r>
      <w:r>
        <w:rPr>
          <w:rFonts w:ascii="Times New Roman;sans-serif" w:hAnsi="Times New Roman;sans-serif"/>
          <w:b w:val="false"/>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88" w:before="0" w:after="60"/>
        <w:ind w:left="0" w:right="0" w:firstLine="720"/>
        <w:jc w:val="both"/>
        <w:rPr/>
      </w:pPr>
      <w:r>
        <w:rPr>
          <w:rFonts w:ascii="Times New Roman;sans-serif" w:hAnsi="Times New Roman;sans-serif"/>
          <w:b/>
          <w:color w:val="000000"/>
          <w:sz w:val="22"/>
        </w:rPr>
        <w:t>(c)    Impracticability of Recovery.</w:t>
      </w:r>
      <w:r>
        <w:rPr>
          <w:color w:val="000000"/>
        </w:rPr>
        <w:t xml:space="preserve"> </w:t>
      </w:r>
      <w:r>
        <w:rPr>
          <w:rFonts w:ascii="Times New Roman;sans-serif" w:hAnsi="Times New Roman;sans-serif"/>
          <w:b w:val="false"/>
          <w:color w:val="000000"/>
          <w:sz w:val="22"/>
        </w:rPr>
        <w:t>Recoupment may be determined to be impracticable if, and only if:</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88" w:before="0" w:after="60"/>
        <w:ind w:left="0" w:right="0" w:firstLine="720"/>
        <w:jc w:val="both"/>
        <w:rPr/>
      </w:pPr>
      <w:r>
        <w:rPr>
          <w:rFonts w:ascii="Times New Roman;sans-serif" w:hAnsi="Times New Roman;sans-serif"/>
          <w:b/>
          <w:color w:val="000000"/>
          <w:sz w:val="22"/>
        </w:rPr>
        <w:t>(d)    Sources of Recoupment.</w:t>
      </w:r>
      <w:r>
        <w:rPr>
          <w:color w:val="000000"/>
        </w:rPr>
        <w:t xml:space="preserve"> </w:t>
      </w:r>
      <w:r>
        <w:rPr>
          <w:rFonts w:ascii="Times New Roman;sans-serif" w:hAnsi="Times New Roman;sans-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both"/>
        <w:rPr/>
      </w:pPr>
      <w:r>
        <w:rPr>
          <w:rFonts w:ascii="Times New Roman;sans-serif" w:hAnsi="Times New Roman;sans-serif"/>
          <w:b w:val="false"/>
          <w:color w:val="000000"/>
          <w:sz w:val="22"/>
        </w:rPr>
        <w:t xml:space="preserve">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sans-serif" w:hAnsi="Times New Roman;sans-serif"/>
          <w:b w:val="false"/>
          <w:i/>
          <w:color w:val="000000"/>
          <w:sz w:val="22"/>
        </w:rPr>
        <w:t>e.g.</w:t>
      </w:r>
      <w:r>
        <w:rPr>
          <w:rFonts w:ascii="Times New Roman;sans-serif" w:hAnsi="Times New Roman;sans-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88" w:before="0" w:after="60"/>
        <w:ind w:left="0" w:right="0" w:firstLine="720"/>
        <w:jc w:val="both"/>
        <w:rPr/>
      </w:pPr>
      <w:r>
        <w:rPr>
          <w:rFonts w:ascii="Times New Roman;sans-serif" w:hAnsi="Times New Roman;sans-serif"/>
          <w:b/>
          <w:color w:val="000000"/>
          <w:sz w:val="22"/>
        </w:rPr>
        <w:t>(e)    No Indemnification of Covered Officers.</w:t>
      </w:r>
      <w:r>
        <w:rPr>
          <w:color w:val="000000"/>
        </w:rPr>
        <w:t xml:space="preserve"> </w:t>
      </w:r>
      <w:r>
        <w:rPr>
          <w:rFonts w:ascii="Times New Roman;sans-serif" w:hAnsi="Times New Roman;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88" w:before="0" w:after="60"/>
        <w:ind w:left="0" w:right="0" w:firstLine="720"/>
        <w:jc w:val="both"/>
        <w:rPr/>
      </w:pPr>
      <w:r>
        <w:rPr>
          <w:rFonts w:ascii="Times New Roman;sans-serif" w:hAnsi="Times New Roman;sans-serif"/>
          <w:b/>
          <w:color w:val="000000"/>
          <w:sz w:val="22"/>
        </w:rPr>
        <w:t>(f)    Indemnification of Administrator.</w:t>
      </w:r>
      <w:r>
        <w:rPr>
          <w:color w:val="000000"/>
        </w:rPr>
        <w:t xml:space="preserve"> </w:t>
      </w:r>
      <w:r>
        <w:rPr>
          <w:rFonts w:ascii="Times New Roman;sans-serif" w:hAnsi="Times New Roman;sans-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88" w:before="0" w:after="60"/>
        <w:ind w:left="0" w:right="0" w:firstLine="720"/>
        <w:jc w:val="both"/>
        <w:rPr/>
      </w:pPr>
      <w:r>
        <w:rPr>
          <w:rFonts w:ascii="Times New Roman;sans-serif" w:hAnsi="Times New Roman;sans-serif"/>
          <w:b/>
          <w:color w:val="000000"/>
          <w:sz w:val="22"/>
        </w:rPr>
        <w:t>(g)    No “Good Reason” for Covered Officers.</w:t>
      </w:r>
      <w:r>
        <w:rPr>
          <w:color w:val="000000"/>
        </w:rPr>
        <w:t xml:space="preserve"> </w:t>
      </w:r>
      <w:r>
        <w:rPr>
          <w:rFonts w:ascii="Times New Roman;sans-serif" w:hAnsi="Times New Roman;sans-serif"/>
          <w:b w:val="false"/>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contract or other arrangement to which such Covered Officer is a party.</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5.    Administration</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6.    Severability</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7.    No Impairment of Other Remedies</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8.    Amendment; Termination</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9.    Successors</w:t>
      </w:r>
    </w:p>
    <w:p>
      <w:pPr>
        <w:pStyle w:val="TextBody"/>
        <w:bidi w:val="0"/>
        <w:spacing w:lineRule="auto" w:line="288" w:before="0" w:after="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10. Required Filings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make any disclosures and filings with respect to this Policy that are required by law, including as required by the SEC.</w:t>
      </w:r>
    </w:p>
    <w:p>
      <w:pPr>
        <w:pStyle w:val="TextBody"/>
        <w:bidi w:val="0"/>
        <w:spacing w:lineRule="auto" w:line="288" w:before="0" w:after="6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pStyle w:val="TextBody"/>
        <w:bidi w:val="0"/>
        <w:spacing w:before="0" w:after="60"/>
        <w:jc w:val="left"/>
        <w:rPr/>
      </w:pPr>
      <w:r>
        <w:rPr/>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Tenable Holdings, Inc.</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Executive Acknowledgment</w:t>
      </w:r>
    </w:p>
    <w:p>
      <w:pPr>
        <w:pStyle w:val="TextBody"/>
        <w:bidi w:val="0"/>
        <w:spacing w:before="0" w:after="60"/>
        <w:jc w:val="left"/>
        <w:rPr/>
      </w:pPr>
      <w:r>
        <w:rPr/>
      </w:r>
    </w:p>
    <w:p>
      <w:pPr>
        <w:pStyle w:val="TextBody"/>
        <w:bidi w:val="0"/>
        <w:spacing w:lineRule="auto" w:line="288" w:before="0" w:after="60"/>
        <w:jc w:val="both"/>
        <w:rPr/>
      </w:pPr>
      <w:r>
        <w:rPr>
          <w:rFonts w:ascii="Times New Roman;sans-serif" w:hAnsi="Times New Roman;sans-serif"/>
          <w:b w:val="false"/>
          <w:color w:val="000000"/>
          <w:sz w:val="22"/>
        </w:rPr>
        <w:t>I, the undersigned, agree and acknowledge that I am bound by, and subject to, the Tenable Holdings, Inc. Incentive Compensation Recoupment Policy, as may be amended, restated, supplemented or otherwise modified from time to time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In the event of any inconsistency between the Policy and the terms of any employment agreement, offer letter or other individual agreement with Tenable Holdings,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60"/>
        <w:jc w:val="left"/>
        <w:rPr/>
      </w:pPr>
      <w:r>
        <w:rPr/>
      </w:r>
    </w:p>
    <w:p>
      <w:pPr>
        <w:pStyle w:val="TextBody"/>
        <w:bidi w:val="0"/>
        <w:spacing w:lineRule="auto" w:line="288" w:before="0" w:after="60"/>
        <w:jc w:val="both"/>
        <w:rPr>
          <w:rFonts w:ascii="Times New Roman;sans-serif" w:hAnsi="Times New Roman;sans-serif"/>
          <w:b/>
          <w:color w:val="000000"/>
          <w:sz w:val="22"/>
        </w:rPr>
      </w:pPr>
      <w:r>
        <w:rPr>
          <w:rFonts w:ascii="Times New Roman;sans-serif" w:hAnsi="Times New Roman;sans-serif"/>
          <w:b/>
          <w:color w:val="000000"/>
          <w:sz w:val="22"/>
        </w:rPr>
        <w:t>Agreed and Acknowledged:</w:t>
      </w:r>
    </w:p>
    <w:p>
      <w:pPr>
        <w:pStyle w:val="TextBody"/>
        <w:bidi w:val="0"/>
        <w:spacing w:before="0" w:after="60"/>
        <w:jc w:val="left"/>
        <w:rPr/>
      </w:pPr>
      <w:r>
        <w:rPr/>
      </w:r>
    </w:p>
    <w:p>
      <w:pPr>
        <w:pStyle w:val="TextBody"/>
        <w:bidi w:val="0"/>
        <w:spacing w:before="0" w:after="60"/>
        <w:jc w:val="left"/>
        <w:rPr/>
      </w:pPr>
      <w:r>
        <w:rPr/>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p>
      <w:pPr>
        <w:pStyle w:val="TextBody"/>
        <w:bidi w:val="0"/>
        <w:spacing w:before="0" w:after="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0280/000119312518231446/d562353dex31.htm" TargetMode="External"/><Relationship Id="rId3" Type="http://schemas.openxmlformats.org/officeDocument/2006/relationships/hyperlink" Target="https://www.sec.gov/Archives/edgar/data/1660280/000166028023000147/ex31.htm" TargetMode="External"/><Relationship Id="rId4" Type="http://schemas.openxmlformats.org/officeDocument/2006/relationships/hyperlink" Target="http://www.sec.gov/Archives/edgar/data/1660280/000119312518218215/d548092dex41.htm" TargetMode="External"/><Relationship Id="rId5" Type="http://schemas.openxmlformats.org/officeDocument/2006/relationships/hyperlink" Target="http://www.sec.gov/Archives/edgar/data/0001660280/000119312518209705/d548092dex42.htm" TargetMode="External"/><Relationship Id="rId6" Type="http://schemas.openxmlformats.org/officeDocument/2006/relationships/hyperlink" Target="http://www.sec.gov/Archives/edgar/data/1660280/000166028020000012/ex41descriptionoftenab.htm" TargetMode="External"/><Relationship Id="rId7" Type="http://schemas.openxmlformats.org/officeDocument/2006/relationships/hyperlink" Target="http://www.sec.gov/Archives/edgar/data/1660280/000119312518226924/d494510dex101.htm" TargetMode="External"/><Relationship Id="rId8" Type="http://schemas.openxmlformats.org/officeDocument/2006/relationships/hyperlink" Target="http://www.sec.gov/Archives/edgar/data/1660280/000119312518226924/d494510dex102.htm" TargetMode="External"/><Relationship Id="rId9" Type="http://schemas.openxmlformats.org/officeDocument/2006/relationships/hyperlink" Target="http://www.sec.gov/Archives/edgar/data/1660280/000119312518226924/d494510dex103.htm" TargetMode="External"/><Relationship Id="rId10" Type="http://schemas.openxmlformats.org/officeDocument/2006/relationships/hyperlink" Target="http://www.sec.gov/Archives/edgar/data/1660280/000119312518226924/d494510dex104.htm" TargetMode="External"/><Relationship Id="rId11" Type="http://schemas.openxmlformats.org/officeDocument/2006/relationships/hyperlink" Target="http://www.sec.gov/Archives/edgar/data/1660280/000166028022000039/ex101performancevestrsuagr.htm" TargetMode="External"/><Relationship Id="rId12" Type="http://schemas.openxmlformats.org/officeDocument/2006/relationships/hyperlink" Target="http://www.sec.gov/Archives/edgar/data/1660280/000119312518226924/d494510dex105.htm" TargetMode="External"/><Relationship Id="rId13" Type="http://schemas.openxmlformats.org/officeDocument/2006/relationships/hyperlink" Target="http://www.sec.gov/Archives/edgar/data/0001660280/000119312518209705/d548092dex106.htm" TargetMode="External"/><Relationship Id="rId14" Type="http://schemas.openxmlformats.org/officeDocument/2006/relationships/hyperlink" Target="http://www.sec.gov/Archives/edgar/data/1660280/000166028019000005/yoranamendedandrestatedemp.htm" TargetMode="External"/><Relationship Id="rId15" Type="http://schemas.openxmlformats.org/officeDocument/2006/relationships/hyperlink" Target="http://www.sec.gov/Archives/edgar/data/1660280/000166028019000005/vintz-amendedandrestatedem.htm" TargetMode="External"/><Relationship Id="rId16" Type="http://schemas.openxmlformats.org/officeDocument/2006/relationships/hyperlink" Target="https://www.sec.gov/Archives/edgar/data/1660280/000166028023000032/q42022exhibit1011.htm" TargetMode="External"/><Relationship Id="rId17" Type="http://schemas.openxmlformats.org/officeDocument/2006/relationships/hyperlink" Target="http://www.sec.gov/Archives/edgar/data/0001660280/000119312518209705/d548092dex1012.htm" TargetMode="External"/><Relationship Id="rId18" Type="http://schemas.openxmlformats.org/officeDocument/2006/relationships/hyperlink" Target="http://www.sec.gov/Archives/edgar/data/1660280/000166028021000127/tenable-creditagreement.htm" TargetMode="External"/><Relationship Id="rId19" Type="http://schemas.openxmlformats.org/officeDocument/2006/relationships/hyperlink" Target="https://www.sec.gov/Archives/edgar/data/1660280/000166028021000150/ex101.htm" TargetMode="External"/><Relationship Id="rId20" Type="http://schemas.openxmlformats.org/officeDocument/2006/relationships/hyperlink" Target="https://www.sec.gov/Archives/edgar/data/1660280/000166028023000127/projectelectra-sharepurc.htm" TargetMode="External"/><Relationship Id="rId21" Type="http://schemas.openxmlformats.org/officeDocument/2006/relationships/hyperlink" Target="https://www.sec.gov/Archives/edgar/data/1660280/000166028023000107/q22023exhibit102.htm" TargetMode="External"/><Relationship Id="rId22" Type="http://schemas.openxmlformats.org/officeDocument/2006/relationships/hyperlink" Target="https://www.sec.gov/Archives/edgar/data/1660280/000166028023000144/q32023exhibit101.htm" TargetMode="External"/><Relationship Id="rId23" Type="http://schemas.openxmlformats.org/officeDocument/2006/relationships/hyperlink" Target="https://www.sec.gov/Archives/edgar/data/1660280/000166028023000107/libortransitionamendment.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61809</Words>
  <Characters>350274</Characters>
  <CharactersWithSpaces>409114</CharactersWithSpaces>
  <Paragraphs>4672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