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9562.xml.htm"/>
      <w:bookmarkStart w:id="1" w:name="kswkform4_1778879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Vicks Raymond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0"/>
        <w:gridCol w:w="923"/>
        <w:gridCol w:w="790"/>
        <w:gridCol w:w="612"/>
        <w:gridCol w:w="351"/>
        <w:gridCol w:w="845"/>
        <w:gridCol w:w="449"/>
        <w:gridCol w:w="615"/>
        <w:gridCol w:w="1162"/>
        <w:gridCol w:w="1001"/>
        <w:gridCol w:w="11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22,328</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Custodian</w:t>
            </w:r>
            <w:r>
              <w:rPr>
                <w:rFonts w:ascii="Times;serif" w:hAnsi="Times;serif"/>
                <w:color w:val="008000"/>
                <w:position w:val="7"/>
                <w:sz w:val="16"/>
                <w:sz w:val="20"/>
                <w:shd w:fill="FFFFFF" w:val="clear"/>
              </w:rPr>
              <w:t>(1)</w:t>
            </w:r>
            <w:r>
              <w:rPr/>
              <w:t xml:space="preserve"> </w:t>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for the granddaughter of the Reporting Person, through a custodial account established pursuant to the Uniform Transfer to Minors Act ("UTMA") for which the reporting person serves as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shares underlying the RSUs vested as of May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127"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3812</Characters>
  <CharactersWithSpaces>4437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