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879539.xml.htm"/>
      <w:bookmarkStart w:id="1" w:name="kswkform4_17788795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Zecher Linda Kay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TENABLE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6100 MERRIWEATHER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Tenable Holdings, Inc.</w:t>
              </w:r>
            </w:hyperlink>
            <w:r>
              <w:rPr/>
              <w:t xml:space="preserve"> [ </w:t>
            </w:r>
            <w:r>
              <w:rPr>
                <w:rFonts w:ascii="Times;serif" w:hAnsi="Times;serif"/>
                <w:color w:val="0000FF"/>
                <w:sz w:val="24"/>
                <w:shd w:fill="FFFFFF" w:val="clear"/>
              </w:rPr>
              <w:t>TENB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9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6,062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9,718</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9,718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Issuer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100% of the shares underlying the RSUs vested as of May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100% of the shares underlying the RSUs vest on the earlier of May 13, 2027 or the Issuer's next annual shareholder meeting, subject to the Reporting Person's continuous service with the Issuer as of the applicable vesting date, and subject to accelerated vesting in specified circumstances.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Bartholomew,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5799" TargetMode="External"/><Relationship Id="rId5" Type="http://schemas.openxmlformats.org/officeDocument/2006/relationships/hyperlink" Target="http://www.sec.gov/cgi-bin/browse-edgar?action=getcompany&amp;CIK=0001660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3596</Characters>
  <CharactersWithSpaces>4185</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