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231F20"/>
        </w:rPr>
        <w:t>UNITED STATES</w:t>
      </w:r>
    </w:p>
    <w:p>
      <w:pPr>
        <w:spacing w:after="0" w:line="48" w:lineRule="exact"/>
        <w:rPr>
          <w:sz w:val="24"/>
          <w:szCs w:val="24"/>
          <w:color w:val="auto"/>
        </w:rPr>
      </w:pPr>
    </w:p>
    <w:p>
      <w:pPr>
        <w:jc w:val="center"/>
        <w:spacing w:after="0"/>
        <w:rPr>
          <w:sz w:val="20"/>
          <w:szCs w:val="20"/>
          <w:color w:val="auto"/>
        </w:rPr>
      </w:pPr>
      <w:r>
        <w:rPr>
          <w:rFonts w:ascii="Arial" w:cs="Arial" w:eastAsia="Arial" w:hAnsi="Arial"/>
          <w:sz w:val="28"/>
          <w:szCs w:val="28"/>
          <w:b w:val="1"/>
          <w:bCs w:val="1"/>
          <w:color w:val="231F20"/>
        </w:rPr>
        <w:t>SECURITIES AND EXCHANGE COMMISSION</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231F20"/>
        </w:rPr>
        <w:t>Washington, D.C. 20549</w:t>
      </w:r>
    </w:p>
    <w:p>
      <w:pPr>
        <w:ind w:left="4720"/>
        <w:spacing w:after="0"/>
        <w:rPr>
          <w:sz w:val="20"/>
          <w:szCs w:val="20"/>
          <w:color w:val="auto"/>
        </w:rPr>
      </w:pPr>
      <w:r>
        <w:rPr>
          <w:rFonts w:ascii="Arial" w:cs="Arial" w:eastAsia="Arial" w:hAnsi="Arial"/>
          <w:sz w:val="18"/>
          <w:szCs w:val="18"/>
          <w:b w:val="1"/>
          <w:bCs w:val="1"/>
          <w:color w:val="auto"/>
        </w:rPr>
        <w:t>__________________</w:t>
      </w:r>
    </w:p>
    <w:p>
      <w:pPr>
        <w:spacing w:after="0" w:line="8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231F20"/>
        </w:rPr>
        <w:t>FORM 8-K</w:t>
      </w:r>
    </w:p>
    <w:p>
      <w:pPr>
        <w:spacing w:after="0" w:line="51" w:lineRule="exact"/>
        <w:rPr>
          <w:sz w:val="24"/>
          <w:szCs w:val="24"/>
          <w:color w:val="auto"/>
        </w:rPr>
      </w:pPr>
    </w:p>
    <w:p>
      <w:pPr>
        <w:ind w:left="4720"/>
        <w:spacing w:after="0"/>
        <w:rPr>
          <w:sz w:val="20"/>
          <w:szCs w:val="20"/>
          <w:color w:val="auto"/>
        </w:rPr>
      </w:pPr>
      <w:r>
        <w:rPr>
          <w:rFonts w:ascii="Arial" w:cs="Arial" w:eastAsia="Arial" w:hAnsi="Arial"/>
          <w:sz w:val="18"/>
          <w:szCs w:val="18"/>
          <w:b w:val="1"/>
          <w:bCs w:val="1"/>
          <w:color w:val="231F20"/>
        </w:rPr>
        <w:t>__________________</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185"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 xml:space="preserve">Date of report (Date of earliest event reported): </w:t>
      </w:r>
      <w:r>
        <w:rPr>
          <w:rFonts w:ascii="Arial" w:cs="Arial" w:eastAsia="Arial" w:hAnsi="Arial"/>
          <w:sz w:val="16"/>
          <w:szCs w:val="16"/>
          <w:b w:val="1"/>
          <w:bCs w:val="1"/>
          <w:color w:val="auto"/>
        </w:rPr>
        <w:t>July 31, 2024</w:t>
      </w:r>
    </w:p>
    <w:p>
      <w:pPr>
        <w:spacing w:after="0" w:line="257" w:lineRule="exact"/>
        <w:rPr>
          <w:sz w:val="24"/>
          <w:szCs w:val="24"/>
          <w:color w:val="auto"/>
        </w:rPr>
      </w:pPr>
    </w:p>
    <w:p>
      <w:pPr>
        <w:ind w:left="4720"/>
        <w:spacing w:after="0"/>
        <w:rPr>
          <w:sz w:val="20"/>
          <w:szCs w:val="20"/>
          <w:color w:val="auto"/>
        </w:rPr>
      </w:pPr>
      <w:r>
        <w:rPr>
          <w:rFonts w:ascii="Arial" w:cs="Arial" w:eastAsia="Arial" w:hAnsi="Arial"/>
          <w:sz w:val="18"/>
          <w:szCs w:val="18"/>
          <w:b w:val="1"/>
          <w:bCs w:val="1"/>
          <w:color w:val="231F20"/>
        </w:rPr>
        <w:t>__________________</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231F20"/>
        </w:rPr>
        <w:t>TENABLE HOLDINGS, INC.</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231F20"/>
        </w:rPr>
        <w:t>(Exact name of registrant as specified in its charter)</w:t>
      </w:r>
    </w:p>
    <w:p>
      <w:pPr>
        <w:spacing w:after="0" w:line="9" w:lineRule="exact"/>
        <w:rPr>
          <w:sz w:val="24"/>
          <w:szCs w:val="24"/>
          <w:color w:val="auto"/>
        </w:rPr>
      </w:pPr>
    </w:p>
    <w:p>
      <w:pPr>
        <w:ind w:left="4720"/>
        <w:spacing w:after="0"/>
        <w:rPr>
          <w:sz w:val="20"/>
          <w:szCs w:val="20"/>
          <w:color w:val="auto"/>
        </w:rPr>
      </w:pPr>
      <w:r>
        <w:rPr>
          <w:rFonts w:ascii="Arial" w:cs="Arial" w:eastAsia="Arial" w:hAnsi="Arial"/>
          <w:sz w:val="18"/>
          <w:szCs w:val="18"/>
          <w:b w:val="1"/>
          <w:bCs w:val="1"/>
          <w:color w:val="231F20"/>
        </w:rPr>
        <w:t>__________________</w:t>
      </w:r>
    </w:p>
    <w:p>
      <w:pPr>
        <w:sectPr>
          <w:pgSz w:w="11900" w:h="16838" w:orient="portrait"/>
          <w:cols w:equalWidth="0" w:num="1">
            <w:col w:w="11240"/>
          </w:cols>
          <w:pgMar w:left="320" w:top="1266" w:right="339" w:bottom="1440" w:gutter="0" w:footer="0" w:header="0"/>
        </w:sectPr>
      </w:pPr>
    </w:p>
    <w:p>
      <w:pPr>
        <w:spacing w:after="0" w:line="117" w:lineRule="exact"/>
        <w:rPr>
          <w:sz w:val="24"/>
          <w:szCs w:val="24"/>
          <w:color w:val="auto"/>
        </w:rPr>
      </w:pPr>
    </w:p>
    <w:p>
      <w:pPr>
        <w:ind w:left="152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97" w:lineRule="exact"/>
        <w:rPr>
          <w:sz w:val="24"/>
          <w:szCs w:val="24"/>
          <w:color w:val="auto"/>
        </w:rPr>
      </w:pPr>
    </w:p>
    <w:p>
      <w:pPr>
        <w:jc w:val="center"/>
        <w:ind w:right="2220"/>
        <w:spacing w:after="0"/>
        <w:rPr>
          <w:sz w:val="20"/>
          <w:szCs w:val="20"/>
          <w:color w:val="auto"/>
        </w:rPr>
      </w:pPr>
      <w:r>
        <w:rPr>
          <w:rFonts w:ascii="Arial" w:cs="Arial" w:eastAsia="Arial" w:hAnsi="Arial"/>
          <w:sz w:val="16"/>
          <w:szCs w:val="16"/>
          <w:b w:val="1"/>
          <w:bCs w:val="1"/>
          <w:color w:val="auto"/>
        </w:rPr>
        <w:t>001-38600</w:t>
      </w:r>
    </w:p>
    <w:p>
      <w:pPr>
        <w:spacing w:after="0" w:line="20" w:lineRule="exact"/>
        <w:rPr>
          <w:sz w:val="24"/>
          <w:szCs w:val="24"/>
          <w:color w:val="auto"/>
        </w:rPr>
      </w:pPr>
      <w:r>
        <w:rPr>
          <w:sz w:val="24"/>
          <w:szCs w:val="24"/>
          <w:color w:val="auto"/>
        </w:rPr>
        <w:br w:type="column"/>
      </w:r>
    </w:p>
    <w:p>
      <w:pPr>
        <w:spacing w:after="0" w:line="9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47-5580846</w:t>
      </w:r>
    </w:p>
    <w:p>
      <w:pPr>
        <w:spacing w:after="0" w:line="39" w:lineRule="exact"/>
        <w:rPr>
          <w:sz w:val="24"/>
          <w:szCs w:val="24"/>
          <w:color w:val="auto"/>
        </w:rPr>
      </w:pPr>
    </w:p>
    <w:p>
      <w:pPr>
        <w:sectPr>
          <w:pgSz w:w="11900" w:h="16838" w:orient="portrait"/>
          <w:cols w:equalWidth="0" w:num="3">
            <w:col w:w="4500" w:space="720"/>
            <w:col w:w="3000" w:space="720"/>
            <w:col w:w="2300"/>
          </w:cols>
          <w:pgMar w:left="320" w:top="1266" w:right="339" w:bottom="1440" w:gutter="0" w:footer="0" w:header="0"/>
          <w:type w:val="continuous"/>
        </w:sectPr>
      </w:pPr>
    </w:p>
    <w:p>
      <w:pPr>
        <w:ind w:left="460"/>
        <w:spacing w:after="0"/>
        <w:rPr>
          <w:sz w:val="20"/>
          <w:szCs w:val="20"/>
          <w:color w:val="auto"/>
        </w:rPr>
      </w:pPr>
      <w:r>
        <w:rPr>
          <w:rFonts w:ascii="Arial" w:cs="Arial" w:eastAsia="Arial" w:hAnsi="Arial"/>
          <w:sz w:val="14"/>
          <w:szCs w:val="14"/>
          <w:color w:val="auto"/>
        </w:rPr>
        <w:t>(State or other jurisdiction of incorporation 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(I.R.S. Employer Identification Number)</w:t>
      </w:r>
    </w:p>
    <w:p>
      <w:pPr>
        <w:spacing w:after="0" w:line="15" w:lineRule="exact"/>
        <w:rPr>
          <w:sz w:val="24"/>
          <w:szCs w:val="24"/>
          <w:color w:val="auto"/>
        </w:rPr>
      </w:pPr>
    </w:p>
    <w:p>
      <w:pPr>
        <w:sectPr>
          <w:pgSz w:w="11900" w:h="16838" w:orient="portrait"/>
          <w:cols w:equalWidth="0" w:num="3">
            <w:col w:w="4040" w:space="720"/>
            <w:col w:w="2640" w:space="720"/>
            <w:col w:w="3120"/>
          </w:cols>
          <w:pgMar w:left="320" w:top="1266" w:right="339" w:bottom="1440" w:gutter="0" w:footer="0" w:header="0"/>
          <w:type w:val="continuous"/>
        </w:sectPr>
      </w:pPr>
    </w:p>
    <w:p>
      <w:pPr>
        <w:ind w:left="1460"/>
        <w:spacing w:after="0"/>
        <w:rPr>
          <w:sz w:val="20"/>
          <w:szCs w:val="20"/>
          <w:color w:val="auto"/>
        </w:rPr>
      </w:pPr>
      <w:r>
        <w:rPr>
          <w:rFonts w:ascii="Arial" w:cs="Arial" w:eastAsia="Arial" w:hAnsi="Arial"/>
          <w:sz w:val="14"/>
          <w:szCs w:val="14"/>
          <w:color w:val="auto"/>
        </w:rPr>
        <w:t>organization)</w:t>
      </w:r>
    </w:p>
    <w:p>
      <w:pPr>
        <w:spacing w:after="0" w:line="31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6100 Merriweather Drive, Columbia, Maryland 21044</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(Address of principal executive offices, including zip code)</w:t>
      </w:r>
    </w:p>
    <w:p>
      <w:pPr>
        <w:spacing w:after="0" w:line="23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(410) 872-0555</w:t>
      </w:r>
    </w:p>
    <w:p>
      <w:pPr>
        <w:spacing w:after="0" w:line="37"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(Registrant’s telephone number, including area code)</w:t>
      </w:r>
    </w:p>
    <w:p>
      <w:pPr>
        <w:sectPr>
          <w:pgSz w:w="11900" w:h="16838" w:orient="portrait"/>
          <w:cols w:equalWidth="0" w:num="1">
            <w:col w:w="11240"/>
          </w:cols>
          <w:pgMar w:left="320" w:top="1266" w:right="339" w:bottom="1440" w:gutter="0" w:footer="0" w:header="0"/>
          <w:type w:val="continuous"/>
        </w:sectPr>
      </w:pPr>
    </w:p>
    <w:p>
      <w:pPr>
        <w:spacing w:after="0" w:line="15" w:lineRule="exact"/>
        <w:rPr>
          <w:sz w:val="24"/>
          <w:szCs w:val="24"/>
          <w:color w:val="auto"/>
        </w:rPr>
      </w:pPr>
    </w:p>
    <w:p>
      <w:pPr>
        <w:ind w:left="4720"/>
        <w:spacing w:after="0"/>
        <w:rPr>
          <w:sz w:val="20"/>
          <w:szCs w:val="20"/>
          <w:color w:val="auto"/>
        </w:rPr>
      </w:pPr>
      <w:r>
        <w:rPr>
          <w:rFonts w:ascii="Arial" w:cs="Arial" w:eastAsia="Arial" w:hAnsi="Arial"/>
          <w:sz w:val="18"/>
          <w:szCs w:val="18"/>
          <w:b w:val="1"/>
          <w:bCs w:val="1"/>
          <w:color w:val="231F20"/>
        </w:rPr>
        <w:t>__________________</w:t>
      </w:r>
    </w:p>
    <w:p>
      <w:pPr>
        <w:spacing w:after="0" w:line="219" w:lineRule="exact"/>
        <w:rPr>
          <w:sz w:val="24"/>
          <w:szCs w:val="24"/>
          <w:color w:val="auto"/>
        </w:rPr>
      </w:pPr>
    </w:p>
    <w:p>
      <w:pPr>
        <w:ind w:right="300"/>
        <w:spacing w:after="0" w:line="304"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w:t>
      </w:r>
    </w:p>
    <w:p>
      <w:pPr>
        <w:spacing w:after="0" w:line="60" w:lineRule="exact"/>
        <w:rPr>
          <w:sz w:val="24"/>
          <w:szCs w:val="24"/>
          <w:color w:val="auto"/>
        </w:rPr>
      </w:pPr>
    </w:p>
    <w:p>
      <w:pPr>
        <w:ind w:left="360" w:hanging="334"/>
        <w:spacing w:after="0"/>
        <w:tabs>
          <w:tab w:leader="none" w:pos="3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48" w:lineRule="exact"/>
        <w:rPr>
          <w:rFonts w:ascii="MS PGothic" w:cs="MS PGothic" w:eastAsia="MS PGothic" w:hAnsi="MS PGothic"/>
          <w:sz w:val="16"/>
          <w:szCs w:val="16"/>
          <w:color w:val="auto"/>
        </w:rPr>
      </w:pPr>
    </w:p>
    <w:p>
      <w:pPr>
        <w:ind w:left="360" w:hanging="334"/>
        <w:spacing w:after="0"/>
        <w:tabs>
          <w:tab w:leader="none" w:pos="3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32" w:lineRule="exact"/>
        <w:rPr>
          <w:rFonts w:ascii="MS PGothic" w:cs="MS PGothic" w:eastAsia="MS PGothic" w:hAnsi="MS PGothic"/>
          <w:sz w:val="16"/>
          <w:szCs w:val="16"/>
          <w:color w:val="auto"/>
        </w:rPr>
      </w:pPr>
    </w:p>
    <w:p>
      <w:pPr>
        <w:ind w:left="360" w:hanging="334"/>
        <w:spacing w:after="0"/>
        <w:tabs>
          <w:tab w:leader="none" w:pos="3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32" w:lineRule="exact"/>
        <w:rPr>
          <w:rFonts w:ascii="MS PGothic" w:cs="MS PGothic" w:eastAsia="MS PGothic" w:hAnsi="MS PGothic"/>
          <w:sz w:val="16"/>
          <w:szCs w:val="16"/>
          <w:color w:val="auto"/>
        </w:rPr>
      </w:pPr>
    </w:p>
    <w:p>
      <w:pPr>
        <w:ind w:left="360" w:hanging="334"/>
        <w:spacing w:after="0"/>
        <w:tabs>
          <w:tab w:leader="none" w:pos="3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340"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Act:</w:t>
      </w:r>
    </w:p>
    <w:p>
      <w:pPr>
        <w:sectPr>
          <w:pgSz w:w="11900" w:h="16838" w:orient="portrait"/>
          <w:cols w:equalWidth="0" w:num="1">
            <w:col w:w="11240"/>
          </w:cols>
          <w:pgMar w:left="320" w:top="1266" w:right="339" w:bottom="1440" w:gutter="0" w:footer="0" w:header="0"/>
          <w:type w:val="continuous"/>
        </w:sectPr>
      </w:pPr>
    </w:p>
    <w:p>
      <w:pPr>
        <w:spacing w:after="0" w:line="140" w:lineRule="exact"/>
        <w:rPr>
          <w:sz w:val="24"/>
          <w:szCs w:val="24"/>
          <w:color w:val="auto"/>
        </w:rPr>
      </w:pPr>
    </w:p>
    <w:p>
      <w:pPr>
        <w:jc w:val="center"/>
        <w:ind w:right="80"/>
        <w:spacing w:after="0"/>
        <w:rPr>
          <w:sz w:val="20"/>
          <w:szCs w:val="20"/>
          <w:color w:val="auto"/>
        </w:rPr>
      </w:pPr>
      <w:r>
        <w:rPr>
          <w:rFonts w:ascii="Arial" w:cs="Arial" w:eastAsia="Arial" w:hAnsi="Arial"/>
          <w:sz w:val="16"/>
          <w:szCs w:val="16"/>
          <w:color w:val="auto"/>
        </w:rPr>
        <w:t>Title of each class</w:t>
      </w:r>
    </w:p>
    <w:p>
      <w:pPr>
        <w:spacing w:after="0" w:line="32" w:lineRule="exact"/>
        <w:rPr>
          <w:sz w:val="24"/>
          <w:szCs w:val="24"/>
          <w:color w:val="auto"/>
        </w:rPr>
      </w:pPr>
    </w:p>
    <w:p>
      <w:pPr>
        <w:jc w:val="center"/>
        <w:ind w:right="80"/>
        <w:spacing w:after="0"/>
        <w:rPr>
          <w:sz w:val="20"/>
          <w:szCs w:val="20"/>
          <w:color w:val="auto"/>
        </w:rPr>
      </w:pPr>
      <w:r>
        <w:rPr>
          <w:rFonts w:ascii="Arial" w:cs="Arial" w:eastAsia="Arial" w:hAnsi="Arial"/>
          <w:sz w:val="16"/>
          <w:szCs w:val="16"/>
          <w:color w:val="auto"/>
        </w:rPr>
        <w:t>Common Stock, par value $0.01 per share</w:t>
      </w:r>
    </w:p>
    <w:p>
      <w:pPr>
        <w:spacing w:after="0" w:line="20" w:lineRule="exact"/>
        <w:rPr>
          <w:sz w:val="24"/>
          <w:szCs w:val="24"/>
          <w:color w:val="auto"/>
        </w:rPr>
      </w:pPr>
      <w:r>
        <w:rPr>
          <w:sz w:val="24"/>
          <w:szCs w:val="24"/>
          <w:color w:val="auto"/>
        </w:rPr>
        <w:br w:type="column"/>
      </w:r>
    </w:p>
    <w:p>
      <w:pPr>
        <w:spacing w:after="0" w:line="120" w:lineRule="exact"/>
        <w:rPr>
          <w:sz w:val="24"/>
          <w:szCs w:val="24"/>
          <w:color w:val="auto"/>
        </w:rPr>
      </w:pPr>
    </w:p>
    <w:p>
      <w:pPr>
        <w:jc w:val="center"/>
        <w:ind w:right="560"/>
        <w:spacing w:after="0"/>
        <w:rPr>
          <w:sz w:val="20"/>
          <w:szCs w:val="20"/>
          <w:color w:val="auto"/>
        </w:rPr>
      </w:pPr>
      <w:r>
        <w:rPr>
          <w:rFonts w:ascii="Arial" w:cs="Arial" w:eastAsia="Arial" w:hAnsi="Arial"/>
          <w:sz w:val="16"/>
          <w:szCs w:val="16"/>
          <w:color w:val="auto"/>
        </w:rPr>
        <w:t>Trading Symbol(s)</w:t>
      </w:r>
    </w:p>
    <w:p>
      <w:pPr>
        <w:spacing w:after="0" w:line="32" w:lineRule="exact"/>
        <w:rPr>
          <w:sz w:val="24"/>
          <w:szCs w:val="24"/>
          <w:color w:val="auto"/>
        </w:rPr>
      </w:pPr>
    </w:p>
    <w:p>
      <w:pPr>
        <w:jc w:val="center"/>
        <w:ind w:right="560"/>
        <w:spacing w:after="0"/>
        <w:rPr>
          <w:sz w:val="20"/>
          <w:szCs w:val="20"/>
          <w:color w:val="auto"/>
        </w:rPr>
      </w:pPr>
      <w:r>
        <w:rPr>
          <w:rFonts w:ascii="Arial" w:cs="Arial" w:eastAsia="Arial" w:hAnsi="Arial"/>
          <w:sz w:val="16"/>
          <w:szCs w:val="16"/>
          <w:color w:val="auto"/>
        </w:rPr>
        <w:t>TENB</w:t>
      </w:r>
    </w:p>
    <w:p>
      <w:pPr>
        <w:spacing w:after="0" w:line="20" w:lineRule="exact"/>
        <w:rPr>
          <w:sz w:val="24"/>
          <w:szCs w:val="24"/>
          <w:color w:val="auto"/>
        </w:rPr>
      </w:pPr>
      <w:r>
        <w:rPr>
          <w:sz w:val="24"/>
          <w:szCs w:val="24"/>
          <w:color w:val="auto"/>
        </w:rPr>
        <w:br w:type="column"/>
      </w:r>
    </w:p>
    <w:p>
      <w:pPr>
        <w:spacing w:after="0" w:line="120" w:lineRule="exact"/>
        <w:rPr>
          <w:sz w:val="24"/>
          <w:szCs w:val="24"/>
          <w:color w:val="auto"/>
        </w:rPr>
      </w:pPr>
    </w:p>
    <w:p>
      <w:pPr>
        <w:jc w:val="center"/>
        <w:ind w:right="480"/>
        <w:spacing w:after="0"/>
        <w:rPr>
          <w:sz w:val="20"/>
          <w:szCs w:val="20"/>
          <w:color w:val="auto"/>
        </w:rPr>
      </w:pPr>
      <w:r>
        <w:rPr>
          <w:rFonts w:ascii="Arial" w:cs="Arial" w:eastAsia="Arial" w:hAnsi="Arial"/>
          <w:sz w:val="16"/>
          <w:szCs w:val="16"/>
          <w:color w:val="auto"/>
        </w:rPr>
        <w:t>Name of each exchange on which registered</w:t>
      </w:r>
    </w:p>
    <w:p>
      <w:pPr>
        <w:spacing w:after="0" w:line="32" w:lineRule="exact"/>
        <w:rPr>
          <w:sz w:val="24"/>
          <w:szCs w:val="24"/>
          <w:color w:val="auto"/>
        </w:rPr>
      </w:pPr>
    </w:p>
    <w:p>
      <w:pPr>
        <w:jc w:val="center"/>
        <w:ind w:right="480"/>
        <w:spacing w:after="0"/>
        <w:rPr>
          <w:sz w:val="20"/>
          <w:szCs w:val="20"/>
          <w:color w:val="auto"/>
        </w:rPr>
      </w:pPr>
      <w:r>
        <w:rPr>
          <w:rFonts w:ascii="Arial" w:cs="Arial" w:eastAsia="Arial" w:hAnsi="Arial"/>
          <w:sz w:val="16"/>
          <w:szCs w:val="16"/>
          <w:color w:val="auto"/>
        </w:rPr>
        <w:t>The Nasdaq Stock Market LLC</w:t>
      </w:r>
    </w:p>
    <w:p>
      <w:pPr>
        <w:spacing w:after="0" w:line="200" w:lineRule="exact"/>
        <w:rPr>
          <w:sz w:val="24"/>
          <w:szCs w:val="24"/>
          <w:color w:val="auto"/>
        </w:rPr>
      </w:pPr>
    </w:p>
    <w:p>
      <w:pPr>
        <w:sectPr>
          <w:pgSz w:w="11900" w:h="16838" w:orient="portrait"/>
          <w:cols w:equalWidth="0" w:num="3">
            <w:col w:w="4240" w:space="720"/>
            <w:col w:w="1880" w:space="720"/>
            <w:col w:w="3680"/>
          </w:cols>
          <w:pgMar w:left="320" w:top="1266" w:right="339" w:bottom="1440" w:gutter="0" w:footer="0" w:header="0"/>
          <w:type w:val="continuous"/>
        </w:sectPr>
      </w:pPr>
    </w:p>
    <w:p>
      <w:pPr>
        <w:spacing w:after="0" w:line="143" w:lineRule="exact"/>
        <w:rPr>
          <w:sz w:val="24"/>
          <w:szCs w:val="24"/>
          <w:color w:val="auto"/>
        </w:rPr>
      </w:pPr>
    </w:p>
    <w:p>
      <w:pPr>
        <w:spacing w:after="0" w:line="304"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79"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43" w:lineRule="exact"/>
        <w:rPr>
          <w:sz w:val="24"/>
          <w:szCs w:val="24"/>
          <w:color w:val="auto"/>
        </w:rPr>
      </w:pPr>
    </w:p>
    <w:p>
      <w:pPr>
        <w:ind w:right="140"/>
        <w:spacing w:after="0" w:line="220"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703580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6" w:right="339" w:bottom="1440" w:gutter="0" w:footer="0" w:header="0"/>
          <w:type w:val="continuous"/>
        </w:sectPr>
      </w:pPr>
    </w:p>
    <w:bookmarkStart w:id="1" w:name="page2"/>
    <w:bookmarkEnd w:id="1"/>
    <w:p>
      <w:pPr>
        <w:spacing w:after="0"/>
        <w:tabs>
          <w:tab w:leader="none" w:pos="96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7"/>
          <w:szCs w:val="17"/>
          <w:b w:val="1"/>
          <w:bCs w:val="1"/>
          <w:color w:val="auto"/>
        </w:rPr>
        <w:t>Results of Operations and Financial Condition.</w:t>
      </w:r>
    </w:p>
    <w:p>
      <w:pPr>
        <w:spacing w:after="0" w:line="225"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On July 31, 2024, Tenable Holdings, Inc. (the "Company") reported financial results for the quarter ended June 30, 2024. A copy of the press release is furnished as Exhibit 99.1 to this report and incorporated by reference.</w:t>
      </w:r>
    </w:p>
    <w:p>
      <w:pPr>
        <w:spacing w:after="0" w:line="153"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information in this Item 2.02 of this Current Report on 8-K (including Exhibit 99.1) is furnished and shall not be deemed “filed” for purposes of Section 18 of the Securities Exchange Act of 1934, as amended, or subject to the liabilities of that section or Sections 11 and 12(a)(2) of the Securities Act of 1933, as amended. The information shall not be deemed incorporated by reference into any other filing with the Securities and Exchange Commission made by the Company, whether made before or after today’s date, regardless of any general incorporation language in such filing, except as shall be expressly set forth by specific references in such filing.</w:t>
      </w:r>
    </w:p>
    <w:p>
      <w:pPr>
        <w:spacing w:after="0" w:line="17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7"/>
          <w:szCs w:val="17"/>
          <w:b w:val="1"/>
          <w:bCs w:val="1"/>
          <w:color w:val="auto"/>
        </w:rPr>
        <w:t>Financial Statements and Exhibits.</w:t>
      </w:r>
    </w:p>
    <w:p>
      <w:pPr>
        <w:spacing w:after="0" w:line="225"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(d)</w:t>
        <w:tab/>
        <w:t>Exhibits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15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9"/>
              </w:rPr>
              <w:t>Exhibit Number</w:t>
            </w:r>
          </w:p>
        </w:tc>
        <w:tc>
          <w:tcPr>
            <w:tcW w:w="20" w:type="dxa"/>
            <w:vAlign w:val="bottom"/>
          </w:tcPr>
          <w:p>
            <w:pPr>
              <w:spacing w:after="0"/>
              <w:rPr>
                <w:sz w:val="18"/>
                <w:szCs w:val="18"/>
                <w:color w:val="auto"/>
              </w:rPr>
            </w:pPr>
          </w:p>
        </w:tc>
        <w:tc>
          <w:tcPr>
            <w:tcW w:w="9700" w:type="dxa"/>
            <w:vAlign w:val="bottom"/>
            <w:gridSpan w:val="2"/>
          </w:tcPr>
          <w:p>
            <w:pPr>
              <w:ind w:left="4400"/>
              <w:spacing w:after="0"/>
              <w:rPr>
                <w:sz w:val="20"/>
                <w:szCs w:val="20"/>
                <w:color w:val="auto"/>
              </w:rPr>
            </w:pPr>
            <w:r>
              <w:rPr>
                <w:rFonts w:ascii="Arial" w:cs="Arial" w:eastAsia="Arial" w:hAnsi="Arial"/>
                <w:sz w:val="16"/>
                <w:szCs w:val="16"/>
                <w:b w:val="1"/>
                <w:bCs w:val="1"/>
                <w:color w:val="auto"/>
              </w:rPr>
              <w:t>Description</w:t>
            </w:r>
          </w:p>
        </w:tc>
      </w:tr>
      <w:tr>
        <w:trPr>
          <w:trHeight w:val="183"/>
        </w:trPr>
        <w:tc>
          <w:tcPr>
            <w:tcW w:w="1420" w:type="dxa"/>
            <w:vAlign w:val="bottom"/>
            <w:tcBorders>
              <w:top w:val="single" w:sz="8" w:color="auto"/>
            </w:tcBorders>
          </w:tcPr>
          <w:p>
            <w:pPr>
              <w:jc w:val="right"/>
              <w:ind w:right="452"/>
              <w:spacing w:after="0" w:line="182" w:lineRule="exact"/>
              <w:rPr>
                <w:sz w:val="20"/>
                <w:szCs w:val="20"/>
                <w:color w:val="auto"/>
              </w:rPr>
            </w:pPr>
            <w:r>
              <w:rPr>
                <w:rFonts w:ascii="Arial" w:cs="Arial" w:eastAsia="Arial" w:hAnsi="Arial"/>
                <w:sz w:val="18"/>
                <w:szCs w:val="18"/>
                <w:color w:val="auto"/>
              </w:rPr>
              <w:t>99.1</w:t>
            </w:r>
          </w:p>
        </w:tc>
        <w:tc>
          <w:tcPr>
            <w:tcW w:w="10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6280" w:type="dxa"/>
            <w:vAlign w:val="bottom"/>
            <w:tcBorders>
              <w:top w:val="single" w:sz="8" w:color="auto"/>
              <w:bottom w:val="single" w:sz="8" w:color="0000FF"/>
            </w:tcBorders>
          </w:tcPr>
          <w:p>
            <w:pPr>
              <w:spacing w:after="0" w:line="182" w:lineRule="exact"/>
              <w:rPr>
                <w:sz w:val="20"/>
                <w:szCs w:val="20"/>
                <w:color w:val="auto"/>
              </w:rPr>
            </w:pPr>
            <w:r>
              <w:rPr>
                <w:rFonts w:ascii="Arial" w:cs="Arial" w:eastAsia="Arial" w:hAnsi="Arial"/>
                <w:sz w:val="18"/>
                <w:szCs w:val="18"/>
                <w:color w:val="0000FF"/>
                <w:w w:val="99"/>
              </w:rPr>
              <w:t>Press release — "Tenable Announces Second Quarter 2024 Financial Results"</w:t>
            </w:r>
          </w:p>
        </w:tc>
        <w:tc>
          <w:tcPr>
            <w:tcW w:w="3420" w:type="dxa"/>
            <w:vAlign w:val="bottom"/>
            <w:tcBorders>
              <w:top w:val="single" w:sz="8" w:color="auto"/>
            </w:tcBorders>
          </w:tcPr>
          <w:p>
            <w:pPr>
              <w:spacing w:after="0"/>
              <w:rPr>
                <w:sz w:val="15"/>
                <w:szCs w:val="15"/>
                <w:color w:val="auto"/>
              </w:rPr>
            </w:pPr>
          </w:p>
        </w:tc>
      </w:tr>
      <w:tr>
        <w:trPr>
          <w:trHeight w:val="245"/>
        </w:trPr>
        <w:tc>
          <w:tcPr>
            <w:tcW w:w="1520" w:type="dxa"/>
            <w:vAlign w:val="bottom"/>
            <w:gridSpan w:val="2"/>
          </w:tcPr>
          <w:p>
            <w:pPr>
              <w:jc w:val="center"/>
              <w:ind w:right="100"/>
              <w:spacing w:after="0"/>
              <w:rPr>
                <w:sz w:val="20"/>
                <w:szCs w:val="20"/>
                <w:color w:val="auto"/>
              </w:rPr>
            </w:pPr>
            <w:r>
              <w:rPr>
                <w:rFonts w:ascii="Arial" w:cs="Arial" w:eastAsia="Arial" w:hAnsi="Arial"/>
                <w:sz w:val="18"/>
                <w:szCs w:val="18"/>
                <w:color w:val="auto"/>
              </w:rPr>
              <w:t>101.SCH</w:t>
            </w:r>
          </w:p>
        </w:tc>
        <w:tc>
          <w:tcPr>
            <w:tcW w:w="20" w:type="dxa"/>
            <w:vAlign w:val="bottom"/>
          </w:tcPr>
          <w:p>
            <w:pPr>
              <w:spacing w:after="0"/>
              <w:rPr>
                <w:sz w:val="21"/>
                <w:szCs w:val="21"/>
                <w:color w:val="auto"/>
              </w:rPr>
            </w:pPr>
          </w:p>
        </w:tc>
        <w:tc>
          <w:tcPr>
            <w:tcW w:w="9700" w:type="dxa"/>
            <w:vAlign w:val="bottom"/>
            <w:gridSpan w:val="2"/>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229"/>
        </w:trPr>
        <w:tc>
          <w:tcPr>
            <w:tcW w:w="1520" w:type="dxa"/>
            <w:vAlign w:val="bottom"/>
            <w:gridSpan w:val="2"/>
          </w:tcPr>
          <w:p>
            <w:pPr>
              <w:jc w:val="center"/>
              <w:ind w:right="100"/>
              <w:spacing w:after="0"/>
              <w:rPr>
                <w:sz w:val="20"/>
                <w:szCs w:val="20"/>
                <w:color w:val="auto"/>
              </w:rPr>
            </w:pPr>
            <w:r>
              <w:rPr>
                <w:rFonts w:ascii="Arial" w:cs="Arial" w:eastAsia="Arial" w:hAnsi="Arial"/>
                <w:sz w:val="18"/>
                <w:szCs w:val="18"/>
                <w:color w:val="auto"/>
              </w:rPr>
              <w:t>101.LAB</w:t>
            </w:r>
          </w:p>
        </w:tc>
        <w:tc>
          <w:tcPr>
            <w:tcW w:w="20" w:type="dxa"/>
            <w:vAlign w:val="bottom"/>
          </w:tcPr>
          <w:p>
            <w:pPr>
              <w:spacing w:after="0"/>
              <w:rPr>
                <w:sz w:val="19"/>
                <w:szCs w:val="19"/>
                <w:color w:val="auto"/>
              </w:rPr>
            </w:pPr>
          </w:p>
        </w:tc>
        <w:tc>
          <w:tcPr>
            <w:tcW w:w="9700" w:type="dxa"/>
            <w:vAlign w:val="bottom"/>
            <w:gridSpan w:val="2"/>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30"/>
        </w:trPr>
        <w:tc>
          <w:tcPr>
            <w:tcW w:w="152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101.PRE</w:t>
            </w:r>
          </w:p>
        </w:tc>
        <w:tc>
          <w:tcPr>
            <w:tcW w:w="20" w:type="dxa"/>
            <w:vAlign w:val="bottom"/>
          </w:tcPr>
          <w:p>
            <w:pPr>
              <w:spacing w:after="0"/>
              <w:rPr>
                <w:sz w:val="19"/>
                <w:szCs w:val="19"/>
                <w:color w:val="auto"/>
              </w:rPr>
            </w:pPr>
          </w:p>
        </w:tc>
        <w:tc>
          <w:tcPr>
            <w:tcW w:w="9700" w:type="dxa"/>
            <w:vAlign w:val="bottom"/>
            <w:gridSpan w:val="2"/>
          </w:tcPr>
          <w:p>
            <w:pPr>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239"/>
        </w:trPr>
        <w:tc>
          <w:tcPr>
            <w:tcW w:w="1420" w:type="dxa"/>
            <w:vAlign w:val="bottom"/>
          </w:tcPr>
          <w:p>
            <w:pPr>
              <w:jc w:val="right"/>
              <w:ind w:right="472"/>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700" w:type="dxa"/>
            <w:vAlign w:val="bottom"/>
            <w:gridSpan w:val="2"/>
          </w:tcPr>
          <w:p>
            <w:pPr>
              <w:spacing w:after="0"/>
              <w:rPr>
                <w:sz w:val="20"/>
                <w:szCs w:val="20"/>
                <w:color w:val="auto"/>
              </w:rPr>
            </w:pPr>
            <w:r>
              <w:rPr>
                <w:rFonts w:ascii="Arial" w:cs="Arial" w:eastAsia="Arial" w:hAnsi="Arial"/>
                <w:sz w:val="18"/>
                <w:szCs w:val="18"/>
                <w:color w:val="auto"/>
              </w:rPr>
              <w:t>The cover page from Tenable's 8-K filed on July 31, 2024, formatted in Inline XBRL.</w:t>
            </w:r>
          </w:p>
        </w:tc>
      </w:tr>
      <w:tr>
        <w:trPr>
          <w:trHeight w:val="1137"/>
        </w:trPr>
        <w:tc>
          <w:tcPr>
            <w:tcW w:w="14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280" w:type="dxa"/>
            <w:vAlign w:val="bottom"/>
            <w:tcBorders>
              <w:bottom w:val="single" w:sz="8" w:color="9A9A9A"/>
            </w:tcBorders>
          </w:tcPr>
          <w:p>
            <w:pPr>
              <w:spacing w:after="0"/>
              <w:rPr>
                <w:sz w:val="24"/>
                <w:szCs w:val="24"/>
                <w:color w:val="auto"/>
              </w:rPr>
            </w:pPr>
          </w:p>
        </w:tc>
        <w:tc>
          <w:tcPr>
            <w:tcW w:w="34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5" w:lineRule="exact"/>
        <w:rPr>
          <w:sz w:val="20"/>
          <w:szCs w:val="20"/>
          <w:color w:val="auto"/>
        </w:rPr>
      </w:pPr>
    </w:p>
    <w:p>
      <w:pPr>
        <w:ind w:right="500" w:firstLine="324"/>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63" w:lineRule="exact"/>
        <w:rPr>
          <w:sz w:val="20"/>
          <w:szCs w:val="20"/>
          <w:color w:val="auto"/>
        </w:rPr>
      </w:pPr>
    </w:p>
    <w:tbl>
      <w:tblPr>
        <w:tblLayout w:type="fixed"/>
        <w:tblInd w:w="20" w:type="dxa"/>
        <w:tblCellMar>
          <w:top w:w="0" w:type="dxa"/>
          <w:left w:w="0" w:type="dxa"/>
          <w:bottom w:w="0" w:type="dxa"/>
          <w:right w:w="0" w:type="dxa"/>
        </w:tblCellMar>
      </w:tblPr>
      <w:tr>
        <w:trPr>
          <w:trHeight w:val="247"/>
        </w:trPr>
        <w:tc>
          <w:tcPr>
            <w:tcW w:w="3300" w:type="dxa"/>
            <w:vAlign w:val="bottom"/>
          </w:tcPr>
          <w:p>
            <w:pPr>
              <w:spacing w:after="0"/>
              <w:rPr>
                <w:sz w:val="21"/>
                <w:szCs w:val="21"/>
                <w:color w:val="auto"/>
              </w:rPr>
            </w:pPr>
          </w:p>
        </w:tc>
        <w:tc>
          <w:tcPr>
            <w:tcW w:w="7920" w:type="dxa"/>
            <w:vAlign w:val="bottom"/>
            <w:gridSpan w:val="2"/>
          </w:tcPr>
          <w:p>
            <w:pPr>
              <w:ind w:left="1560"/>
              <w:spacing w:after="0"/>
              <w:rPr>
                <w:sz w:val="20"/>
                <w:szCs w:val="20"/>
                <w:color w:val="auto"/>
              </w:rPr>
            </w:pPr>
            <w:r>
              <w:rPr>
                <w:rFonts w:ascii="Arial" w:cs="Arial" w:eastAsia="Arial" w:hAnsi="Arial"/>
                <w:sz w:val="18"/>
                <w:szCs w:val="18"/>
                <w:b w:val="1"/>
                <w:bCs w:val="1"/>
                <w:color w:val="auto"/>
              </w:rPr>
              <w:t>TENABLE HOLDINGS, INC.</w:t>
            </w:r>
          </w:p>
        </w:tc>
      </w:tr>
      <w:tr>
        <w:trPr>
          <w:trHeight w:val="488"/>
        </w:trPr>
        <w:tc>
          <w:tcPr>
            <w:tcW w:w="3300" w:type="dxa"/>
            <w:vAlign w:val="bottom"/>
          </w:tcPr>
          <w:p>
            <w:pPr>
              <w:spacing w:after="0"/>
              <w:rPr>
                <w:sz w:val="20"/>
                <w:szCs w:val="20"/>
                <w:color w:val="auto"/>
              </w:rPr>
            </w:pPr>
            <w:r>
              <w:rPr>
                <w:rFonts w:ascii="Arial" w:cs="Arial" w:eastAsia="Arial" w:hAnsi="Arial"/>
                <w:sz w:val="18"/>
                <w:szCs w:val="18"/>
                <w:color w:val="auto"/>
              </w:rPr>
              <w:t>Date:   July 31, 2024</w:t>
            </w:r>
          </w:p>
        </w:tc>
        <w:tc>
          <w:tcPr>
            <w:tcW w:w="7920" w:type="dxa"/>
            <w:vAlign w:val="bottom"/>
            <w:gridSpan w:val="2"/>
          </w:tcPr>
          <w:p>
            <w:pPr>
              <w:ind w:left="1560"/>
              <w:spacing w:after="0"/>
              <w:rPr>
                <w:sz w:val="20"/>
                <w:szCs w:val="20"/>
                <w:color w:val="auto"/>
              </w:rPr>
            </w:pPr>
            <w:r>
              <w:rPr>
                <w:rFonts w:ascii="Arial" w:cs="Arial" w:eastAsia="Arial" w:hAnsi="Arial"/>
                <w:sz w:val="18"/>
                <w:szCs w:val="18"/>
                <w:color w:val="auto"/>
              </w:rPr>
              <w:t>By:  /s/ Michelle VonderHaar</w:t>
            </w:r>
          </w:p>
        </w:tc>
      </w:tr>
      <w:tr>
        <w:trPr>
          <w:trHeight w:val="220"/>
        </w:trPr>
        <w:tc>
          <w:tcPr>
            <w:tcW w:w="330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59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Michelle VonderHaar</w:t>
            </w:r>
          </w:p>
        </w:tc>
      </w:tr>
      <w:tr>
        <w:trPr>
          <w:trHeight w:val="237"/>
        </w:trPr>
        <w:tc>
          <w:tcPr>
            <w:tcW w:w="33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5940" w:type="dxa"/>
            <w:vAlign w:val="bottom"/>
          </w:tcPr>
          <w:p>
            <w:pPr>
              <w:ind w:left="20"/>
              <w:spacing w:after="0"/>
              <w:rPr>
                <w:sz w:val="20"/>
                <w:szCs w:val="20"/>
                <w:color w:val="auto"/>
              </w:rPr>
            </w:pPr>
            <w:r>
              <w:rPr>
                <w:rFonts w:ascii="Arial" w:cs="Arial" w:eastAsia="Arial" w:hAnsi="Arial"/>
                <w:sz w:val="18"/>
                <w:szCs w:val="18"/>
                <w:i w:val="1"/>
                <w:iCs w:val="1"/>
                <w:color w:val="auto"/>
              </w:rPr>
              <w:t>Chief Legal Officer and Corporate Secretary</w:t>
            </w:r>
          </w:p>
        </w:tc>
      </w:tr>
    </w:tbl>
    <w:p>
      <w:pPr>
        <w:sectPr>
          <w:pgSz w:w="11900" w:h="16838" w:orient="portrait"/>
          <w:cols w:equalWidth="0" w:num="1">
            <w:col w:w="11240"/>
          </w:cols>
          <w:pgMar w:left="320" w:top="931"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Tenable Announces Second Quarter 2024 Financial Results</w:t>
      </w:r>
    </w:p>
    <w:p>
      <w:pPr>
        <w:spacing w:after="0" w:line="225"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Revenue of $221.2 million, up 13% year-over-year.</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Calculated current billings of $221.1 million, up 10% year-over-year.</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GAAP operating margin of (4)%; Non-GAAP operating margin of 19%.</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Net cash provided by operating activities of $31.4 million; Unlevered free cash flow of $36.5 million.</w:t>
      </w:r>
    </w:p>
    <w:p>
      <w:pPr>
        <w:spacing w:after="0" w:line="225" w:lineRule="exact"/>
        <w:rPr>
          <w:sz w:val="20"/>
          <w:szCs w:val="20"/>
          <w:color w:val="auto"/>
        </w:rPr>
      </w:pPr>
    </w:p>
    <w:p>
      <w:pPr>
        <w:ind w:right="320"/>
        <w:spacing w:after="0" w:line="287" w:lineRule="auto"/>
        <w:rPr>
          <w:sz w:val="20"/>
          <w:szCs w:val="20"/>
          <w:color w:val="auto"/>
        </w:rPr>
      </w:pPr>
      <w:r>
        <w:rPr>
          <w:rFonts w:ascii="Arial" w:cs="Arial" w:eastAsia="Arial" w:hAnsi="Arial"/>
          <w:sz w:val="18"/>
          <w:szCs w:val="18"/>
          <w:color w:val="auto"/>
        </w:rPr>
        <w:t>COLUMBIA, Maryland, July 31, 2024 — Tenable Holdings, Inc. ("Tenable") (Nasdaq: TENB), the Exposure Management company, today announced financial results for the quarter ended June 30, 2024.</w:t>
      </w:r>
    </w:p>
    <w:p>
      <w:pPr>
        <w:spacing w:after="0" w:line="153"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"We delivered better-than-expected revenue, operating income and unlevered cash flow in Q2," said Amit Yoran, Chairman and CEO of Tenable. "Despite lower-than-expected CCB, we saw tremendous momentum in our newer products, specifically Tenable Cloud Security and Tenable One. As we have expanded our offerings, Tenable has become a trusted source of truth for understanding and managing exposure and risk."</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Quarter 2024 Financial Highlights</w:t>
      </w:r>
    </w:p>
    <w:p>
      <w:pPr>
        <w:spacing w:after="0" w:line="225"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Revenue was $221.2 million, a 13% increase year-over-year.</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Calculated current billings was $221.1 million, a 10% increase year-over-year.</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GAAP loss from operations was $8.8 million, compared to $10.7 million in the second quarter of 2023.</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Non-GAAP income from operations was $42.8 million, compared to $30.2 million in the second quarter of 2023.</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GAAP net loss was $14.6 million, compared to $16.0 million in the second quarter of 2023.</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GAAP net loss per share was $0.12, compared to $0.14 in the second quarter of 2023.</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Non-GAAP net income was $38.2 million, compared to $26.3 million in the second quarter of 2023.</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Non-GAAP diluted earnings per share was $0.31, compared to $0.22 in the second quarter of 2023.</w:t>
      </w:r>
    </w:p>
    <w:p>
      <w:pPr>
        <w:spacing w:after="0" w:line="63" w:lineRule="exact"/>
        <w:rPr>
          <w:rFonts w:ascii="Arial" w:cs="Arial" w:eastAsia="Arial" w:hAnsi="Arial"/>
          <w:sz w:val="18"/>
          <w:szCs w:val="18"/>
          <w:color w:val="auto"/>
        </w:rPr>
      </w:pPr>
    </w:p>
    <w:p>
      <w:pPr>
        <w:ind w:left="660" w:right="700" w:hanging="328"/>
        <w:spacing w:after="0" w:line="281"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Cash and cash equivalents and short-term investments were $487.0 million at June 30, 2024, compared to $474.0 million at December 31, 2023.</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cash provided by operating activities was $31.4 million, compared to $30.2 million in the second quarter of 2023.</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Unlevered free cash flow was $36.5 million, compared to $39.8 million in the second quarter of 2023.</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Repurchased 0.6 million shares of our common stock for $25.0 million.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Business Highlights</w:t>
      </w:r>
    </w:p>
    <w:p>
      <w:pPr>
        <w:spacing w:after="0" w:line="225"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222222"/>
        </w:rPr>
      </w:pPr>
      <w:r>
        <w:rPr>
          <w:rFonts w:ascii="Arial" w:cs="Arial" w:eastAsia="Arial" w:hAnsi="Arial"/>
          <w:sz w:val="18"/>
          <w:szCs w:val="18"/>
          <w:color w:val="auto"/>
        </w:rPr>
        <w:t>Added 408 new enterprise platform customers and 76 net new six-figure customers.</w:t>
      </w:r>
    </w:p>
    <w:p>
      <w:pPr>
        <w:spacing w:after="0" w:line="63" w:lineRule="exact"/>
        <w:rPr>
          <w:rFonts w:ascii="Arial" w:cs="Arial" w:eastAsia="Arial" w:hAnsi="Arial"/>
          <w:sz w:val="18"/>
          <w:szCs w:val="18"/>
          <w:color w:val="222222"/>
        </w:rPr>
      </w:pPr>
    </w:p>
    <w:p>
      <w:pPr>
        <w:jc w:val="both"/>
        <w:ind w:left="660" w:hanging="328"/>
        <w:spacing w:after="0" w:line="268"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Acquired Eureka Security, a provider of data security posture management (DSPM) for cloud environments, to provide a holistic view of an organization’s cloud data security footprint, to fight policy drift and misconfigurations, and to continuously improve their security posture over time.</w:t>
      </w:r>
    </w:p>
    <w:p>
      <w:pPr>
        <w:spacing w:after="0" w:line="8" w:lineRule="exact"/>
        <w:rPr>
          <w:rFonts w:ascii="Arial" w:cs="Arial" w:eastAsia="Arial" w:hAnsi="Arial"/>
          <w:sz w:val="18"/>
          <w:szCs w:val="18"/>
          <w:color w:val="auto"/>
        </w:rPr>
      </w:pPr>
    </w:p>
    <w:p>
      <w:pPr>
        <w:ind w:left="660" w:right="580" w:hanging="328"/>
        <w:spacing w:after="0" w:line="281"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Formed a strategic alliance with Deloitte to enable customers to harness the power of proactive security and remove noise by delivering a unified view of their attack surfaces for both cloud and on-prem.</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Expanded availability of Tenable Cloud Security and Tenable Vulnerability Management to Amazon Web Services in Abu Dhabi.</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Recognized as an AI 100 company by CRN.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Outlook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 the third quarter of 2024, we currently expect:</w:t>
      </w:r>
    </w:p>
    <w:p>
      <w:pPr>
        <w:spacing w:after="0" w:line="63"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Revenue in the range of $222.0 million to $224.0 million.</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Non-GAAP income from operations in the range of $42.0 million to $44.0 million.</w:t>
      </w:r>
    </w:p>
    <w:p>
      <w:pPr>
        <w:spacing w:after="0" w:line="63" w:lineRule="exact"/>
        <w:rPr>
          <w:rFonts w:ascii="Arial" w:cs="Arial" w:eastAsia="Arial" w:hAnsi="Arial"/>
          <w:sz w:val="18"/>
          <w:szCs w:val="18"/>
          <w:color w:val="auto"/>
        </w:rPr>
      </w:pPr>
    </w:p>
    <w:p>
      <w:pPr>
        <w:ind w:left="660" w:right="280" w:hanging="328"/>
        <w:spacing w:after="0" w:line="281" w:lineRule="auto"/>
        <w:tabs>
          <w:tab w:leader="none" w:pos="655" w:val="left"/>
        </w:tabs>
        <w:numPr>
          <w:ilvl w:val="0"/>
          <w:numId w:val="5"/>
        </w:numPr>
        <w:rPr>
          <w:rFonts w:ascii="Arial" w:cs="Arial" w:eastAsia="Arial" w:hAnsi="Arial"/>
          <w:sz w:val="18"/>
          <w:szCs w:val="18"/>
          <w:color w:val="auto"/>
        </w:rPr>
      </w:pPr>
      <w:r>
        <w:rPr>
          <w:rFonts w:ascii="Arial" w:cs="Arial" w:eastAsia="Arial" w:hAnsi="Arial"/>
          <w:sz w:val="18"/>
          <w:szCs w:val="18"/>
          <w:color w:val="auto"/>
        </w:rPr>
        <w:t>Non-GAAP net income in the range of $35.0 million to $37.0 million, assuming interest expense of $8.3 million, interest income of $5.7 million and a provision for income taxes of $3.8 million.</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Non-GAAP diluted earnings per share in the range of $0.28 to $0.30.</w:t>
      </w:r>
    </w:p>
    <w:p>
      <w:pPr>
        <w:sectPr>
          <w:pgSz w:w="11900" w:h="16838" w:orient="portrait"/>
          <w:cols w:equalWidth="0" w:num="1">
            <w:col w:w="11200"/>
          </w:cols>
          <w:pgMar w:left="320" w:top="931"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200"/>
          </w:cols>
          <w:pgMar w:left="320" w:top="931" w:right="379" w:bottom="1440" w:gutter="0" w:footer="0" w:header="0"/>
          <w:type w:val="continuous"/>
        </w:sectPr>
      </w:pPr>
    </w:p>
    <w:bookmarkStart w:id="4" w:name="page5"/>
    <w:bookmarkEnd w:id="4"/>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123.0 million diluted weighted average shares outstanding.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 the year ending December 31, 2024, we currently expect:</w:t>
      </w:r>
    </w:p>
    <w:p>
      <w:pPr>
        <w:spacing w:after="0" w:line="63"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Calculated current billings in the range of $957.0 million to $967.0 million.</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Revenue in the range of $889.0 million to $895.0 million.</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Non-GAAP income from operations in the range of $167.0 million to $171.0 million.</w:t>
      </w:r>
    </w:p>
    <w:p>
      <w:pPr>
        <w:spacing w:after="0" w:line="63" w:lineRule="exact"/>
        <w:rPr>
          <w:rFonts w:ascii="Arial" w:cs="Arial" w:eastAsia="Arial" w:hAnsi="Arial"/>
          <w:sz w:val="18"/>
          <w:szCs w:val="18"/>
          <w:color w:val="auto"/>
        </w:rPr>
      </w:pPr>
    </w:p>
    <w:p>
      <w:pPr>
        <w:ind w:left="660" w:hanging="328"/>
        <w:spacing w:after="0" w:line="281"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Non-GAAP net income in the range of $143.0 million to $147.0 million, assuming interest expense of $32.7 million, interest income of $23.5 million and a provision for income taxes of $12.8 million.</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Non-GAAP diluted earnings per share in the range of $1.16 to $1.19.</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123.5 million diluted weighted average shares outstanding.</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Unlevered free cash flow in the range of $225.0 million to $235.0 million.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Information</w:t>
      </w:r>
    </w:p>
    <w:p>
      <w:pPr>
        <w:spacing w:after="0" w:line="225"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 xml:space="preserve">Tenable will host a conference call on July 31, 2024 at 4:30 p.m. Eastern Time to discuss its financial results. The conference call can be accessed at 877-407-9716 (U.S.) and 201-493-6779 (international). A live webcast of the event will be available on the Tenable Investor Relations website at </w:t>
      </w:r>
      <w:r>
        <w:rPr>
          <w:rFonts w:ascii="Arial" w:cs="Arial" w:eastAsia="Arial" w:hAnsi="Arial"/>
          <w:sz w:val="18"/>
          <w:szCs w:val="18"/>
          <w:u w:val="single" w:color="auto"/>
          <w:color w:val="auto"/>
        </w:rPr>
        <w:t>https://investors.tenable.com</w:t>
      </w:r>
      <w:r>
        <w:rPr>
          <w:rFonts w:ascii="Arial" w:cs="Arial" w:eastAsia="Arial" w:hAnsi="Arial"/>
          <w:sz w:val="18"/>
          <w:szCs w:val="18"/>
          <w:color w:val="auto"/>
        </w:rPr>
        <w:t>. An archived replay of the live broadcast will be available on the Investor Relations page of the website following the call.</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Tenable</w:t>
      </w:r>
    </w:p>
    <w:p>
      <w:pPr>
        <w:spacing w:after="0" w:line="223" w:lineRule="exact"/>
        <w:rPr>
          <w:sz w:val="20"/>
          <w:szCs w:val="20"/>
          <w:color w:val="auto"/>
        </w:rPr>
      </w:pPr>
    </w:p>
    <w:p>
      <w:pPr>
        <w:jc w:val="both"/>
        <w:ind w:right="120"/>
        <w:spacing w:after="0" w:line="226" w:lineRule="auto"/>
        <w:rPr>
          <w:sz w:val="20"/>
          <w:szCs w:val="20"/>
          <w:color w:val="auto"/>
        </w:rPr>
      </w:pPr>
      <w:r>
        <w:rPr>
          <w:rFonts w:ascii="Arial" w:cs="Arial" w:eastAsia="Arial" w:hAnsi="Arial"/>
          <w:sz w:val="18"/>
          <w:szCs w:val="18"/>
          <w:color w:val="auto"/>
        </w:rPr>
        <w:t>Tenable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is the Exposure Management company. Approximately 44,000 organizations around the globe rely on Tenable to understand and reduce cyber risk. As the creator of Nessus</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Tenable extended its expertise in vulnerabilities to deliver the world’s first platform to see and secure any digital asset on any computing platform. Tenable customers include approximately 65 percent of the Fortune 500, approximately 50 percent of the Global 2000, and large government agencies. Learn more at </w:t>
      </w:r>
      <w:r>
        <w:rPr>
          <w:rFonts w:ascii="Arial" w:cs="Arial" w:eastAsia="Arial" w:hAnsi="Arial"/>
          <w:sz w:val="18"/>
          <w:szCs w:val="18"/>
          <w:u w:val="single" w:color="auto"/>
          <w:color w:val="auto"/>
        </w:rPr>
        <w:t>tenable.com</w:t>
      </w:r>
      <w:r>
        <w:rPr>
          <w:rFonts w:ascii="Arial" w:cs="Arial" w:eastAsia="Arial" w:hAnsi="Arial"/>
          <w:sz w:val="18"/>
          <w:szCs w:val="18"/>
          <w:color w:val="auto"/>
        </w:rPr>
        <w: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investors@tenable.com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Relations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tenablepr@tenable.com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7" w:lineRule="exact"/>
        <w:rPr>
          <w:sz w:val="20"/>
          <w:szCs w:val="20"/>
          <w:color w:val="auto"/>
        </w:rPr>
      </w:pPr>
    </w:p>
    <w:p>
      <w:pPr>
        <w:spacing w:after="0" w:line="252" w:lineRule="auto"/>
        <w:rPr>
          <w:sz w:val="20"/>
          <w:szCs w:val="20"/>
          <w:color w:val="auto"/>
        </w:rPr>
      </w:pPr>
      <w:r>
        <w:rPr>
          <w:rFonts w:ascii="Arial" w:cs="Arial" w:eastAsia="Arial" w:hAnsi="Arial"/>
          <w:sz w:val="18"/>
          <w:szCs w:val="18"/>
          <w:i w:val="1"/>
          <w:iCs w:val="1"/>
          <w:color w:val="auto"/>
        </w:rPr>
        <w:t>This press release includes forward-looking statements within the meaning of the "safe harbor" provisions of the Private Securities Litigation Reform Act of 1995. All statements contained in this press release other than statements of historical fact, including statements regarding our future results of operations and financial position, business strategy and plans and objectives for future operations, are forward-looking statements and represent our views as of the date of this press release. The words “anticipate,” "believe,” “continue,” “estimate,” “expect,” “intend,” “may,” “will” and similar expressions are intended to identify forward-looking statements. We have based these forward-looking statements on our current expectations and projections about future events and financial trends that we believe may affect our financial condition, results of operations, business strategy, short-term and long-term business operations and objectives and financial needs. These forward-looking statements are subject to a number of assumptions and risks and uncertainties, many of which involve factors or circumstances that are beyond our control that could affect our financial results. These risks and uncertainties are detailed in the sections titled "Risk Factors" and "Management's Discussion and Analysis of Financial Condition and Results of Operations" in our Annual Report on Form 10-K for the year ended December 31, 2023 as well as other filings that we make from time to time with the SEC, which are available on the SEC's website at sec.gov.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trends discussed in this press release may not occur and actual results could differ materially and adversely from those anticipated or implied in any forward-looking statements. Except as required by law, we are under no obligation to update</w:t>
      </w:r>
    </w:p>
    <w:p>
      <w:pPr>
        <w:sectPr>
          <w:pgSz w:w="11900" w:h="16838" w:orient="portrait"/>
          <w:cols w:equalWidth="0" w:num="1">
            <w:col w:w="11220"/>
          </w:cols>
          <w:pgMar w:left="320" w:top="93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220"/>
          </w:cols>
          <w:pgMar w:left="320" w:top="931" w:right="359" w:bottom="1440" w:gutter="0" w:footer="0" w:header="0"/>
          <w:type w:val="continuous"/>
        </w:sectPr>
      </w:pPr>
    </w:p>
    <w:bookmarkStart w:id="5" w:name="page6"/>
    <w:bookmarkEnd w:id="5"/>
    <w:p>
      <w:pPr>
        <w:ind w:right="40"/>
        <w:spacing w:after="0" w:line="285" w:lineRule="auto"/>
        <w:rPr>
          <w:sz w:val="20"/>
          <w:szCs w:val="20"/>
          <w:color w:val="auto"/>
        </w:rPr>
      </w:pPr>
      <w:r>
        <w:rPr>
          <w:rFonts w:ascii="Arial" w:cs="Arial" w:eastAsia="Arial" w:hAnsi="Arial"/>
          <w:sz w:val="18"/>
          <w:szCs w:val="18"/>
          <w:i w:val="1"/>
          <w:iCs w:val="1"/>
          <w:color w:val="auto"/>
        </w:rPr>
        <w:t>these forward-looking statements subsequent to the date of this press release, or to update the reasons if actual results differ materially from those anticipated in the forward-looking statements.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25"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To supplement our consolidated financial statements, which are prepared and presented in accordance with GAAP, we use certain non-GAAP financial measures, as described below, to understand and evaluate our core operating performance. These non-GAAP financial measures, which may be different than similarly titled measures used by other companies, are presented to enhance the overall understanding of our financial performance and should not be considered a substitute for, or superior to, the financial information prepared and presented in accordance with GAAP.</w:t>
      </w:r>
    </w:p>
    <w:p>
      <w:pPr>
        <w:spacing w:after="0" w:line="17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believe that these non-GAAP financial measures provide useful information about our financial performance, enhance the overall understanding of our past performance and future prospects and allow for greater transparency with respect to important metrics used by management for financial and operational decision-making. We include these non-GAAP financial measures to present our financial performance using a management view and because we believe that these measures provide an additional comparison of our core financial performance over multiple periods with other companies in our industry.</w:t>
      </w:r>
    </w:p>
    <w:p>
      <w:pPr>
        <w:spacing w:after="0" w:line="179" w:lineRule="exact"/>
        <w:rPr>
          <w:sz w:val="20"/>
          <w:szCs w:val="20"/>
          <w:color w:val="auto"/>
        </w:rPr>
      </w:pPr>
    </w:p>
    <w:p>
      <w:pPr>
        <w:ind w:right="460"/>
        <w:spacing w:after="0" w:line="287" w:lineRule="auto"/>
        <w:rPr>
          <w:sz w:val="20"/>
          <w:szCs w:val="20"/>
          <w:color w:val="auto"/>
        </w:rPr>
      </w:pPr>
      <w:r>
        <w:rPr>
          <w:rFonts w:ascii="Arial" w:cs="Arial" w:eastAsia="Arial" w:hAnsi="Arial"/>
          <w:sz w:val="18"/>
          <w:szCs w:val="18"/>
          <w:color w:val="auto"/>
        </w:rPr>
        <w:t>Reconciliations of non-GAAP financial measures to the most directly comparable GAAP financial measures are included in the financial tables accompanying this press release.</w:t>
      </w:r>
    </w:p>
    <w:p>
      <w:pPr>
        <w:spacing w:after="0" w:line="153" w:lineRule="exact"/>
        <w:rPr>
          <w:sz w:val="20"/>
          <w:szCs w:val="20"/>
          <w:color w:val="auto"/>
        </w:rPr>
      </w:pPr>
    </w:p>
    <w:p>
      <w:pPr>
        <w:spacing w:after="0" w:line="255" w:lineRule="auto"/>
        <w:rPr>
          <w:sz w:val="20"/>
          <w:szCs w:val="20"/>
          <w:color w:val="auto"/>
        </w:rPr>
      </w:pPr>
      <w:r>
        <w:rPr>
          <w:rFonts w:ascii="Arial" w:cs="Arial" w:eastAsia="Arial" w:hAnsi="Arial"/>
          <w:sz w:val="18"/>
          <w:szCs w:val="18"/>
          <w:u w:val="single" w:color="auto"/>
          <w:color w:val="auto"/>
        </w:rPr>
        <w:t>Calculated Current Billings:</w:t>
      </w:r>
      <w:r>
        <w:rPr>
          <w:rFonts w:ascii="Arial" w:cs="Arial" w:eastAsia="Arial" w:hAnsi="Arial"/>
          <w:sz w:val="18"/>
          <w:szCs w:val="18"/>
          <w:color w:val="auto"/>
        </w:rPr>
        <w:t xml:space="preserve"> We define calculated current billings, a non-GAAP financial measure, as total revenue recognized in a period plus the change in current deferred revenue in the corresponding period. We believe that calculated current billings is a key metric to measure our periodic performance. Given that most of our customers pay in advance (including multi-year contracts), but we generally recognize the related revenue ratably over time, we use calculated current billings to measure and monitor our ability to provide our business with the working capital generated by upfront payments from our customers. We believe that calculated current billings, which excludes deferred revenue for periods beyond twelve months in a customer’s contractual term, more closely correlates with annual contract value and that the variability in total billings, depending on the timing of large multi-year contracts and the preference for annual billing versus multi-year upfront billing, may distort growth in one period over another.</w:t>
      </w:r>
    </w:p>
    <w:p>
      <w:pPr>
        <w:spacing w:after="0" w:line="18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u w:val="single" w:color="auto"/>
          <w:color w:val="auto"/>
        </w:rPr>
        <w:t>Free Cash Flow and Unlevered Free Cash Flow:</w:t>
      </w:r>
      <w:r>
        <w:rPr>
          <w:rFonts w:ascii="Arial" w:cs="Arial" w:eastAsia="Arial" w:hAnsi="Arial"/>
          <w:sz w:val="18"/>
          <w:szCs w:val="18"/>
          <w:color w:val="auto"/>
        </w:rPr>
        <w:t xml:space="preserve"> We define free cash flow, a non-GAAP financial measure, as net cash provided by operating activities less purchases of property and equipment and capitalized software development costs. We believe free cash flow is an important liquidity measure of the cash that is available (if any), after purchases of property and equipment and capitalized software development costs, for investment in our business and to make acquisitions. We believe that free cash flow is useful as a liquidity measure because it measures our ability to generate or use cash. We define unlevered free cash flow as free cash flow plus cash paid for interest and other financing costs. We believe unlevered free cash flow is useful as a liquidity measure as it measures the cash that is available to invest in our business and meet our current debt obligations and future financing needs. However, given our debt obligations, non-cancelable commitments and other contractual obligations, unlevered free cash flow does not represent residual cash flow available for discretionary expenses.</w:t>
      </w:r>
    </w:p>
    <w:p>
      <w:pPr>
        <w:spacing w:after="0" w:line="181" w:lineRule="exact"/>
        <w:rPr>
          <w:sz w:val="20"/>
          <w:szCs w:val="20"/>
          <w:color w:val="auto"/>
        </w:rPr>
      </w:pPr>
    </w:p>
    <w:p>
      <w:pPr>
        <w:jc w:val="both"/>
        <w:ind w:right="220"/>
        <w:spacing w:after="0" w:line="257" w:lineRule="auto"/>
        <w:rPr>
          <w:sz w:val="20"/>
          <w:szCs w:val="20"/>
          <w:color w:val="auto"/>
        </w:rPr>
      </w:pPr>
      <w:r>
        <w:rPr>
          <w:rFonts w:ascii="Arial" w:cs="Arial" w:eastAsia="Arial" w:hAnsi="Arial"/>
          <w:sz w:val="18"/>
          <w:szCs w:val="18"/>
          <w:u w:val="single" w:color="auto"/>
          <w:color w:val="auto"/>
        </w:rPr>
        <w:t>Non-GAAP Income from Operations and Non-GAAP Operating Margin:</w:t>
      </w:r>
      <w:r>
        <w:rPr>
          <w:rFonts w:ascii="Arial" w:cs="Arial" w:eastAsia="Arial" w:hAnsi="Arial"/>
          <w:sz w:val="18"/>
          <w:szCs w:val="18"/>
          <w:color w:val="auto"/>
        </w:rPr>
        <w:t xml:space="preserve"> We define these non-GAAP financial measures as their respective GAAP measures, excluding the effect of stock-based compensation, acquisition-related expenses, restructuring expenses, costs related to the intra-entity asset transfers resulting from the internal restructuring of legal entities, and amortization of acquired intangible assets.</w:t>
      </w:r>
    </w:p>
    <w:p>
      <w:pPr>
        <w:spacing w:after="0" w:line="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Acquisition-related expenses include transaction and integration expenses, as well as costs related to the intercompany transfer of acquired intellectual property. Restructuring expenses include non-ordinary course severance, employee related benefits, and other charges. We believe that the exclusion of these expenses provides for a useful comparison of our operating results to prior periods and to our peer companies, which commonly exclude restructuring expenses.</w:t>
      </w:r>
    </w:p>
    <w:p>
      <w:pPr>
        <w:spacing w:after="0" w:line="182"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u w:val="single" w:color="auto"/>
          <w:color w:val="auto"/>
        </w:rPr>
        <w:t>Non-GAAP Net Income and Non-GAAP Earnings Per Share:</w:t>
      </w:r>
      <w:r>
        <w:rPr>
          <w:rFonts w:ascii="Arial" w:cs="Arial" w:eastAsia="Arial" w:hAnsi="Arial"/>
          <w:sz w:val="18"/>
          <w:szCs w:val="18"/>
          <w:color w:val="auto"/>
        </w:rPr>
        <w:t xml:space="preserve"> We define non-GAAP net income as GAAP net loss, excluding the effect of stock-based compensation, acquisition-related expenses, restructuring expenses and amortization of acquired intangible assets, including the applicable tax impacts. In addition, we exclude the tax impact and related costs of intra-entity asset transfers resulting from the internal restructuring of legal entities as well as deferred income tax benefits recognized in connection with acquisitions. We use non-GAAP net income to calculate non-GAAP earnings per share.</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20"/>
          </w:cols>
          <w:pgMar w:left="320" w:top="933" w:right="359" w:bottom="1440" w:gutter="0" w:footer="0" w:header="0"/>
        </w:sectPr>
      </w:pPr>
    </w:p>
    <w:bookmarkStart w:id="6" w:name="page7"/>
    <w:bookmarkEnd w:id="6"/>
    <w:p>
      <w:pPr>
        <w:spacing w:after="0" w:line="268" w:lineRule="auto"/>
        <w:rPr>
          <w:sz w:val="20"/>
          <w:szCs w:val="20"/>
          <w:color w:val="auto"/>
        </w:rPr>
      </w:pPr>
      <w:r>
        <w:rPr>
          <w:rFonts w:ascii="Arial" w:cs="Arial" w:eastAsia="Arial" w:hAnsi="Arial"/>
          <w:sz w:val="18"/>
          <w:szCs w:val="18"/>
          <w:u w:val="single" w:color="auto"/>
          <w:color w:val="auto"/>
        </w:rPr>
        <w:t>Non-GAAP Gross Profit and Non-GAAP Gross Margin:</w:t>
      </w:r>
      <w:r>
        <w:rPr>
          <w:rFonts w:ascii="Arial" w:cs="Arial" w:eastAsia="Arial" w:hAnsi="Arial"/>
          <w:sz w:val="18"/>
          <w:szCs w:val="18"/>
          <w:color w:val="auto"/>
        </w:rPr>
        <w:t xml:space="preserve"> We define non-GAAP gross profit as GAAP gross profit, excluding the effect of stock-based compensation and amortization of acquired intangible assets. Non-GAAP gross margin is defined as non-GAAP gross profit as a percentage of revenue.</w:t>
      </w:r>
    </w:p>
    <w:p>
      <w:pPr>
        <w:spacing w:after="0" w:line="117" w:lineRule="exact"/>
        <w:rPr>
          <w:sz w:val="20"/>
          <w:szCs w:val="20"/>
          <w:color w:val="auto"/>
        </w:rPr>
      </w:pPr>
    </w:p>
    <w:p>
      <w:pPr>
        <w:jc w:val="both"/>
        <w:ind w:right="320"/>
        <w:spacing w:after="0" w:line="291" w:lineRule="auto"/>
        <w:rPr>
          <w:sz w:val="20"/>
          <w:szCs w:val="20"/>
          <w:color w:val="auto"/>
        </w:rPr>
      </w:pPr>
      <w:r>
        <w:rPr>
          <w:rFonts w:ascii="Arial" w:cs="Arial" w:eastAsia="Arial" w:hAnsi="Arial"/>
          <w:sz w:val="17"/>
          <w:szCs w:val="17"/>
          <w:u w:val="single" w:color="auto"/>
          <w:color w:val="auto"/>
        </w:rPr>
        <w:t>Non-GAAP Sales and Marketing Expense, Non-GAAP Research and Development Expense and Non-GAAP General and Administrative Expense:</w:t>
      </w:r>
      <w:r>
        <w:rPr>
          <w:rFonts w:ascii="Arial" w:cs="Arial" w:eastAsia="Arial" w:hAnsi="Arial"/>
          <w:sz w:val="17"/>
          <w:szCs w:val="17"/>
          <w:color w:val="auto"/>
        </w:rPr>
        <w:t xml:space="preserve"> We define these non-GAAP measures as their respective GAAP measures, excluding stock-based compensation, acquisition-related expenses and costs related to intra-entity asset transfers resulting from the internal restructuring of legal entities.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80"/>
          </w:cols>
          <w:pgMar w:left="320" w:top="931" w:right="39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TENABLE HOLDINGS,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4"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5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700" w:type="dxa"/>
            <w:vAlign w:val="bottom"/>
            <w:gridSpan w:val="5"/>
          </w:tcPr>
          <w:p>
            <w:pPr>
              <w:ind w:left="60"/>
              <w:spacing w:after="0"/>
              <w:rPr>
                <w:sz w:val="20"/>
                <w:szCs w:val="20"/>
                <w:color w:val="auto"/>
              </w:rPr>
            </w:pPr>
            <w:r>
              <w:rPr>
                <w:rFonts w:ascii="Arial" w:cs="Arial" w:eastAsia="Arial" w:hAnsi="Arial"/>
                <w:sz w:val="16"/>
                <w:szCs w:val="16"/>
                <w:b w:val="1"/>
                <w:bCs w:val="1"/>
                <w:color w:val="auto"/>
              </w:rPr>
              <w:t>Three Months Ended June 30,</w:t>
            </w:r>
          </w:p>
        </w:tc>
        <w:tc>
          <w:tcPr>
            <w:tcW w:w="240" w:type="dxa"/>
            <w:vAlign w:val="bottom"/>
          </w:tcPr>
          <w:p>
            <w:pPr>
              <w:spacing w:after="0"/>
              <w:rPr>
                <w:sz w:val="18"/>
                <w:szCs w:val="18"/>
                <w:color w:val="auto"/>
              </w:rPr>
            </w:pPr>
          </w:p>
        </w:tc>
        <w:tc>
          <w:tcPr>
            <w:tcW w:w="2580" w:type="dxa"/>
            <w:vAlign w:val="bottom"/>
            <w:gridSpan w:val="4"/>
          </w:tcPr>
          <w:p>
            <w:pPr>
              <w:jc w:val="right"/>
              <w:ind w:right="271"/>
              <w:spacing w:after="0"/>
              <w:rPr>
                <w:sz w:val="20"/>
                <w:szCs w:val="20"/>
                <w:color w:val="auto"/>
              </w:rPr>
            </w:pPr>
            <w:r>
              <w:rPr>
                <w:rFonts w:ascii="Arial" w:cs="Arial" w:eastAsia="Arial" w:hAnsi="Arial"/>
                <w:sz w:val="16"/>
                <w:szCs w:val="16"/>
                <w:b w:val="1"/>
                <w:bCs w:val="1"/>
                <w:color w:val="auto"/>
              </w:rPr>
              <w:t>Six Months Ended June 30,</w:t>
            </w:r>
          </w:p>
        </w:tc>
        <w:tc>
          <w:tcPr>
            <w:tcW w:w="0" w:type="dxa"/>
            <w:vAlign w:val="bottom"/>
          </w:tcPr>
          <w:p>
            <w:pPr>
              <w:spacing w:after="0"/>
              <w:rPr>
                <w:sz w:val="1"/>
                <w:szCs w:val="1"/>
                <w:color w:val="auto"/>
              </w:rPr>
            </w:pPr>
          </w:p>
        </w:tc>
      </w:tr>
      <w:tr>
        <w:trPr>
          <w:trHeight w:val="210"/>
        </w:trPr>
        <w:tc>
          <w:tcPr>
            <w:tcW w:w="544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thousands, except per share data)</w:t>
            </w:r>
          </w:p>
        </w:tc>
        <w:tc>
          <w:tcPr>
            <w:tcW w:w="20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2024</w:t>
            </w:r>
          </w:p>
        </w:tc>
        <w:tc>
          <w:tcPr>
            <w:tcW w:w="8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2023</w:t>
            </w:r>
          </w:p>
        </w:tc>
        <w:tc>
          <w:tcPr>
            <w:tcW w:w="8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2024</w:t>
            </w:r>
          </w:p>
        </w:tc>
        <w:tc>
          <w:tcPr>
            <w:tcW w:w="8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223"/>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221,241</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195,036</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437,202</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383,875</w:t>
            </w:r>
          </w:p>
        </w:tc>
        <w:tc>
          <w:tcPr>
            <w:tcW w:w="0" w:type="dxa"/>
            <w:vAlign w:val="bottom"/>
          </w:tcPr>
          <w:p>
            <w:pPr>
              <w:spacing w:after="0"/>
              <w:rPr>
                <w:sz w:val="1"/>
                <w:szCs w:val="1"/>
                <w:color w:val="auto"/>
              </w:rPr>
            </w:pPr>
          </w:p>
        </w:tc>
      </w:tr>
      <w:tr>
        <w:trPr>
          <w:trHeight w:val="229"/>
        </w:trPr>
        <w:tc>
          <w:tcPr>
            <w:tcW w:w="544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Cost of revenue</w:t>
            </w:r>
            <w:r>
              <w:rPr>
                <w:rFonts w:ascii="Arial" w:cs="Arial" w:eastAsia="Arial" w:hAnsi="Arial"/>
                <w:sz w:val="23"/>
                <w:szCs w:val="23"/>
                <w:color w:val="auto"/>
                <w:vertAlign w:val="superscript"/>
              </w:rPr>
              <w:t>(1)</w:t>
            </w: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48,798</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43,514</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97,730</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89,020</w:t>
            </w:r>
          </w:p>
        </w:tc>
        <w:tc>
          <w:tcPr>
            <w:tcW w:w="0" w:type="dxa"/>
            <w:vAlign w:val="bottom"/>
          </w:tcPr>
          <w:p>
            <w:pPr>
              <w:spacing w:after="0"/>
              <w:rPr>
                <w:sz w:val="1"/>
                <w:szCs w:val="1"/>
                <w:color w:val="auto"/>
              </w:rPr>
            </w:pPr>
          </w:p>
        </w:tc>
      </w:tr>
      <w:tr>
        <w:trPr>
          <w:trHeight w:val="223"/>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172,443</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151,522</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339,472</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294,855</w:t>
            </w:r>
          </w:p>
        </w:tc>
        <w:tc>
          <w:tcPr>
            <w:tcW w:w="0" w:type="dxa"/>
            <w:vAlign w:val="bottom"/>
          </w:tcPr>
          <w:p>
            <w:pPr>
              <w:spacing w:after="0"/>
              <w:rPr>
                <w:sz w:val="1"/>
                <w:szCs w:val="1"/>
                <w:color w:val="auto"/>
              </w:rPr>
            </w:pPr>
          </w:p>
        </w:tc>
      </w:tr>
      <w:tr>
        <w:trPr>
          <w:trHeight w:val="229"/>
        </w:trPr>
        <w:tc>
          <w:tcPr>
            <w:tcW w:w="544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shd w:val="clear" w:color="auto" w:fill="CCEEFF"/>
          </w:tcPr>
          <w:p>
            <w:pPr>
              <w:ind w:left="220"/>
              <w:spacing w:after="0" w:line="230" w:lineRule="exact"/>
              <w:rPr>
                <w:sz w:val="20"/>
                <w:szCs w:val="20"/>
                <w:color w:val="auto"/>
              </w:rPr>
            </w:pPr>
            <w:r>
              <w:rPr>
                <w:rFonts w:ascii="Arial" w:cs="Arial" w:eastAsia="Arial" w:hAnsi="Arial"/>
                <w:sz w:val="18"/>
                <w:szCs w:val="18"/>
                <w:color w:val="auto"/>
              </w:rPr>
              <w:t>Sales and marketing</w:t>
            </w:r>
            <w:r>
              <w:rPr>
                <w:rFonts w:ascii="Arial" w:cs="Arial" w:eastAsia="Arial" w:hAnsi="Arial"/>
                <w:sz w:val="23"/>
                <w:szCs w:val="23"/>
                <w:color w:val="auto"/>
                <w:vertAlign w:val="superscript"/>
              </w:rPr>
              <w:t>(1)</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101,129</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97,800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200,954</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194,991</w:t>
            </w:r>
          </w:p>
        </w:tc>
        <w:tc>
          <w:tcPr>
            <w:tcW w:w="0" w:type="dxa"/>
            <w:vAlign w:val="bottom"/>
          </w:tcPr>
          <w:p>
            <w:pPr>
              <w:spacing w:after="0"/>
              <w:rPr>
                <w:sz w:val="1"/>
                <w:szCs w:val="1"/>
                <w:color w:val="auto"/>
              </w:rPr>
            </w:pPr>
          </w:p>
        </w:tc>
      </w:tr>
      <w:tr>
        <w:trPr>
          <w:trHeight w:val="229"/>
        </w:trPr>
        <w:tc>
          <w:tcPr>
            <w:tcW w:w="5440" w:type="dxa"/>
            <w:vAlign w:val="bottom"/>
          </w:tcPr>
          <w:p>
            <w:pPr>
              <w:ind w:left="220"/>
              <w:spacing w:after="0" w:line="230" w:lineRule="exact"/>
              <w:rPr>
                <w:sz w:val="20"/>
                <w:szCs w:val="20"/>
                <w:color w:val="auto"/>
              </w:rPr>
            </w:pPr>
            <w:r>
              <w:rPr>
                <w:rFonts w:ascii="Arial" w:cs="Arial" w:eastAsia="Arial" w:hAnsi="Arial"/>
                <w:sz w:val="18"/>
                <w:szCs w:val="18"/>
                <w:color w:val="auto"/>
              </w:rPr>
              <w:t>Research and development</w:t>
            </w:r>
            <w:r>
              <w:rPr>
                <w:rFonts w:ascii="Arial" w:cs="Arial" w:eastAsia="Arial" w:hAnsi="Arial"/>
                <w:sz w:val="23"/>
                <w:szCs w:val="23"/>
                <w:color w:val="auto"/>
                <w:vertAlign w:val="superscript"/>
              </w:rPr>
              <w:t>(1)</w:t>
            </w: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45,149</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37,845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88,876</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76,028</w:t>
            </w:r>
          </w:p>
        </w:tc>
        <w:tc>
          <w:tcPr>
            <w:tcW w:w="0" w:type="dxa"/>
            <w:vAlign w:val="bottom"/>
          </w:tcPr>
          <w:p>
            <w:pPr>
              <w:spacing w:after="0"/>
              <w:rPr>
                <w:sz w:val="1"/>
                <w:szCs w:val="1"/>
                <w:color w:val="auto"/>
              </w:rPr>
            </w:pPr>
          </w:p>
        </w:tc>
      </w:tr>
      <w:tr>
        <w:trPr>
          <w:trHeight w:val="230"/>
        </w:trPr>
        <w:tc>
          <w:tcPr>
            <w:tcW w:w="5440" w:type="dxa"/>
            <w:vAlign w:val="bottom"/>
            <w:shd w:val="clear" w:color="auto" w:fill="CCEEFF"/>
          </w:tcPr>
          <w:p>
            <w:pPr>
              <w:ind w:left="220"/>
              <w:spacing w:after="0" w:line="230" w:lineRule="exact"/>
              <w:rPr>
                <w:sz w:val="20"/>
                <w:szCs w:val="20"/>
                <w:color w:val="auto"/>
              </w:rPr>
            </w:pPr>
            <w:r>
              <w:rPr>
                <w:rFonts w:ascii="Arial" w:cs="Arial" w:eastAsia="Arial" w:hAnsi="Arial"/>
                <w:sz w:val="18"/>
                <w:szCs w:val="18"/>
                <w:color w:val="auto"/>
              </w:rPr>
              <w:t>General and administrative</w:t>
            </w:r>
            <w:r>
              <w:rPr>
                <w:rFonts w:ascii="Arial" w:cs="Arial" w:eastAsia="Arial" w:hAnsi="Arial"/>
                <w:sz w:val="23"/>
                <w:szCs w:val="23"/>
                <w:color w:val="auto"/>
                <w:vertAlign w:val="superscript"/>
              </w:rPr>
              <w:t>(1)</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30,302</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26,622</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61,320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53,737</w:t>
            </w:r>
          </w:p>
        </w:tc>
        <w:tc>
          <w:tcPr>
            <w:tcW w:w="0" w:type="dxa"/>
            <w:vAlign w:val="bottom"/>
          </w:tcPr>
          <w:p>
            <w:pPr>
              <w:spacing w:after="0"/>
              <w:rPr>
                <w:sz w:val="1"/>
                <w:szCs w:val="1"/>
                <w:color w:val="auto"/>
              </w:rPr>
            </w:pPr>
          </w:p>
        </w:tc>
      </w:tr>
      <w:tr>
        <w:trPr>
          <w:trHeight w:val="229"/>
        </w:trPr>
        <w:tc>
          <w:tcPr>
            <w:tcW w:w="5440" w:type="dxa"/>
            <w:vAlign w:val="bottom"/>
          </w:tcPr>
          <w:p>
            <w:pPr>
              <w:ind w:left="240"/>
              <w:spacing w:after="0"/>
              <w:rPr>
                <w:sz w:val="20"/>
                <w:szCs w:val="20"/>
                <w:color w:val="auto"/>
              </w:rPr>
            </w:pPr>
            <w:r>
              <w:rPr>
                <w:rFonts w:ascii="Arial" w:cs="Arial" w:eastAsia="Arial" w:hAnsi="Arial"/>
                <w:sz w:val="18"/>
                <w:szCs w:val="18"/>
                <w:color w:val="auto"/>
              </w:rPr>
              <w:t>Restructuring</w:t>
            </w: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4,681</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6,070</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181,261</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162,267</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357,220</w:t>
            </w: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324,756</w:t>
            </w:r>
          </w:p>
        </w:tc>
        <w:tc>
          <w:tcPr>
            <w:tcW w:w="0" w:type="dxa"/>
            <w:vAlign w:val="bottom"/>
          </w:tcPr>
          <w:p>
            <w:pPr>
              <w:spacing w:after="0"/>
              <w:rPr>
                <w:sz w:val="1"/>
                <w:szCs w:val="1"/>
                <w:color w:val="auto"/>
              </w:rPr>
            </w:pPr>
          </w:p>
        </w:tc>
      </w:tr>
      <w:tr>
        <w:trPr>
          <w:trHeight w:val="223"/>
        </w:trPr>
        <w:tc>
          <w:tcPr>
            <w:tcW w:w="544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(8,818)</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(10,745)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(17,748)</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(29,901)</w:t>
            </w:r>
          </w:p>
        </w:tc>
        <w:tc>
          <w:tcPr>
            <w:tcW w:w="0" w:type="dxa"/>
            <w:vAlign w:val="bottom"/>
          </w:tcPr>
          <w:p>
            <w:pPr>
              <w:spacing w:after="0"/>
              <w:rPr>
                <w:sz w:val="1"/>
                <w:szCs w:val="1"/>
                <w:color w:val="auto"/>
              </w:rPr>
            </w:pPr>
          </w:p>
        </w:tc>
      </w:tr>
      <w:tr>
        <w:trPr>
          <w:trHeight w:val="229"/>
        </w:trPr>
        <w:tc>
          <w:tcPr>
            <w:tcW w:w="54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Interest income</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5,974</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6,566</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11,598</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11,661</w:t>
            </w:r>
          </w:p>
        </w:tc>
        <w:tc>
          <w:tcPr>
            <w:tcW w:w="0" w:type="dxa"/>
            <w:vAlign w:val="bottom"/>
          </w:tcPr>
          <w:p>
            <w:pPr>
              <w:spacing w:after="0"/>
              <w:rPr>
                <w:sz w:val="1"/>
                <w:szCs w:val="1"/>
                <w:color w:val="auto"/>
              </w:rPr>
            </w:pPr>
          </w:p>
        </w:tc>
      </w:tr>
      <w:tr>
        <w:trPr>
          <w:trHeight w:val="230"/>
        </w:trPr>
        <w:tc>
          <w:tcPr>
            <w:tcW w:w="5440" w:type="dxa"/>
            <w:vAlign w:val="bottom"/>
          </w:tcPr>
          <w:p>
            <w:pPr>
              <w:ind w:left="240"/>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(8,073)</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(7,750)</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(16,185)</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(15,089)</w:t>
            </w:r>
          </w:p>
        </w:tc>
        <w:tc>
          <w:tcPr>
            <w:tcW w:w="0" w:type="dxa"/>
            <w:vAlign w:val="bottom"/>
          </w:tcPr>
          <w:p>
            <w:pPr>
              <w:spacing w:after="0"/>
              <w:rPr>
                <w:sz w:val="1"/>
                <w:szCs w:val="1"/>
                <w:color w:val="auto"/>
              </w:rPr>
            </w:pPr>
          </w:p>
        </w:tc>
      </w:tr>
      <w:tr>
        <w:trPr>
          <w:trHeight w:val="229"/>
        </w:trPr>
        <w:tc>
          <w:tcPr>
            <w:tcW w:w="54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income (expense), net</w:t>
            </w: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(944)</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(1,217)</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(1,491)</w:t>
            </w:r>
          </w:p>
        </w:tc>
        <w:tc>
          <w:tcPr>
            <w:tcW w:w="0" w:type="dxa"/>
            <w:vAlign w:val="bottom"/>
          </w:tcPr>
          <w:p>
            <w:pPr>
              <w:spacing w:after="0"/>
              <w:rPr>
                <w:sz w:val="1"/>
                <w:szCs w:val="1"/>
                <w:color w:val="auto"/>
              </w:rPr>
            </w:pPr>
          </w:p>
        </w:tc>
      </w:tr>
      <w:tr>
        <w:trPr>
          <w:trHeight w:val="223"/>
        </w:trPr>
        <w:tc>
          <w:tcPr>
            <w:tcW w:w="5440" w:type="dxa"/>
            <w:vAlign w:val="bottom"/>
          </w:tcPr>
          <w:p>
            <w:pPr>
              <w:ind w:left="20"/>
              <w:spacing w:after="0"/>
              <w:rPr>
                <w:sz w:val="20"/>
                <w:szCs w:val="20"/>
                <w:color w:val="auto"/>
              </w:rPr>
            </w:pPr>
            <w:r>
              <w:rPr>
                <w:rFonts w:ascii="Arial" w:cs="Arial" w:eastAsia="Arial" w:hAnsi="Arial"/>
                <w:sz w:val="18"/>
                <w:szCs w:val="18"/>
                <w:color w:val="auto"/>
              </w:rPr>
              <w:t>Loss before income taxes</w:t>
            </w: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(10,824)</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(12,873)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(23,552)</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(34,820)</w:t>
            </w:r>
          </w:p>
        </w:tc>
        <w:tc>
          <w:tcPr>
            <w:tcW w:w="0" w:type="dxa"/>
            <w:vAlign w:val="bottom"/>
          </w:tcPr>
          <w:p>
            <w:pPr>
              <w:spacing w:after="0"/>
              <w:rPr>
                <w:sz w:val="1"/>
                <w:szCs w:val="1"/>
                <w:color w:val="auto"/>
              </w:rPr>
            </w:pPr>
          </w:p>
        </w:tc>
      </w:tr>
      <w:tr>
        <w:trPr>
          <w:trHeight w:val="229"/>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3,748</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3,101</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5,406</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6,251</w:t>
            </w:r>
          </w:p>
        </w:tc>
        <w:tc>
          <w:tcPr>
            <w:tcW w:w="0" w:type="dxa"/>
            <w:vAlign w:val="bottom"/>
          </w:tcPr>
          <w:p>
            <w:pPr>
              <w:spacing w:after="0"/>
              <w:rPr>
                <w:sz w:val="1"/>
                <w:szCs w:val="1"/>
                <w:color w:val="auto"/>
              </w:rPr>
            </w:pPr>
          </w:p>
        </w:tc>
      </w:tr>
      <w:tr>
        <w:trPr>
          <w:trHeight w:val="223"/>
        </w:trPr>
        <w:tc>
          <w:tcPr>
            <w:tcW w:w="5440" w:type="dxa"/>
            <w:vAlign w:val="bottom"/>
          </w:tcPr>
          <w:p>
            <w:pPr>
              <w:ind w:left="20"/>
              <w:spacing w:after="0"/>
              <w:rPr>
                <w:sz w:val="20"/>
                <w:szCs w:val="20"/>
                <w:color w:val="auto"/>
              </w:rPr>
            </w:pPr>
            <w:r>
              <w:rPr>
                <w:rFonts w:ascii="Arial" w:cs="Arial" w:eastAsia="Arial" w:hAnsi="Arial"/>
                <w:sz w:val="18"/>
                <w:szCs w:val="18"/>
                <w:color w:val="auto"/>
              </w:rPr>
              <w:t>Net loss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(14,572)</w:t>
            </w: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(15,974)</w:t>
            </w:r>
          </w:p>
        </w:tc>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(28,958)</w:t>
            </w: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(41,071)</w:t>
            </w:r>
          </w:p>
        </w:tc>
        <w:tc>
          <w:tcPr>
            <w:tcW w:w="0" w:type="dxa"/>
            <w:vAlign w:val="bottom"/>
          </w:tcPr>
          <w:p>
            <w:pPr>
              <w:spacing w:after="0"/>
              <w:rPr>
                <w:sz w:val="1"/>
                <w:szCs w:val="1"/>
                <w:color w:val="auto"/>
              </w:rPr>
            </w:pPr>
          </w:p>
        </w:tc>
      </w:tr>
      <w:tr>
        <w:trPr>
          <w:trHeight w:val="20"/>
        </w:trPr>
        <w:tc>
          <w:tcPr>
            <w:tcW w:w="54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4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440" w:type="dxa"/>
            <w:vAlign w:val="bottom"/>
          </w:tcPr>
          <w:p>
            <w:pPr>
              <w:ind w:left="20"/>
              <w:spacing w:after="0"/>
              <w:rPr>
                <w:sz w:val="20"/>
                <w:szCs w:val="20"/>
                <w:color w:val="auto"/>
              </w:rPr>
            </w:pPr>
            <w:r>
              <w:rPr>
                <w:rFonts w:ascii="Arial" w:cs="Arial" w:eastAsia="Arial" w:hAnsi="Arial"/>
                <w:sz w:val="18"/>
                <w:szCs w:val="18"/>
                <w:color w:val="auto"/>
              </w:rPr>
              <w:t>Net loss per share, basic and diluted</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(0.12)</w:t>
            </w: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(0.14)</w:t>
            </w:r>
          </w:p>
        </w:tc>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(0.25)</w:t>
            </w: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(0.36)</w:t>
            </w:r>
          </w:p>
        </w:tc>
        <w:tc>
          <w:tcPr>
            <w:tcW w:w="0" w:type="dxa"/>
            <w:vAlign w:val="bottom"/>
          </w:tcPr>
          <w:p>
            <w:pPr>
              <w:spacing w:after="0"/>
              <w:rPr>
                <w:sz w:val="1"/>
                <w:szCs w:val="1"/>
                <w:color w:val="auto"/>
              </w:rPr>
            </w:pPr>
          </w:p>
        </w:tc>
      </w:tr>
      <w:tr>
        <w:trPr>
          <w:trHeight w:val="20"/>
        </w:trPr>
        <w:tc>
          <w:tcPr>
            <w:tcW w:w="54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440" w:type="dxa"/>
            <w:vAlign w:val="bottom"/>
            <w:shd w:val="clear" w:color="auto" w:fill="CCEEFF"/>
          </w:tcPr>
          <w:p>
            <w:pPr>
              <w:ind w:left="20"/>
              <w:spacing w:after="0" w:line="142" w:lineRule="exact"/>
              <w:rPr>
                <w:sz w:val="20"/>
                <w:szCs w:val="20"/>
                <w:color w:val="auto"/>
              </w:rPr>
            </w:pPr>
            <w:r>
              <w:rPr>
                <w:rFonts w:ascii="Arial" w:cs="Arial" w:eastAsia="Arial" w:hAnsi="Arial"/>
                <w:sz w:val="16"/>
                <w:szCs w:val="16"/>
                <w:color w:val="auto"/>
              </w:rPr>
              <w:t>Weighted-average shares used to compute net loss per share,</w:t>
            </w:r>
          </w:p>
        </w:tc>
        <w:tc>
          <w:tcPr>
            <w:tcW w:w="200" w:type="dxa"/>
            <w:vAlign w:val="bottom"/>
            <w:shd w:val="clear" w:color="auto" w:fill="CCEEFF"/>
          </w:tcPr>
          <w:p>
            <w:pPr>
              <w:spacing w:after="0"/>
              <w:rPr>
                <w:sz w:val="12"/>
                <w:szCs w:val="12"/>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118,681</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115,131</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118,111</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114,465</w:t>
            </w:r>
          </w:p>
        </w:tc>
        <w:tc>
          <w:tcPr>
            <w:tcW w:w="0" w:type="dxa"/>
            <w:vAlign w:val="bottom"/>
          </w:tcPr>
          <w:p>
            <w:pPr>
              <w:spacing w:after="0"/>
              <w:rPr>
                <w:sz w:val="1"/>
                <w:szCs w:val="1"/>
                <w:color w:val="auto"/>
              </w:rPr>
            </w:pPr>
          </w:p>
        </w:tc>
      </w:tr>
      <w:tr>
        <w:trPr>
          <w:trHeight w:val="236"/>
        </w:trPr>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 and diluted</w:t>
            </w:r>
          </w:p>
        </w:tc>
        <w:tc>
          <w:tcPr>
            <w:tcW w:w="20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4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1"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w:t>
      </w:r>
    </w:p>
    <w:p>
      <w:pPr>
        <w:spacing w:after="0" w:line="75" w:lineRule="exact"/>
        <w:rPr>
          <w:sz w:val="20"/>
          <w:szCs w:val="20"/>
          <w:color w:val="auto"/>
        </w:rPr>
      </w:pPr>
    </w:p>
    <w:p>
      <w:pPr>
        <w:ind w:left="320" w:hanging="312"/>
        <w:spacing w:after="0"/>
        <w:tabs>
          <w:tab w:leader="none" w:pos="320" w:val="left"/>
        </w:tabs>
        <w:numPr>
          <w:ilvl w:val="0"/>
          <w:numId w:val="8"/>
        </w:numPr>
        <w:rPr>
          <w:rFonts w:ascii="Arial" w:cs="Arial" w:eastAsia="Arial" w:hAnsi="Arial"/>
          <w:sz w:val="21"/>
          <w:szCs w:val="21"/>
          <w:color w:val="auto"/>
          <w:vertAlign w:val="superscript"/>
        </w:rPr>
      </w:pPr>
      <w:r>
        <w:rPr>
          <w:rFonts w:ascii="Arial" w:cs="Arial" w:eastAsia="Arial" w:hAnsi="Arial"/>
          <w:sz w:val="16"/>
          <w:szCs w:val="16"/>
          <w:color w:val="auto"/>
        </w:rPr>
        <w:t>Includes stock-based compensation as follows:</w:t>
      </w:r>
    </w:p>
    <w:p>
      <w:pPr>
        <w:spacing w:after="0" w:line="109"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5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720" w:type="dxa"/>
            <w:vAlign w:val="bottom"/>
            <w:gridSpan w:val="5"/>
          </w:tcPr>
          <w:p>
            <w:pPr>
              <w:ind w:left="80"/>
              <w:spacing w:after="0"/>
              <w:rPr>
                <w:sz w:val="20"/>
                <w:szCs w:val="20"/>
                <w:color w:val="auto"/>
              </w:rPr>
            </w:pPr>
            <w:r>
              <w:rPr>
                <w:rFonts w:ascii="Arial" w:cs="Arial" w:eastAsia="Arial" w:hAnsi="Arial"/>
                <w:sz w:val="16"/>
                <w:szCs w:val="16"/>
                <w:b w:val="1"/>
                <w:bCs w:val="1"/>
                <w:color w:val="auto"/>
              </w:rPr>
              <w:t>Three Months Ended June 30,</w:t>
            </w:r>
          </w:p>
        </w:tc>
        <w:tc>
          <w:tcPr>
            <w:tcW w:w="240" w:type="dxa"/>
            <w:vAlign w:val="bottom"/>
          </w:tcPr>
          <w:p>
            <w:pPr>
              <w:spacing w:after="0"/>
              <w:rPr>
                <w:sz w:val="18"/>
                <w:szCs w:val="18"/>
                <w:color w:val="auto"/>
              </w:rPr>
            </w:pPr>
          </w:p>
        </w:tc>
        <w:tc>
          <w:tcPr>
            <w:tcW w:w="2600" w:type="dxa"/>
            <w:vAlign w:val="bottom"/>
            <w:gridSpan w:val="4"/>
          </w:tcPr>
          <w:p>
            <w:pPr>
              <w:jc w:val="right"/>
              <w:ind w:right="270"/>
              <w:spacing w:after="0"/>
              <w:rPr>
                <w:sz w:val="20"/>
                <w:szCs w:val="20"/>
                <w:color w:val="auto"/>
              </w:rPr>
            </w:pPr>
            <w:r>
              <w:rPr>
                <w:rFonts w:ascii="Arial" w:cs="Arial" w:eastAsia="Arial" w:hAnsi="Arial"/>
                <w:sz w:val="16"/>
                <w:szCs w:val="16"/>
                <w:b w:val="1"/>
                <w:bCs w:val="1"/>
                <w:color w:val="auto"/>
              </w:rPr>
              <w:t>Six Months Ended June 30,</w:t>
            </w:r>
          </w:p>
        </w:tc>
      </w:tr>
      <w:tr>
        <w:trPr>
          <w:trHeight w:val="223"/>
        </w:trPr>
        <w:tc>
          <w:tcPr>
            <w:tcW w:w="544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13"/>
              <w:spacing w:after="0"/>
              <w:rPr>
                <w:sz w:val="20"/>
                <w:szCs w:val="20"/>
                <w:color w:val="auto"/>
              </w:rPr>
            </w:pPr>
            <w:r>
              <w:rPr>
                <w:rFonts w:ascii="Arial" w:cs="Arial" w:eastAsia="Arial" w:hAnsi="Arial"/>
                <w:sz w:val="16"/>
                <w:szCs w:val="16"/>
                <w:b w:val="1"/>
                <w:bCs w:val="1"/>
                <w:color w:val="auto"/>
              </w:rPr>
              <w:t>2024</w:t>
            </w:r>
          </w:p>
        </w:tc>
        <w:tc>
          <w:tcPr>
            <w:tcW w:w="8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6"/>
                <w:szCs w:val="16"/>
                <w:b w:val="1"/>
                <w:bCs w:val="1"/>
                <w:color w:val="auto"/>
              </w:rPr>
              <w:t>2023</w:t>
            </w:r>
          </w:p>
        </w:tc>
        <w:tc>
          <w:tcPr>
            <w:tcW w:w="8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8"/>
                <w:szCs w:val="18"/>
                <w:b w:val="1"/>
                <w:bCs w:val="1"/>
                <w:color w:val="auto"/>
              </w:rPr>
              <w:t>2024</w:t>
            </w:r>
          </w:p>
        </w:tc>
        <w:tc>
          <w:tcPr>
            <w:tcW w:w="80" w:type="dxa"/>
            <w:vAlign w:val="bottom"/>
            <w:tcBorders>
              <w:top w:val="single" w:sz="8" w:color="auto"/>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2023</w:t>
            </w:r>
          </w:p>
        </w:tc>
      </w:tr>
      <w:tr>
        <w:trPr>
          <w:trHeight w:val="223"/>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3,288</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2,906</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6,270</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5,531</w:t>
            </w:r>
          </w:p>
        </w:tc>
      </w:tr>
      <w:tr>
        <w:trPr>
          <w:trHeight w:val="230"/>
        </w:trPr>
        <w:tc>
          <w:tcPr>
            <w:tcW w:w="5440" w:type="dxa"/>
            <w:vAlign w:val="bottom"/>
          </w:tcPr>
          <w:p>
            <w:pPr>
              <w:ind w:left="20"/>
              <w:spacing w:after="0"/>
              <w:rPr>
                <w:sz w:val="20"/>
                <w:szCs w:val="20"/>
                <w:color w:val="auto"/>
              </w:rPr>
            </w:pPr>
            <w:r>
              <w:rPr>
                <w:rFonts w:ascii="Arial" w:cs="Arial" w:eastAsia="Arial" w:hAnsi="Arial"/>
                <w:sz w:val="18"/>
                <w:szCs w:val="18"/>
                <w:color w:val="auto"/>
              </w:rPr>
              <w:t>Sales and marketing</w:t>
            </w: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16,276</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16,423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31,576</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30,817</w:t>
            </w:r>
          </w:p>
        </w:tc>
      </w:tr>
      <w:tr>
        <w:trPr>
          <w:trHeight w:val="230"/>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11,799</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9,764</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22,960</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18,629</w:t>
            </w:r>
          </w:p>
        </w:tc>
      </w:tr>
      <w:tr>
        <w:trPr>
          <w:trHeight w:val="230"/>
        </w:trPr>
        <w:tc>
          <w:tcPr>
            <w:tcW w:w="5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General and administrative</w:t>
            </w: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10,035</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8,767</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20,311</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17,000</w:t>
            </w:r>
          </w:p>
        </w:tc>
      </w:tr>
      <w:tr>
        <w:trPr>
          <w:trHeight w:val="248"/>
        </w:trPr>
        <w:tc>
          <w:tcPr>
            <w:tcW w:w="54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stock-based compensation</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41,398</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37,860</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81,117</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71,977</w:t>
            </w:r>
          </w:p>
        </w:tc>
      </w:tr>
      <w:tr>
        <w:trPr>
          <w:trHeight w:val="20"/>
        </w:trPr>
        <w:tc>
          <w:tcPr>
            <w:tcW w:w="54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20"/>
          </w:cols>
          <w:pgMar w:left="320" w:top="931" w:right="359" w:bottom="1440" w:gutter="0" w:footer="0" w:header="0"/>
        </w:sectPr>
      </w:pPr>
    </w:p>
    <w:bookmarkStart w:id="8" w:name="page9"/>
    <w:bookmarkEnd w:id="8"/>
    <w:p>
      <w:pPr>
        <w:jc w:val="center"/>
        <w:ind w:right="-59"/>
        <w:spacing w:after="0"/>
        <w:rPr>
          <w:sz w:val="20"/>
          <w:szCs w:val="20"/>
          <w:color w:val="auto"/>
        </w:rPr>
      </w:pPr>
      <w:r>
        <w:rPr>
          <w:rFonts w:ascii="Arial" w:cs="Arial" w:eastAsia="Arial" w:hAnsi="Arial"/>
          <w:sz w:val="18"/>
          <w:szCs w:val="18"/>
          <w:b w:val="1"/>
          <w:bCs w:val="1"/>
          <w:color w:val="auto"/>
        </w:rPr>
        <w:t>TENABLE HOLDINGS,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CONSOLIDATED BALANCE SHEETS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gridSpan w:val="2"/>
            <w:vMerge w:val="restart"/>
          </w:tcPr>
          <w:p>
            <w:pPr>
              <w:ind w:left="40"/>
              <w:spacing w:after="0"/>
              <w:rPr>
                <w:sz w:val="20"/>
                <w:szCs w:val="20"/>
                <w:color w:val="auto"/>
              </w:rPr>
            </w:pPr>
            <w:r>
              <w:rPr>
                <w:rFonts w:ascii="Arial" w:cs="Arial" w:eastAsia="Arial" w:hAnsi="Arial"/>
                <w:sz w:val="16"/>
                <w:szCs w:val="16"/>
                <w:b w:val="1"/>
                <w:bCs w:val="1"/>
                <w:color w:val="auto"/>
              </w:rPr>
              <w:t>June 30, 2024</w:t>
            </w:r>
          </w:p>
        </w:tc>
        <w:tc>
          <w:tcPr>
            <w:tcW w:w="140" w:type="dxa"/>
            <w:vAlign w:val="bottom"/>
          </w:tcPr>
          <w:p>
            <w:pPr>
              <w:spacing w:after="0"/>
              <w:rPr>
                <w:sz w:val="16"/>
                <w:szCs w:val="16"/>
                <w:color w:val="auto"/>
              </w:rPr>
            </w:pPr>
          </w:p>
        </w:tc>
        <w:tc>
          <w:tcPr>
            <w:tcW w:w="1260" w:type="dxa"/>
            <w:vAlign w:val="bottom"/>
          </w:tcPr>
          <w:p>
            <w:pPr>
              <w:jc w:val="right"/>
              <w:ind w:right="91"/>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16"/>
        </w:trPr>
        <w:tc>
          <w:tcPr>
            <w:tcW w:w="8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ind w:right="431"/>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210"/>
        </w:trPr>
        <w:tc>
          <w:tcPr>
            <w:tcW w:w="8280" w:type="dxa"/>
            <w:vAlign w:val="bottom"/>
          </w:tcPr>
          <w:p>
            <w:pPr>
              <w:ind w:left="20"/>
              <w:spacing w:after="0"/>
              <w:rPr>
                <w:sz w:val="20"/>
                <w:szCs w:val="20"/>
                <w:color w:val="auto"/>
              </w:rPr>
            </w:pPr>
            <w:r>
              <w:rPr>
                <w:rFonts w:ascii="Arial" w:cs="Arial" w:eastAsia="Arial" w:hAnsi="Arial"/>
                <w:sz w:val="16"/>
                <w:szCs w:val="16"/>
                <w:b w:val="1"/>
                <w:bCs w:val="1"/>
                <w:color w:val="auto"/>
              </w:rPr>
              <w:t>(in thousands, except per share data)</w:t>
            </w:r>
          </w:p>
        </w:tc>
        <w:tc>
          <w:tcPr>
            <w:tcW w:w="1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171"/>
              <w:spacing w:after="0"/>
              <w:rPr>
                <w:sz w:val="20"/>
                <w:szCs w:val="20"/>
                <w:color w:val="auto"/>
              </w:rPr>
            </w:pPr>
            <w:r>
              <w:rPr>
                <w:rFonts w:ascii="Arial" w:cs="Arial" w:eastAsia="Arial" w:hAnsi="Arial"/>
                <w:sz w:val="16"/>
                <w:szCs w:val="16"/>
                <w:b w:val="1"/>
                <w:bCs w:val="1"/>
                <w:color w:val="auto"/>
              </w:rPr>
              <w:t>(unaudited)</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28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233,467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237,132</w:t>
            </w:r>
          </w:p>
        </w:tc>
        <w:tc>
          <w:tcPr>
            <w:tcW w:w="0" w:type="dxa"/>
            <w:vAlign w:val="bottom"/>
          </w:tcPr>
          <w:p>
            <w:pPr>
              <w:spacing w:after="0"/>
              <w:rPr>
                <w:sz w:val="1"/>
                <w:szCs w:val="1"/>
                <w:color w:val="auto"/>
              </w:rPr>
            </w:pPr>
          </w:p>
        </w:tc>
      </w:tr>
      <w:tr>
        <w:trPr>
          <w:trHeight w:val="229"/>
        </w:trPr>
        <w:tc>
          <w:tcPr>
            <w:tcW w:w="8280" w:type="dxa"/>
            <w:vAlign w:val="bottom"/>
          </w:tcPr>
          <w:p>
            <w:pPr>
              <w:ind w:left="140"/>
              <w:spacing w:after="0"/>
              <w:rPr>
                <w:sz w:val="20"/>
                <w:szCs w:val="20"/>
                <w:color w:val="auto"/>
              </w:rPr>
            </w:pPr>
            <w:r>
              <w:rPr>
                <w:rFonts w:ascii="Arial" w:cs="Arial" w:eastAsia="Arial" w:hAnsi="Arial"/>
                <w:sz w:val="18"/>
                <w:szCs w:val="18"/>
                <w:color w:val="auto"/>
              </w:rPr>
              <w:t>Short-term investments</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253,536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236,840</w:t>
            </w:r>
          </w:p>
        </w:tc>
        <w:tc>
          <w:tcPr>
            <w:tcW w:w="0" w:type="dxa"/>
            <w:vAlign w:val="bottom"/>
          </w:tcPr>
          <w:p>
            <w:pPr>
              <w:spacing w:after="0"/>
              <w:rPr>
                <w:sz w:val="1"/>
                <w:szCs w:val="1"/>
                <w:color w:val="auto"/>
              </w:rPr>
            </w:pPr>
          </w:p>
        </w:tc>
      </w:tr>
      <w:tr>
        <w:trPr>
          <w:trHeight w:val="176"/>
        </w:trPr>
        <w:tc>
          <w:tcPr>
            <w:tcW w:w="828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rPr>
              <w:t>Accounts receivable (net of allowance for doubtful accounts of $456 and $470 at June 30, 2024 and</w:t>
            </w:r>
          </w:p>
        </w:tc>
        <w:tc>
          <w:tcPr>
            <w:tcW w:w="140" w:type="dxa"/>
            <w:vAlign w:val="bottom"/>
            <w:shd w:val="clear" w:color="auto" w:fill="CCEEFF"/>
          </w:tcPr>
          <w:p>
            <w:pPr>
              <w:spacing w:after="0"/>
              <w:rPr>
                <w:sz w:val="15"/>
                <w:szCs w:val="15"/>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179,612</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220,060</w:t>
            </w:r>
          </w:p>
        </w:tc>
        <w:tc>
          <w:tcPr>
            <w:tcW w:w="0" w:type="dxa"/>
            <w:vAlign w:val="bottom"/>
          </w:tcPr>
          <w:p>
            <w:pPr>
              <w:spacing w:after="0"/>
              <w:rPr>
                <w:sz w:val="1"/>
                <w:szCs w:val="1"/>
                <w:color w:val="auto"/>
              </w:rPr>
            </w:pPr>
          </w:p>
        </w:tc>
      </w:tr>
      <w:tr>
        <w:trPr>
          <w:trHeight w:val="243"/>
        </w:trPr>
        <w:tc>
          <w:tcPr>
            <w:tcW w:w="8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December 31, 2023, respectively)</w:t>
            </w:r>
          </w:p>
        </w:tc>
        <w:tc>
          <w:tcPr>
            <w:tcW w:w="140" w:type="dxa"/>
            <w:vAlign w:val="bottom"/>
            <w:shd w:val="clear" w:color="auto" w:fill="CCEEFF"/>
          </w:tcPr>
          <w:p>
            <w:pPr>
              <w:spacing w:after="0"/>
              <w:rPr>
                <w:sz w:val="21"/>
                <w:szCs w:val="21"/>
                <w:color w:val="auto"/>
              </w:rPr>
            </w:pPr>
          </w:p>
        </w:tc>
        <w:tc>
          <w:tcPr>
            <w:tcW w:w="126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6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8280" w:type="dxa"/>
            <w:vAlign w:val="bottom"/>
          </w:tcPr>
          <w:p>
            <w:pPr>
              <w:ind w:left="140"/>
              <w:spacing w:after="0"/>
              <w:rPr>
                <w:sz w:val="20"/>
                <w:szCs w:val="20"/>
                <w:color w:val="auto"/>
              </w:rPr>
            </w:pPr>
            <w:r>
              <w:rPr>
                <w:rFonts w:ascii="Arial" w:cs="Arial" w:eastAsia="Arial" w:hAnsi="Arial"/>
                <w:sz w:val="18"/>
                <w:szCs w:val="18"/>
                <w:color w:val="auto"/>
              </w:rPr>
              <w:t>Deferred commissions</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49,388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49,559</w:t>
            </w:r>
          </w:p>
        </w:tc>
        <w:tc>
          <w:tcPr>
            <w:tcW w:w="0" w:type="dxa"/>
            <w:vAlign w:val="bottom"/>
          </w:tcPr>
          <w:p>
            <w:pPr>
              <w:spacing w:after="0"/>
              <w:rPr>
                <w:sz w:val="1"/>
                <w:szCs w:val="1"/>
                <w:color w:val="auto"/>
              </w:rPr>
            </w:pPr>
          </w:p>
        </w:tc>
      </w:tr>
      <w:tr>
        <w:trPr>
          <w:trHeight w:val="229"/>
        </w:trPr>
        <w:tc>
          <w:tcPr>
            <w:tcW w:w="8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58,886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61,882</w:t>
            </w:r>
          </w:p>
        </w:tc>
        <w:tc>
          <w:tcPr>
            <w:tcW w:w="0" w:type="dxa"/>
            <w:vAlign w:val="bottom"/>
          </w:tcPr>
          <w:p>
            <w:pPr>
              <w:spacing w:after="0"/>
              <w:rPr>
                <w:sz w:val="1"/>
                <w:szCs w:val="1"/>
                <w:color w:val="auto"/>
              </w:rPr>
            </w:pPr>
          </w:p>
        </w:tc>
      </w:tr>
      <w:tr>
        <w:trPr>
          <w:trHeight w:val="223"/>
        </w:trPr>
        <w:tc>
          <w:tcPr>
            <w:tcW w:w="8280" w:type="dxa"/>
            <w:vAlign w:val="bottom"/>
          </w:tcPr>
          <w:p>
            <w:pPr>
              <w:ind w:left="20"/>
              <w:spacing w:after="0"/>
              <w:rPr>
                <w:sz w:val="20"/>
                <w:szCs w:val="20"/>
                <w:color w:val="auto"/>
              </w:rPr>
            </w:pPr>
            <w:r>
              <w:rPr>
                <w:rFonts w:ascii="Arial" w:cs="Arial" w:eastAsia="Arial" w:hAnsi="Arial"/>
                <w:sz w:val="18"/>
                <w:szCs w:val="18"/>
                <w:color w:val="auto"/>
              </w:rPr>
              <w:t>Total current assets</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774,889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805,473</w:t>
            </w:r>
          </w:p>
        </w:tc>
        <w:tc>
          <w:tcPr>
            <w:tcW w:w="0" w:type="dxa"/>
            <w:vAlign w:val="bottom"/>
          </w:tcPr>
          <w:p>
            <w:pPr>
              <w:spacing w:after="0"/>
              <w:rPr>
                <w:sz w:val="1"/>
                <w:szCs w:val="1"/>
                <w:color w:val="auto"/>
              </w:rPr>
            </w:pPr>
          </w:p>
        </w:tc>
      </w:tr>
      <w:tr>
        <w:trPr>
          <w:trHeight w:val="229"/>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41,448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45,436</w:t>
            </w:r>
          </w:p>
        </w:tc>
        <w:tc>
          <w:tcPr>
            <w:tcW w:w="0" w:type="dxa"/>
            <w:vAlign w:val="bottom"/>
          </w:tcPr>
          <w:p>
            <w:pPr>
              <w:spacing w:after="0"/>
              <w:rPr>
                <w:sz w:val="1"/>
                <w:szCs w:val="1"/>
                <w:color w:val="auto"/>
              </w:rPr>
            </w:pPr>
          </w:p>
        </w:tc>
      </w:tr>
      <w:tr>
        <w:trPr>
          <w:trHeight w:val="229"/>
        </w:trPr>
        <w:tc>
          <w:tcPr>
            <w:tcW w:w="8280" w:type="dxa"/>
            <w:vAlign w:val="bottom"/>
          </w:tcPr>
          <w:p>
            <w:pPr>
              <w:ind w:left="20"/>
              <w:spacing w:after="0"/>
              <w:rPr>
                <w:sz w:val="20"/>
                <w:szCs w:val="20"/>
                <w:color w:val="auto"/>
              </w:rPr>
            </w:pPr>
            <w:r>
              <w:rPr>
                <w:rFonts w:ascii="Arial" w:cs="Arial" w:eastAsia="Arial" w:hAnsi="Arial"/>
                <w:sz w:val="18"/>
                <w:szCs w:val="18"/>
                <w:color w:val="auto"/>
              </w:rPr>
              <w:t>Deferred commissions (net of current portion)</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66,141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72,394</w:t>
            </w: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assets</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33,315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34,835</w:t>
            </w:r>
          </w:p>
        </w:tc>
        <w:tc>
          <w:tcPr>
            <w:tcW w:w="0" w:type="dxa"/>
            <w:vAlign w:val="bottom"/>
          </w:tcPr>
          <w:p>
            <w:pPr>
              <w:spacing w:after="0"/>
              <w:rPr>
                <w:sz w:val="1"/>
                <w:szCs w:val="1"/>
                <w:color w:val="auto"/>
              </w:rPr>
            </w:pPr>
          </w:p>
        </w:tc>
      </w:tr>
      <w:tr>
        <w:trPr>
          <w:trHeight w:val="229"/>
        </w:trPr>
        <w:tc>
          <w:tcPr>
            <w:tcW w:w="8280" w:type="dxa"/>
            <w:vAlign w:val="bottom"/>
          </w:tcPr>
          <w:p>
            <w:pPr>
              <w:ind w:left="20"/>
              <w:spacing w:after="0"/>
              <w:rPr>
                <w:sz w:val="20"/>
                <w:szCs w:val="20"/>
                <w:color w:val="auto"/>
              </w:rPr>
            </w:pPr>
            <w:r>
              <w:rPr>
                <w:rFonts w:ascii="Arial" w:cs="Arial" w:eastAsia="Arial" w:hAnsi="Arial"/>
                <w:sz w:val="18"/>
                <w:szCs w:val="18"/>
                <w:color w:val="auto"/>
              </w:rPr>
              <w:t>Acquired intangible assets, net</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104,488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107,017</w:t>
            </w:r>
          </w:p>
        </w:tc>
        <w:tc>
          <w:tcPr>
            <w:tcW w:w="0" w:type="dxa"/>
            <w:vAlign w:val="bottom"/>
          </w:tcPr>
          <w:p>
            <w:pPr>
              <w:spacing w:after="0"/>
              <w:rPr>
                <w:sz w:val="1"/>
                <w:szCs w:val="1"/>
                <w:color w:val="auto"/>
              </w:rPr>
            </w:pPr>
          </w:p>
        </w:tc>
      </w:tr>
      <w:tr>
        <w:trPr>
          <w:trHeight w:val="229"/>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541,292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518,539</w:t>
            </w:r>
          </w:p>
        </w:tc>
        <w:tc>
          <w:tcPr>
            <w:tcW w:w="0" w:type="dxa"/>
            <w:vAlign w:val="bottom"/>
          </w:tcPr>
          <w:p>
            <w:pPr>
              <w:spacing w:after="0"/>
              <w:rPr>
                <w:sz w:val="1"/>
                <w:szCs w:val="1"/>
                <w:color w:val="auto"/>
              </w:rPr>
            </w:pPr>
          </w:p>
        </w:tc>
      </w:tr>
      <w:tr>
        <w:trPr>
          <w:trHeight w:val="230"/>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assets</w:t>
            </w: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14,776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23,177</w:t>
            </w:r>
          </w:p>
        </w:tc>
        <w:tc>
          <w:tcPr>
            <w:tcW w:w="0" w:type="dxa"/>
            <w:vAlign w:val="bottom"/>
          </w:tcPr>
          <w:p>
            <w:pPr>
              <w:spacing w:after="0"/>
              <w:rPr>
                <w:sz w:val="1"/>
                <w:szCs w:val="1"/>
                <w:color w:val="auto"/>
              </w:rPr>
            </w:pPr>
          </w:p>
        </w:tc>
      </w:tr>
      <w:tr>
        <w:trPr>
          <w:trHeight w:val="248"/>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1,576,349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1,606,871</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8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28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Accounts payable and accrued expenses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19,543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16,941</w:t>
            </w:r>
          </w:p>
        </w:tc>
        <w:tc>
          <w:tcPr>
            <w:tcW w:w="0" w:type="dxa"/>
            <w:vAlign w:val="bottom"/>
          </w:tcPr>
          <w:p>
            <w:pPr>
              <w:spacing w:after="0"/>
              <w:rPr>
                <w:sz w:val="1"/>
                <w:szCs w:val="1"/>
                <w:color w:val="auto"/>
              </w:rPr>
            </w:pPr>
          </w:p>
        </w:tc>
      </w:tr>
      <w:tr>
        <w:trPr>
          <w:trHeight w:val="230"/>
        </w:trPr>
        <w:tc>
          <w:tcPr>
            <w:tcW w:w="8280" w:type="dxa"/>
            <w:vAlign w:val="bottom"/>
          </w:tcPr>
          <w:p>
            <w:pPr>
              <w:ind w:left="140"/>
              <w:spacing w:after="0"/>
              <w:rPr>
                <w:sz w:val="20"/>
                <w:szCs w:val="20"/>
                <w:color w:val="auto"/>
              </w:rPr>
            </w:pPr>
            <w:r>
              <w:rPr>
                <w:rFonts w:ascii="Arial" w:cs="Arial" w:eastAsia="Arial" w:hAnsi="Arial"/>
                <w:sz w:val="18"/>
                <w:szCs w:val="18"/>
                <w:color w:val="auto"/>
              </w:rPr>
              <w:t>Accrued compensation</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44,119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66,492</w:t>
            </w: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Deferred revenue</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562,587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580,779</w:t>
            </w:r>
          </w:p>
        </w:tc>
        <w:tc>
          <w:tcPr>
            <w:tcW w:w="0" w:type="dxa"/>
            <w:vAlign w:val="bottom"/>
          </w:tcPr>
          <w:p>
            <w:pPr>
              <w:spacing w:after="0"/>
              <w:rPr>
                <w:sz w:val="1"/>
                <w:szCs w:val="1"/>
                <w:color w:val="auto"/>
              </w:rPr>
            </w:pPr>
          </w:p>
        </w:tc>
      </w:tr>
      <w:tr>
        <w:trPr>
          <w:trHeight w:val="229"/>
        </w:trPr>
        <w:tc>
          <w:tcPr>
            <w:tcW w:w="8280" w:type="dxa"/>
            <w:vAlign w:val="bottom"/>
          </w:tcPr>
          <w:p>
            <w:pPr>
              <w:ind w:left="140"/>
              <w:spacing w:after="0"/>
              <w:rPr>
                <w:sz w:val="20"/>
                <w:szCs w:val="20"/>
                <w:color w:val="auto"/>
              </w:rPr>
            </w:pPr>
            <w:r>
              <w:rPr>
                <w:rFonts w:ascii="Arial" w:cs="Arial" w:eastAsia="Arial" w:hAnsi="Arial"/>
                <w:sz w:val="18"/>
                <w:szCs w:val="18"/>
                <w:color w:val="auto"/>
              </w:rPr>
              <w:t>Operating lease liabilities</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6,161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5,971</w:t>
            </w: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current liabilities</w:t>
            </w:r>
          </w:p>
        </w:tc>
        <w:tc>
          <w:tcPr>
            <w:tcW w:w="1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5,832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5,655</w:t>
            </w:r>
          </w:p>
        </w:tc>
        <w:tc>
          <w:tcPr>
            <w:tcW w:w="0" w:type="dxa"/>
            <w:vAlign w:val="bottom"/>
          </w:tcPr>
          <w:p>
            <w:pPr>
              <w:spacing w:after="0"/>
              <w:rPr>
                <w:sz w:val="1"/>
                <w:szCs w:val="1"/>
                <w:color w:val="auto"/>
              </w:rPr>
            </w:pPr>
          </w:p>
        </w:tc>
      </w:tr>
      <w:tr>
        <w:trPr>
          <w:trHeight w:val="223"/>
        </w:trPr>
        <w:tc>
          <w:tcPr>
            <w:tcW w:w="8280" w:type="dxa"/>
            <w:vAlign w:val="bottom"/>
          </w:tcPr>
          <w:p>
            <w:pPr>
              <w:ind w:left="20"/>
              <w:spacing w:after="0"/>
              <w:rPr>
                <w:sz w:val="20"/>
                <w:szCs w:val="20"/>
                <w:color w:val="auto"/>
              </w:rPr>
            </w:pPr>
            <w:r>
              <w:rPr>
                <w:rFonts w:ascii="Arial" w:cs="Arial" w:eastAsia="Arial" w:hAnsi="Arial"/>
                <w:sz w:val="18"/>
                <w:szCs w:val="18"/>
                <w:color w:val="auto"/>
              </w:rPr>
              <w:t>Total current liabilities</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638,242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675,838</w:t>
            </w: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revenue (net of current portion)</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163,211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169,718</w:t>
            </w:r>
          </w:p>
        </w:tc>
        <w:tc>
          <w:tcPr>
            <w:tcW w:w="0" w:type="dxa"/>
            <w:vAlign w:val="bottom"/>
          </w:tcPr>
          <w:p>
            <w:pPr>
              <w:spacing w:after="0"/>
              <w:rPr>
                <w:sz w:val="1"/>
                <w:szCs w:val="1"/>
                <w:color w:val="auto"/>
              </w:rPr>
            </w:pPr>
          </w:p>
        </w:tc>
      </w:tr>
      <w:tr>
        <w:trPr>
          <w:trHeight w:val="230"/>
        </w:trPr>
        <w:tc>
          <w:tcPr>
            <w:tcW w:w="8280" w:type="dxa"/>
            <w:vAlign w:val="bottom"/>
          </w:tcPr>
          <w:p>
            <w:pPr>
              <w:ind w:left="20"/>
              <w:spacing w:after="0"/>
              <w:rPr>
                <w:sz w:val="20"/>
                <w:szCs w:val="20"/>
                <w:color w:val="auto"/>
              </w:rPr>
            </w:pPr>
            <w:r>
              <w:rPr>
                <w:rFonts w:ascii="Arial" w:cs="Arial" w:eastAsia="Arial" w:hAnsi="Arial"/>
                <w:sz w:val="18"/>
                <w:szCs w:val="18"/>
                <w:color w:val="auto"/>
              </w:rPr>
              <w:t>Term loan, net of issuance costs (net of current portion)</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357,969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359,281</w:t>
            </w: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liabilities (net of current portion)</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45,315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48,058</w:t>
            </w:r>
          </w:p>
        </w:tc>
        <w:tc>
          <w:tcPr>
            <w:tcW w:w="0" w:type="dxa"/>
            <w:vAlign w:val="bottom"/>
          </w:tcPr>
          <w:p>
            <w:pPr>
              <w:spacing w:after="0"/>
              <w:rPr>
                <w:sz w:val="1"/>
                <w:szCs w:val="1"/>
                <w:color w:val="auto"/>
              </w:rPr>
            </w:pPr>
          </w:p>
        </w:tc>
      </w:tr>
      <w:tr>
        <w:trPr>
          <w:trHeight w:val="229"/>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liabilities</w:t>
            </w: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8,051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7,632</w:t>
            </w:r>
          </w:p>
        </w:tc>
        <w:tc>
          <w:tcPr>
            <w:tcW w:w="0" w:type="dxa"/>
            <w:vAlign w:val="bottom"/>
          </w:tcPr>
          <w:p>
            <w:pPr>
              <w:spacing w:after="0"/>
              <w:rPr>
                <w:sz w:val="1"/>
                <w:szCs w:val="1"/>
                <w:color w:val="auto"/>
              </w:rPr>
            </w:pPr>
          </w:p>
        </w:tc>
      </w:tr>
      <w:tr>
        <w:trPr>
          <w:trHeight w:val="223"/>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1,212,788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1,260,527</w:t>
            </w:r>
          </w:p>
        </w:tc>
        <w:tc>
          <w:tcPr>
            <w:tcW w:w="0" w:type="dxa"/>
            <w:vAlign w:val="bottom"/>
          </w:tcPr>
          <w:p>
            <w:pPr>
              <w:spacing w:after="0"/>
              <w:rPr>
                <w:sz w:val="1"/>
                <w:szCs w:val="1"/>
                <w:color w:val="auto"/>
              </w:rPr>
            </w:pPr>
          </w:p>
        </w:tc>
      </w:tr>
      <w:tr>
        <w:trPr>
          <w:trHeight w:val="257"/>
        </w:trPr>
        <w:tc>
          <w:tcPr>
            <w:tcW w:w="82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Stockholders’ equity:</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280" w:type="dxa"/>
            <w:vAlign w:val="bottom"/>
          </w:tcPr>
          <w:p>
            <w:pPr>
              <w:ind w:left="140"/>
              <w:spacing w:after="0" w:line="176" w:lineRule="exact"/>
              <w:rPr>
                <w:sz w:val="20"/>
                <w:szCs w:val="20"/>
                <w:color w:val="auto"/>
              </w:rPr>
            </w:pPr>
            <w:r>
              <w:rPr>
                <w:rFonts w:ascii="Arial" w:cs="Arial" w:eastAsia="Arial" w:hAnsi="Arial"/>
                <w:sz w:val="18"/>
                <w:szCs w:val="18"/>
                <w:color w:val="auto"/>
              </w:rPr>
              <w:t>Common stock (par value: $0.01; 500,000 shares authorized; 120,461 and 117,504 shares issued at</w:t>
            </w:r>
          </w:p>
        </w:tc>
        <w:tc>
          <w:tcPr>
            <w:tcW w:w="140" w:type="dxa"/>
            <w:vAlign w:val="bottom"/>
          </w:tcPr>
          <w:p>
            <w:pPr>
              <w:spacing w:after="0"/>
              <w:rPr>
                <w:sz w:val="15"/>
                <w:szCs w:val="15"/>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1,205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1,175</w:t>
            </w:r>
          </w:p>
        </w:tc>
        <w:tc>
          <w:tcPr>
            <w:tcW w:w="0" w:type="dxa"/>
            <w:vAlign w:val="bottom"/>
          </w:tcPr>
          <w:p>
            <w:pPr>
              <w:spacing w:after="0"/>
              <w:rPr>
                <w:sz w:val="1"/>
                <w:szCs w:val="1"/>
                <w:color w:val="auto"/>
              </w:rPr>
            </w:pPr>
          </w:p>
        </w:tc>
      </w:tr>
      <w:tr>
        <w:trPr>
          <w:trHeight w:val="243"/>
        </w:trPr>
        <w:tc>
          <w:tcPr>
            <w:tcW w:w="8280" w:type="dxa"/>
            <w:vAlign w:val="bottom"/>
          </w:tcPr>
          <w:p>
            <w:pPr>
              <w:ind w:left="140"/>
              <w:spacing w:after="0"/>
              <w:rPr>
                <w:sz w:val="20"/>
                <w:szCs w:val="20"/>
                <w:color w:val="auto"/>
              </w:rPr>
            </w:pPr>
            <w:r>
              <w:rPr>
                <w:rFonts w:ascii="Arial" w:cs="Arial" w:eastAsia="Arial" w:hAnsi="Arial"/>
                <w:sz w:val="18"/>
                <w:szCs w:val="18"/>
                <w:color w:val="auto"/>
              </w:rPr>
              <w:t>June 30, 2024 and December 31, 2023, respectively)</w:t>
            </w:r>
          </w:p>
        </w:tc>
        <w:tc>
          <w:tcPr>
            <w:tcW w:w="140" w:type="dxa"/>
            <w:vAlign w:val="bottom"/>
          </w:tcPr>
          <w:p>
            <w:pPr>
              <w:spacing w:after="0"/>
              <w:rPr>
                <w:sz w:val="21"/>
                <w:szCs w:val="21"/>
                <w:color w:val="auto"/>
              </w:rPr>
            </w:pPr>
          </w:p>
        </w:tc>
        <w:tc>
          <w:tcPr>
            <w:tcW w:w="126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Additional paid-in capital</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1,281,545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1,185,100</w:t>
            </w:r>
          </w:p>
        </w:tc>
        <w:tc>
          <w:tcPr>
            <w:tcW w:w="0" w:type="dxa"/>
            <w:vAlign w:val="bottom"/>
          </w:tcPr>
          <w:p>
            <w:pPr>
              <w:spacing w:after="0"/>
              <w:rPr>
                <w:sz w:val="1"/>
                <w:szCs w:val="1"/>
                <w:color w:val="auto"/>
              </w:rPr>
            </w:pPr>
          </w:p>
        </w:tc>
      </w:tr>
      <w:tr>
        <w:trPr>
          <w:trHeight w:val="175"/>
        </w:trPr>
        <w:tc>
          <w:tcPr>
            <w:tcW w:w="8280" w:type="dxa"/>
            <w:vAlign w:val="bottom"/>
          </w:tcPr>
          <w:p>
            <w:pPr>
              <w:ind w:left="140"/>
              <w:spacing w:after="0" w:line="176" w:lineRule="exact"/>
              <w:rPr>
                <w:sz w:val="20"/>
                <w:szCs w:val="20"/>
                <w:color w:val="auto"/>
              </w:rPr>
            </w:pPr>
            <w:r>
              <w:rPr>
                <w:rFonts w:ascii="Arial" w:cs="Arial" w:eastAsia="Arial" w:hAnsi="Arial"/>
                <w:sz w:val="18"/>
                <w:szCs w:val="18"/>
                <w:color w:val="auto"/>
              </w:rPr>
              <w:t>Treasury stock (at cost: 1,471 and 356 shares at June 30, 2024 and December 31, 2023,</w:t>
            </w:r>
          </w:p>
        </w:tc>
        <w:tc>
          <w:tcPr>
            <w:tcW w:w="140" w:type="dxa"/>
            <w:vAlign w:val="bottom"/>
          </w:tcPr>
          <w:p>
            <w:pPr>
              <w:spacing w:after="0"/>
              <w:rPr>
                <w:sz w:val="15"/>
                <w:szCs w:val="15"/>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(64,925)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(14,934)</w:t>
            </w:r>
          </w:p>
        </w:tc>
        <w:tc>
          <w:tcPr>
            <w:tcW w:w="0" w:type="dxa"/>
            <w:vAlign w:val="bottom"/>
          </w:tcPr>
          <w:p>
            <w:pPr>
              <w:spacing w:after="0"/>
              <w:rPr>
                <w:sz w:val="1"/>
                <w:szCs w:val="1"/>
                <w:color w:val="auto"/>
              </w:rPr>
            </w:pPr>
          </w:p>
        </w:tc>
      </w:tr>
      <w:tr>
        <w:trPr>
          <w:trHeight w:val="243"/>
        </w:trPr>
        <w:tc>
          <w:tcPr>
            <w:tcW w:w="8280" w:type="dxa"/>
            <w:vAlign w:val="bottom"/>
          </w:tcPr>
          <w:p>
            <w:pPr>
              <w:ind w:left="140"/>
              <w:spacing w:after="0"/>
              <w:rPr>
                <w:sz w:val="20"/>
                <w:szCs w:val="20"/>
                <w:color w:val="auto"/>
              </w:rPr>
            </w:pPr>
            <w:r>
              <w:rPr>
                <w:rFonts w:ascii="Arial" w:cs="Arial" w:eastAsia="Arial" w:hAnsi="Arial"/>
                <w:sz w:val="18"/>
                <w:szCs w:val="18"/>
                <w:color w:val="auto"/>
              </w:rPr>
              <w:t>respectively)</w:t>
            </w:r>
          </w:p>
        </w:tc>
        <w:tc>
          <w:tcPr>
            <w:tcW w:w="140" w:type="dxa"/>
            <w:vAlign w:val="bottom"/>
          </w:tcPr>
          <w:p>
            <w:pPr>
              <w:spacing w:after="0"/>
              <w:rPr>
                <w:sz w:val="21"/>
                <w:szCs w:val="21"/>
                <w:color w:val="auto"/>
              </w:rPr>
            </w:pPr>
          </w:p>
        </w:tc>
        <w:tc>
          <w:tcPr>
            <w:tcW w:w="126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Accumulated other comprehensive (loss) income</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30"/>
        </w:trPr>
        <w:tc>
          <w:tcPr>
            <w:tcW w:w="82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Accumulated deficit</w:t>
            </w: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(853,993)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(825,035)</w:t>
            </w:r>
          </w:p>
        </w:tc>
        <w:tc>
          <w:tcPr>
            <w:tcW w:w="0" w:type="dxa"/>
            <w:vAlign w:val="bottom"/>
          </w:tcPr>
          <w:p>
            <w:pPr>
              <w:spacing w:after="0"/>
              <w:rPr>
                <w:sz w:val="1"/>
                <w:szCs w:val="1"/>
                <w:color w:val="auto"/>
              </w:rPr>
            </w:pPr>
          </w:p>
        </w:tc>
      </w:tr>
      <w:tr>
        <w:trPr>
          <w:trHeight w:val="223"/>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stockholders’ equity</w:t>
            </w:r>
          </w:p>
        </w:tc>
        <w:tc>
          <w:tcPr>
            <w:tcW w:w="1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363,561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346,344</w:t>
            </w:r>
          </w:p>
        </w:tc>
        <w:tc>
          <w:tcPr>
            <w:tcW w:w="0" w:type="dxa"/>
            <w:vAlign w:val="bottom"/>
          </w:tcPr>
          <w:p>
            <w:pPr>
              <w:spacing w:after="0"/>
              <w:rPr>
                <w:sz w:val="1"/>
                <w:szCs w:val="1"/>
                <w:color w:val="auto"/>
              </w:rPr>
            </w:pPr>
          </w:p>
        </w:tc>
      </w:tr>
      <w:tr>
        <w:trPr>
          <w:trHeight w:val="223"/>
        </w:trPr>
        <w:tc>
          <w:tcPr>
            <w:tcW w:w="8280" w:type="dxa"/>
            <w:vAlign w:val="bottom"/>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1,576,349</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1,606,871</w:t>
            </w:r>
          </w:p>
        </w:tc>
        <w:tc>
          <w:tcPr>
            <w:tcW w:w="0" w:type="dxa"/>
            <w:vAlign w:val="bottom"/>
          </w:tcPr>
          <w:p>
            <w:pPr>
              <w:spacing w:after="0"/>
              <w:rPr>
                <w:sz w:val="1"/>
                <w:szCs w:val="1"/>
                <w:color w:val="auto"/>
              </w:rPr>
            </w:pPr>
          </w:p>
        </w:tc>
      </w:tr>
      <w:tr>
        <w:trPr>
          <w:trHeight w:val="20"/>
        </w:trPr>
        <w:tc>
          <w:tcPr>
            <w:tcW w:w="8280" w:type="dxa"/>
            <w:vAlign w:val="bottom"/>
            <w:vMerge w:val="restart"/>
          </w:tcPr>
          <w:p>
            <w:pPr>
              <w:ind w:left="5580"/>
              <w:spacing w:after="0"/>
              <w:rPr>
                <w:sz w:val="20"/>
                <w:szCs w:val="20"/>
                <w:color w:val="auto"/>
              </w:rPr>
            </w:pPr>
            <w:r>
              <w:rPr>
                <w:rFonts w:ascii="Arial" w:cs="Arial" w:eastAsia="Arial" w:hAnsi="Arial"/>
                <w:sz w:val="18"/>
                <w:szCs w:val="18"/>
                <w:color w:val="auto"/>
              </w:rPr>
              <w:t>6</w:t>
            </w: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02"/>
        </w:trPr>
        <w:tc>
          <w:tcPr>
            <w:tcW w:w="82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80"/>
          </w:cols>
          <w:pgMar w:left="320" w:top="931" w:right="399" w:bottom="1440" w:gutter="0" w:footer="0" w:header="0"/>
        </w:sectPr>
      </w:pPr>
    </w:p>
    <w:bookmarkStart w:id="9" w:name="page10"/>
    <w:bookmarkEnd w:id="9"/>
    <w:p>
      <w:pPr>
        <w:jc w:val="center"/>
        <w:ind w:right="-59"/>
        <w:spacing w:after="0"/>
        <w:rPr>
          <w:sz w:val="20"/>
          <w:szCs w:val="20"/>
          <w:color w:val="auto"/>
        </w:rPr>
      </w:pPr>
      <w:r>
        <w:rPr>
          <w:rFonts w:ascii="Arial" w:cs="Arial" w:eastAsia="Arial" w:hAnsi="Arial"/>
          <w:sz w:val="18"/>
          <w:szCs w:val="18"/>
          <w:b w:val="1"/>
          <w:bCs w:val="1"/>
          <w:color w:val="auto"/>
        </w:rPr>
        <w:t>TENABLE HOLDINGS,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2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gridSpan w:val="4"/>
          </w:tcPr>
          <w:p>
            <w:pPr>
              <w:jc w:val="right"/>
              <w:ind w:right="310"/>
              <w:spacing w:after="0"/>
              <w:rPr>
                <w:sz w:val="20"/>
                <w:szCs w:val="20"/>
                <w:color w:val="auto"/>
              </w:rPr>
            </w:pPr>
            <w:r>
              <w:rPr>
                <w:rFonts w:ascii="Arial" w:cs="Arial" w:eastAsia="Arial" w:hAnsi="Arial"/>
                <w:sz w:val="16"/>
                <w:szCs w:val="16"/>
                <w:b w:val="1"/>
                <w:bCs w:val="1"/>
                <w:color w:val="auto"/>
              </w:rPr>
              <w:t>Six Months Ended June 30,</w:t>
            </w:r>
          </w:p>
        </w:tc>
      </w:tr>
      <w:tr>
        <w:trPr>
          <w:trHeight w:val="209"/>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thousands)</w:t>
            </w:r>
          </w:p>
        </w:tc>
        <w:tc>
          <w:tcPr>
            <w:tcW w:w="2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31"/>
              <w:spacing w:after="0"/>
              <w:rPr>
                <w:sz w:val="20"/>
                <w:szCs w:val="20"/>
                <w:color w:val="auto"/>
              </w:rPr>
            </w:pPr>
            <w:r>
              <w:rPr>
                <w:rFonts w:ascii="Arial" w:cs="Arial" w:eastAsia="Arial" w:hAnsi="Arial"/>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6"/>
                <w:szCs w:val="16"/>
                <w:b w:val="1"/>
                <w:bCs w:val="1"/>
                <w:color w:val="auto"/>
              </w:rPr>
              <w:t>2023</w:t>
            </w:r>
          </w:p>
        </w:tc>
      </w:tr>
      <w:tr>
        <w:trPr>
          <w:trHeight w:val="210"/>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29"/>
        </w:trPr>
        <w:tc>
          <w:tcPr>
            <w:tcW w:w="8280" w:type="dxa"/>
            <w:vAlign w:val="bottom"/>
          </w:tcPr>
          <w:p>
            <w:pPr>
              <w:ind w:left="20"/>
              <w:spacing w:after="0"/>
              <w:rPr>
                <w:sz w:val="20"/>
                <w:szCs w:val="20"/>
                <w:color w:val="auto"/>
              </w:rPr>
            </w:pPr>
            <w:r>
              <w:rPr>
                <w:rFonts w:ascii="Arial" w:cs="Arial" w:eastAsia="Arial" w:hAnsi="Arial"/>
                <w:sz w:val="18"/>
                <w:szCs w:val="18"/>
                <w:color w:val="auto"/>
              </w:rPr>
              <w:t>Net loss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(28,958)</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(41,071)</w:t>
            </w:r>
          </w:p>
        </w:tc>
      </w:tr>
      <w:tr>
        <w:trPr>
          <w:trHeight w:val="230"/>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Adjustments to reconcile net loss to net cash provided by operating activities:</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9"/>
        </w:trPr>
        <w:tc>
          <w:tcPr>
            <w:tcW w:w="828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15,864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12,624</w:t>
            </w:r>
          </w:p>
        </w:tc>
      </w:tr>
      <w:tr>
        <w:trPr>
          <w:trHeight w:val="229"/>
        </w:trPr>
        <w:tc>
          <w:tcPr>
            <w:tcW w:w="8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Stock-based compensation</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81,117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71,977</w:t>
            </w:r>
          </w:p>
        </w:tc>
      </w:tr>
      <w:tr>
        <w:trPr>
          <w:trHeight w:val="230"/>
        </w:trPr>
        <w:tc>
          <w:tcPr>
            <w:tcW w:w="8280" w:type="dxa"/>
            <w:vAlign w:val="bottom"/>
          </w:tcPr>
          <w:p>
            <w:pPr>
              <w:ind w:left="140"/>
              <w:spacing w:after="0"/>
              <w:rPr>
                <w:sz w:val="20"/>
                <w:szCs w:val="20"/>
                <w:color w:val="auto"/>
              </w:rPr>
            </w:pPr>
            <w:r>
              <w:rPr>
                <w:rFonts w:ascii="Arial" w:cs="Arial" w:eastAsia="Arial" w:hAnsi="Arial"/>
                <w:sz w:val="18"/>
                <w:szCs w:val="18"/>
                <w:color w:val="auto"/>
              </w:rPr>
              <w:t>Net accretion of discounts and amortization of premiums on short-term investments</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(4,378)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(3,595)</w:t>
            </w:r>
          </w:p>
        </w:tc>
      </w:tr>
      <w:tr>
        <w:trPr>
          <w:trHeight w:val="229"/>
        </w:trPr>
        <w:tc>
          <w:tcPr>
            <w:tcW w:w="8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Amortization of debt issuance costs</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w:t>
            </w:r>
          </w:p>
        </w:tc>
      </w:tr>
      <w:tr>
        <w:trPr>
          <w:trHeight w:val="229"/>
        </w:trPr>
        <w:tc>
          <w:tcPr>
            <w:tcW w:w="8280" w:type="dxa"/>
            <w:vAlign w:val="bottom"/>
          </w:tcPr>
          <w:p>
            <w:pPr>
              <w:ind w:left="140"/>
              <w:spacing w:after="0"/>
              <w:rPr>
                <w:sz w:val="20"/>
                <w:szCs w:val="20"/>
                <w:color w:val="auto"/>
              </w:rPr>
            </w:pPr>
            <w:r>
              <w:rPr>
                <w:rFonts w:ascii="Arial" w:cs="Arial" w:eastAsia="Arial" w:hAnsi="Arial"/>
                <w:sz w:val="18"/>
                <w:szCs w:val="18"/>
                <w:color w:val="auto"/>
              </w:rPr>
              <w:t>Restructuring</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4,528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2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r>
      <w:tr>
        <w:trPr>
          <w:trHeight w:val="229"/>
        </w:trPr>
        <w:tc>
          <w:tcPr>
            <w:tcW w:w="8280" w:type="dxa"/>
            <w:vAlign w:val="bottom"/>
          </w:tcPr>
          <w:p>
            <w:pPr>
              <w:ind w:left="140"/>
              <w:spacing w:after="0"/>
              <w:rPr>
                <w:sz w:val="20"/>
                <w:szCs w:val="20"/>
                <w:color w:val="auto"/>
              </w:rPr>
            </w:pPr>
            <w:r>
              <w:rPr>
                <w:rFonts w:ascii="Arial" w:cs="Arial" w:eastAsia="Arial" w:hAnsi="Arial"/>
                <w:sz w:val="18"/>
                <w:szCs w:val="18"/>
                <w:color w:val="auto"/>
              </w:rPr>
              <w:t>Changes in operating assets and liabilities:</w:t>
            </w: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8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receivable</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40,462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33,997</w:t>
            </w:r>
          </w:p>
        </w:tc>
      </w:tr>
      <w:tr>
        <w:trPr>
          <w:trHeight w:val="229"/>
        </w:trPr>
        <w:tc>
          <w:tcPr>
            <w:tcW w:w="8280" w:type="dxa"/>
            <w:vAlign w:val="bottom"/>
          </w:tcPr>
          <w:p>
            <w:pPr>
              <w:ind w:left="220"/>
              <w:spacing w:after="0"/>
              <w:rPr>
                <w:sz w:val="20"/>
                <w:szCs w:val="20"/>
                <w:color w:val="auto"/>
              </w:rPr>
            </w:pPr>
            <w:r>
              <w:rPr>
                <w:rFonts w:ascii="Arial" w:cs="Arial" w:eastAsia="Arial" w:hAnsi="Arial"/>
                <w:sz w:val="18"/>
                <w:szCs w:val="18"/>
                <w:color w:val="auto"/>
              </w:rPr>
              <w:t>Prepaid expenses and other assets</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18,105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12,649</w:t>
            </w:r>
          </w:p>
        </w:tc>
      </w:tr>
      <w:tr>
        <w:trPr>
          <w:trHeight w:val="229"/>
        </w:trPr>
        <w:tc>
          <w:tcPr>
            <w:tcW w:w="8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payable, accrued expenses and accrued compensation</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(20,162)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(1,276)</w:t>
            </w:r>
          </w:p>
        </w:tc>
      </w:tr>
      <w:tr>
        <w:trPr>
          <w:trHeight w:val="230"/>
        </w:trPr>
        <w:tc>
          <w:tcPr>
            <w:tcW w:w="8280" w:type="dxa"/>
            <w:vAlign w:val="bottom"/>
          </w:tcPr>
          <w:p>
            <w:pPr>
              <w:ind w:left="220"/>
              <w:spacing w:after="0"/>
              <w:rPr>
                <w:sz w:val="20"/>
                <w:szCs w:val="20"/>
                <w:color w:val="auto"/>
              </w:rPr>
            </w:pPr>
            <w:r>
              <w:rPr>
                <w:rFonts w:ascii="Arial" w:cs="Arial" w:eastAsia="Arial" w:hAnsi="Arial"/>
                <w:sz w:val="18"/>
                <w:szCs w:val="18"/>
                <w:color w:val="auto"/>
              </w:rPr>
              <w:t>Deferred revenue</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(24,807)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(14,408)</w:t>
            </w:r>
          </w:p>
        </w:tc>
      </w:tr>
      <w:tr>
        <w:trPr>
          <w:trHeight w:val="229"/>
        </w:trPr>
        <w:tc>
          <w:tcPr>
            <w:tcW w:w="8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current and noncurrent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(2,758)</w:t>
            </w:r>
          </w:p>
        </w:tc>
      </w:tr>
      <w:tr>
        <w:trPr>
          <w:trHeight w:val="223"/>
        </w:trPr>
        <w:tc>
          <w:tcPr>
            <w:tcW w:w="8280" w:type="dxa"/>
            <w:vAlign w:val="bottom"/>
          </w:tcPr>
          <w:p>
            <w:pPr>
              <w:ind w:left="480"/>
              <w:spacing w:after="0"/>
              <w:rPr>
                <w:sz w:val="20"/>
                <w:szCs w:val="20"/>
                <w:color w:val="auto"/>
              </w:rPr>
            </w:pPr>
            <w:r>
              <w:rPr>
                <w:rFonts w:ascii="Arial" w:cs="Arial" w:eastAsia="Arial" w:hAnsi="Arial"/>
                <w:sz w:val="18"/>
                <w:szCs w:val="18"/>
                <w:color w:val="auto"/>
              </w:rPr>
              <w:t>Net cash provided by operating activities</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81,750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68,939</w:t>
            </w:r>
          </w:p>
        </w:tc>
      </w:tr>
      <w:tr>
        <w:trPr>
          <w:trHeight w:val="216"/>
        </w:trPr>
        <w:tc>
          <w:tcPr>
            <w:tcW w:w="8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29"/>
        </w:trPr>
        <w:tc>
          <w:tcPr>
            <w:tcW w:w="828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Purchases of property and equipment</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(1,098)</w:t>
            </w:r>
          </w:p>
        </w:tc>
      </w:tr>
      <w:tr>
        <w:trPr>
          <w:trHeight w:val="229"/>
        </w:trPr>
        <w:tc>
          <w:tcPr>
            <w:tcW w:w="8280" w:type="dxa"/>
            <w:vAlign w:val="bottom"/>
          </w:tcPr>
          <w:p>
            <w:pPr>
              <w:ind w:left="20"/>
              <w:spacing w:after="0"/>
              <w:rPr>
                <w:sz w:val="20"/>
                <w:szCs w:val="20"/>
                <w:color w:val="auto"/>
              </w:rPr>
            </w:pPr>
            <w:r>
              <w:rPr>
                <w:rFonts w:ascii="Arial" w:cs="Arial" w:eastAsia="Arial" w:hAnsi="Arial"/>
                <w:sz w:val="18"/>
                <w:szCs w:val="18"/>
                <w:color w:val="auto"/>
              </w:rPr>
              <w:t>Capitalized software development costs</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(4,767)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(2,813)</w:t>
            </w:r>
          </w:p>
        </w:tc>
      </w:tr>
      <w:tr>
        <w:trPr>
          <w:trHeight w:val="230"/>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Purchases of short-term investments</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(160,405)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(147,434)</w:t>
            </w:r>
          </w:p>
        </w:tc>
      </w:tr>
      <w:tr>
        <w:trPr>
          <w:trHeight w:val="229"/>
        </w:trPr>
        <w:tc>
          <w:tcPr>
            <w:tcW w:w="8280" w:type="dxa"/>
            <w:vAlign w:val="bottom"/>
          </w:tcPr>
          <w:p>
            <w:pPr>
              <w:ind w:left="20"/>
              <w:spacing w:after="0"/>
              <w:rPr>
                <w:sz w:val="20"/>
                <w:szCs w:val="20"/>
                <w:color w:val="auto"/>
              </w:rPr>
            </w:pPr>
            <w:r>
              <w:rPr>
                <w:rFonts w:ascii="Arial" w:cs="Arial" w:eastAsia="Arial" w:hAnsi="Arial"/>
                <w:sz w:val="18"/>
                <w:szCs w:val="18"/>
                <w:color w:val="auto"/>
              </w:rPr>
              <w:t>Sales and maturities of short-term investments</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147,778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148,760</w:t>
            </w:r>
          </w:p>
        </w:tc>
      </w:tr>
      <w:tr>
        <w:trPr>
          <w:trHeight w:val="230"/>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other investments</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280" w:type="dxa"/>
            <w:vAlign w:val="bottom"/>
          </w:tcPr>
          <w:p>
            <w:pPr>
              <w:ind w:left="20"/>
              <w:spacing w:after="0"/>
              <w:rPr>
                <w:sz w:val="20"/>
                <w:szCs w:val="20"/>
                <w:color w:val="auto"/>
              </w:rPr>
            </w:pPr>
            <w:r>
              <w:rPr>
                <w:rFonts w:ascii="Arial" w:cs="Arial" w:eastAsia="Arial" w:hAnsi="Arial"/>
                <w:sz w:val="18"/>
                <w:szCs w:val="18"/>
                <w:color w:val="auto"/>
              </w:rPr>
              <w:t>Purchases of other investments</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Business combinations, net of cash acquired</w:t>
            </w: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(29,162)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280" w:type="dxa"/>
            <w:vAlign w:val="bottom"/>
          </w:tcPr>
          <w:p>
            <w:pPr>
              <w:ind w:left="480"/>
              <w:spacing w:after="0"/>
              <w:rPr>
                <w:sz w:val="20"/>
                <w:szCs w:val="20"/>
                <w:color w:val="auto"/>
              </w:rPr>
            </w:pPr>
            <w:r>
              <w:rPr>
                <w:rFonts w:ascii="Arial" w:cs="Arial" w:eastAsia="Arial" w:hAnsi="Arial"/>
                <w:sz w:val="18"/>
                <w:szCs w:val="18"/>
                <w:color w:val="auto"/>
              </w:rPr>
              <w:t>Net cash used in investing activities</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(44,485)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(2,585)</w:t>
            </w:r>
          </w:p>
        </w:tc>
      </w:tr>
      <w:tr>
        <w:trPr>
          <w:trHeight w:val="216"/>
        </w:trPr>
        <w:tc>
          <w:tcPr>
            <w:tcW w:w="8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30"/>
        </w:trPr>
        <w:tc>
          <w:tcPr>
            <w:tcW w:w="828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Payments on term loan</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(1,875)</w:t>
            </w:r>
          </w:p>
        </w:tc>
      </w:tr>
      <w:tr>
        <w:trPr>
          <w:trHeight w:val="230"/>
        </w:trPr>
        <w:tc>
          <w:tcPr>
            <w:tcW w:w="8280" w:type="dxa"/>
            <w:vAlign w:val="bottom"/>
          </w:tcPr>
          <w:p>
            <w:pPr>
              <w:ind w:left="20"/>
              <w:spacing w:after="0"/>
              <w:rPr>
                <w:sz w:val="20"/>
                <w:szCs w:val="20"/>
                <w:color w:val="auto"/>
              </w:rPr>
            </w:pPr>
            <w:r>
              <w:rPr>
                <w:rFonts w:ascii="Arial" w:cs="Arial" w:eastAsia="Arial" w:hAnsi="Arial"/>
                <w:sz w:val="18"/>
                <w:szCs w:val="18"/>
                <w:color w:val="auto"/>
              </w:rPr>
              <w:t>Proceeds from loan agreement</w:t>
            </w:r>
          </w:p>
        </w:tc>
        <w:tc>
          <w:tcPr>
            <w:tcW w:w="26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424</w:t>
            </w:r>
          </w:p>
        </w:tc>
      </w:tr>
      <w:tr>
        <w:trPr>
          <w:trHeight w:val="229"/>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stock issued in connection with the employee stock purchase plan</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9,878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9,914</w:t>
            </w:r>
          </w:p>
        </w:tc>
      </w:tr>
      <w:tr>
        <w:trPr>
          <w:trHeight w:val="230"/>
        </w:trPr>
        <w:tc>
          <w:tcPr>
            <w:tcW w:w="8280" w:type="dxa"/>
            <w:vAlign w:val="bottom"/>
          </w:tcPr>
          <w:p>
            <w:pPr>
              <w:ind w:left="20"/>
              <w:spacing w:after="0"/>
              <w:rPr>
                <w:sz w:val="20"/>
                <w:szCs w:val="20"/>
                <w:color w:val="auto"/>
              </w:rPr>
            </w:pPr>
            <w:r>
              <w:rPr>
                <w:rFonts w:ascii="Arial" w:cs="Arial" w:eastAsia="Arial" w:hAnsi="Arial"/>
                <w:sz w:val="18"/>
                <w:szCs w:val="18"/>
                <w:color w:val="auto"/>
              </w:rPr>
              <w:t>Proceeds from the exercise of stock options</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4,135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1,537</w:t>
            </w:r>
          </w:p>
        </w:tc>
      </w:tr>
      <w:tr>
        <w:trPr>
          <w:trHeight w:val="230"/>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 of treasury stock</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(49,991)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280" w:type="dxa"/>
            <w:vAlign w:val="bottom"/>
          </w:tcPr>
          <w:p>
            <w:pPr>
              <w:ind w:left="20"/>
              <w:spacing w:after="0"/>
              <w:rPr>
                <w:sz w:val="20"/>
                <w:szCs w:val="20"/>
                <w:color w:val="auto"/>
              </w:rPr>
            </w:pPr>
            <w:r>
              <w:rPr>
                <w:rFonts w:ascii="Arial" w:cs="Arial" w:eastAsia="Arial" w:hAnsi="Arial"/>
                <w:sz w:val="18"/>
                <w:szCs w:val="18"/>
                <w:color w:val="auto"/>
              </w:rPr>
              <w:t>Other financing activities</w:t>
            </w:r>
          </w:p>
        </w:tc>
        <w:tc>
          <w:tcPr>
            <w:tcW w:w="26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(129)</w:t>
            </w:r>
          </w:p>
        </w:tc>
      </w:tr>
      <w:tr>
        <w:trPr>
          <w:trHeight w:val="223"/>
        </w:trPr>
        <w:tc>
          <w:tcPr>
            <w:tcW w:w="8280" w:type="dxa"/>
            <w:vAlign w:val="bottom"/>
            <w:tcBorders>
              <w:top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Net cash (used in) provided by financing activities</w:t>
            </w:r>
          </w:p>
        </w:tc>
        <w:tc>
          <w:tcPr>
            <w:tcW w:w="26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(37,853)</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9,871</w:t>
            </w:r>
          </w:p>
        </w:tc>
      </w:tr>
      <w:tr>
        <w:trPr>
          <w:trHeight w:val="229"/>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Effect of exchange rate changes on cash and cash equivalents and restricted cash</w:t>
            </w: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(1,032)</w:t>
            </w:r>
          </w:p>
        </w:tc>
      </w:tr>
      <w:tr>
        <w:trPr>
          <w:trHeight w:val="223"/>
        </w:trPr>
        <w:tc>
          <w:tcPr>
            <w:tcW w:w="8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(decrease) increase in cash and cash equivalents and restricted cash</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75,193</w:t>
            </w:r>
          </w:p>
        </w:tc>
      </w:tr>
      <w:tr>
        <w:trPr>
          <w:trHeight w:val="229"/>
        </w:trPr>
        <w:tc>
          <w:tcPr>
            <w:tcW w:w="8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and cash equivalents and restricted cash at beginning of period</w:t>
            </w: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237,132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300,866</w:t>
            </w:r>
          </w:p>
        </w:tc>
      </w:tr>
      <w:tr>
        <w:trPr>
          <w:trHeight w:val="248"/>
        </w:trPr>
        <w:tc>
          <w:tcPr>
            <w:tcW w:w="8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 and restricted cash at end of period</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233,467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376,059</w:t>
            </w: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80"/>
          </w:cols>
          <w:pgMar w:left="320" w:top="931" w:right="39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TENABLE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REVENUE COMPONENTS AND RECONCILIATION OF GAAP TO NON-GAAP FINANCIAL MEASURES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52"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5420" w:type="dxa"/>
            <w:vAlign w:val="bottom"/>
          </w:tcPr>
          <w:p>
            <w:pPr>
              <w:ind w:left="20"/>
              <w:spacing w:after="0"/>
              <w:rPr>
                <w:sz w:val="20"/>
                <w:szCs w:val="20"/>
                <w:color w:val="auto"/>
              </w:rPr>
            </w:pPr>
            <w:r>
              <w:rPr>
                <w:rFonts w:ascii="Arial" w:cs="Arial" w:eastAsia="Arial" w:hAnsi="Arial"/>
                <w:sz w:val="16"/>
                <w:szCs w:val="16"/>
                <w:b w:val="1"/>
                <w:bCs w:val="1"/>
                <w:color w:val="auto"/>
              </w:rPr>
              <w:t>Revenue</w:t>
            </w:r>
          </w:p>
        </w:tc>
        <w:tc>
          <w:tcPr>
            <w:tcW w:w="200" w:type="dxa"/>
            <w:vAlign w:val="bottom"/>
          </w:tcPr>
          <w:p>
            <w:pPr>
              <w:spacing w:after="0"/>
              <w:rPr>
                <w:sz w:val="18"/>
                <w:szCs w:val="18"/>
                <w:color w:val="auto"/>
              </w:rPr>
            </w:pPr>
          </w:p>
        </w:tc>
        <w:tc>
          <w:tcPr>
            <w:tcW w:w="2720" w:type="dxa"/>
            <w:vAlign w:val="bottom"/>
            <w:gridSpan w:val="5"/>
          </w:tcPr>
          <w:p>
            <w:pPr>
              <w:ind w:left="80"/>
              <w:spacing w:after="0"/>
              <w:rPr>
                <w:sz w:val="20"/>
                <w:szCs w:val="20"/>
                <w:color w:val="auto"/>
              </w:rPr>
            </w:pPr>
            <w:r>
              <w:rPr>
                <w:rFonts w:ascii="Arial" w:cs="Arial" w:eastAsia="Arial" w:hAnsi="Arial"/>
                <w:sz w:val="16"/>
                <w:szCs w:val="16"/>
                <w:b w:val="1"/>
                <w:bCs w:val="1"/>
                <w:color w:val="auto"/>
              </w:rPr>
              <w:t>Three Months Ended June 30,</w:t>
            </w:r>
          </w:p>
        </w:tc>
        <w:tc>
          <w:tcPr>
            <w:tcW w:w="260" w:type="dxa"/>
            <w:vAlign w:val="bottom"/>
          </w:tcPr>
          <w:p>
            <w:pPr>
              <w:spacing w:after="0"/>
              <w:rPr>
                <w:sz w:val="18"/>
                <w:szCs w:val="18"/>
                <w:color w:val="auto"/>
              </w:rPr>
            </w:pPr>
          </w:p>
        </w:tc>
        <w:tc>
          <w:tcPr>
            <w:tcW w:w="2600" w:type="dxa"/>
            <w:vAlign w:val="bottom"/>
            <w:gridSpan w:val="4"/>
          </w:tcPr>
          <w:p>
            <w:pPr>
              <w:jc w:val="right"/>
              <w:ind w:right="292"/>
              <w:spacing w:after="0"/>
              <w:rPr>
                <w:sz w:val="20"/>
                <w:szCs w:val="20"/>
                <w:color w:val="auto"/>
              </w:rPr>
            </w:pPr>
            <w:r>
              <w:rPr>
                <w:rFonts w:ascii="Arial" w:cs="Arial" w:eastAsia="Arial" w:hAnsi="Arial"/>
                <w:sz w:val="16"/>
                <w:szCs w:val="16"/>
                <w:b w:val="1"/>
                <w:bCs w:val="1"/>
                <w:color w:val="auto"/>
              </w:rPr>
              <w:t>Six Months Ended June 30,</w:t>
            </w:r>
          </w:p>
        </w:tc>
      </w:tr>
      <w:tr>
        <w:trPr>
          <w:trHeight w:val="209"/>
        </w:trPr>
        <w:tc>
          <w:tcPr>
            <w:tcW w:w="542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thousands)</w:t>
            </w:r>
          </w:p>
        </w:tc>
        <w:tc>
          <w:tcPr>
            <w:tcW w:w="20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33"/>
              <w:spacing w:after="0"/>
              <w:rPr>
                <w:sz w:val="20"/>
                <w:szCs w:val="20"/>
                <w:color w:val="auto"/>
              </w:rPr>
            </w:pPr>
            <w:r>
              <w:rPr>
                <w:rFonts w:ascii="Arial" w:cs="Arial" w:eastAsia="Arial" w:hAnsi="Arial"/>
                <w:sz w:val="16"/>
                <w:szCs w:val="16"/>
                <w:b w:val="1"/>
                <w:bCs w:val="1"/>
                <w:color w:val="auto"/>
              </w:rPr>
              <w:t>2024</w:t>
            </w:r>
          </w:p>
        </w:tc>
        <w:tc>
          <w:tcPr>
            <w:tcW w:w="8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6"/>
                <w:szCs w:val="16"/>
                <w:b w:val="1"/>
                <w:bCs w:val="1"/>
                <w:color w:val="auto"/>
              </w:rPr>
              <w:t>2023</w:t>
            </w:r>
          </w:p>
        </w:tc>
        <w:tc>
          <w:tcPr>
            <w:tcW w:w="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33"/>
              <w:spacing w:after="0"/>
              <w:rPr>
                <w:sz w:val="20"/>
                <w:szCs w:val="20"/>
                <w:color w:val="auto"/>
              </w:rPr>
            </w:pPr>
            <w:r>
              <w:rPr>
                <w:rFonts w:ascii="Arial" w:cs="Arial" w:eastAsia="Arial" w:hAnsi="Arial"/>
                <w:sz w:val="16"/>
                <w:szCs w:val="16"/>
                <w:b w:val="1"/>
                <w:bCs w:val="1"/>
                <w:color w:val="auto"/>
              </w:rPr>
              <w:t>2024</w:t>
            </w:r>
          </w:p>
        </w:tc>
        <w:tc>
          <w:tcPr>
            <w:tcW w:w="8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2023</w:t>
            </w:r>
          </w:p>
        </w:tc>
      </w:tr>
      <w:tr>
        <w:trPr>
          <w:trHeight w:val="223"/>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Subscription revenue</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202,538</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176,767</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400,173</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347,865</w:t>
            </w:r>
          </w:p>
        </w:tc>
      </w:tr>
      <w:tr>
        <w:trPr>
          <w:trHeight w:val="229"/>
        </w:trPr>
        <w:tc>
          <w:tcPr>
            <w:tcW w:w="5420" w:type="dxa"/>
            <w:vAlign w:val="bottom"/>
          </w:tcPr>
          <w:p>
            <w:pPr>
              <w:ind w:left="20"/>
              <w:spacing w:after="0"/>
              <w:rPr>
                <w:sz w:val="20"/>
                <w:szCs w:val="20"/>
                <w:color w:val="auto"/>
              </w:rPr>
            </w:pPr>
            <w:r>
              <w:rPr>
                <w:rFonts w:ascii="Arial" w:cs="Arial" w:eastAsia="Arial" w:hAnsi="Arial"/>
                <w:sz w:val="18"/>
                <w:szCs w:val="18"/>
                <w:color w:val="auto"/>
              </w:rPr>
              <w:t>Perpetual license and maintenance revenue</w:t>
            </w: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12,016</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12,154</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24,172</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24,335</w:t>
            </w:r>
          </w:p>
        </w:tc>
      </w:tr>
      <w:tr>
        <w:trPr>
          <w:trHeight w:val="229"/>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Professional services and other revenue</w:t>
            </w: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6,687</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6,115</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12,857</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11,675</w:t>
            </w:r>
          </w:p>
        </w:tc>
      </w:tr>
      <w:tr>
        <w:trPr>
          <w:trHeight w:val="223"/>
        </w:trPr>
        <w:tc>
          <w:tcPr>
            <w:tcW w:w="5420" w:type="dxa"/>
            <w:vAlign w:val="bottom"/>
          </w:tcPr>
          <w:p>
            <w:pPr>
              <w:ind w:left="220"/>
              <w:spacing w:after="0" w:line="223" w:lineRule="exact"/>
              <w:rPr>
                <w:sz w:val="20"/>
                <w:szCs w:val="20"/>
                <w:color w:val="auto"/>
              </w:rPr>
            </w:pPr>
            <w:r>
              <w:rPr>
                <w:rFonts w:ascii="Arial" w:cs="Arial" w:eastAsia="Arial" w:hAnsi="Arial"/>
                <w:sz w:val="18"/>
                <w:szCs w:val="18"/>
                <w:color w:val="auto"/>
              </w:rPr>
              <w:t>Revenue</w:t>
            </w:r>
            <w:r>
              <w:rPr>
                <w:rFonts w:ascii="Arial" w:cs="Arial" w:eastAsia="Arial" w:hAnsi="Arial"/>
                <w:sz w:val="23"/>
                <w:szCs w:val="23"/>
                <w:color w:val="auto"/>
                <w:vertAlign w:val="superscript"/>
              </w:rPr>
              <w:t>(1)</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221,241</w:t>
            </w: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195,036</w:t>
            </w:r>
          </w:p>
        </w:tc>
        <w:tc>
          <w:tcPr>
            <w:tcW w:w="8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437,202</w:t>
            </w: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383,875</w:t>
            </w:r>
          </w:p>
        </w:tc>
      </w:tr>
      <w:tr>
        <w:trPr>
          <w:trHeight w:val="20"/>
        </w:trPr>
        <w:tc>
          <w:tcPr>
            <w:tcW w:w="54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35"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w:t>
      </w:r>
    </w:p>
    <w:p>
      <w:pPr>
        <w:spacing w:after="0" w:line="48" w:lineRule="exact"/>
        <w:rPr>
          <w:sz w:val="20"/>
          <w:szCs w:val="20"/>
          <w:color w:val="auto"/>
        </w:rPr>
      </w:pPr>
    </w:p>
    <w:p>
      <w:pPr>
        <w:jc w:val="both"/>
        <w:ind w:right="260" w:firstLine="8"/>
        <w:spacing w:after="0" w:line="238" w:lineRule="auto"/>
        <w:tabs>
          <w:tab w:leader="none" w:pos="246" w:val="left"/>
        </w:tabs>
        <w:numPr>
          <w:ilvl w:val="0"/>
          <w:numId w:val="9"/>
        </w:numPr>
        <w:rPr>
          <w:rFonts w:ascii="Arial" w:cs="Arial" w:eastAsia="Arial" w:hAnsi="Arial"/>
          <w:sz w:val="21"/>
          <w:szCs w:val="21"/>
          <w:color w:val="auto"/>
          <w:vertAlign w:val="superscript"/>
        </w:rPr>
      </w:pPr>
      <w:r>
        <w:rPr>
          <w:rFonts w:ascii="Arial" w:cs="Arial" w:eastAsia="Arial" w:hAnsi="Arial"/>
          <w:sz w:val="16"/>
          <w:szCs w:val="16"/>
          <w:color w:val="auto"/>
        </w:rPr>
        <w:t>Recurring revenue, which includes revenue from subscription arrangements for software (both recognized ratably over the subscription term and upon delivery) and cloud-based solutions and maintenance associated with perpetual licenses, represented 96% of revenue in the three and six months ended June 30, 2024 and 95% of revenue in the three and six months ended June 30, 2023.</w:t>
      </w:r>
    </w:p>
    <w:p>
      <w:pPr>
        <w:spacing w:after="0" w:line="233"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5420" w:type="dxa"/>
            <w:vAlign w:val="bottom"/>
          </w:tcPr>
          <w:p>
            <w:pPr>
              <w:ind w:left="20"/>
              <w:spacing w:after="0"/>
              <w:rPr>
                <w:sz w:val="20"/>
                <w:szCs w:val="20"/>
                <w:color w:val="auto"/>
              </w:rPr>
            </w:pPr>
            <w:r>
              <w:rPr>
                <w:rFonts w:ascii="Arial" w:cs="Arial" w:eastAsia="Arial" w:hAnsi="Arial"/>
                <w:sz w:val="16"/>
                <w:szCs w:val="16"/>
                <w:b w:val="1"/>
                <w:bCs w:val="1"/>
                <w:color w:val="auto"/>
              </w:rPr>
              <w:t>Calculated Current Billings</w:t>
            </w:r>
          </w:p>
        </w:tc>
        <w:tc>
          <w:tcPr>
            <w:tcW w:w="200" w:type="dxa"/>
            <w:vAlign w:val="bottom"/>
          </w:tcPr>
          <w:p>
            <w:pPr>
              <w:spacing w:after="0"/>
              <w:rPr>
                <w:sz w:val="18"/>
                <w:szCs w:val="18"/>
                <w:color w:val="auto"/>
              </w:rPr>
            </w:pPr>
          </w:p>
        </w:tc>
        <w:tc>
          <w:tcPr>
            <w:tcW w:w="2720" w:type="dxa"/>
            <w:vAlign w:val="bottom"/>
            <w:gridSpan w:val="5"/>
          </w:tcPr>
          <w:p>
            <w:pPr>
              <w:ind w:left="80"/>
              <w:spacing w:after="0"/>
              <w:rPr>
                <w:sz w:val="20"/>
                <w:szCs w:val="20"/>
                <w:color w:val="auto"/>
              </w:rPr>
            </w:pPr>
            <w:r>
              <w:rPr>
                <w:rFonts w:ascii="Arial" w:cs="Arial" w:eastAsia="Arial" w:hAnsi="Arial"/>
                <w:sz w:val="16"/>
                <w:szCs w:val="16"/>
                <w:b w:val="1"/>
                <w:bCs w:val="1"/>
                <w:color w:val="auto"/>
              </w:rPr>
              <w:t>Three Months Ended June 30,</w:t>
            </w:r>
          </w:p>
        </w:tc>
        <w:tc>
          <w:tcPr>
            <w:tcW w:w="260" w:type="dxa"/>
            <w:vAlign w:val="bottom"/>
          </w:tcPr>
          <w:p>
            <w:pPr>
              <w:spacing w:after="0"/>
              <w:rPr>
                <w:sz w:val="18"/>
                <w:szCs w:val="18"/>
                <w:color w:val="auto"/>
              </w:rPr>
            </w:pPr>
          </w:p>
        </w:tc>
        <w:tc>
          <w:tcPr>
            <w:tcW w:w="2600" w:type="dxa"/>
            <w:vAlign w:val="bottom"/>
            <w:gridSpan w:val="4"/>
          </w:tcPr>
          <w:p>
            <w:pPr>
              <w:jc w:val="right"/>
              <w:ind w:right="292"/>
              <w:spacing w:after="0"/>
              <w:rPr>
                <w:sz w:val="20"/>
                <w:szCs w:val="20"/>
                <w:color w:val="auto"/>
              </w:rPr>
            </w:pPr>
            <w:r>
              <w:rPr>
                <w:rFonts w:ascii="Arial" w:cs="Arial" w:eastAsia="Arial" w:hAnsi="Arial"/>
                <w:sz w:val="16"/>
                <w:szCs w:val="16"/>
                <w:b w:val="1"/>
                <w:bCs w:val="1"/>
                <w:color w:val="auto"/>
              </w:rPr>
              <w:t>Six Months Ended June 30,</w:t>
            </w:r>
          </w:p>
        </w:tc>
      </w:tr>
      <w:tr>
        <w:trPr>
          <w:trHeight w:val="209"/>
        </w:trPr>
        <w:tc>
          <w:tcPr>
            <w:tcW w:w="542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thousands)</w:t>
            </w:r>
          </w:p>
        </w:tc>
        <w:tc>
          <w:tcPr>
            <w:tcW w:w="20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33"/>
              <w:spacing w:after="0"/>
              <w:rPr>
                <w:sz w:val="20"/>
                <w:szCs w:val="20"/>
                <w:color w:val="auto"/>
              </w:rPr>
            </w:pPr>
            <w:r>
              <w:rPr>
                <w:rFonts w:ascii="Arial" w:cs="Arial" w:eastAsia="Arial" w:hAnsi="Arial"/>
                <w:sz w:val="16"/>
                <w:szCs w:val="16"/>
                <w:b w:val="1"/>
                <w:bCs w:val="1"/>
                <w:color w:val="auto"/>
              </w:rPr>
              <w:t>2024</w:t>
            </w:r>
          </w:p>
        </w:tc>
        <w:tc>
          <w:tcPr>
            <w:tcW w:w="8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6"/>
                <w:szCs w:val="16"/>
                <w:b w:val="1"/>
                <w:bCs w:val="1"/>
                <w:color w:val="auto"/>
              </w:rPr>
              <w:t>2023</w:t>
            </w:r>
          </w:p>
        </w:tc>
        <w:tc>
          <w:tcPr>
            <w:tcW w:w="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33"/>
              <w:spacing w:after="0"/>
              <w:rPr>
                <w:sz w:val="20"/>
                <w:szCs w:val="20"/>
                <w:color w:val="auto"/>
              </w:rPr>
            </w:pPr>
            <w:r>
              <w:rPr>
                <w:rFonts w:ascii="Arial" w:cs="Arial" w:eastAsia="Arial" w:hAnsi="Arial"/>
                <w:sz w:val="16"/>
                <w:szCs w:val="16"/>
                <w:b w:val="1"/>
                <w:bCs w:val="1"/>
                <w:color w:val="auto"/>
              </w:rPr>
              <w:t>2024</w:t>
            </w:r>
          </w:p>
        </w:tc>
        <w:tc>
          <w:tcPr>
            <w:tcW w:w="8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2023</w:t>
            </w:r>
          </w:p>
        </w:tc>
      </w:tr>
      <w:tr>
        <w:trPr>
          <w:trHeight w:val="223"/>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center"/>
              <w:ind w:left="273"/>
              <w:spacing w:after="0"/>
              <w:rPr>
                <w:sz w:val="20"/>
                <w:szCs w:val="20"/>
                <w:color w:val="auto"/>
              </w:rPr>
            </w:pPr>
            <w:r>
              <w:rPr>
                <w:rFonts w:ascii="Arial" w:cs="Arial" w:eastAsia="Arial" w:hAnsi="Arial"/>
                <w:sz w:val="18"/>
                <w:szCs w:val="18"/>
                <w:color w:val="auto"/>
              </w:rPr>
              <w:t>221,241</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center"/>
              <w:ind w:left="192"/>
              <w:spacing w:after="0"/>
              <w:rPr>
                <w:sz w:val="20"/>
                <w:szCs w:val="20"/>
                <w:color w:val="auto"/>
              </w:rPr>
            </w:pPr>
            <w:r>
              <w:rPr>
                <w:rFonts w:ascii="Arial" w:cs="Arial" w:eastAsia="Arial" w:hAnsi="Arial"/>
                <w:sz w:val="18"/>
                <w:szCs w:val="18"/>
                <w:color w:val="auto"/>
                <w:w w:val="98"/>
              </w:rPr>
              <w:t>195,036</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center"/>
              <w:ind w:left="233"/>
              <w:spacing w:after="0"/>
              <w:rPr>
                <w:sz w:val="20"/>
                <w:szCs w:val="20"/>
                <w:color w:val="auto"/>
              </w:rPr>
            </w:pPr>
            <w:r>
              <w:rPr>
                <w:rFonts w:ascii="Arial" w:cs="Arial" w:eastAsia="Arial" w:hAnsi="Arial"/>
                <w:sz w:val="18"/>
                <w:szCs w:val="18"/>
                <w:color w:val="auto"/>
              </w:rPr>
              <w:t>437,202</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center"/>
              <w:ind w:left="172"/>
              <w:spacing w:after="0"/>
              <w:rPr>
                <w:sz w:val="20"/>
                <w:szCs w:val="20"/>
                <w:color w:val="auto"/>
              </w:rPr>
            </w:pPr>
            <w:r>
              <w:rPr>
                <w:rFonts w:ascii="Arial" w:cs="Arial" w:eastAsia="Arial" w:hAnsi="Arial"/>
                <w:sz w:val="18"/>
                <w:szCs w:val="18"/>
                <w:color w:val="auto"/>
                <w:w w:val="98"/>
              </w:rPr>
              <w:t>383,875</w:t>
            </w:r>
          </w:p>
        </w:tc>
      </w:tr>
      <w:tr>
        <w:trPr>
          <w:trHeight w:val="229"/>
        </w:trPr>
        <w:tc>
          <w:tcPr>
            <w:tcW w:w="5420" w:type="dxa"/>
            <w:vAlign w:val="bottom"/>
          </w:tcPr>
          <w:p>
            <w:pPr>
              <w:ind w:left="20"/>
              <w:spacing w:after="0"/>
              <w:rPr>
                <w:sz w:val="20"/>
                <w:szCs w:val="20"/>
                <w:color w:val="auto"/>
              </w:rPr>
            </w:pPr>
            <w:r>
              <w:rPr>
                <w:rFonts w:ascii="Arial" w:cs="Arial" w:eastAsia="Arial" w:hAnsi="Arial"/>
                <w:sz w:val="18"/>
                <w:szCs w:val="18"/>
                <w:color w:val="auto"/>
              </w:rPr>
              <w:t>Deferred revenue (current), end of period</w:t>
            </w:r>
          </w:p>
        </w:tc>
        <w:tc>
          <w:tcPr>
            <w:tcW w:w="200" w:type="dxa"/>
            <w:vAlign w:val="bottom"/>
          </w:tcPr>
          <w:p>
            <w:pPr>
              <w:spacing w:after="0"/>
              <w:rPr>
                <w:sz w:val="19"/>
                <w:szCs w:val="19"/>
                <w:color w:val="auto"/>
              </w:rPr>
            </w:pPr>
          </w:p>
        </w:tc>
        <w:tc>
          <w:tcPr>
            <w:tcW w:w="1180" w:type="dxa"/>
            <w:vAlign w:val="bottom"/>
          </w:tcPr>
          <w:p>
            <w:pPr>
              <w:jc w:val="center"/>
              <w:ind w:left="273"/>
              <w:spacing w:after="0"/>
              <w:rPr>
                <w:sz w:val="20"/>
                <w:szCs w:val="20"/>
                <w:color w:val="auto"/>
              </w:rPr>
            </w:pPr>
            <w:r>
              <w:rPr>
                <w:rFonts w:ascii="Arial" w:cs="Arial" w:eastAsia="Arial" w:hAnsi="Arial"/>
                <w:sz w:val="18"/>
                <w:szCs w:val="18"/>
                <w:color w:val="auto"/>
              </w:rPr>
              <w:t>562,587</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center"/>
              <w:ind w:left="192"/>
              <w:spacing w:after="0"/>
              <w:rPr>
                <w:sz w:val="20"/>
                <w:szCs w:val="20"/>
                <w:color w:val="auto"/>
              </w:rPr>
            </w:pPr>
            <w:r>
              <w:rPr>
                <w:rFonts w:ascii="Arial" w:cs="Arial" w:eastAsia="Arial" w:hAnsi="Arial"/>
                <w:sz w:val="18"/>
                <w:szCs w:val="18"/>
                <w:color w:val="auto"/>
                <w:w w:val="98"/>
              </w:rPr>
              <w:t>495,199</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center"/>
              <w:ind w:left="233"/>
              <w:spacing w:after="0"/>
              <w:rPr>
                <w:sz w:val="20"/>
                <w:szCs w:val="20"/>
                <w:color w:val="auto"/>
              </w:rPr>
            </w:pPr>
            <w:r>
              <w:rPr>
                <w:rFonts w:ascii="Arial" w:cs="Arial" w:eastAsia="Arial" w:hAnsi="Arial"/>
                <w:sz w:val="18"/>
                <w:szCs w:val="18"/>
                <w:color w:val="auto"/>
              </w:rPr>
              <w:t>562,587</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center"/>
              <w:ind w:left="172"/>
              <w:spacing w:after="0"/>
              <w:rPr>
                <w:sz w:val="20"/>
                <w:szCs w:val="20"/>
                <w:color w:val="auto"/>
              </w:rPr>
            </w:pPr>
            <w:r>
              <w:rPr>
                <w:rFonts w:ascii="Arial" w:cs="Arial" w:eastAsia="Arial" w:hAnsi="Arial"/>
                <w:sz w:val="18"/>
                <w:szCs w:val="18"/>
                <w:color w:val="auto"/>
                <w:w w:val="98"/>
              </w:rPr>
              <w:t>495,199</w:t>
            </w:r>
          </w:p>
        </w:tc>
      </w:tr>
      <w:tr>
        <w:trPr>
          <w:trHeight w:val="229"/>
        </w:trPr>
        <w:tc>
          <w:tcPr>
            <w:tcW w:w="54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Deferred revenue (current), beginning of period</w:t>
            </w:r>
            <w:r>
              <w:rPr>
                <w:rFonts w:ascii="Arial" w:cs="Arial" w:eastAsia="Arial" w:hAnsi="Arial"/>
                <w:sz w:val="23"/>
                <w:szCs w:val="23"/>
                <w:color w:val="auto"/>
                <w:vertAlign w:val="superscript"/>
              </w:rPr>
              <w:t>(1)</w:t>
            </w: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center"/>
              <w:ind w:left="253"/>
              <w:spacing w:after="0"/>
              <w:rPr>
                <w:sz w:val="20"/>
                <w:szCs w:val="20"/>
                <w:color w:val="auto"/>
              </w:rPr>
            </w:pPr>
            <w:r>
              <w:rPr>
                <w:rFonts w:ascii="Arial" w:cs="Arial" w:eastAsia="Arial" w:hAnsi="Arial"/>
                <w:sz w:val="18"/>
                <w:szCs w:val="18"/>
                <w:color w:val="auto"/>
                <w:w w:val="98"/>
              </w:rPr>
              <w:t>(562,683)</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center"/>
              <w:ind w:left="172"/>
              <w:spacing w:after="0"/>
              <w:rPr>
                <w:sz w:val="20"/>
                <w:szCs w:val="20"/>
                <w:color w:val="auto"/>
              </w:rPr>
            </w:pPr>
            <w:r>
              <w:rPr>
                <w:rFonts w:ascii="Arial" w:cs="Arial" w:eastAsia="Arial" w:hAnsi="Arial"/>
                <w:sz w:val="18"/>
                <w:szCs w:val="18"/>
                <w:color w:val="auto"/>
              </w:rPr>
              <w:t>(490,076)</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center"/>
              <w:ind w:left="213"/>
              <w:spacing w:after="0"/>
              <w:rPr>
                <w:sz w:val="20"/>
                <w:szCs w:val="20"/>
                <w:color w:val="auto"/>
              </w:rPr>
            </w:pPr>
            <w:r>
              <w:rPr>
                <w:rFonts w:ascii="Arial" w:cs="Arial" w:eastAsia="Arial" w:hAnsi="Arial"/>
                <w:sz w:val="18"/>
                <w:szCs w:val="18"/>
                <w:color w:val="auto"/>
                <w:w w:val="98"/>
              </w:rPr>
              <w:t>(580,887)</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center"/>
              <w:ind w:left="172"/>
              <w:spacing w:after="0"/>
              <w:rPr>
                <w:sz w:val="20"/>
                <w:szCs w:val="20"/>
                <w:color w:val="auto"/>
              </w:rPr>
            </w:pPr>
            <w:r>
              <w:rPr>
                <w:rFonts w:ascii="Arial" w:cs="Arial" w:eastAsia="Arial" w:hAnsi="Arial"/>
                <w:sz w:val="18"/>
                <w:szCs w:val="18"/>
                <w:color w:val="auto"/>
                <w:w w:val="98"/>
              </w:rPr>
              <w:t>(502,115)</w:t>
            </w:r>
          </w:p>
        </w:tc>
      </w:tr>
      <w:tr>
        <w:trPr>
          <w:trHeight w:val="223"/>
        </w:trPr>
        <w:tc>
          <w:tcPr>
            <w:tcW w:w="5420" w:type="dxa"/>
            <w:vAlign w:val="bottom"/>
          </w:tcPr>
          <w:p>
            <w:pPr>
              <w:ind w:left="220"/>
              <w:spacing w:after="0"/>
              <w:rPr>
                <w:sz w:val="20"/>
                <w:szCs w:val="20"/>
                <w:color w:val="auto"/>
              </w:rPr>
            </w:pPr>
            <w:r>
              <w:rPr>
                <w:rFonts w:ascii="Arial" w:cs="Arial" w:eastAsia="Arial" w:hAnsi="Arial"/>
                <w:sz w:val="18"/>
                <w:szCs w:val="18"/>
                <w:color w:val="auto"/>
              </w:rPr>
              <w:t>Calculated current billings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center"/>
              <w:ind w:left="273"/>
              <w:spacing w:after="0"/>
              <w:rPr>
                <w:sz w:val="20"/>
                <w:szCs w:val="20"/>
                <w:color w:val="auto"/>
              </w:rPr>
            </w:pPr>
            <w:r>
              <w:rPr>
                <w:rFonts w:ascii="Arial" w:cs="Arial" w:eastAsia="Arial" w:hAnsi="Arial"/>
                <w:sz w:val="18"/>
                <w:szCs w:val="18"/>
                <w:color w:val="auto"/>
              </w:rPr>
              <w:t>221,145</w:t>
            </w: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center"/>
              <w:ind w:left="192"/>
              <w:spacing w:after="0"/>
              <w:rPr>
                <w:sz w:val="20"/>
                <w:szCs w:val="20"/>
                <w:color w:val="auto"/>
              </w:rPr>
            </w:pPr>
            <w:r>
              <w:rPr>
                <w:rFonts w:ascii="Arial" w:cs="Arial" w:eastAsia="Arial" w:hAnsi="Arial"/>
                <w:sz w:val="18"/>
                <w:szCs w:val="18"/>
                <w:color w:val="auto"/>
                <w:w w:val="98"/>
              </w:rPr>
              <w:t>200,159</w:t>
            </w:r>
          </w:p>
        </w:tc>
        <w:tc>
          <w:tcPr>
            <w:tcW w:w="8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center"/>
              <w:ind w:left="233"/>
              <w:spacing w:after="0"/>
              <w:rPr>
                <w:sz w:val="20"/>
                <w:szCs w:val="20"/>
                <w:color w:val="auto"/>
              </w:rPr>
            </w:pPr>
            <w:r>
              <w:rPr>
                <w:rFonts w:ascii="Arial" w:cs="Arial" w:eastAsia="Arial" w:hAnsi="Arial"/>
                <w:sz w:val="18"/>
                <w:szCs w:val="18"/>
                <w:color w:val="auto"/>
              </w:rPr>
              <w:t>418,902</w:t>
            </w: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center"/>
              <w:ind w:left="172"/>
              <w:spacing w:after="0"/>
              <w:rPr>
                <w:sz w:val="20"/>
                <w:szCs w:val="20"/>
                <w:color w:val="auto"/>
              </w:rPr>
            </w:pPr>
            <w:r>
              <w:rPr>
                <w:rFonts w:ascii="Arial" w:cs="Arial" w:eastAsia="Arial" w:hAnsi="Arial"/>
                <w:sz w:val="18"/>
                <w:szCs w:val="18"/>
                <w:color w:val="auto"/>
                <w:w w:val="98"/>
              </w:rPr>
              <w:t>376,959</w:t>
            </w:r>
          </w:p>
        </w:tc>
      </w:tr>
      <w:tr>
        <w:trPr>
          <w:trHeight w:val="21"/>
        </w:trPr>
        <w:tc>
          <w:tcPr>
            <w:tcW w:w="54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30"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w:t>
      </w:r>
    </w:p>
    <w:p>
      <w:pPr>
        <w:spacing w:after="0" w:line="46" w:lineRule="exact"/>
        <w:rPr>
          <w:sz w:val="20"/>
          <w:szCs w:val="20"/>
          <w:color w:val="auto"/>
        </w:rPr>
      </w:pPr>
    </w:p>
    <w:p>
      <w:pPr>
        <w:ind w:right="440" w:firstLine="8"/>
        <w:spacing w:after="0" w:line="235" w:lineRule="auto"/>
        <w:tabs>
          <w:tab w:leader="none" w:pos="246" w:val="left"/>
        </w:tabs>
        <w:numPr>
          <w:ilvl w:val="0"/>
          <w:numId w:val="10"/>
        </w:numPr>
        <w:rPr>
          <w:rFonts w:ascii="Arial" w:cs="Arial" w:eastAsia="Arial" w:hAnsi="Arial"/>
          <w:sz w:val="21"/>
          <w:szCs w:val="21"/>
          <w:color w:val="auto"/>
          <w:vertAlign w:val="superscript"/>
        </w:rPr>
      </w:pPr>
      <w:r>
        <w:rPr>
          <w:rFonts w:ascii="Arial" w:cs="Arial" w:eastAsia="Arial" w:hAnsi="Arial"/>
          <w:sz w:val="16"/>
          <w:szCs w:val="16"/>
          <w:color w:val="auto"/>
        </w:rPr>
        <w:t>Deferred revenue (current), beginning of period for the three and six months ended June 30, 2024 includes $0.1 million related to acquired deferred revenue.</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360" w:type="dxa"/>
            <w:vAlign w:val="bottom"/>
          </w:tcPr>
          <w:p>
            <w:pPr>
              <w:ind w:left="20"/>
              <w:spacing w:after="0"/>
              <w:rPr>
                <w:sz w:val="20"/>
                <w:szCs w:val="20"/>
                <w:color w:val="auto"/>
              </w:rPr>
            </w:pPr>
            <w:r>
              <w:rPr>
                <w:rFonts w:ascii="Arial" w:cs="Arial" w:eastAsia="Arial" w:hAnsi="Arial"/>
                <w:sz w:val="16"/>
                <w:szCs w:val="16"/>
                <w:b w:val="1"/>
                <w:bCs w:val="1"/>
                <w:color w:val="auto"/>
              </w:rPr>
              <w:t>Remaining Performance Obligations</w:t>
            </w: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jc w:val="center"/>
              <w:ind w:left="653"/>
              <w:spacing w:after="0"/>
              <w:rPr>
                <w:sz w:val="20"/>
                <w:szCs w:val="20"/>
                <w:color w:val="auto"/>
              </w:rPr>
            </w:pPr>
            <w:r>
              <w:rPr>
                <w:rFonts w:ascii="Arial" w:cs="Arial" w:eastAsia="Arial" w:hAnsi="Arial"/>
                <w:sz w:val="16"/>
                <w:szCs w:val="16"/>
                <w:b w:val="1"/>
                <w:bCs w:val="1"/>
                <w:color w:val="auto"/>
                <w:w w:val="99"/>
              </w:rPr>
              <w:t>June 30,</w:t>
            </w:r>
          </w:p>
        </w:tc>
        <w:tc>
          <w:tcPr>
            <w:tcW w:w="100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536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thousands)</w:t>
            </w:r>
          </w:p>
        </w:tc>
        <w:tc>
          <w:tcPr>
            <w:tcW w:w="220" w:type="dxa"/>
            <w:vAlign w:val="bottom"/>
            <w:tcBorders>
              <w:bottom w:val="single" w:sz="8" w:color="CCEEFF"/>
            </w:tcBorders>
          </w:tcPr>
          <w:p>
            <w:pPr>
              <w:spacing w:after="0"/>
              <w:rPr>
                <w:sz w:val="18"/>
                <w:szCs w:val="18"/>
                <w:color w:val="auto"/>
              </w:rPr>
            </w:pPr>
          </w:p>
        </w:tc>
        <w:tc>
          <w:tcPr>
            <w:tcW w:w="12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10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33"/>
              <w:spacing w:after="0"/>
              <w:rPr>
                <w:sz w:val="20"/>
                <w:szCs w:val="20"/>
                <w:color w:val="auto"/>
              </w:rPr>
            </w:pPr>
            <w:r>
              <w:rPr>
                <w:rFonts w:ascii="Arial" w:cs="Arial" w:eastAsia="Arial" w:hAnsi="Arial"/>
                <w:sz w:val="16"/>
                <w:szCs w:val="16"/>
                <w:b w:val="1"/>
                <w:bCs w:val="1"/>
                <w:color w:val="auto"/>
              </w:rPr>
              <w:t>2024</w:t>
            </w:r>
          </w:p>
        </w:tc>
        <w:tc>
          <w:tcPr>
            <w:tcW w:w="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32"/>
              <w:spacing w:after="0"/>
              <w:rPr>
                <w:sz w:val="20"/>
                <w:szCs w:val="20"/>
                <w:color w:val="auto"/>
              </w:rPr>
            </w:pPr>
            <w:r>
              <w:rPr>
                <w:rFonts w:ascii="Arial" w:cs="Arial" w:eastAsia="Arial" w:hAnsi="Arial"/>
                <w:sz w:val="16"/>
                <w:szCs w:val="16"/>
                <w:b w:val="1"/>
                <w:bCs w:val="1"/>
                <w:color w:val="auto"/>
              </w:rPr>
              <w:t>2023</w:t>
            </w:r>
          </w:p>
        </w:tc>
        <w:tc>
          <w:tcPr>
            <w:tcW w:w="20" w:type="dxa"/>
            <w:vAlign w:val="bottom"/>
          </w:tcPr>
          <w:p>
            <w:pPr>
              <w:spacing w:after="0"/>
              <w:rPr>
                <w:sz w:val="18"/>
                <w:szCs w:val="18"/>
                <w:color w:val="auto"/>
              </w:rPr>
            </w:pPr>
          </w:p>
        </w:tc>
      </w:tr>
      <w:tr>
        <w:trPr>
          <w:trHeight w:val="223"/>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Remaining performance obligations, short-term</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572,015</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503,960</w:t>
            </w:r>
          </w:p>
        </w:tc>
        <w:tc>
          <w:tcPr>
            <w:tcW w:w="20" w:type="dxa"/>
            <w:vAlign w:val="bottom"/>
          </w:tcPr>
          <w:p>
            <w:pPr>
              <w:spacing w:after="0"/>
              <w:rPr>
                <w:sz w:val="19"/>
                <w:szCs w:val="19"/>
                <w:color w:val="auto"/>
              </w:rPr>
            </w:pPr>
          </w:p>
        </w:tc>
      </w:tr>
      <w:tr>
        <w:trPr>
          <w:trHeight w:val="230"/>
        </w:trPr>
        <w:tc>
          <w:tcPr>
            <w:tcW w:w="5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Remaining performance obligations, long-term</w:t>
            </w:r>
          </w:p>
        </w:tc>
        <w:tc>
          <w:tcPr>
            <w:tcW w:w="22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175,526</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158,713</w:t>
            </w:r>
          </w:p>
        </w:tc>
        <w:tc>
          <w:tcPr>
            <w:tcW w:w="20" w:type="dxa"/>
            <w:vAlign w:val="bottom"/>
          </w:tcPr>
          <w:p>
            <w:pPr>
              <w:spacing w:after="0"/>
              <w:rPr>
                <w:sz w:val="19"/>
                <w:szCs w:val="19"/>
                <w:color w:val="auto"/>
              </w:rPr>
            </w:pPr>
          </w:p>
        </w:tc>
      </w:tr>
      <w:tr>
        <w:trPr>
          <w:trHeight w:val="248"/>
        </w:trPr>
        <w:tc>
          <w:tcPr>
            <w:tcW w:w="53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Remaining performance obligations</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747,541</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662,673</w:t>
            </w:r>
          </w:p>
        </w:tc>
        <w:tc>
          <w:tcPr>
            <w:tcW w:w="20" w:type="dxa"/>
            <w:vAlign w:val="bottom"/>
          </w:tcPr>
          <w:p>
            <w:pPr>
              <w:spacing w:after="0"/>
              <w:rPr>
                <w:sz w:val="21"/>
                <w:szCs w:val="21"/>
                <w:color w:val="auto"/>
              </w:rPr>
            </w:pP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gridSpan w:val="3"/>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8"/>
        </w:trPr>
        <w:tc>
          <w:tcPr>
            <w:tcW w:w="5360" w:type="dxa"/>
            <w:vAlign w:val="bottom"/>
          </w:tcPr>
          <w:p>
            <w:pPr>
              <w:ind w:left="20"/>
              <w:spacing w:after="0"/>
              <w:rPr>
                <w:sz w:val="20"/>
                <w:szCs w:val="20"/>
                <w:color w:val="auto"/>
              </w:rPr>
            </w:pPr>
            <w:r>
              <w:rPr>
                <w:rFonts w:ascii="Arial" w:cs="Arial" w:eastAsia="Arial" w:hAnsi="Arial"/>
                <w:sz w:val="16"/>
                <w:szCs w:val="16"/>
                <w:b w:val="1"/>
                <w:bCs w:val="1"/>
                <w:color w:val="auto"/>
              </w:rPr>
              <w:t>Free Cash Flow and Unlevered Free Cash Flow</w:t>
            </w:r>
          </w:p>
        </w:tc>
        <w:tc>
          <w:tcPr>
            <w:tcW w:w="220" w:type="dxa"/>
            <w:vAlign w:val="bottom"/>
          </w:tcPr>
          <w:p>
            <w:pPr>
              <w:spacing w:after="0"/>
              <w:rPr>
                <w:sz w:val="24"/>
                <w:szCs w:val="24"/>
                <w:color w:val="auto"/>
              </w:rPr>
            </w:pPr>
          </w:p>
        </w:tc>
        <w:tc>
          <w:tcPr>
            <w:tcW w:w="2780" w:type="dxa"/>
            <w:vAlign w:val="bottom"/>
            <w:gridSpan w:val="6"/>
          </w:tcPr>
          <w:p>
            <w:pPr>
              <w:ind w:left="80"/>
              <w:spacing w:after="0"/>
              <w:rPr>
                <w:sz w:val="20"/>
                <w:szCs w:val="20"/>
                <w:color w:val="auto"/>
              </w:rPr>
            </w:pPr>
            <w:r>
              <w:rPr>
                <w:rFonts w:ascii="Arial" w:cs="Arial" w:eastAsia="Arial" w:hAnsi="Arial"/>
                <w:sz w:val="16"/>
                <w:szCs w:val="16"/>
                <w:b w:val="1"/>
                <w:bCs w:val="1"/>
                <w:color w:val="auto"/>
              </w:rPr>
              <w:t>Three Months Ended June 30,</w:t>
            </w:r>
          </w:p>
        </w:tc>
        <w:tc>
          <w:tcPr>
            <w:tcW w:w="240" w:type="dxa"/>
            <w:vAlign w:val="bottom"/>
          </w:tcPr>
          <w:p>
            <w:pPr>
              <w:spacing w:after="0"/>
              <w:rPr>
                <w:sz w:val="24"/>
                <w:szCs w:val="24"/>
                <w:color w:val="auto"/>
              </w:rPr>
            </w:pPr>
          </w:p>
        </w:tc>
        <w:tc>
          <w:tcPr>
            <w:tcW w:w="2640" w:type="dxa"/>
            <w:vAlign w:val="bottom"/>
            <w:gridSpan w:val="5"/>
          </w:tcPr>
          <w:p>
            <w:pPr>
              <w:jc w:val="center"/>
              <w:ind w:right="260"/>
              <w:spacing w:after="0"/>
              <w:rPr>
                <w:sz w:val="20"/>
                <w:szCs w:val="20"/>
                <w:color w:val="auto"/>
              </w:rPr>
            </w:pPr>
            <w:r>
              <w:rPr>
                <w:rFonts w:ascii="Arial" w:cs="Arial" w:eastAsia="Arial" w:hAnsi="Arial"/>
                <w:sz w:val="16"/>
                <w:szCs w:val="16"/>
                <w:b w:val="1"/>
                <w:bCs w:val="1"/>
                <w:color w:val="auto"/>
              </w:rPr>
              <w:t>Six Months Ended June 30,</w:t>
            </w:r>
          </w:p>
        </w:tc>
      </w:tr>
      <w:tr>
        <w:trPr>
          <w:trHeight w:val="210"/>
        </w:trPr>
        <w:tc>
          <w:tcPr>
            <w:tcW w:w="536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thousands)</w:t>
            </w:r>
          </w:p>
        </w:tc>
        <w:tc>
          <w:tcPr>
            <w:tcW w:w="22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6"/>
                <w:szCs w:val="16"/>
                <w:b w:val="1"/>
                <w:bCs w:val="1"/>
                <w:color w:val="auto"/>
              </w:rPr>
              <w:t>2024</w:t>
            </w:r>
          </w:p>
        </w:tc>
        <w:tc>
          <w:tcPr>
            <w:tcW w:w="8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31"/>
              <w:spacing w:after="0"/>
              <w:rPr>
                <w:sz w:val="20"/>
                <w:szCs w:val="20"/>
                <w:color w:val="auto"/>
              </w:rPr>
            </w:pPr>
            <w:r>
              <w:rPr>
                <w:rFonts w:ascii="Arial" w:cs="Arial" w:eastAsia="Arial" w:hAnsi="Arial"/>
                <w:sz w:val="16"/>
                <w:szCs w:val="16"/>
                <w:b w:val="1"/>
                <w:bCs w:val="1"/>
                <w:color w:val="auto"/>
              </w:rPr>
              <w:t>2023</w:t>
            </w:r>
          </w:p>
        </w:tc>
        <w:tc>
          <w:tcPr>
            <w:tcW w:w="80" w:type="dxa"/>
            <w:vAlign w:val="bottom"/>
            <w:tcBorders>
              <w:bottom w:val="single" w:sz="8" w:color="CCEEFF"/>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33"/>
              <w:spacing w:after="0"/>
              <w:rPr>
                <w:sz w:val="20"/>
                <w:szCs w:val="20"/>
                <w:color w:val="auto"/>
              </w:rPr>
            </w:pPr>
            <w:r>
              <w:rPr>
                <w:rFonts w:ascii="Arial" w:cs="Arial" w:eastAsia="Arial" w:hAnsi="Arial"/>
                <w:sz w:val="16"/>
                <w:szCs w:val="16"/>
                <w:b w:val="1"/>
                <w:bCs w:val="1"/>
                <w:color w:val="auto"/>
              </w:rPr>
              <w:t>2024</w:t>
            </w:r>
          </w:p>
        </w:tc>
        <w:tc>
          <w:tcPr>
            <w:tcW w:w="80" w:type="dxa"/>
            <w:vAlign w:val="bottom"/>
            <w:tcBorders>
              <w:top w:val="single" w:sz="8" w:color="auto"/>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2023</w:t>
            </w:r>
          </w:p>
        </w:tc>
        <w:tc>
          <w:tcPr>
            <w:tcW w:w="20" w:type="dxa"/>
            <w:vAlign w:val="bottom"/>
            <w:tcBorders>
              <w:top w:val="single" w:sz="8" w:color="auto"/>
              <w:bottom w:val="single" w:sz="8" w:color="auto"/>
            </w:tcBorders>
          </w:tcPr>
          <w:p>
            <w:pPr>
              <w:spacing w:after="0"/>
              <w:rPr>
                <w:sz w:val="18"/>
                <w:szCs w:val="18"/>
                <w:color w:val="auto"/>
              </w:rPr>
            </w:pPr>
          </w:p>
        </w:tc>
      </w:tr>
      <w:tr>
        <w:trPr>
          <w:trHeight w:val="223"/>
        </w:trPr>
        <w:tc>
          <w:tcPr>
            <w:tcW w:w="5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31,424</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30,193</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81,750</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68,939</w:t>
            </w:r>
          </w:p>
        </w:tc>
        <w:tc>
          <w:tcPr>
            <w:tcW w:w="20" w:type="dxa"/>
            <w:vAlign w:val="bottom"/>
            <w:shd w:val="clear" w:color="auto" w:fill="CCEEFF"/>
          </w:tcPr>
          <w:p>
            <w:pPr>
              <w:spacing w:after="0"/>
              <w:rPr>
                <w:sz w:val="19"/>
                <w:szCs w:val="19"/>
                <w:color w:val="auto"/>
              </w:rPr>
            </w:pPr>
          </w:p>
        </w:tc>
      </w:tr>
      <w:tr>
        <w:trPr>
          <w:trHeight w:val="229"/>
        </w:trPr>
        <w:tc>
          <w:tcPr>
            <w:tcW w:w="5360" w:type="dxa"/>
            <w:vAlign w:val="bottom"/>
          </w:tcPr>
          <w:p>
            <w:pPr>
              <w:ind w:left="20"/>
              <w:spacing w:after="0"/>
              <w:rPr>
                <w:sz w:val="20"/>
                <w:szCs w:val="20"/>
                <w:color w:val="auto"/>
              </w:rPr>
            </w:pPr>
            <w:r>
              <w:rPr>
                <w:rFonts w:ascii="Arial" w:cs="Arial" w:eastAsia="Arial" w:hAnsi="Arial"/>
                <w:sz w:val="18"/>
                <w:szCs w:val="18"/>
                <w:color w:val="auto"/>
              </w:rPr>
              <w:t>Purchases of property and equipment</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(526)</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(711)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(1,191)</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(1,098)</w:t>
            </w:r>
          </w:p>
        </w:tc>
      </w:tr>
      <w:tr>
        <w:trPr>
          <w:trHeight w:val="230"/>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Capitalized software development costs</w:t>
            </w: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(2,235)</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(1,790)</w:t>
            </w: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(4,767)</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(2,813)</w:t>
            </w:r>
          </w:p>
        </w:tc>
      </w:tr>
      <w:tr>
        <w:trPr>
          <w:trHeight w:val="223"/>
        </w:trPr>
        <w:tc>
          <w:tcPr>
            <w:tcW w:w="5360" w:type="dxa"/>
            <w:vAlign w:val="bottom"/>
          </w:tcPr>
          <w:p>
            <w:pPr>
              <w:ind w:left="220"/>
              <w:spacing w:after="0" w:line="223" w:lineRule="exact"/>
              <w:rPr>
                <w:sz w:val="20"/>
                <w:szCs w:val="20"/>
                <w:color w:val="auto"/>
              </w:rPr>
            </w:pPr>
            <w:r>
              <w:rPr>
                <w:rFonts w:ascii="Arial" w:cs="Arial" w:eastAsia="Arial" w:hAnsi="Arial"/>
                <w:sz w:val="18"/>
                <w:szCs w:val="18"/>
                <w:color w:val="auto"/>
              </w:rPr>
              <w:t>Free cash flow</w:t>
            </w:r>
            <w:r>
              <w:rPr>
                <w:rFonts w:ascii="Arial" w:cs="Arial" w:eastAsia="Arial" w:hAnsi="Arial"/>
                <w:sz w:val="23"/>
                <w:szCs w:val="23"/>
                <w:color w:val="auto"/>
                <w:vertAlign w:val="superscript"/>
              </w:rPr>
              <w:t>(1)</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28,663</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27,692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75,792</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65,028</w:t>
            </w:r>
          </w:p>
        </w:tc>
        <w:tc>
          <w:tcPr>
            <w:tcW w:w="20" w:type="dxa"/>
            <w:vAlign w:val="bottom"/>
          </w:tcPr>
          <w:p>
            <w:pPr>
              <w:spacing w:after="0"/>
              <w:rPr>
                <w:sz w:val="19"/>
                <w:szCs w:val="19"/>
                <w:color w:val="auto"/>
              </w:rPr>
            </w:pPr>
          </w:p>
        </w:tc>
      </w:tr>
      <w:tr>
        <w:trPr>
          <w:trHeight w:val="230"/>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for interest and other financing costs</w:t>
            </w: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7,839</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12,123</w:t>
            </w: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15,450</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18,943</w:t>
            </w:r>
          </w:p>
        </w:tc>
        <w:tc>
          <w:tcPr>
            <w:tcW w:w="20" w:type="dxa"/>
            <w:vAlign w:val="bottom"/>
            <w:tcBorders>
              <w:bottom w:val="single" w:sz="8" w:color="auto"/>
            </w:tcBorders>
            <w:shd w:val="clear" w:color="auto" w:fill="CCEEFF"/>
          </w:tcPr>
          <w:p>
            <w:pPr>
              <w:spacing w:after="0"/>
              <w:rPr>
                <w:sz w:val="19"/>
                <w:szCs w:val="19"/>
                <w:color w:val="auto"/>
              </w:rPr>
            </w:pPr>
          </w:p>
        </w:tc>
      </w:tr>
      <w:tr>
        <w:trPr>
          <w:trHeight w:val="223"/>
        </w:trPr>
        <w:tc>
          <w:tcPr>
            <w:tcW w:w="5360" w:type="dxa"/>
            <w:vAlign w:val="bottom"/>
          </w:tcPr>
          <w:p>
            <w:pPr>
              <w:ind w:left="220"/>
              <w:spacing w:after="0" w:line="223" w:lineRule="exact"/>
              <w:rPr>
                <w:sz w:val="20"/>
                <w:szCs w:val="20"/>
                <w:color w:val="auto"/>
              </w:rPr>
            </w:pPr>
            <w:r>
              <w:rPr>
                <w:rFonts w:ascii="Arial" w:cs="Arial" w:eastAsia="Arial" w:hAnsi="Arial"/>
                <w:sz w:val="18"/>
                <w:szCs w:val="18"/>
                <w:color w:val="auto"/>
              </w:rPr>
              <w:t>Unlevered free cash flow</w:t>
            </w:r>
            <w:r>
              <w:rPr>
                <w:rFonts w:ascii="Arial" w:cs="Arial" w:eastAsia="Arial" w:hAnsi="Arial"/>
                <w:sz w:val="23"/>
                <w:szCs w:val="23"/>
                <w:color w:val="auto"/>
                <w:vertAlign w:val="superscript"/>
              </w:rPr>
              <w:t>(1)</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36,502</w:t>
            </w:r>
          </w:p>
        </w:tc>
        <w:tc>
          <w:tcPr>
            <w:tcW w:w="8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39,815</w:t>
            </w:r>
          </w:p>
        </w:tc>
        <w:tc>
          <w:tcPr>
            <w:tcW w:w="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91,242</w:t>
            </w:r>
          </w:p>
        </w:tc>
        <w:tc>
          <w:tcPr>
            <w:tcW w:w="8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83,971</w:t>
            </w:r>
          </w:p>
        </w:tc>
        <w:tc>
          <w:tcPr>
            <w:tcW w:w="20" w:type="dxa"/>
            <w:vAlign w:val="bottom"/>
            <w:tcBorders>
              <w:bottom w:val="single" w:sz="8" w:color="auto"/>
            </w:tcBorders>
          </w:tcPr>
          <w:p>
            <w:pPr>
              <w:spacing w:after="0"/>
              <w:rPr>
                <w:sz w:val="19"/>
                <w:szCs w:val="19"/>
                <w:color w:val="auto"/>
              </w:rPr>
            </w:pPr>
          </w:p>
        </w:tc>
      </w:tr>
      <w:tr>
        <w:trPr>
          <w:trHeight w:val="20"/>
        </w:trPr>
        <w:tc>
          <w:tcPr>
            <w:tcW w:w="5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bl>
    <w:p>
      <w:pPr>
        <w:spacing w:after="0" w:line="81"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w:t>
      </w:r>
    </w:p>
    <w:p>
      <w:pPr>
        <w:spacing w:after="0" w:line="21" w:lineRule="exact"/>
        <w:rPr>
          <w:sz w:val="20"/>
          <w:szCs w:val="20"/>
          <w:color w:val="auto"/>
        </w:rPr>
      </w:pPr>
    </w:p>
    <w:p>
      <w:pPr>
        <w:ind w:left="320" w:hanging="312"/>
        <w:spacing w:after="0"/>
        <w:tabs>
          <w:tab w:leader="none" w:pos="320" w:val="left"/>
        </w:tabs>
        <w:numPr>
          <w:ilvl w:val="0"/>
          <w:numId w:val="11"/>
        </w:numPr>
        <w:rPr>
          <w:rFonts w:ascii="Arial" w:cs="Arial" w:eastAsia="Arial" w:hAnsi="Arial"/>
          <w:sz w:val="21"/>
          <w:szCs w:val="21"/>
          <w:color w:val="auto"/>
          <w:vertAlign w:val="superscript"/>
        </w:rPr>
      </w:pPr>
      <w:r>
        <w:rPr>
          <w:rFonts w:ascii="Arial" w:cs="Arial" w:eastAsia="Arial" w:hAnsi="Arial"/>
          <w:sz w:val="16"/>
          <w:szCs w:val="16"/>
          <w:color w:val="auto"/>
        </w:rPr>
        <w:t>Free cash flow and unlevered free cash flow for the periods presented were impacted by:</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720" w:type="dxa"/>
            <w:vAlign w:val="bottom"/>
            <w:gridSpan w:val="5"/>
          </w:tcPr>
          <w:p>
            <w:pPr>
              <w:ind w:left="80"/>
              <w:spacing w:after="0"/>
              <w:rPr>
                <w:sz w:val="20"/>
                <w:szCs w:val="20"/>
                <w:color w:val="auto"/>
              </w:rPr>
            </w:pPr>
            <w:r>
              <w:rPr>
                <w:rFonts w:ascii="Arial" w:cs="Arial" w:eastAsia="Arial" w:hAnsi="Arial"/>
                <w:sz w:val="16"/>
                <w:szCs w:val="16"/>
                <w:b w:val="1"/>
                <w:bCs w:val="1"/>
                <w:color w:val="auto"/>
              </w:rPr>
              <w:t>Three Months Ended June 30,</w:t>
            </w:r>
          </w:p>
        </w:tc>
        <w:tc>
          <w:tcPr>
            <w:tcW w:w="240" w:type="dxa"/>
            <w:vAlign w:val="bottom"/>
          </w:tcPr>
          <w:p>
            <w:pPr>
              <w:spacing w:after="0"/>
              <w:rPr>
                <w:sz w:val="18"/>
                <w:szCs w:val="18"/>
                <w:color w:val="auto"/>
              </w:rPr>
            </w:pPr>
          </w:p>
        </w:tc>
        <w:tc>
          <w:tcPr>
            <w:tcW w:w="2620" w:type="dxa"/>
            <w:vAlign w:val="bottom"/>
            <w:gridSpan w:val="4"/>
          </w:tcPr>
          <w:p>
            <w:pPr>
              <w:jc w:val="right"/>
              <w:ind w:right="299"/>
              <w:spacing w:after="0"/>
              <w:rPr>
                <w:sz w:val="20"/>
                <w:szCs w:val="20"/>
                <w:color w:val="auto"/>
              </w:rPr>
            </w:pPr>
            <w:r>
              <w:rPr>
                <w:rFonts w:ascii="Arial" w:cs="Arial" w:eastAsia="Arial" w:hAnsi="Arial"/>
                <w:sz w:val="16"/>
                <w:szCs w:val="16"/>
                <w:b w:val="1"/>
                <w:bCs w:val="1"/>
                <w:color w:val="auto"/>
              </w:rPr>
              <w:t>Six Months Ended June 30,</w:t>
            </w:r>
          </w:p>
        </w:tc>
      </w:tr>
      <w:tr>
        <w:trPr>
          <w:trHeight w:val="209"/>
        </w:trPr>
        <w:tc>
          <w:tcPr>
            <w:tcW w:w="544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thousands)</w:t>
            </w:r>
          </w:p>
        </w:tc>
        <w:tc>
          <w:tcPr>
            <w:tcW w:w="20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2024</w:t>
            </w:r>
          </w:p>
        </w:tc>
        <w:tc>
          <w:tcPr>
            <w:tcW w:w="8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2023</w:t>
            </w:r>
          </w:p>
        </w:tc>
        <w:tc>
          <w:tcPr>
            <w:tcW w:w="8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2024</w:t>
            </w:r>
          </w:p>
        </w:tc>
        <w:tc>
          <w:tcPr>
            <w:tcW w:w="8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2023</w:t>
            </w:r>
          </w:p>
        </w:tc>
      </w:tr>
      <w:tr>
        <w:trPr>
          <w:trHeight w:val="210"/>
        </w:trPr>
        <w:tc>
          <w:tcPr>
            <w:tcW w:w="5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Employee stock purchase plan activity</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3,702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4,419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(2,630)</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(271)</w:t>
            </w:r>
          </w:p>
        </w:tc>
      </w:tr>
      <w:tr>
        <w:trPr>
          <w:trHeight w:val="215"/>
        </w:trPr>
        <w:tc>
          <w:tcPr>
            <w:tcW w:w="5440" w:type="dxa"/>
            <w:vAlign w:val="bottom"/>
          </w:tcPr>
          <w:p>
            <w:pPr>
              <w:ind w:left="20"/>
              <w:spacing w:after="0"/>
              <w:rPr>
                <w:sz w:val="20"/>
                <w:szCs w:val="20"/>
                <w:color w:val="auto"/>
              </w:rPr>
            </w:pPr>
            <w:r>
              <w:rPr>
                <w:rFonts w:ascii="Arial" w:cs="Arial" w:eastAsia="Arial" w:hAnsi="Arial"/>
                <w:sz w:val="16"/>
                <w:szCs w:val="16"/>
                <w:color w:val="auto"/>
              </w:rPr>
              <w:t>Acquisition-related expenses</w:t>
            </w: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(197)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(663)</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(259)</w:t>
            </w:r>
          </w:p>
        </w:tc>
      </w:tr>
      <w:tr>
        <w:trPr>
          <w:trHeight w:val="217"/>
        </w:trPr>
        <w:tc>
          <w:tcPr>
            <w:tcW w:w="54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Restructuring</w:t>
            </w: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(5,419)</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931"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5000" w:type="dxa"/>
            <w:vAlign w:val="bottom"/>
          </w:tcPr>
          <w:p>
            <w:pPr>
              <w:spacing w:after="0"/>
              <w:rPr>
                <w:sz w:val="20"/>
                <w:szCs w:val="20"/>
                <w:color w:val="auto"/>
              </w:rPr>
            </w:pPr>
            <w:r>
              <w:rPr>
                <w:rFonts w:ascii="Arial" w:cs="Arial" w:eastAsia="Arial" w:hAnsi="Arial"/>
                <w:sz w:val="16"/>
                <w:szCs w:val="16"/>
                <w:b w:val="1"/>
                <w:bCs w:val="1"/>
                <w:color w:val="auto"/>
              </w:rPr>
              <w:t>Non-GAAP Income from Operations and Non-GAAP Operating</w:t>
            </w:r>
          </w:p>
        </w:tc>
        <w:tc>
          <w:tcPr>
            <w:tcW w:w="240" w:type="dxa"/>
            <w:vAlign w:val="bottom"/>
          </w:tcPr>
          <w:p>
            <w:pPr>
              <w:spacing w:after="0"/>
              <w:rPr>
                <w:sz w:val="16"/>
                <w:szCs w:val="16"/>
                <w:color w:val="auto"/>
              </w:rPr>
            </w:pPr>
          </w:p>
        </w:tc>
        <w:tc>
          <w:tcPr>
            <w:tcW w:w="2640" w:type="dxa"/>
            <w:vAlign w:val="bottom"/>
            <w:gridSpan w:val="9"/>
            <w:vMerge w:val="restart"/>
          </w:tcPr>
          <w:p>
            <w:pPr>
              <w:jc w:val="right"/>
              <w:ind w:right="131"/>
              <w:spacing w:after="0"/>
              <w:rPr>
                <w:sz w:val="20"/>
                <w:szCs w:val="20"/>
                <w:color w:val="auto"/>
              </w:rPr>
            </w:pPr>
            <w:r>
              <w:rPr>
                <w:rFonts w:ascii="Arial" w:cs="Arial" w:eastAsia="Arial" w:hAnsi="Arial"/>
                <w:sz w:val="16"/>
                <w:szCs w:val="16"/>
                <w:b w:val="1"/>
                <w:bCs w:val="1"/>
                <w:color w:val="auto"/>
              </w:rPr>
              <w:t>Three Months Ended June 30,</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60" w:type="dxa"/>
            <w:vAlign w:val="bottom"/>
            <w:gridSpan w:val="7"/>
            <w:vMerge w:val="restart"/>
          </w:tcPr>
          <w:p>
            <w:pPr>
              <w:jc w:val="right"/>
              <w:ind w:right="411"/>
              <w:spacing w:after="0"/>
              <w:rPr>
                <w:sz w:val="20"/>
                <w:szCs w:val="20"/>
                <w:color w:val="auto"/>
              </w:rPr>
            </w:pPr>
            <w:r>
              <w:rPr>
                <w:rFonts w:ascii="Arial" w:cs="Arial" w:eastAsia="Arial" w:hAnsi="Arial"/>
                <w:sz w:val="16"/>
                <w:szCs w:val="16"/>
                <w:b w:val="1"/>
                <w:bCs w:val="1"/>
                <w:color w:val="auto"/>
              </w:rPr>
              <w:t>Six Months Ended June 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6"/>
                <w:szCs w:val="16"/>
                <w:b w:val="1"/>
                <w:bCs w:val="1"/>
                <w:color w:val="auto"/>
              </w:rPr>
              <w:t>Margin</w:t>
            </w:r>
          </w:p>
        </w:tc>
        <w:tc>
          <w:tcPr>
            <w:tcW w:w="24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gridSpan w:val="9"/>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gridSpan w:val="7"/>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Borders>
              <w:bottom w:val="single" w:sz="8" w:color="CCEEFF"/>
            </w:tcBorders>
          </w:tcPr>
          <w:p>
            <w:pPr>
              <w:spacing w:after="0"/>
              <w:rPr>
                <w:sz w:val="18"/>
                <w:szCs w:val="18"/>
                <w:color w:val="auto"/>
              </w:rPr>
            </w:pPr>
          </w:p>
        </w:tc>
        <w:tc>
          <w:tcPr>
            <w:tcW w:w="5000" w:type="dxa"/>
            <w:vAlign w:val="bottom"/>
            <w:tcBorders>
              <w:bottom w:val="single" w:sz="8" w:color="CCEEFF"/>
            </w:tcBorders>
          </w:tcPr>
          <w:p>
            <w:pPr>
              <w:spacing w:after="0"/>
              <w:rPr>
                <w:sz w:val="20"/>
                <w:szCs w:val="20"/>
                <w:color w:val="auto"/>
              </w:rPr>
            </w:pPr>
            <w:r>
              <w:rPr>
                <w:rFonts w:ascii="Arial" w:cs="Arial" w:eastAsia="Arial" w:hAnsi="Arial"/>
                <w:sz w:val="16"/>
                <w:szCs w:val="16"/>
                <w:b w:val="1"/>
                <w:bCs w:val="1"/>
                <w:color w:val="auto"/>
              </w:rPr>
              <w:t>(dollars in thousands)</w:t>
            </w:r>
          </w:p>
        </w:tc>
        <w:tc>
          <w:tcPr>
            <w:tcW w:w="2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91"/>
              <w:spacing w:after="0"/>
              <w:rPr>
                <w:sz w:val="20"/>
                <w:szCs w:val="20"/>
                <w:color w:val="auto"/>
              </w:rPr>
            </w:pPr>
            <w:r>
              <w:rPr>
                <w:rFonts w:ascii="Arial" w:cs="Arial" w:eastAsia="Arial" w:hAnsi="Arial"/>
                <w:sz w:val="16"/>
                <w:szCs w:val="16"/>
                <w:b w:val="1"/>
                <w:bCs w:val="1"/>
                <w:color w:val="auto"/>
                <w:w w:val="95"/>
              </w:rPr>
              <w:t>2024</w:t>
            </w:r>
          </w:p>
        </w:tc>
        <w:tc>
          <w:tcPr>
            <w:tcW w:w="18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11"/>
              <w:spacing w:after="0"/>
              <w:rPr>
                <w:sz w:val="20"/>
                <w:szCs w:val="20"/>
                <w:color w:val="auto"/>
              </w:rPr>
            </w:pPr>
            <w:r>
              <w:rPr>
                <w:rFonts w:ascii="Arial" w:cs="Arial" w:eastAsia="Arial" w:hAnsi="Arial"/>
                <w:sz w:val="16"/>
                <w:szCs w:val="16"/>
                <w:b w:val="1"/>
                <w:bCs w:val="1"/>
                <w:color w:val="auto"/>
              </w:rPr>
              <w:t>2023</w:t>
            </w:r>
          </w:p>
        </w:tc>
        <w:tc>
          <w:tcPr>
            <w:tcW w:w="16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rPr>
              <w:t>2024</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91"/>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(8,818)</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(10,745)</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(17,748)</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(29,901)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41,398</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37,860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ind w:right="151"/>
              <w:spacing w:after="0"/>
              <w:rPr>
                <w:sz w:val="20"/>
                <w:szCs w:val="20"/>
                <w:color w:val="auto"/>
              </w:rPr>
            </w:pPr>
            <w:r>
              <w:rPr>
                <w:rFonts w:ascii="Arial" w:cs="Arial" w:eastAsia="Arial" w:hAnsi="Arial"/>
                <w:sz w:val="18"/>
                <w:szCs w:val="18"/>
                <w:color w:val="auto"/>
              </w:rPr>
              <w:t>81,117</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ind w:right="151"/>
              <w:spacing w:after="0"/>
              <w:rPr>
                <w:sz w:val="20"/>
                <w:szCs w:val="20"/>
                <w:color w:val="auto"/>
              </w:rPr>
            </w:pPr>
            <w:r>
              <w:rPr>
                <w:rFonts w:ascii="Arial" w:cs="Arial" w:eastAsia="Arial" w:hAnsi="Arial"/>
                <w:sz w:val="18"/>
                <w:szCs w:val="18"/>
                <w:color w:val="auto"/>
              </w:rPr>
              <w:t>71,977</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Acquisition-related expenses</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w:t>
            </w: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924</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Restructuring</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4,681</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ind w:right="151"/>
              <w:spacing w:after="0"/>
              <w:rPr>
                <w:sz w:val="20"/>
                <w:szCs w:val="20"/>
                <w:color w:val="auto"/>
              </w:rPr>
            </w:pPr>
            <w:r>
              <w:rPr>
                <w:rFonts w:ascii="Arial" w:cs="Arial" w:eastAsia="Arial" w:hAnsi="Arial"/>
                <w:sz w:val="18"/>
                <w:szCs w:val="18"/>
                <w:color w:val="auto"/>
              </w:rPr>
              <w:t>6,070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acquired intangible assets</w:t>
            </w:r>
          </w:p>
        </w:tc>
        <w:tc>
          <w:tcPr>
            <w:tcW w:w="24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4,760</w:t>
            </w:r>
          </w:p>
        </w:tc>
        <w:tc>
          <w:tcPr>
            <w:tcW w:w="18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3,073</w:t>
            </w:r>
          </w:p>
        </w:tc>
        <w:tc>
          <w:tcPr>
            <w:tcW w:w="16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9,429</w:t>
            </w: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6,153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00" w:type="dxa"/>
            <w:vAlign w:val="bottom"/>
          </w:tcPr>
          <w:p>
            <w:pPr>
              <w:ind w:left="200"/>
              <w:spacing w:after="0"/>
              <w:rPr>
                <w:sz w:val="20"/>
                <w:szCs w:val="20"/>
                <w:color w:val="auto"/>
              </w:rPr>
            </w:pPr>
            <w:r>
              <w:rPr>
                <w:rFonts w:ascii="Arial" w:cs="Arial" w:eastAsia="Arial" w:hAnsi="Arial"/>
                <w:sz w:val="18"/>
                <w:szCs w:val="18"/>
                <w:color w:val="auto"/>
              </w:rPr>
              <w:t>Non-GAAP income from operations</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42,784</w:t>
            </w:r>
          </w:p>
        </w:tc>
        <w:tc>
          <w:tcPr>
            <w:tcW w:w="1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30,218</w:t>
            </w:r>
          </w:p>
        </w:tc>
        <w:tc>
          <w:tcPr>
            <w:tcW w:w="16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79,792</w:t>
            </w:r>
          </w:p>
        </w:tc>
        <w:tc>
          <w:tcPr>
            <w:tcW w:w="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48,359</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50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Operating margin</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Non-GAAP operating margin</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19 %</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15 %</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18 %</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13 %</w:t>
            </w:r>
          </w:p>
        </w:tc>
        <w:tc>
          <w:tcPr>
            <w:tcW w:w="0" w:type="dxa"/>
            <w:vAlign w:val="bottom"/>
          </w:tcPr>
          <w:p>
            <w:pPr>
              <w:spacing w:after="0"/>
              <w:rPr>
                <w:sz w:val="1"/>
                <w:szCs w:val="1"/>
                <w:color w:val="auto"/>
              </w:rPr>
            </w:pPr>
          </w:p>
        </w:tc>
      </w:tr>
      <w:tr>
        <w:trPr>
          <w:trHeight w:val="544"/>
        </w:trPr>
        <w:tc>
          <w:tcPr>
            <w:tcW w:w="20" w:type="dxa"/>
            <w:vAlign w:val="bottom"/>
          </w:tcPr>
          <w:p>
            <w:pPr>
              <w:spacing w:after="0"/>
              <w:rPr>
                <w:sz w:val="24"/>
                <w:szCs w:val="24"/>
                <w:color w:val="auto"/>
              </w:rPr>
            </w:pPr>
          </w:p>
        </w:tc>
        <w:tc>
          <w:tcPr>
            <w:tcW w:w="5000" w:type="dxa"/>
            <w:vAlign w:val="bottom"/>
          </w:tcPr>
          <w:p>
            <w:pPr>
              <w:ind w:left="20"/>
              <w:spacing w:after="0"/>
              <w:rPr>
                <w:sz w:val="20"/>
                <w:szCs w:val="20"/>
                <w:color w:val="auto"/>
              </w:rPr>
            </w:pPr>
            <w:r>
              <w:rPr>
                <w:rFonts w:ascii="Arial" w:cs="Arial" w:eastAsia="Arial" w:hAnsi="Arial"/>
                <w:sz w:val="16"/>
                <w:szCs w:val="16"/>
                <w:b w:val="1"/>
                <w:bCs w:val="1"/>
                <w:color w:val="auto"/>
              </w:rPr>
              <w:t>Non-GAAP Net Income and Non-GAAP Earnings Per Share</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780" w:type="dxa"/>
            <w:vAlign w:val="bottom"/>
            <w:gridSpan w:val="11"/>
          </w:tcPr>
          <w:p>
            <w:pPr>
              <w:ind w:left="140"/>
              <w:spacing w:after="0"/>
              <w:rPr>
                <w:sz w:val="20"/>
                <w:szCs w:val="20"/>
                <w:color w:val="auto"/>
              </w:rPr>
            </w:pPr>
            <w:r>
              <w:rPr>
                <w:rFonts w:ascii="Arial" w:cs="Arial" w:eastAsia="Arial" w:hAnsi="Arial"/>
                <w:sz w:val="16"/>
                <w:szCs w:val="16"/>
                <w:b w:val="1"/>
                <w:bCs w:val="1"/>
                <w:color w:val="auto"/>
              </w:rPr>
              <w:t>Three Months Ended June 30,</w:t>
            </w:r>
          </w:p>
        </w:tc>
        <w:tc>
          <w:tcPr>
            <w:tcW w:w="200" w:type="dxa"/>
            <w:vAlign w:val="bottom"/>
          </w:tcPr>
          <w:p>
            <w:pPr>
              <w:spacing w:after="0"/>
              <w:rPr>
                <w:sz w:val="24"/>
                <w:szCs w:val="24"/>
                <w:color w:val="auto"/>
              </w:rPr>
            </w:pPr>
          </w:p>
        </w:tc>
        <w:tc>
          <w:tcPr>
            <w:tcW w:w="2660" w:type="dxa"/>
            <w:vAlign w:val="bottom"/>
            <w:gridSpan w:val="7"/>
          </w:tcPr>
          <w:p>
            <w:pPr>
              <w:jc w:val="center"/>
              <w:ind w:right="111"/>
              <w:spacing w:after="0"/>
              <w:rPr>
                <w:sz w:val="20"/>
                <w:szCs w:val="20"/>
                <w:color w:val="auto"/>
              </w:rPr>
            </w:pPr>
            <w:r>
              <w:rPr>
                <w:rFonts w:ascii="Arial" w:cs="Arial" w:eastAsia="Arial" w:hAnsi="Arial"/>
                <w:sz w:val="16"/>
                <w:szCs w:val="16"/>
                <w:b w:val="1"/>
                <w:bCs w:val="1"/>
                <w:color w:val="auto"/>
              </w:rPr>
              <w:t>Six Months Ended June 30,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00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thousands, except per share data)</w:t>
            </w:r>
          </w:p>
        </w:tc>
        <w:tc>
          <w:tcPr>
            <w:tcW w:w="24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18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6"/>
                <w:szCs w:val="16"/>
                <w:b w:val="1"/>
                <w:bCs w:val="1"/>
                <w:color w:val="auto"/>
              </w:rPr>
              <w:t>2023</w:t>
            </w:r>
          </w:p>
        </w:tc>
        <w:tc>
          <w:tcPr>
            <w:tcW w:w="16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311"/>
              <w:spacing w:after="0"/>
              <w:rPr>
                <w:sz w:val="20"/>
                <w:szCs w:val="20"/>
                <w:color w:val="auto"/>
              </w:rPr>
            </w:pPr>
            <w:r>
              <w:rPr>
                <w:rFonts w:ascii="Arial" w:cs="Arial" w:eastAsia="Arial" w:hAnsi="Arial"/>
                <w:sz w:val="16"/>
                <w:szCs w:val="16"/>
                <w:b w:val="1"/>
                <w:bCs w:val="1"/>
                <w:color w:val="auto"/>
              </w:rPr>
              <w:t>2024</w:t>
            </w:r>
          </w:p>
        </w:tc>
        <w:tc>
          <w:tcPr>
            <w:tcW w:w="8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(14,572)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(15,974)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(28,958)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(41,071)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4"/>
          </w:tcPr>
          <w:p>
            <w:pPr>
              <w:jc w:val="right"/>
              <w:spacing w:after="0"/>
              <w:rPr>
                <w:sz w:val="20"/>
                <w:szCs w:val="20"/>
                <w:color w:val="auto"/>
              </w:rPr>
            </w:pPr>
            <w:r>
              <w:rPr>
                <w:rFonts w:ascii="Arial" w:cs="Arial" w:eastAsia="Arial" w:hAnsi="Arial"/>
                <w:sz w:val="18"/>
                <w:szCs w:val="18"/>
                <w:color w:val="auto"/>
              </w:rPr>
              <w:t>41,398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4"/>
          </w:tcPr>
          <w:p>
            <w:pPr>
              <w:jc w:val="right"/>
              <w:spacing w:after="0"/>
              <w:rPr>
                <w:sz w:val="20"/>
                <w:szCs w:val="20"/>
                <w:color w:val="auto"/>
              </w:rPr>
            </w:pPr>
            <w:r>
              <w:rPr>
                <w:rFonts w:ascii="Arial" w:cs="Arial" w:eastAsia="Arial" w:hAnsi="Arial"/>
                <w:sz w:val="18"/>
                <w:szCs w:val="18"/>
                <w:color w:val="auto"/>
              </w:rPr>
              <w:t>37,860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81,117</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71,977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Tax impact of stock-based compensation</w:t>
            </w:r>
            <w:r>
              <w:rPr>
                <w:rFonts w:ascii="Arial" w:cs="Arial" w:eastAsia="Arial" w:hAnsi="Arial"/>
                <w:sz w:val="23"/>
                <w:szCs w:val="23"/>
                <w:color w:val="auto"/>
                <w:vertAlign w:val="superscript"/>
              </w:rPr>
              <w:t>(1)</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1,175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1,336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98</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2,253</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000" w:type="dxa"/>
            <w:vAlign w:val="bottom"/>
          </w:tcPr>
          <w:p>
            <w:pPr>
              <w:ind w:left="20"/>
              <w:spacing w:after="0" w:line="230" w:lineRule="exact"/>
              <w:rPr>
                <w:sz w:val="20"/>
                <w:szCs w:val="20"/>
                <w:color w:val="auto"/>
              </w:rPr>
            </w:pPr>
            <w:r>
              <w:rPr>
                <w:rFonts w:ascii="Arial" w:cs="Arial" w:eastAsia="Arial" w:hAnsi="Arial"/>
                <w:sz w:val="18"/>
                <w:szCs w:val="18"/>
                <w:color w:val="auto"/>
              </w:rPr>
              <w:t>Acquisition-related expenses</w:t>
            </w:r>
            <w:r>
              <w:rPr>
                <w:rFonts w:ascii="Arial" w:cs="Arial" w:eastAsia="Arial" w:hAnsi="Arial"/>
                <w:sz w:val="23"/>
                <w:szCs w:val="23"/>
                <w:color w:val="auto"/>
                <w:vertAlign w:val="superscript"/>
              </w:rPr>
              <w:t>(2)</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763</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80" w:type="dxa"/>
            <w:vAlign w:val="bottom"/>
            <w:gridSpan w:val="3"/>
          </w:tcPr>
          <w:p>
            <w:pPr>
              <w:jc w:val="right"/>
              <w:spacing w:after="0"/>
              <w:rPr>
                <w:sz w:val="20"/>
                <w:szCs w:val="20"/>
                <w:color w:val="auto"/>
              </w:rPr>
            </w:pPr>
            <w:r>
              <w:rPr>
                <w:rFonts w:ascii="Arial" w:cs="Arial" w:eastAsia="Arial" w:hAnsi="Arial"/>
                <w:sz w:val="18"/>
                <w:szCs w:val="18"/>
                <w:color w:val="auto"/>
              </w:rPr>
              <w:t>30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924</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Restructuring</w:t>
            </w:r>
            <w:r>
              <w:rPr>
                <w:rFonts w:ascii="Arial" w:cs="Arial" w:eastAsia="Arial" w:hAnsi="Arial"/>
                <w:sz w:val="23"/>
                <w:szCs w:val="23"/>
                <w:color w:val="auto"/>
                <w:vertAlign w:val="superscript"/>
              </w:rPr>
              <w:t>(2)</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4,681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6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6,070</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000" w:type="dxa"/>
            <w:vAlign w:val="bottom"/>
          </w:tcPr>
          <w:p>
            <w:pPr>
              <w:ind w:left="20"/>
              <w:spacing w:after="0" w:line="230" w:lineRule="exact"/>
              <w:rPr>
                <w:sz w:val="20"/>
                <w:szCs w:val="20"/>
                <w:color w:val="auto"/>
              </w:rPr>
            </w:pPr>
            <w:r>
              <w:rPr>
                <w:rFonts w:ascii="Arial" w:cs="Arial" w:eastAsia="Arial" w:hAnsi="Arial"/>
                <w:sz w:val="18"/>
                <w:szCs w:val="18"/>
                <w:color w:val="auto"/>
              </w:rPr>
              <w:t>Amortization of acquired intangible assets</w:t>
            </w:r>
            <w:r>
              <w:rPr>
                <w:rFonts w:ascii="Arial" w:cs="Arial" w:eastAsia="Arial" w:hAnsi="Arial"/>
                <w:sz w:val="23"/>
                <w:szCs w:val="23"/>
                <w:color w:val="auto"/>
                <w:vertAlign w:val="superscript"/>
              </w:rPr>
              <w:t>(3)</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4"/>
          </w:tcPr>
          <w:p>
            <w:pPr>
              <w:jc w:val="right"/>
              <w:spacing w:after="0"/>
              <w:rPr>
                <w:sz w:val="20"/>
                <w:szCs w:val="20"/>
                <w:color w:val="auto"/>
              </w:rPr>
            </w:pPr>
            <w:r>
              <w:rPr>
                <w:rFonts w:ascii="Arial" w:cs="Arial" w:eastAsia="Arial" w:hAnsi="Arial"/>
                <w:sz w:val="18"/>
                <w:szCs w:val="18"/>
                <w:color w:val="auto"/>
              </w:rPr>
              <w:t>4,760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4"/>
          </w:tcPr>
          <w:p>
            <w:pPr>
              <w:jc w:val="right"/>
              <w:spacing w:after="0"/>
              <w:rPr>
                <w:sz w:val="20"/>
                <w:szCs w:val="20"/>
                <w:color w:val="auto"/>
              </w:rPr>
            </w:pPr>
            <w:r>
              <w:rPr>
                <w:rFonts w:ascii="Arial" w:cs="Arial" w:eastAsia="Arial" w:hAnsi="Arial"/>
                <w:sz w:val="18"/>
                <w:szCs w:val="18"/>
                <w:color w:val="auto"/>
              </w:rPr>
              <w:t>3,073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9,429</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6,153</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 impact of acquisitions</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(78)</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00" w:type="dxa"/>
            <w:vAlign w:val="bottom"/>
          </w:tcPr>
          <w:p>
            <w:pPr>
              <w:ind w:left="220"/>
              <w:spacing w:after="0"/>
              <w:rPr>
                <w:sz w:val="20"/>
                <w:szCs w:val="20"/>
                <w:color w:val="auto"/>
              </w:rPr>
            </w:pPr>
            <w:r>
              <w:rPr>
                <w:rFonts w:ascii="Arial" w:cs="Arial" w:eastAsia="Arial" w:hAnsi="Arial"/>
                <w:sz w:val="18"/>
                <w:szCs w:val="18"/>
                <w:color w:val="auto"/>
              </w:rPr>
              <w:t>Non-GAAP net income</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38,162</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26,266</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68,602</w:t>
            </w: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50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Net loss per share, diluted</w:t>
            </w:r>
          </w:p>
        </w:tc>
        <w:tc>
          <w:tcPr>
            <w:tcW w:w="240" w:type="dxa"/>
            <w:vAlign w:val="bottom"/>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9"/>
                <w:szCs w:val="19"/>
                <w:color w:val="auto"/>
              </w:rPr>
            </w:pPr>
          </w:p>
        </w:tc>
        <w:tc>
          <w:tcPr>
            <w:tcW w:w="500" w:type="dxa"/>
            <w:vAlign w:val="bottom"/>
            <w:gridSpan w:val="3"/>
          </w:tcPr>
          <w:p>
            <w:pPr>
              <w:jc w:val="right"/>
              <w:spacing w:after="0"/>
              <w:rPr>
                <w:sz w:val="20"/>
                <w:szCs w:val="20"/>
                <w:color w:val="auto"/>
              </w:rPr>
            </w:pPr>
            <w:r>
              <w:rPr>
                <w:rFonts w:ascii="Arial" w:cs="Arial" w:eastAsia="Arial" w:hAnsi="Arial"/>
                <w:sz w:val="18"/>
                <w:szCs w:val="18"/>
                <w:color w:val="auto"/>
                <w:w w:val="97"/>
              </w:rPr>
              <w:t>(0.12)</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gridSpan w:val="4"/>
          </w:tcPr>
          <w:p>
            <w:pPr>
              <w:jc w:val="right"/>
              <w:spacing w:after="0"/>
              <w:rPr>
                <w:sz w:val="20"/>
                <w:szCs w:val="20"/>
                <w:color w:val="auto"/>
              </w:rPr>
            </w:pPr>
            <w:r>
              <w:rPr>
                <w:rFonts w:ascii="Arial" w:cs="Arial" w:eastAsia="Arial" w:hAnsi="Arial"/>
                <w:sz w:val="18"/>
                <w:szCs w:val="18"/>
                <w:color w:val="auto"/>
              </w:rPr>
              <w:t>(0.14)</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gridSpan w:val="3"/>
          </w:tcPr>
          <w:p>
            <w:pPr>
              <w:jc w:val="right"/>
              <w:ind w:right="20"/>
              <w:spacing w:after="0"/>
              <w:rPr>
                <w:sz w:val="20"/>
                <w:szCs w:val="20"/>
                <w:color w:val="auto"/>
              </w:rPr>
            </w:pPr>
            <w:r>
              <w:rPr>
                <w:rFonts w:ascii="Arial" w:cs="Arial" w:eastAsia="Arial" w:hAnsi="Arial"/>
                <w:sz w:val="18"/>
                <w:szCs w:val="18"/>
                <w:color w:val="auto"/>
              </w:rPr>
              <w:t>(0.25)</w:t>
            </w:r>
          </w:p>
        </w:tc>
        <w:tc>
          <w:tcPr>
            <w:tcW w:w="380" w:type="dxa"/>
            <w:vAlign w:val="bottom"/>
            <w:gridSpan w:val="3"/>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(0.36)</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0.35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0.33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0.69</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00" w:type="dxa"/>
            <w:vAlign w:val="bottom"/>
          </w:tcPr>
          <w:p>
            <w:pPr>
              <w:ind w:left="20"/>
              <w:spacing w:after="0" w:line="230" w:lineRule="exact"/>
              <w:rPr>
                <w:sz w:val="20"/>
                <w:szCs w:val="20"/>
                <w:color w:val="auto"/>
              </w:rPr>
            </w:pPr>
            <w:r>
              <w:rPr>
                <w:rFonts w:ascii="Arial" w:cs="Arial" w:eastAsia="Arial" w:hAnsi="Arial"/>
                <w:sz w:val="18"/>
                <w:szCs w:val="18"/>
                <w:color w:val="auto"/>
              </w:rPr>
              <w:t>Tax impact of stock-based compensation</w:t>
            </w:r>
            <w:r>
              <w:rPr>
                <w:rFonts w:ascii="Arial" w:cs="Arial" w:eastAsia="Arial" w:hAnsi="Arial"/>
                <w:sz w:val="23"/>
                <w:szCs w:val="23"/>
                <w:color w:val="auto"/>
                <w:vertAlign w:val="superscript"/>
              </w:rPr>
              <w:t>(1)</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0.01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4"/>
          </w:tcPr>
          <w:p>
            <w:pPr>
              <w:jc w:val="right"/>
              <w:spacing w:after="0"/>
              <w:rPr>
                <w:sz w:val="20"/>
                <w:szCs w:val="20"/>
                <w:color w:val="auto"/>
              </w:rPr>
            </w:pPr>
            <w:r>
              <w:rPr>
                <w:rFonts w:ascii="Arial" w:cs="Arial" w:eastAsia="Arial" w:hAnsi="Arial"/>
                <w:sz w:val="18"/>
                <w:szCs w:val="18"/>
                <w:color w:val="auto"/>
              </w:rPr>
              <w:t>0.01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Acquisition-related expenses</w:t>
            </w:r>
            <w:r>
              <w:rPr>
                <w:rFonts w:ascii="Arial" w:cs="Arial" w:eastAsia="Arial" w:hAnsi="Arial"/>
                <w:sz w:val="23"/>
                <w:szCs w:val="23"/>
                <w:color w:val="auto"/>
                <w:vertAlign w:val="superscript"/>
              </w:rPr>
              <w:t>(2)</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4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6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0.01</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00" w:type="dxa"/>
            <w:vAlign w:val="bottom"/>
          </w:tcPr>
          <w:p>
            <w:pPr>
              <w:ind w:left="20"/>
              <w:spacing w:after="0" w:line="230" w:lineRule="exact"/>
              <w:rPr>
                <w:sz w:val="20"/>
                <w:szCs w:val="20"/>
                <w:color w:val="auto"/>
              </w:rPr>
            </w:pPr>
            <w:r>
              <w:rPr>
                <w:rFonts w:ascii="Arial" w:cs="Arial" w:eastAsia="Arial" w:hAnsi="Arial"/>
                <w:sz w:val="18"/>
                <w:szCs w:val="18"/>
                <w:color w:val="auto"/>
              </w:rPr>
              <w:t>Restructuring</w:t>
            </w:r>
            <w:r>
              <w:rPr>
                <w:rFonts w:ascii="Arial" w:cs="Arial" w:eastAsia="Arial" w:hAnsi="Arial"/>
                <w:sz w:val="23"/>
                <w:szCs w:val="23"/>
                <w:color w:val="auto"/>
                <w:vertAlign w:val="superscript"/>
              </w:rPr>
              <w:t>(2)</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0.04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60" w:type="dxa"/>
            <w:vAlign w:val="bottom"/>
            <w:gridSpan w:val="4"/>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0.05</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0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Amortization of acquired intangible assets</w:t>
            </w:r>
            <w:r>
              <w:rPr>
                <w:rFonts w:ascii="Arial" w:cs="Arial" w:eastAsia="Arial" w:hAnsi="Arial"/>
                <w:sz w:val="23"/>
                <w:szCs w:val="23"/>
                <w:color w:val="auto"/>
                <w:vertAlign w:val="superscript"/>
              </w:rPr>
              <w:t>(3)</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0.08</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00" w:type="dxa"/>
            <w:vAlign w:val="bottom"/>
          </w:tcPr>
          <w:p>
            <w:pPr>
              <w:ind w:left="20"/>
              <w:spacing w:after="0"/>
              <w:rPr>
                <w:sz w:val="20"/>
                <w:szCs w:val="20"/>
                <w:color w:val="auto"/>
              </w:rPr>
            </w:pPr>
            <w:r>
              <w:rPr>
                <w:rFonts w:ascii="Arial" w:cs="Arial" w:eastAsia="Arial" w:hAnsi="Arial"/>
                <w:sz w:val="18"/>
                <w:szCs w:val="18"/>
                <w:color w:val="auto"/>
              </w:rPr>
              <w:t>Tax impact of acquisitions</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60" w:type="dxa"/>
            <w:vAlign w:val="bottom"/>
            <w:gridSpan w:val="4"/>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8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Adjustment to diluted earnings per share</w:t>
            </w:r>
            <w:r>
              <w:rPr>
                <w:rFonts w:ascii="Arial" w:cs="Arial" w:eastAsia="Arial" w:hAnsi="Arial"/>
                <w:sz w:val="23"/>
                <w:szCs w:val="23"/>
                <w:color w:val="auto"/>
                <w:vertAlign w:val="superscript"/>
              </w:rPr>
              <w:t>(4)</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7"/>
              </w:rPr>
              <w:t>(0.01)</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(0.02)</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00" w:type="dxa"/>
            <w:vAlign w:val="bottom"/>
          </w:tcPr>
          <w:p>
            <w:pPr>
              <w:ind w:left="220"/>
              <w:spacing w:after="0"/>
              <w:rPr>
                <w:sz w:val="20"/>
                <w:szCs w:val="20"/>
                <w:color w:val="auto"/>
              </w:rPr>
            </w:pPr>
            <w:r>
              <w:rPr>
                <w:rFonts w:ascii="Arial" w:cs="Arial" w:eastAsia="Arial" w:hAnsi="Arial"/>
                <w:sz w:val="18"/>
                <w:szCs w:val="18"/>
                <w:color w:val="auto"/>
              </w:rPr>
              <w:t>Non-GAAP earnings per share, diluted</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0.31</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0.22</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0.56</w:t>
            </w: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0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000" w:type="dxa"/>
            <w:vAlign w:val="bottom"/>
          </w:tcPr>
          <w:p>
            <w:pPr>
              <w:ind w:left="20"/>
              <w:spacing w:after="0" w:line="176" w:lineRule="exact"/>
              <w:rPr>
                <w:sz w:val="20"/>
                <w:szCs w:val="20"/>
                <w:color w:val="auto"/>
              </w:rPr>
            </w:pPr>
            <w:r>
              <w:rPr>
                <w:rFonts w:ascii="Arial" w:cs="Arial" w:eastAsia="Arial" w:hAnsi="Arial"/>
                <w:sz w:val="18"/>
                <w:szCs w:val="18"/>
                <w:color w:val="auto"/>
                <w:w w:val="99"/>
              </w:rPr>
              <w:t>Weighted-average shares used to compute GAAP net loss per</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gridSpan w:val="4"/>
            <w:vMerge w:val="restart"/>
          </w:tcPr>
          <w:p>
            <w:pPr>
              <w:jc w:val="right"/>
              <w:spacing w:after="0"/>
              <w:rPr>
                <w:sz w:val="20"/>
                <w:szCs w:val="20"/>
                <w:color w:val="auto"/>
              </w:rPr>
            </w:pPr>
            <w:r>
              <w:rPr>
                <w:rFonts w:ascii="Arial" w:cs="Arial" w:eastAsia="Arial" w:hAnsi="Arial"/>
                <w:sz w:val="18"/>
                <w:szCs w:val="18"/>
                <w:color w:val="auto"/>
              </w:rPr>
              <w:t>118,681</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4"/>
            <w:vMerge w:val="restart"/>
          </w:tcPr>
          <w:p>
            <w:pPr>
              <w:jc w:val="right"/>
              <w:spacing w:after="0"/>
              <w:rPr>
                <w:sz w:val="20"/>
                <w:szCs w:val="20"/>
                <w:color w:val="auto"/>
              </w:rPr>
            </w:pPr>
            <w:r>
              <w:rPr>
                <w:rFonts w:ascii="Arial" w:cs="Arial" w:eastAsia="Arial" w:hAnsi="Arial"/>
                <w:sz w:val="18"/>
                <w:szCs w:val="18"/>
                <w:color w:val="auto"/>
              </w:rPr>
              <w:t>115,131</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4"/>
            <w:vMerge w:val="restart"/>
          </w:tcPr>
          <w:p>
            <w:pPr>
              <w:jc w:val="right"/>
              <w:spacing w:after="0"/>
              <w:rPr>
                <w:sz w:val="20"/>
                <w:szCs w:val="20"/>
                <w:color w:val="auto"/>
              </w:rPr>
            </w:pPr>
            <w:r>
              <w:rPr>
                <w:rFonts w:ascii="Arial" w:cs="Arial" w:eastAsia="Arial" w:hAnsi="Arial"/>
                <w:sz w:val="18"/>
                <w:szCs w:val="18"/>
                <w:color w:val="auto"/>
              </w:rPr>
              <w:t>118,111</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114,465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000" w:type="dxa"/>
            <w:vAlign w:val="bottom"/>
          </w:tcPr>
          <w:p>
            <w:pPr>
              <w:ind w:left="100"/>
              <w:spacing w:after="0"/>
              <w:rPr>
                <w:sz w:val="20"/>
                <w:szCs w:val="20"/>
                <w:color w:val="auto"/>
              </w:rPr>
            </w:pPr>
            <w:r>
              <w:rPr>
                <w:rFonts w:ascii="Arial" w:cs="Arial" w:eastAsia="Arial" w:hAnsi="Arial"/>
                <w:sz w:val="18"/>
                <w:szCs w:val="18"/>
                <w:color w:val="auto"/>
              </w:rPr>
              <w:t>share, diluted</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gridSpan w:val="4"/>
            <w:vMerge w:val="continue"/>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gridSpan w:val="4"/>
            <w:vMerge w:val="continue"/>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gridSpan w:val="4"/>
            <w:vMerge w:val="continue"/>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240" w:type="dxa"/>
            <w:vAlign w:val="bottom"/>
            <w:gridSpan w:val="2"/>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24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Weighted-average shares used to compute non-GAAP earnings</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gridSpan w:val="4"/>
            <w:vMerge w:val="restart"/>
          </w:tcPr>
          <w:p>
            <w:pPr>
              <w:jc w:val="right"/>
              <w:spacing w:after="0"/>
              <w:rPr>
                <w:sz w:val="20"/>
                <w:szCs w:val="20"/>
                <w:color w:val="auto"/>
              </w:rPr>
            </w:pPr>
            <w:r>
              <w:rPr>
                <w:rFonts w:ascii="Arial" w:cs="Arial" w:eastAsia="Arial" w:hAnsi="Arial"/>
                <w:sz w:val="18"/>
                <w:szCs w:val="18"/>
                <w:color w:val="auto"/>
              </w:rPr>
              <w:t>123,056</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4"/>
            <w:vMerge w:val="restart"/>
          </w:tcPr>
          <w:p>
            <w:pPr>
              <w:jc w:val="right"/>
              <w:spacing w:after="0"/>
              <w:rPr>
                <w:sz w:val="20"/>
                <w:szCs w:val="20"/>
                <w:color w:val="auto"/>
              </w:rPr>
            </w:pPr>
            <w:r>
              <w:rPr>
                <w:rFonts w:ascii="Arial" w:cs="Arial" w:eastAsia="Arial" w:hAnsi="Arial"/>
                <w:sz w:val="18"/>
                <w:szCs w:val="18"/>
                <w:color w:val="auto"/>
              </w:rPr>
              <w:t>120,057</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4"/>
            <w:vMerge w:val="restart"/>
          </w:tcPr>
          <w:p>
            <w:pPr>
              <w:jc w:val="right"/>
              <w:spacing w:after="0"/>
              <w:rPr>
                <w:sz w:val="20"/>
                <w:szCs w:val="20"/>
                <w:color w:val="auto"/>
              </w:rPr>
            </w:pPr>
            <w:r>
              <w:rPr>
                <w:rFonts w:ascii="Arial" w:cs="Arial" w:eastAsia="Arial" w:hAnsi="Arial"/>
                <w:sz w:val="18"/>
                <w:szCs w:val="18"/>
                <w:color w:val="auto"/>
              </w:rPr>
              <w:t>123,161</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119,665</w:t>
            </w: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5000" w:type="dxa"/>
            <w:vAlign w:val="bottom"/>
          </w:tcPr>
          <w:p>
            <w:pPr>
              <w:ind w:left="100"/>
              <w:spacing w:after="0"/>
              <w:rPr>
                <w:sz w:val="20"/>
                <w:szCs w:val="20"/>
                <w:color w:val="auto"/>
              </w:rPr>
            </w:pPr>
            <w:r>
              <w:rPr>
                <w:rFonts w:ascii="Arial" w:cs="Arial" w:eastAsia="Arial" w:hAnsi="Arial"/>
                <w:sz w:val="18"/>
                <w:szCs w:val="18"/>
                <w:color w:val="auto"/>
              </w:rPr>
              <w:t>per share, diluted</w:t>
            </w: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gridSpan w:val="4"/>
            <w:vMerge w:val="continue"/>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gridSpan w:val="4"/>
            <w:vMerge w:val="continue"/>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gridSpan w:val="4"/>
            <w:vMerge w:val="continue"/>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w:t>
      </w:r>
    </w:p>
    <w:p>
      <w:pPr>
        <w:spacing w:after="0" w:line="62" w:lineRule="exact"/>
        <w:rPr>
          <w:sz w:val="20"/>
          <w:szCs w:val="20"/>
          <w:color w:val="auto"/>
        </w:rPr>
      </w:pPr>
    </w:p>
    <w:p>
      <w:pPr>
        <w:ind w:left="380" w:hanging="372"/>
        <w:spacing w:after="0"/>
        <w:tabs>
          <w:tab w:leader="none" w:pos="3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tax impact of stock-based compensation is based on the tax treatment for the applicable tax jurisdictions.</w:t>
      </w:r>
    </w:p>
    <w:p>
      <w:pPr>
        <w:spacing w:after="0" w:line="45" w:lineRule="exact"/>
        <w:rPr>
          <w:rFonts w:ascii="Arial" w:cs="Arial" w:eastAsia="Arial" w:hAnsi="Arial"/>
          <w:sz w:val="16"/>
          <w:szCs w:val="16"/>
          <w:color w:val="auto"/>
        </w:rPr>
      </w:pPr>
    </w:p>
    <w:p>
      <w:pPr>
        <w:ind w:left="380" w:hanging="372"/>
        <w:spacing w:after="0"/>
        <w:tabs>
          <w:tab w:leader="none" w:pos="3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tax impact of acquisition-related expenses and restructuring are not material.</w:t>
      </w:r>
    </w:p>
    <w:p>
      <w:pPr>
        <w:spacing w:after="0" w:line="45" w:lineRule="exact"/>
        <w:rPr>
          <w:rFonts w:ascii="Arial" w:cs="Arial" w:eastAsia="Arial" w:hAnsi="Arial"/>
          <w:sz w:val="16"/>
          <w:szCs w:val="16"/>
          <w:color w:val="auto"/>
        </w:rPr>
      </w:pPr>
    </w:p>
    <w:p>
      <w:pPr>
        <w:ind w:left="380" w:hanging="372"/>
        <w:spacing w:after="0"/>
        <w:tabs>
          <w:tab w:leader="none" w:pos="3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tax impact of the amortization of acquired intangible assets is included in the tax impact of acquisitions.</w:t>
      </w:r>
    </w:p>
    <w:p>
      <w:pPr>
        <w:spacing w:after="0" w:line="45" w:lineRule="exact"/>
        <w:rPr>
          <w:rFonts w:ascii="Arial" w:cs="Arial" w:eastAsia="Arial" w:hAnsi="Arial"/>
          <w:sz w:val="16"/>
          <w:szCs w:val="16"/>
          <w:color w:val="auto"/>
        </w:rPr>
      </w:pPr>
    </w:p>
    <w:p>
      <w:pPr>
        <w:ind w:right="480" w:firstLine="8"/>
        <w:spacing w:after="0" w:line="286" w:lineRule="auto"/>
        <w:tabs>
          <w:tab w:leader="none" w:pos="369" w:val="left"/>
        </w:tabs>
        <w:numPr>
          <w:ilvl w:val="0"/>
          <w:numId w:val="12"/>
        </w:numPr>
        <w:rPr>
          <w:rFonts w:ascii="Arial" w:cs="Arial" w:eastAsia="Arial" w:hAnsi="Arial"/>
          <w:sz w:val="16"/>
          <w:szCs w:val="16"/>
          <w:color w:val="auto"/>
        </w:rPr>
      </w:pPr>
      <w:r>
        <w:rPr>
          <w:rFonts w:ascii="Arial" w:cs="Arial" w:eastAsia="Arial" w:hAnsi="Arial"/>
          <w:sz w:val="16"/>
          <w:szCs w:val="16"/>
          <w:color w:val="auto"/>
        </w:rPr>
        <w:t>An adjustment to reconcile GAAP net loss per share, which excludes potentially dilutive shares, to non-GAAP earnings per share, which includes potentially dilutive shares.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20"/>
          </w:cols>
          <w:pgMar w:left="320" w:top="955" w:right="35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17"/>
        </w:trPr>
        <w:tc>
          <w:tcPr>
            <w:tcW w:w="20" w:type="dxa"/>
            <w:vAlign w:val="bottom"/>
          </w:tcPr>
          <w:p>
            <w:pPr>
              <w:spacing w:after="0"/>
              <w:rPr>
                <w:sz w:val="18"/>
                <w:szCs w:val="18"/>
                <w:color w:val="auto"/>
              </w:rPr>
            </w:pPr>
          </w:p>
        </w:tc>
        <w:tc>
          <w:tcPr>
            <w:tcW w:w="4980" w:type="dxa"/>
            <w:vAlign w:val="bottom"/>
          </w:tcPr>
          <w:p>
            <w:pPr>
              <w:ind w:left="20"/>
              <w:spacing w:after="0"/>
              <w:rPr>
                <w:sz w:val="20"/>
                <w:szCs w:val="20"/>
                <w:color w:val="auto"/>
              </w:rPr>
            </w:pPr>
            <w:r>
              <w:rPr>
                <w:rFonts w:ascii="Arial" w:cs="Arial" w:eastAsia="Arial" w:hAnsi="Arial"/>
                <w:sz w:val="16"/>
                <w:szCs w:val="16"/>
                <w:b w:val="1"/>
                <w:bCs w:val="1"/>
                <w:color w:val="auto"/>
              </w:rPr>
              <w:t>Non-GAAP Gross Profit and Non-GAAP Gross Margin</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60" w:type="dxa"/>
            <w:vAlign w:val="bottom"/>
            <w:gridSpan w:val="11"/>
          </w:tcPr>
          <w:p>
            <w:pPr>
              <w:ind w:left="100"/>
              <w:spacing w:after="0"/>
              <w:rPr>
                <w:sz w:val="20"/>
                <w:szCs w:val="20"/>
                <w:color w:val="auto"/>
              </w:rPr>
            </w:pPr>
            <w:r>
              <w:rPr>
                <w:rFonts w:ascii="Arial" w:cs="Arial" w:eastAsia="Arial" w:hAnsi="Arial"/>
                <w:sz w:val="16"/>
                <w:szCs w:val="16"/>
                <w:b w:val="1"/>
                <w:bCs w:val="1"/>
                <w:color w:val="auto"/>
              </w:rPr>
              <w:t>Three Months Ended June 30,</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760" w:type="dxa"/>
            <w:vAlign w:val="bottom"/>
            <w:gridSpan w:val="6"/>
          </w:tcPr>
          <w:p>
            <w:pPr>
              <w:jc w:val="right"/>
              <w:ind w:right="391"/>
              <w:spacing w:after="0"/>
              <w:rPr>
                <w:sz w:val="20"/>
                <w:szCs w:val="20"/>
                <w:color w:val="auto"/>
              </w:rPr>
            </w:pPr>
            <w:r>
              <w:rPr>
                <w:rFonts w:ascii="Arial" w:cs="Arial" w:eastAsia="Arial" w:hAnsi="Arial"/>
                <w:sz w:val="16"/>
                <w:szCs w:val="16"/>
                <w:b w:val="1"/>
                <w:bCs w:val="1"/>
                <w:color w:val="auto"/>
              </w:rPr>
              <w:t>Six Months Ended June 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(dollars in thousands)</w:t>
            </w:r>
          </w:p>
        </w:tc>
        <w:tc>
          <w:tcPr>
            <w:tcW w:w="2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2024</w:t>
            </w:r>
          </w:p>
        </w:tc>
        <w:tc>
          <w:tcPr>
            <w:tcW w:w="40" w:type="dxa"/>
            <w:vAlign w:val="bottom"/>
            <w:tcBorders>
              <w:top w:val="single" w:sz="8" w:color="auto"/>
              <w:bottom w:val="single" w:sz="8" w:color="CCEEFF"/>
            </w:tcBorders>
          </w:tcPr>
          <w:p>
            <w:pPr>
              <w:spacing w:after="0"/>
              <w:rPr>
                <w:sz w:val="18"/>
                <w:szCs w:val="18"/>
                <w:color w:val="auto"/>
              </w:rPr>
            </w:pPr>
          </w:p>
        </w:tc>
        <w:tc>
          <w:tcPr>
            <w:tcW w:w="20" w:type="dxa"/>
            <w:vAlign w:val="bottom"/>
            <w:tcBorders>
              <w:top w:val="single" w:sz="8" w:color="auto"/>
              <w:bottom w:val="single" w:sz="8" w:color="CCEEFF"/>
            </w:tcBorders>
          </w:tcPr>
          <w:p>
            <w:pPr>
              <w:spacing w:after="0"/>
              <w:rPr>
                <w:sz w:val="18"/>
                <w:szCs w:val="18"/>
                <w:color w:val="auto"/>
              </w:rPr>
            </w:pPr>
          </w:p>
        </w:tc>
        <w:tc>
          <w:tcPr>
            <w:tcW w:w="20" w:type="dxa"/>
            <w:vAlign w:val="bottom"/>
            <w:tcBorders>
              <w:top w:val="single" w:sz="8" w:color="auto"/>
              <w:bottom w:val="single" w:sz="8" w:color="CCEEFF"/>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rPr>
              <w:t>2023</w:t>
            </w:r>
          </w:p>
        </w:tc>
        <w:tc>
          <w:tcPr>
            <w:tcW w:w="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2024</w:t>
            </w:r>
          </w:p>
        </w:tc>
        <w:tc>
          <w:tcPr>
            <w:tcW w:w="20" w:type="dxa"/>
            <w:vAlign w:val="bottom"/>
            <w:tcBorders>
              <w:top w:val="single" w:sz="8" w:color="auto"/>
              <w:bottom w:val="single" w:sz="8" w:color="CCEEFF"/>
            </w:tcBorders>
          </w:tcPr>
          <w:p>
            <w:pPr>
              <w:spacing w:after="0"/>
              <w:rPr>
                <w:sz w:val="18"/>
                <w:szCs w:val="18"/>
                <w:color w:val="auto"/>
              </w:rPr>
            </w:pPr>
          </w:p>
        </w:tc>
        <w:tc>
          <w:tcPr>
            <w:tcW w:w="60" w:type="dxa"/>
            <w:vAlign w:val="bottom"/>
            <w:tcBorders>
              <w:top w:val="single" w:sz="8" w:color="auto"/>
              <w:bottom w:val="single" w:sz="8" w:color="CCEEFF"/>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rPr>
              <w:t>2023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28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172,443</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gridSpan w:val="3"/>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151,522</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gridSpan w:val="3"/>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339,472</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294,855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8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ind w:right="152"/>
              <w:spacing w:after="0"/>
              <w:rPr>
                <w:sz w:val="20"/>
                <w:szCs w:val="20"/>
                <w:color w:val="auto"/>
              </w:rPr>
            </w:pPr>
            <w:r>
              <w:rPr>
                <w:rFonts w:ascii="Arial" w:cs="Arial" w:eastAsia="Arial" w:hAnsi="Arial"/>
                <w:sz w:val="18"/>
                <w:szCs w:val="18"/>
                <w:color w:val="auto"/>
              </w:rPr>
              <w:t>3,288</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151"/>
              <w:spacing w:after="0"/>
              <w:rPr>
                <w:sz w:val="20"/>
                <w:szCs w:val="20"/>
                <w:color w:val="auto"/>
              </w:rPr>
            </w:pPr>
            <w:r>
              <w:rPr>
                <w:rFonts w:ascii="Arial" w:cs="Arial" w:eastAsia="Arial" w:hAnsi="Arial"/>
                <w:sz w:val="18"/>
                <w:szCs w:val="18"/>
                <w:color w:val="auto"/>
              </w:rPr>
              <w:t>2,906</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ind w:right="152"/>
              <w:spacing w:after="0"/>
              <w:rPr>
                <w:sz w:val="20"/>
                <w:szCs w:val="20"/>
                <w:color w:val="auto"/>
              </w:rPr>
            </w:pPr>
            <w:r>
              <w:rPr>
                <w:rFonts w:ascii="Arial" w:cs="Arial" w:eastAsia="Arial" w:hAnsi="Arial"/>
                <w:sz w:val="18"/>
                <w:szCs w:val="18"/>
                <w:color w:val="auto"/>
              </w:rPr>
              <w:t>6,270</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151"/>
              <w:spacing w:after="0"/>
              <w:rPr>
                <w:sz w:val="20"/>
                <w:szCs w:val="20"/>
                <w:color w:val="auto"/>
              </w:rPr>
            </w:pPr>
            <w:r>
              <w:rPr>
                <w:rFonts w:ascii="Arial" w:cs="Arial" w:eastAsia="Arial" w:hAnsi="Arial"/>
                <w:sz w:val="18"/>
                <w:szCs w:val="18"/>
                <w:color w:val="auto"/>
              </w:rPr>
              <w:t>5,531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acquired intangible assets</w:t>
            </w:r>
          </w:p>
        </w:tc>
        <w:tc>
          <w:tcPr>
            <w:tcW w:w="2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4,760</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3,073</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rPr>
              <w:t>9,429</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6,153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80" w:type="dxa"/>
            <w:vAlign w:val="bottom"/>
          </w:tcPr>
          <w:p>
            <w:pPr>
              <w:ind w:left="220"/>
              <w:spacing w:after="0"/>
              <w:rPr>
                <w:sz w:val="20"/>
                <w:szCs w:val="20"/>
                <w:color w:val="auto"/>
              </w:rPr>
            </w:pPr>
            <w:r>
              <w:rPr>
                <w:rFonts w:ascii="Arial" w:cs="Arial" w:eastAsia="Arial" w:hAnsi="Arial"/>
                <w:sz w:val="18"/>
                <w:szCs w:val="18"/>
                <w:color w:val="auto"/>
              </w:rPr>
              <w:t>Non-GAAP gross profit</w:t>
            </w:r>
          </w:p>
        </w:tc>
        <w:tc>
          <w:tcPr>
            <w:tcW w:w="28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180,491</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Borders>
              <w:bottom w:val="single" w:sz="8" w:color="auto"/>
            </w:tcBorders>
            <w:gridSpan w:val="3"/>
          </w:tcPr>
          <w:p>
            <w:pPr>
              <w:jc w:val="right"/>
              <w:ind w:right="17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157,501</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355,171</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Borders>
              <w:bottom w:val="single" w:sz="8" w:color="auto"/>
            </w:tcBorders>
            <w:gridSpan w:val="2"/>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306,539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margin</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78 %</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78 %</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78 %</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4980" w:type="dxa"/>
            <w:vAlign w:val="bottom"/>
          </w:tcPr>
          <w:p>
            <w:pPr>
              <w:ind w:left="20"/>
              <w:spacing w:after="0"/>
              <w:rPr>
                <w:sz w:val="20"/>
                <w:szCs w:val="20"/>
                <w:color w:val="auto"/>
              </w:rPr>
            </w:pPr>
            <w:r>
              <w:rPr>
                <w:rFonts w:ascii="Arial" w:cs="Arial" w:eastAsia="Arial" w:hAnsi="Arial"/>
                <w:sz w:val="18"/>
                <w:szCs w:val="18"/>
                <w:color w:val="auto"/>
              </w:rPr>
              <w:t>Non-GAAP gross margin</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82 %</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81 %</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81 %</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80 %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31"/>
        </w:trPr>
        <w:tc>
          <w:tcPr>
            <w:tcW w:w="20" w:type="dxa"/>
            <w:vAlign w:val="bottom"/>
          </w:tcPr>
          <w:p>
            <w:pPr>
              <w:spacing w:after="0"/>
              <w:rPr>
                <w:sz w:val="24"/>
                <w:szCs w:val="24"/>
                <w:color w:val="auto"/>
              </w:rPr>
            </w:pPr>
          </w:p>
        </w:tc>
        <w:tc>
          <w:tcPr>
            <w:tcW w:w="4980" w:type="dxa"/>
            <w:vAlign w:val="bottom"/>
          </w:tcPr>
          <w:p>
            <w:pPr>
              <w:spacing w:after="0"/>
              <w:rPr>
                <w:sz w:val="20"/>
                <w:szCs w:val="20"/>
                <w:color w:val="auto"/>
              </w:rPr>
            </w:pPr>
            <w:r>
              <w:rPr>
                <w:rFonts w:ascii="Arial" w:cs="Arial" w:eastAsia="Arial" w:hAnsi="Arial"/>
                <w:sz w:val="16"/>
                <w:szCs w:val="16"/>
                <w:b w:val="1"/>
                <w:bCs w:val="1"/>
                <w:color w:val="auto"/>
              </w:rPr>
              <w:t>Non-GAAP Sales and Marketing Expense</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60" w:type="dxa"/>
            <w:vAlign w:val="bottom"/>
            <w:gridSpan w:val="11"/>
          </w:tcPr>
          <w:p>
            <w:pPr>
              <w:ind w:left="120"/>
              <w:spacing w:after="0"/>
              <w:rPr>
                <w:sz w:val="20"/>
                <w:szCs w:val="20"/>
                <w:color w:val="auto"/>
              </w:rPr>
            </w:pPr>
            <w:r>
              <w:rPr>
                <w:rFonts w:ascii="Arial" w:cs="Arial" w:eastAsia="Arial" w:hAnsi="Arial"/>
                <w:sz w:val="16"/>
                <w:szCs w:val="16"/>
                <w:b w:val="1"/>
                <w:bCs w:val="1"/>
                <w:color w:val="auto"/>
              </w:rPr>
              <w:t>Three Months Ended June 30,</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760" w:type="dxa"/>
            <w:vAlign w:val="bottom"/>
            <w:gridSpan w:val="6"/>
          </w:tcPr>
          <w:p>
            <w:pPr>
              <w:jc w:val="right"/>
              <w:ind w:right="391"/>
              <w:spacing w:after="0"/>
              <w:rPr>
                <w:sz w:val="20"/>
                <w:szCs w:val="20"/>
                <w:color w:val="auto"/>
              </w:rPr>
            </w:pPr>
            <w:r>
              <w:rPr>
                <w:rFonts w:ascii="Arial" w:cs="Arial" w:eastAsia="Arial" w:hAnsi="Arial"/>
                <w:sz w:val="16"/>
                <w:szCs w:val="16"/>
                <w:b w:val="1"/>
                <w:bCs w:val="1"/>
                <w:color w:val="auto"/>
              </w:rPr>
              <w:t>Six Months Ended June 30,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Borders>
              <w:bottom w:val="single" w:sz="8" w:color="CCEEFF"/>
            </w:tcBorders>
          </w:tcPr>
          <w:p>
            <w:pPr>
              <w:spacing w:after="0"/>
              <w:rPr>
                <w:sz w:val="18"/>
                <w:szCs w:val="18"/>
                <w:color w:val="auto"/>
              </w:rPr>
            </w:pPr>
          </w:p>
        </w:tc>
        <w:tc>
          <w:tcPr>
            <w:tcW w:w="4980" w:type="dxa"/>
            <w:vAlign w:val="bottom"/>
            <w:tcBorders>
              <w:bottom w:val="single" w:sz="8" w:color="CCEEFF"/>
            </w:tcBorders>
          </w:tcPr>
          <w:p>
            <w:pPr>
              <w:spacing w:after="0"/>
              <w:rPr>
                <w:sz w:val="20"/>
                <w:szCs w:val="20"/>
                <w:color w:val="auto"/>
              </w:rPr>
            </w:pPr>
            <w:r>
              <w:rPr>
                <w:rFonts w:ascii="Arial" w:cs="Arial" w:eastAsia="Arial" w:hAnsi="Arial"/>
                <w:sz w:val="16"/>
                <w:szCs w:val="16"/>
                <w:b w:val="1"/>
                <w:bCs w:val="1"/>
                <w:color w:val="auto"/>
              </w:rPr>
              <w:t>(dollars in thousands)</w:t>
            </w:r>
          </w:p>
        </w:tc>
        <w:tc>
          <w:tcPr>
            <w:tcW w:w="20" w:type="dxa"/>
            <w:vAlign w:val="bottom"/>
            <w:tcBorders>
              <w:bottom w:val="single" w:sz="8" w:color="CCEEFF"/>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6"/>
                <w:szCs w:val="16"/>
                <w:b w:val="1"/>
                <w:bCs w:val="1"/>
                <w:color w:val="auto"/>
              </w:rPr>
              <w:t>2024</w:t>
            </w:r>
          </w:p>
        </w:tc>
        <w:tc>
          <w:tcPr>
            <w:tcW w:w="4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CCEEFF"/>
            </w:tcBorders>
          </w:tcPr>
          <w:p>
            <w:pPr>
              <w:spacing w:after="0"/>
              <w:rPr>
                <w:sz w:val="18"/>
                <w:szCs w:val="18"/>
                <w:color w:val="auto"/>
              </w:rPr>
            </w:pPr>
          </w:p>
        </w:tc>
        <w:tc>
          <w:tcPr>
            <w:tcW w:w="20" w:type="dxa"/>
            <w:vAlign w:val="bottom"/>
            <w:tcBorders>
              <w:top w:val="single" w:sz="8" w:color="auto"/>
              <w:bottom w:val="single" w:sz="8" w:color="CCEEFF"/>
            </w:tcBorders>
          </w:tcPr>
          <w:p>
            <w:pPr>
              <w:spacing w:after="0"/>
              <w:rPr>
                <w:sz w:val="18"/>
                <w:szCs w:val="18"/>
                <w:color w:val="auto"/>
              </w:rPr>
            </w:pPr>
          </w:p>
        </w:tc>
        <w:tc>
          <w:tcPr>
            <w:tcW w:w="40" w:type="dxa"/>
            <w:vAlign w:val="bottom"/>
            <w:tcBorders>
              <w:top w:val="single" w:sz="8" w:color="auto"/>
              <w:bottom w:val="single" w:sz="8" w:color="CCEEFF"/>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6"/>
                <w:szCs w:val="16"/>
                <w:b w:val="1"/>
                <w:bCs w:val="1"/>
                <w:color w:val="auto"/>
              </w:rPr>
              <w:t>2023</w:t>
            </w:r>
          </w:p>
        </w:tc>
        <w:tc>
          <w:tcPr>
            <w:tcW w:w="20" w:type="dxa"/>
            <w:vAlign w:val="bottom"/>
            <w:tcBorders>
              <w:top w:val="single" w:sz="8" w:color="auto"/>
              <w:bottom w:val="single" w:sz="8" w:color="auto"/>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6"/>
                <w:szCs w:val="16"/>
                <w:b w:val="1"/>
                <w:bCs w:val="1"/>
                <w:color w:val="auto"/>
              </w:rPr>
              <w:t>2024</w:t>
            </w:r>
          </w:p>
        </w:tc>
        <w:tc>
          <w:tcPr>
            <w:tcW w:w="20" w:type="dxa"/>
            <w:vAlign w:val="bottom"/>
            <w:tcBorders>
              <w:top w:val="single" w:sz="8" w:color="auto"/>
              <w:bottom w:val="single" w:sz="8" w:color="auto"/>
            </w:tcBorders>
          </w:tcPr>
          <w:p>
            <w:pPr>
              <w:spacing w:after="0"/>
              <w:rPr>
                <w:sz w:val="18"/>
                <w:szCs w:val="18"/>
                <w:color w:val="auto"/>
              </w:rPr>
            </w:pPr>
          </w:p>
        </w:tc>
        <w:tc>
          <w:tcPr>
            <w:tcW w:w="60" w:type="dxa"/>
            <w:vAlign w:val="bottom"/>
            <w:tcBorders>
              <w:top w:val="single" w:sz="8" w:color="auto"/>
              <w:bottom w:val="single" w:sz="8" w:color="CCEEFF"/>
            </w:tcBorders>
          </w:tcPr>
          <w:p>
            <w:pPr>
              <w:spacing w:after="0"/>
              <w:rPr>
                <w:sz w:val="18"/>
                <w:szCs w:val="18"/>
                <w:color w:val="auto"/>
              </w:rPr>
            </w:pPr>
          </w:p>
        </w:tc>
        <w:tc>
          <w:tcPr>
            <w:tcW w:w="2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6"/>
                <w:szCs w:val="16"/>
                <w:b w:val="1"/>
                <w:bCs w:val="1"/>
                <w:color w:val="auto"/>
              </w:rPr>
              <w:t>2023</w:t>
            </w:r>
          </w:p>
        </w:tc>
        <w:tc>
          <w:tcPr>
            <w:tcW w:w="2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 expense</w:t>
            </w:r>
          </w:p>
        </w:tc>
        <w:tc>
          <w:tcPr>
            <w:tcW w:w="2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101,129</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97,800</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200,954</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194,991</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Less: Stock-based compensation</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ind w:right="112"/>
              <w:spacing w:after="0"/>
              <w:rPr>
                <w:sz w:val="20"/>
                <w:szCs w:val="20"/>
                <w:color w:val="auto"/>
              </w:rPr>
            </w:pPr>
            <w:r>
              <w:rPr>
                <w:rFonts w:ascii="Arial" w:cs="Arial" w:eastAsia="Arial" w:hAnsi="Arial"/>
                <w:sz w:val="18"/>
                <w:szCs w:val="18"/>
                <w:color w:val="auto"/>
              </w:rPr>
              <w:t>16,276</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131"/>
              <w:spacing w:after="0"/>
              <w:rPr>
                <w:sz w:val="20"/>
                <w:szCs w:val="20"/>
                <w:color w:val="auto"/>
              </w:rPr>
            </w:pPr>
            <w:r>
              <w:rPr>
                <w:rFonts w:ascii="Arial" w:cs="Arial" w:eastAsia="Arial" w:hAnsi="Arial"/>
                <w:sz w:val="18"/>
                <w:szCs w:val="18"/>
                <w:color w:val="auto"/>
              </w:rPr>
              <w:t>16,423</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ind w:right="132"/>
              <w:spacing w:after="0"/>
              <w:rPr>
                <w:sz w:val="20"/>
                <w:szCs w:val="20"/>
                <w:color w:val="auto"/>
              </w:rPr>
            </w:pPr>
            <w:r>
              <w:rPr>
                <w:rFonts w:ascii="Arial" w:cs="Arial" w:eastAsia="Arial" w:hAnsi="Arial"/>
                <w:sz w:val="18"/>
                <w:szCs w:val="18"/>
                <w:color w:val="auto"/>
              </w:rPr>
              <w:t>31,576</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131"/>
              <w:spacing w:after="0"/>
              <w:rPr>
                <w:sz w:val="20"/>
                <w:szCs w:val="20"/>
                <w:color w:val="auto"/>
              </w:rPr>
            </w:pPr>
            <w:r>
              <w:rPr>
                <w:rFonts w:ascii="Arial" w:cs="Arial" w:eastAsia="Arial" w:hAnsi="Arial"/>
                <w:sz w:val="18"/>
                <w:szCs w:val="18"/>
                <w:color w:val="auto"/>
              </w:rPr>
              <w:t>30,817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Less: Acquisition-related expenses</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49</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49</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80" w:type="dxa"/>
            <w:vAlign w:val="bottom"/>
          </w:tcPr>
          <w:p>
            <w:pPr>
              <w:ind w:left="200"/>
              <w:spacing w:after="0"/>
              <w:rPr>
                <w:sz w:val="20"/>
                <w:szCs w:val="20"/>
                <w:color w:val="auto"/>
              </w:rPr>
            </w:pPr>
            <w:r>
              <w:rPr>
                <w:rFonts w:ascii="Arial" w:cs="Arial" w:eastAsia="Arial" w:hAnsi="Arial"/>
                <w:sz w:val="18"/>
                <w:szCs w:val="18"/>
                <w:color w:val="auto"/>
              </w:rPr>
              <w:t>Non-GAAP sales and marketing expense</w:t>
            </w:r>
          </w:p>
        </w:tc>
        <w:tc>
          <w:tcPr>
            <w:tcW w:w="20" w:type="dxa"/>
            <w:vAlign w:val="bottom"/>
          </w:tcPr>
          <w:p>
            <w:pPr>
              <w:spacing w:after="0"/>
              <w:rPr>
                <w:sz w:val="19"/>
                <w:szCs w:val="19"/>
                <w:color w:val="auto"/>
              </w:rPr>
            </w:pPr>
          </w:p>
        </w:tc>
        <w:tc>
          <w:tcPr>
            <w:tcW w:w="260" w:type="dxa"/>
            <w:vAlign w:val="bottom"/>
            <w:tcBorders>
              <w:top w:val="single" w:sz="8" w:color="auto"/>
              <w:bottom w:val="single" w:sz="8" w:color="auto"/>
            </w:tcBorders>
            <w:gridSpan w:val="2"/>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8"/>
                <w:szCs w:val="18"/>
                <w:color w:val="auto"/>
              </w:rPr>
              <w:t>84,804</w:t>
            </w:r>
          </w:p>
        </w:tc>
        <w:tc>
          <w:tcPr>
            <w:tcW w:w="40" w:type="dxa"/>
            <w:vAlign w:val="bottom"/>
            <w:tcBorders>
              <w:top w:val="single" w:sz="8" w:color="auto"/>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Borders>
              <w:top w:val="single" w:sz="8" w:color="auto"/>
              <w:bottom w:val="single" w:sz="8" w:color="auto"/>
            </w:tcBorders>
            <w:gridSpan w:val="2"/>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31"/>
              <w:spacing w:after="0"/>
              <w:rPr>
                <w:sz w:val="20"/>
                <w:szCs w:val="20"/>
                <w:color w:val="auto"/>
              </w:rPr>
            </w:pPr>
            <w:r>
              <w:rPr>
                <w:rFonts w:ascii="Arial" w:cs="Arial" w:eastAsia="Arial" w:hAnsi="Arial"/>
                <w:sz w:val="18"/>
                <w:szCs w:val="18"/>
                <w:color w:val="auto"/>
              </w:rPr>
              <w:t>81,377</w:t>
            </w:r>
          </w:p>
        </w:tc>
        <w:tc>
          <w:tcPr>
            <w:tcW w:w="20" w:type="dxa"/>
            <w:vAlign w:val="bottom"/>
            <w:tcBorders>
              <w:top w:val="single" w:sz="8" w:color="auto"/>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Borders>
              <w:top w:val="single" w:sz="8" w:color="auto"/>
              <w:bottom w:val="single" w:sz="8" w:color="auto"/>
            </w:tcBorders>
            <w:gridSpan w:val="2"/>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32"/>
              <w:spacing w:after="0"/>
              <w:rPr>
                <w:sz w:val="20"/>
                <w:szCs w:val="20"/>
                <w:color w:val="auto"/>
              </w:rPr>
            </w:pPr>
            <w:r>
              <w:rPr>
                <w:rFonts w:ascii="Arial" w:cs="Arial" w:eastAsia="Arial" w:hAnsi="Arial"/>
                <w:sz w:val="18"/>
                <w:szCs w:val="18"/>
                <w:color w:val="auto"/>
              </w:rPr>
              <w:t>169,329</w:t>
            </w:r>
          </w:p>
        </w:tc>
        <w:tc>
          <w:tcPr>
            <w:tcW w:w="20" w:type="dxa"/>
            <w:vAlign w:val="bottom"/>
            <w:tcBorders>
              <w:top w:val="single" w:sz="8" w:color="auto"/>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31"/>
              <w:spacing w:after="0"/>
              <w:rPr>
                <w:sz w:val="20"/>
                <w:szCs w:val="20"/>
                <w:color w:val="auto"/>
              </w:rPr>
            </w:pPr>
            <w:r>
              <w:rPr>
                <w:rFonts w:ascii="Arial" w:cs="Arial" w:eastAsia="Arial" w:hAnsi="Arial"/>
                <w:sz w:val="18"/>
                <w:szCs w:val="18"/>
                <w:color w:val="auto"/>
              </w:rPr>
              <w:t>164,174</w:t>
            </w:r>
          </w:p>
        </w:tc>
        <w:tc>
          <w:tcPr>
            <w:tcW w:w="2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9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4980" w:type="dxa"/>
            <w:vAlign w:val="bottom"/>
            <w:shd w:val="clear" w:color="auto" w:fill="CCEEFF"/>
          </w:tcPr>
          <w:p>
            <w:pPr>
              <w:ind w:left="200"/>
              <w:spacing w:after="0"/>
              <w:rPr>
                <w:sz w:val="20"/>
                <w:szCs w:val="20"/>
                <w:color w:val="auto"/>
              </w:rPr>
            </w:pPr>
            <w:r>
              <w:rPr>
                <w:rFonts w:ascii="Arial" w:cs="Arial" w:eastAsia="Arial" w:hAnsi="Arial"/>
                <w:sz w:val="18"/>
                <w:szCs w:val="18"/>
                <w:i w:val="1"/>
                <w:iCs w:val="1"/>
                <w:color w:val="auto"/>
              </w:rPr>
              <w:t>Non-GAAP sales and marketing expense % of revenue</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38 %</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42 %</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39 %</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43 %</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553"/>
        </w:trPr>
        <w:tc>
          <w:tcPr>
            <w:tcW w:w="20" w:type="dxa"/>
            <w:vAlign w:val="bottom"/>
          </w:tcPr>
          <w:p>
            <w:pPr>
              <w:spacing w:after="0"/>
              <w:rPr>
                <w:sz w:val="24"/>
                <w:szCs w:val="24"/>
                <w:color w:val="auto"/>
              </w:rPr>
            </w:pPr>
          </w:p>
        </w:tc>
        <w:tc>
          <w:tcPr>
            <w:tcW w:w="4980" w:type="dxa"/>
            <w:vAlign w:val="bottom"/>
          </w:tcPr>
          <w:p>
            <w:pPr>
              <w:ind w:left="20"/>
              <w:spacing w:after="0"/>
              <w:rPr>
                <w:sz w:val="20"/>
                <w:szCs w:val="20"/>
                <w:color w:val="auto"/>
              </w:rPr>
            </w:pPr>
            <w:r>
              <w:rPr>
                <w:rFonts w:ascii="Arial" w:cs="Arial" w:eastAsia="Arial" w:hAnsi="Arial"/>
                <w:sz w:val="16"/>
                <w:szCs w:val="16"/>
                <w:b w:val="1"/>
                <w:bCs w:val="1"/>
                <w:color w:val="auto"/>
              </w:rPr>
              <w:t>Non-GAAP Research and Development Expense</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60" w:type="dxa"/>
            <w:vAlign w:val="bottom"/>
            <w:gridSpan w:val="11"/>
          </w:tcPr>
          <w:p>
            <w:pPr>
              <w:ind w:left="140"/>
              <w:spacing w:after="0"/>
              <w:rPr>
                <w:sz w:val="20"/>
                <w:szCs w:val="20"/>
                <w:color w:val="auto"/>
              </w:rPr>
            </w:pPr>
            <w:r>
              <w:rPr>
                <w:rFonts w:ascii="Arial" w:cs="Arial" w:eastAsia="Arial" w:hAnsi="Arial"/>
                <w:sz w:val="16"/>
                <w:szCs w:val="16"/>
                <w:b w:val="1"/>
                <w:bCs w:val="1"/>
                <w:color w:val="auto"/>
              </w:rPr>
              <w:t>Three Months Ended June 30,</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760" w:type="dxa"/>
            <w:vAlign w:val="bottom"/>
            <w:gridSpan w:val="6"/>
          </w:tcPr>
          <w:p>
            <w:pPr>
              <w:jc w:val="right"/>
              <w:ind w:right="391"/>
              <w:spacing w:after="0"/>
              <w:rPr>
                <w:sz w:val="20"/>
                <w:szCs w:val="20"/>
                <w:color w:val="auto"/>
              </w:rPr>
            </w:pPr>
            <w:r>
              <w:rPr>
                <w:rFonts w:ascii="Arial" w:cs="Arial" w:eastAsia="Arial" w:hAnsi="Arial"/>
                <w:sz w:val="16"/>
                <w:szCs w:val="16"/>
                <w:b w:val="1"/>
                <w:bCs w:val="1"/>
                <w:color w:val="auto"/>
              </w:rPr>
              <w:t>Six Months Ended June 30,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98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(dollars in thousands)</w:t>
            </w:r>
          </w:p>
        </w:tc>
        <w:tc>
          <w:tcPr>
            <w:tcW w:w="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6"/>
                <w:szCs w:val="16"/>
                <w:b w:val="1"/>
                <w:bCs w:val="1"/>
                <w:color w:val="auto"/>
              </w:rPr>
              <w:t>2024</w:t>
            </w:r>
          </w:p>
        </w:tc>
        <w:tc>
          <w:tcPr>
            <w:tcW w:w="4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CCEEFF"/>
            </w:tcBorders>
          </w:tcPr>
          <w:p>
            <w:pPr>
              <w:spacing w:after="0"/>
              <w:rPr>
                <w:sz w:val="18"/>
                <w:szCs w:val="18"/>
                <w:color w:val="auto"/>
              </w:rPr>
            </w:pPr>
          </w:p>
        </w:tc>
        <w:tc>
          <w:tcPr>
            <w:tcW w:w="40" w:type="dxa"/>
            <w:vAlign w:val="bottom"/>
            <w:tcBorders>
              <w:top w:val="single" w:sz="8" w:color="auto"/>
              <w:bottom w:val="single" w:sz="8" w:color="CCEEFF"/>
            </w:tcBorders>
          </w:tcPr>
          <w:p>
            <w:pPr>
              <w:spacing w:after="0"/>
              <w:rPr>
                <w:sz w:val="18"/>
                <w:szCs w:val="18"/>
                <w:color w:val="auto"/>
              </w:rPr>
            </w:pPr>
          </w:p>
        </w:tc>
        <w:tc>
          <w:tcPr>
            <w:tcW w:w="2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31"/>
              <w:spacing w:after="0"/>
              <w:rPr>
                <w:sz w:val="20"/>
                <w:szCs w:val="20"/>
                <w:color w:val="auto"/>
              </w:rPr>
            </w:pPr>
            <w:r>
              <w:rPr>
                <w:rFonts w:ascii="Arial" w:cs="Arial" w:eastAsia="Arial" w:hAnsi="Arial"/>
                <w:sz w:val="16"/>
                <w:szCs w:val="16"/>
                <w:b w:val="1"/>
                <w:bCs w:val="1"/>
                <w:color w:val="auto"/>
              </w:rPr>
              <w:t>2023</w:t>
            </w:r>
          </w:p>
        </w:tc>
        <w:tc>
          <w:tcPr>
            <w:tcW w:w="2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6"/>
                <w:szCs w:val="16"/>
                <w:b w:val="1"/>
                <w:bCs w:val="1"/>
                <w:color w:val="auto"/>
              </w:rPr>
              <w:t>2024</w:t>
            </w:r>
          </w:p>
        </w:tc>
        <w:tc>
          <w:tcPr>
            <w:tcW w:w="20" w:type="dxa"/>
            <w:vAlign w:val="bottom"/>
            <w:tcBorders>
              <w:top w:val="single" w:sz="8" w:color="auto"/>
              <w:bottom w:val="single" w:sz="8" w:color="auto"/>
            </w:tcBorders>
          </w:tcPr>
          <w:p>
            <w:pPr>
              <w:spacing w:after="0"/>
              <w:rPr>
                <w:sz w:val="18"/>
                <w:szCs w:val="18"/>
                <w:color w:val="auto"/>
              </w:rPr>
            </w:pPr>
          </w:p>
        </w:tc>
        <w:tc>
          <w:tcPr>
            <w:tcW w:w="60" w:type="dxa"/>
            <w:vAlign w:val="bottom"/>
            <w:tcBorders>
              <w:top w:val="single" w:sz="8" w:color="auto"/>
              <w:bottom w:val="single" w:sz="8" w:color="CCEEFF"/>
            </w:tcBorders>
          </w:tcPr>
          <w:p>
            <w:pPr>
              <w:spacing w:after="0"/>
              <w:rPr>
                <w:sz w:val="18"/>
                <w:szCs w:val="18"/>
                <w:color w:val="auto"/>
              </w:rPr>
            </w:pPr>
          </w:p>
        </w:tc>
        <w:tc>
          <w:tcPr>
            <w:tcW w:w="2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rPr>
              <w:t>2023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 expense</w:t>
            </w:r>
          </w:p>
        </w:tc>
        <w:tc>
          <w:tcPr>
            <w:tcW w:w="40" w:type="dxa"/>
            <w:vAlign w:val="bottom"/>
            <w:gridSpan w:val="2"/>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45,149</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gridSpan w:val="2"/>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37,845</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gridSpan w:val="2"/>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88,876</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76,028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980" w:type="dxa"/>
            <w:vAlign w:val="bottom"/>
          </w:tcPr>
          <w:p>
            <w:pPr>
              <w:ind w:left="20"/>
              <w:spacing w:after="0"/>
              <w:rPr>
                <w:sz w:val="20"/>
                <w:szCs w:val="20"/>
                <w:color w:val="auto"/>
              </w:rPr>
            </w:pPr>
            <w:r>
              <w:rPr>
                <w:rFonts w:ascii="Arial" w:cs="Arial" w:eastAsia="Arial" w:hAnsi="Arial"/>
                <w:sz w:val="18"/>
                <w:szCs w:val="18"/>
                <w:color w:val="auto"/>
              </w:rPr>
              <w:t>Less: Stock-based compensation</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ind w:right="112"/>
              <w:spacing w:after="0"/>
              <w:rPr>
                <w:sz w:val="20"/>
                <w:szCs w:val="20"/>
                <w:color w:val="auto"/>
              </w:rPr>
            </w:pPr>
            <w:r>
              <w:rPr>
                <w:rFonts w:ascii="Arial" w:cs="Arial" w:eastAsia="Arial" w:hAnsi="Arial"/>
                <w:sz w:val="18"/>
                <w:szCs w:val="18"/>
                <w:color w:val="auto"/>
              </w:rPr>
              <w:t>11,799</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111"/>
              <w:spacing w:after="0"/>
              <w:rPr>
                <w:sz w:val="20"/>
                <w:szCs w:val="20"/>
                <w:color w:val="auto"/>
              </w:rPr>
            </w:pPr>
            <w:r>
              <w:rPr>
                <w:rFonts w:ascii="Arial" w:cs="Arial" w:eastAsia="Arial" w:hAnsi="Arial"/>
                <w:sz w:val="18"/>
                <w:szCs w:val="18"/>
                <w:color w:val="auto"/>
              </w:rPr>
              <w:t>9,764</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ind w:right="132"/>
              <w:spacing w:after="0"/>
              <w:rPr>
                <w:sz w:val="20"/>
                <w:szCs w:val="20"/>
                <w:color w:val="auto"/>
              </w:rPr>
            </w:pPr>
            <w:r>
              <w:rPr>
                <w:rFonts w:ascii="Arial" w:cs="Arial" w:eastAsia="Arial" w:hAnsi="Arial"/>
                <w:sz w:val="18"/>
                <w:szCs w:val="18"/>
                <w:color w:val="auto"/>
              </w:rPr>
              <w:t>22,960</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151"/>
              <w:spacing w:after="0"/>
              <w:rPr>
                <w:sz w:val="20"/>
                <w:szCs w:val="20"/>
                <w:color w:val="auto"/>
              </w:rPr>
            </w:pPr>
            <w:r>
              <w:rPr>
                <w:rFonts w:ascii="Arial" w:cs="Arial" w:eastAsia="Arial" w:hAnsi="Arial"/>
                <w:sz w:val="18"/>
                <w:szCs w:val="18"/>
                <w:color w:val="auto"/>
              </w:rPr>
              <w:t>18,629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Acquisition-related expenses</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(20)</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80" w:type="dxa"/>
            <w:vAlign w:val="bottom"/>
          </w:tcPr>
          <w:p>
            <w:pPr>
              <w:ind w:left="220"/>
              <w:spacing w:after="0"/>
              <w:rPr>
                <w:sz w:val="20"/>
                <w:szCs w:val="20"/>
                <w:color w:val="auto"/>
              </w:rPr>
            </w:pPr>
            <w:r>
              <w:rPr>
                <w:rFonts w:ascii="Arial" w:cs="Arial" w:eastAsia="Arial" w:hAnsi="Arial"/>
                <w:sz w:val="18"/>
                <w:szCs w:val="18"/>
                <w:color w:val="auto"/>
              </w:rPr>
              <w:t>Non-GAAP research and development expense</w:t>
            </w:r>
          </w:p>
        </w:tc>
        <w:tc>
          <w:tcPr>
            <w:tcW w:w="40" w:type="dxa"/>
            <w:vAlign w:val="bottom"/>
            <w:gridSpan w:val="2"/>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8"/>
                <w:szCs w:val="18"/>
                <w:color w:val="auto"/>
              </w:rPr>
              <w:t>33,350</w:t>
            </w:r>
          </w:p>
        </w:tc>
        <w:tc>
          <w:tcPr>
            <w:tcW w:w="4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gridSpan w:val="2"/>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8"/>
                <w:szCs w:val="18"/>
                <w:color w:val="auto"/>
              </w:rPr>
              <w:t>28,081</w:t>
            </w:r>
          </w:p>
        </w:tc>
        <w:tc>
          <w:tcPr>
            <w:tcW w:w="2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gridSpan w:val="2"/>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32"/>
              <w:spacing w:after="0"/>
              <w:rPr>
                <w:sz w:val="20"/>
                <w:szCs w:val="20"/>
                <w:color w:val="auto"/>
              </w:rPr>
            </w:pPr>
            <w:r>
              <w:rPr>
                <w:rFonts w:ascii="Arial" w:cs="Arial" w:eastAsia="Arial" w:hAnsi="Arial"/>
                <w:sz w:val="18"/>
                <w:szCs w:val="18"/>
                <w:color w:val="auto"/>
              </w:rPr>
              <w:t>65,936</w:t>
            </w:r>
          </w:p>
        </w:tc>
        <w:tc>
          <w:tcPr>
            <w:tcW w:w="20" w:type="dxa"/>
            <w:vAlign w:val="bottom"/>
            <w:tcBorders>
              <w:top w:val="single" w:sz="8" w:color="auto"/>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51"/>
              <w:spacing w:after="0"/>
              <w:rPr>
                <w:sz w:val="20"/>
                <w:szCs w:val="20"/>
                <w:color w:val="auto"/>
              </w:rPr>
            </w:pPr>
            <w:r>
              <w:rPr>
                <w:rFonts w:ascii="Arial" w:cs="Arial" w:eastAsia="Arial" w:hAnsi="Arial"/>
                <w:sz w:val="18"/>
                <w:szCs w:val="18"/>
                <w:color w:val="auto"/>
              </w:rPr>
              <w:t>57,399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4980" w:type="dxa"/>
            <w:vAlign w:val="bottom"/>
            <w:shd w:val="clear" w:color="auto" w:fill="CCEEFF"/>
          </w:tcPr>
          <w:p>
            <w:pPr>
              <w:ind w:left="220"/>
              <w:spacing w:after="0" w:line="142" w:lineRule="exact"/>
              <w:rPr>
                <w:sz w:val="20"/>
                <w:szCs w:val="20"/>
                <w:color w:val="auto"/>
              </w:rPr>
            </w:pPr>
            <w:r>
              <w:rPr>
                <w:rFonts w:ascii="Arial" w:cs="Arial" w:eastAsia="Arial" w:hAnsi="Arial"/>
                <w:sz w:val="16"/>
                <w:szCs w:val="16"/>
                <w:i w:val="1"/>
                <w:iCs w:val="1"/>
                <w:color w:val="auto"/>
              </w:rPr>
              <w:t>Non-GAAP research and development expense % of</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15 %</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14 %</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15 %</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15 %</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980" w:type="dxa"/>
            <w:vAlign w:val="bottom"/>
            <w:shd w:val="clear" w:color="auto" w:fill="CCEEFF"/>
          </w:tcPr>
          <w:p>
            <w:pPr>
              <w:ind w:left="220"/>
              <w:spacing w:after="0"/>
              <w:rPr>
                <w:sz w:val="20"/>
                <w:szCs w:val="20"/>
                <w:color w:val="auto"/>
              </w:rPr>
            </w:pPr>
            <w:r>
              <w:rPr>
                <w:rFonts w:ascii="Arial" w:cs="Arial" w:eastAsia="Arial" w:hAnsi="Arial"/>
                <w:sz w:val="18"/>
                <w:szCs w:val="18"/>
                <w:i w:val="1"/>
                <w:iCs w:val="1"/>
                <w:color w:val="auto"/>
              </w:rPr>
              <w:t>revenue</w:t>
            </w: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40" w:type="dxa"/>
            <w:vAlign w:val="bottom"/>
            <w:gridSpan w:val="2"/>
            <w:vMerge w:val="continue"/>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40" w:type="dxa"/>
            <w:vAlign w:val="bottom"/>
            <w:gridSpan w:val="2"/>
            <w:vMerge w:val="continue"/>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80" w:type="dxa"/>
            <w:vAlign w:val="bottom"/>
            <w:vMerge w:val="continue"/>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vMerge w:val="continue"/>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53"/>
        </w:trPr>
        <w:tc>
          <w:tcPr>
            <w:tcW w:w="20" w:type="dxa"/>
            <w:vAlign w:val="bottom"/>
          </w:tcPr>
          <w:p>
            <w:pPr>
              <w:spacing w:after="0"/>
              <w:rPr>
                <w:sz w:val="24"/>
                <w:szCs w:val="24"/>
                <w:color w:val="auto"/>
              </w:rPr>
            </w:pPr>
          </w:p>
        </w:tc>
        <w:tc>
          <w:tcPr>
            <w:tcW w:w="4980" w:type="dxa"/>
            <w:vAlign w:val="bottom"/>
          </w:tcPr>
          <w:p>
            <w:pPr>
              <w:ind w:left="20"/>
              <w:spacing w:after="0"/>
              <w:rPr>
                <w:sz w:val="20"/>
                <w:szCs w:val="20"/>
                <w:color w:val="auto"/>
              </w:rPr>
            </w:pPr>
            <w:r>
              <w:rPr>
                <w:rFonts w:ascii="Arial" w:cs="Arial" w:eastAsia="Arial" w:hAnsi="Arial"/>
                <w:sz w:val="16"/>
                <w:szCs w:val="16"/>
                <w:b w:val="1"/>
                <w:bCs w:val="1"/>
                <w:color w:val="auto"/>
              </w:rPr>
              <w:t>Non-GAAP General and Administrative Expense</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60" w:type="dxa"/>
            <w:vAlign w:val="bottom"/>
            <w:gridSpan w:val="11"/>
          </w:tcPr>
          <w:p>
            <w:pPr>
              <w:ind w:left="140"/>
              <w:spacing w:after="0"/>
              <w:rPr>
                <w:sz w:val="20"/>
                <w:szCs w:val="20"/>
                <w:color w:val="auto"/>
              </w:rPr>
            </w:pPr>
            <w:r>
              <w:rPr>
                <w:rFonts w:ascii="Arial" w:cs="Arial" w:eastAsia="Arial" w:hAnsi="Arial"/>
                <w:sz w:val="16"/>
                <w:szCs w:val="16"/>
                <w:b w:val="1"/>
                <w:bCs w:val="1"/>
                <w:color w:val="auto"/>
              </w:rPr>
              <w:t>Three Months Ended June 30,</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760" w:type="dxa"/>
            <w:vAlign w:val="bottom"/>
            <w:gridSpan w:val="6"/>
          </w:tcPr>
          <w:p>
            <w:pPr>
              <w:jc w:val="right"/>
              <w:ind w:right="391"/>
              <w:spacing w:after="0"/>
              <w:rPr>
                <w:sz w:val="20"/>
                <w:szCs w:val="20"/>
                <w:color w:val="auto"/>
              </w:rPr>
            </w:pPr>
            <w:r>
              <w:rPr>
                <w:rFonts w:ascii="Arial" w:cs="Arial" w:eastAsia="Arial" w:hAnsi="Arial"/>
                <w:sz w:val="16"/>
                <w:szCs w:val="16"/>
                <w:b w:val="1"/>
                <w:bCs w:val="1"/>
                <w:color w:val="auto"/>
              </w:rPr>
              <w:t>Six Months Ended June 30,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(dollars in thousands)</w:t>
            </w:r>
          </w:p>
        </w:tc>
        <w:tc>
          <w:tcPr>
            <w:tcW w:w="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6"/>
                <w:szCs w:val="16"/>
                <w:b w:val="1"/>
                <w:bCs w:val="1"/>
                <w:color w:val="auto"/>
              </w:rPr>
              <w:t>2024</w:t>
            </w:r>
          </w:p>
        </w:tc>
        <w:tc>
          <w:tcPr>
            <w:tcW w:w="4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CCEEFF"/>
            </w:tcBorders>
          </w:tcPr>
          <w:p>
            <w:pPr>
              <w:spacing w:after="0"/>
              <w:rPr>
                <w:sz w:val="18"/>
                <w:szCs w:val="18"/>
                <w:color w:val="auto"/>
              </w:rPr>
            </w:pPr>
          </w:p>
        </w:tc>
        <w:tc>
          <w:tcPr>
            <w:tcW w:w="40" w:type="dxa"/>
            <w:vAlign w:val="bottom"/>
            <w:tcBorders>
              <w:top w:val="single" w:sz="8" w:color="auto"/>
              <w:bottom w:val="single" w:sz="8" w:color="CCEEFF"/>
            </w:tcBorders>
          </w:tcPr>
          <w:p>
            <w:pPr>
              <w:spacing w:after="0"/>
              <w:rPr>
                <w:sz w:val="18"/>
                <w:szCs w:val="18"/>
                <w:color w:val="auto"/>
              </w:rPr>
            </w:pPr>
          </w:p>
        </w:tc>
        <w:tc>
          <w:tcPr>
            <w:tcW w:w="2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31"/>
              <w:spacing w:after="0"/>
              <w:rPr>
                <w:sz w:val="20"/>
                <w:szCs w:val="20"/>
                <w:color w:val="auto"/>
              </w:rPr>
            </w:pPr>
            <w:r>
              <w:rPr>
                <w:rFonts w:ascii="Arial" w:cs="Arial" w:eastAsia="Arial" w:hAnsi="Arial"/>
                <w:sz w:val="16"/>
                <w:szCs w:val="16"/>
                <w:b w:val="1"/>
                <w:bCs w:val="1"/>
                <w:color w:val="auto"/>
              </w:rPr>
              <w:t>2023</w:t>
            </w:r>
          </w:p>
        </w:tc>
        <w:tc>
          <w:tcPr>
            <w:tcW w:w="2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6"/>
                <w:szCs w:val="16"/>
                <w:b w:val="1"/>
                <w:bCs w:val="1"/>
                <w:color w:val="auto"/>
              </w:rPr>
              <w:t>2024</w:t>
            </w:r>
          </w:p>
        </w:tc>
        <w:tc>
          <w:tcPr>
            <w:tcW w:w="20" w:type="dxa"/>
            <w:vAlign w:val="bottom"/>
            <w:tcBorders>
              <w:top w:val="single" w:sz="8" w:color="auto"/>
              <w:bottom w:val="single" w:sz="8" w:color="auto"/>
            </w:tcBorders>
          </w:tcPr>
          <w:p>
            <w:pPr>
              <w:spacing w:after="0"/>
              <w:rPr>
                <w:sz w:val="18"/>
                <w:szCs w:val="18"/>
                <w:color w:val="auto"/>
              </w:rPr>
            </w:pPr>
          </w:p>
        </w:tc>
        <w:tc>
          <w:tcPr>
            <w:tcW w:w="60" w:type="dxa"/>
            <w:vAlign w:val="bottom"/>
            <w:tcBorders>
              <w:top w:val="single" w:sz="8" w:color="auto"/>
              <w:bottom w:val="single" w:sz="8" w:color="CCEEFF"/>
            </w:tcBorders>
          </w:tcPr>
          <w:p>
            <w:pPr>
              <w:spacing w:after="0"/>
              <w:rPr>
                <w:sz w:val="18"/>
                <w:szCs w:val="18"/>
                <w:color w:val="auto"/>
              </w:rPr>
            </w:pPr>
          </w:p>
        </w:tc>
        <w:tc>
          <w:tcPr>
            <w:tcW w:w="2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rPr>
              <w:t>2023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 expense</w:t>
            </w:r>
          </w:p>
        </w:tc>
        <w:tc>
          <w:tcPr>
            <w:tcW w:w="40" w:type="dxa"/>
            <w:vAlign w:val="bottom"/>
            <w:gridSpan w:val="2"/>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30,302</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gridSpan w:val="2"/>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111"/>
              <w:spacing w:after="0"/>
              <w:rPr>
                <w:sz w:val="20"/>
                <w:szCs w:val="20"/>
                <w:color w:val="auto"/>
              </w:rPr>
            </w:pPr>
            <w:r>
              <w:rPr>
                <w:rFonts w:ascii="Arial" w:cs="Arial" w:eastAsia="Arial" w:hAnsi="Arial"/>
                <w:sz w:val="18"/>
                <w:szCs w:val="18"/>
                <w:color w:val="auto"/>
              </w:rPr>
              <w:t>26,622</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gridSpan w:val="2"/>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61,320</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51"/>
              <w:spacing w:after="0"/>
              <w:rPr>
                <w:sz w:val="20"/>
                <w:szCs w:val="20"/>
                <w:color w:val="auto"/>
              </w:rPr>
            </w:pPr>
            <w:r>
              <w:rPr>
                <w:rFonts w:ascii="Arial" w:cs="Arial" w:eastAsia="Arial" w:hAnsi="Arial"/>
                <w:sz w:val="18"/>
                <w:szCs w:val="18"/>
                <w:color w:val="auto"/>
              </w:rPr>
              <w:t>53,737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80" w:type="dxa"/>
            <w:vAlign w:val="bottom"/>
          </w:tcPr>
          <w:p>
            <w:pPr>
              <w:ind w:left="20"/>
              <w:spacing w:after="0"/>
              <w:rPr>
                <w:sz w:val="20"/>
                <w:szCs w:val="20"/>
                <w:color w:val="auto"/>
              </w:rPr>
            </w:pPr>
            <w:r>
              <w:rPr>
                <w:rFonts w:ascii="Arial" w:cs="Arial" w:eastAsia="Arial" w:hAnsi="Arial"/>
                <w:sz w:val="18"/>
                <w:szCs w:val="18"/>
                <w:color w:val="auto"/>
              </w:rPr>
              <w:t>Less: Stock-based compensation</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ind w:right="112"/>
              <w:spacing w:after="0"/>
              <w:rPr>
                <w:sz w:val="20"/>
                <w:szCs w:val="20"/>
                <w:color w:val="auto"/>
              </w:rPr>
            </w:pPr>
            <w:r>
              <w:rPr>
                <w:rFonts w:ascii="Arial" w:cs="Arial" w:eastAsia="Arial" w:hAnsi="Arial"/>
                <w:sz w:val="18"/>
                <w:szCs w:val="18"/>
                <w:color w:val="auto"/>
              </w:rPr>
              <w:t>10,035</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111"/>
              <w:spacing w:after="0"/>
              <w:rPr>
                <w:sz w:val="20"/>
                <w:szCs w:val="20"/>
                <w:color w:val="auto"/>
              </w:rPr>
            </w:pPr>
            <w:r>
              <w:rPr>
                <w:rFonts w:ascii="Arial" w:cs="Arial" w:eastAsia="Arial" w:hAnsi="Arial"/>
                <w:sz w:val="18"/>
                <w:szCs w:val="18"/>
                <w:color w:val="auto"/>
              </w:rPr>
              <w:t>8,767</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ind w:right="132"/>
              <w:spacing w:after="0"/>
              <w:rPr>
                <w:sz w:val="20"/>
                <w:szCs w:val="20"/>
                <w:color w:val="auto"/>
              </w:rPr>
            </w:pPr>
            <w:r>
              <w:rPr>
                <w:rFonts w:ascii="Arial" w:cs="Arial" w:eastAsia="Arial" w:hAnsi="Arial"/>
                <w:sz w:val="18"/>
                <w:szCs w:val="18"/>
                <w:color w:val="auto"/>
              </w:rPr>
              <w:t>20,311</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151"/>
              <w:spacing w:after="0"/>
              <w:rPr>
                <w:sz w:val="20"/>
                <w:szCs w:val="20"/>
                <w:color w:val="auto"/>
              </w:rPr>
            </w:pPr>
            <w:r>
              <w:rPr>
                <w:rFonts w:ascii="Arial" w:cs="Arial" w:eastAsia="Arial" w:hAnsi="Arial"/>
                <w:sz w:val="18"/>
                <w:szCs w:val="18"/>
                <w:color w:val="auto"/>
              </w:rPr>
              <w:t>17,000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Acquisition-related expenses</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714</w:t>
            </w:r>
          </w:p>
        </w:tc>
        <w:tc>
          <w:tcPr>
            <w:tcW w:w="4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8"/>
                <w:szCs w:val="18"/>
                <w:color w:val="auto"/>
              </w:rPr>
              <w:t>30</w:t>
            </w:r>
          </w:p>
        </w:tc>
        <w:tc>
          <w:tcPr>
            <w:tcW w:w="2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895</w:t>
            </w:r>
          </w:p>
        </w:tc>
        <w:tc>
          <w:tcPr>
            <w:tcW w:w="2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8"/>
                <w:szCs w:val="18"/>
                <w:color w:val="auto"/>
              </w:rPr>
              <w:t>130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80" w:type="dxa"/>
            <w:vAlign w:val="bottom"/>
          </w:tcPr>
          <w:p>
            <w:pPr>
              <w:ind w:left="220"/>
              <w:spacing w:after="0"/>
              <w:rPr>
                <w:sz w:val="20"/>
                <w:szCs w:val="20"/>
                <w:color w:val="auto"/>
              </w:rPr>
            </w:pPr>
            <w:r>
              <w:rPr>
                <w:rFonts w:ascii="Arial" w:cs="Arial" w:eastAsia="Arial" w:hAnsi="Arial"/>
                <w:sz w:val="18"/>
                <w:szCs w:val="18"/>
                <w:color w:val="auto"/>
              </w:rPr>
              <w:t>Non-GAAP general and administrative expense</w:t>
            </w:r>
          </w:p>
        </w:tc>
        <w:tc>
          <w:tcPr>
            <w:tcW w:w="40" w:type="dxa"/>
            <w:vAlign w:val="bottom"/>
            <w:gridSpan w:val="2"/>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19,553</w:t>
            </w:r>
          </w:p>
        </w:tc>
        <w:tc>
          <w:tcPr>
            <w:tcW w:w="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gridSpan w:val="2"/>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rPr>
              <w:t>17,825</w:t>
            </w: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gridSpan w:val="2"/>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40,114</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36,607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4980" w:type="dxa"/>
            <w:vAlign w:val="bottom"/>
            <w:shd w:val="clear" w:color="auto" w:fill="CCEEFF"/>
          </w:tcPr>
          <w:p>
            <w:pPr>
              <w:ind w:left="220"/>
              <w:spacing w:after="0" w:line="142" w:lineRule="exact"/>
              <w:rPr>
                <w:sz w:val="20"/>
                <w:szCs w:val="20"/>
                <w:color w:val="auto"/>
              </w:rPr>
            </w:pPr>
            <w:r>
              <w:rPr>
                <w:rFonts w:ascii="Arial" w:cs="Arial" w:eastAsia="Arial" w:hAnsi="Arial"/>
                <w:sz w:val="16"/>
                <w:szCs w:val="16"/>
                <w:i w:val="1"/>
                <w:iCs w:val="1"/>
                <w:color w:val="auto"/>
              </w:rPr>
              <w:t>Non-GAAP general and administrative expense % of</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9 %</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9 %</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9 %</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980" w:type="dxa"/>
            <w:vAlign w:val="bottom"/>
            <w:shd w:val="clear" w:color="auto" w:fill="CCEEFF"/>
          </w:tcPr>
          <w:p>
            <w:pPr>
              <w:ind w:left="220"/>
              <w:spacing w:after="0"/>
              <w:rPr>
                <w:sz w:val="20"/>
                <w:szCs w:val="20"/>
                <w:color w:val="auto"/>
              </w:rPr>
            </w:pPr>
            <w:r>
              <w:rPr>
                <w:rFonts w:ascii="Arial" w:cs="Arial" w:eastAsia="Arial" w:hAnsi="Arial"/>
                <w:sz w:val="18"/>
                <w:szCs w:val="18"/>
                <w:i w:val="1"/>
                <w:iCs w:val="1"/>
                <w:color w:val="auto"/>
              </w:rPr>
              <w:t>revenue</w:t>
            </w: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40" w:type="dxa"/>
            <w:vAlign w:val="bottom"/>
            <w:gridSpan w:val="2"/>
            <w:vMerge w:val="continue"/>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40" w:type="dxa"/>
            <w:vAlign w:val="bottom"/>
            <w:gridSpan w:val="2"/>
            <w:vMerge w:val="continue"/>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80" w:type="dxa"/>
            <w:vAlign w:val="bottom"/>
            <w:vMerge w:val="continue"/>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vMerge w:val="continue"/>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7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following adjustments to reconcile forecasted non-GAAP income from operations, non-GAAP net income, non-GAAP earnings per share, free cash flow and unlevered free cash flow are subject to a number of uncertainties and assumptions, each of which are inherently difficult to forecast. As a result, actual adjustments and GAAP results may differ materially.</w:t>
      </w:r>
    </w:p>
    <w:p>
      <w:pPr>
        <w:spacing w:after="0" w:line="86"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53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Forecasted Non-GAAP Income from Operations</w:t>
            </w:r>
          </w:p>
        </w:tc>
        <w:tc>
          <w:tcPr>
            <w:tcW w:w="2400" w:type="dxa"/>
            <w:vAlign w:val="bottom"/>
            <w:gridSpan w:val="4"/>
          </w:tcPr>
          <w:p>
            <w:pPr>
              <w:jc w:val="right"/>
              <w:ind w:right="53"/>
              <w:spacing w:after="0"/>
              <w:rPr>
                <w:sz w:val="20"/>
                <w:szCs w:val="20"/>
                <w:color w:val="auto"/>
              </w:rPr>
            </w:pPr>
            <w:r>
              <w:rPr>
                <w:rFonts w:ascii="Arial" w:cs="Arial" w:eastAsia="Arial" w:hAnsi="Arial"/>
                <w:sz w:val="16"/>
                <w:szCs w:val="16"/>
                <w:b w:val="1"/>
                <w:bCs w:val="1"/>
                <w:color w:val="auto"/>
              </w:rPr>
              <w:t>Three Months Ending</w:t>
            </w: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0" w:type="dxa"/>
            <w:vAlign w:val="bottom"/>
            <w:gridSpan w:val="3"/>
          </w:tcPr>
          <w:p>
            <w:pPr>
              <w:jc w:val="right"/>
              <w:spacing w:after="0"/>
              <w:rPr>
                <w:sz w:val="20"/>
                <w:szCs w:val="20"/>
                <w:color w:val="auto"/>
              </w:rPr>
            </w:pPr>
            <w:r>
              <w:rPr>
                <w:rFonts w:ascii="Arial" w:cs="Arial" w:eastAsia="Arial" w:hAnsi="Arial"/>
                <w:sz w:val="16"/>
                <w:szCs w:val="16"/>
                <w:b w:val="1"/>
                <w:bCs w:val="1"/>
                <w:color w:val="auto"/>
              </w:rPr>
              <w:t>Year Ending</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340" w:type="dxa"/>
            <w:vAlign w:val="bottom"/>
            <w:vMerge w:val="continue"/>
          </w:tcPr>
          <w:p>
            <w:pPr>
              <w:spacing w:after="0"/>
              <w:rPr>
                <w:sz w:val="18"/>
                <w:szCs w:val="18"/>
                <w:color w:val="auto"/>
              </w:rPr>
            </w:pPr>
          </w:p>
        </w:tc>
        <w:tc>
          <w:tcPr>
            <w:tcW w:w="2400" w:type="dxa"/>
            <w:vAlign w:val="bottom"/>
            <w:tcBorders>
              <w:bottom w:val="single" w:sz="8" w:color="auto"/>
            </w:tcBorders>
            <w:gridSpan w:val="4"/>
          </w:tcPr>
          <w:p>
            <w:pPr>
              <w:jc w:val="right"/>
              <w:ind w:right="93"/>
              <w:spacing w:after="0"/>
              <w:rPr>
                <w:sz w:val="20"/>
                <w:szCs w:val="20"/>
                <w:color w:val="auto"/>
              </w:rPr>
            </w:pPr>
            <w:r>
              <w:rPr>
                <w:rFonts w:ascii="Arial" w:cs="Arial" w:eastAsia="Arial" w:hAnsi="Arial"/>
                <w:sz w:val="16"/>
                <w:szCs w:val="16"/>
                <w:b w:val="1"/>
                <w:bCs w:val="1"/>
                <w:color w:val="auto"/>
              </w:rPr>
              <w:t>September 30, 2024</w:t>
            </w:r>
          </w:p>
        </w:tc>
        <w:tc>
          <w:tcPr>
            <w:tcW w:w="4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gridSpan w:val="4"/>
          </w:tcPr>
          <w:p>
            <w:pPr>
              <w:jc w:val="right"/>
              <w:ind w:right="611"/>
              <w:spacing w:after="0"/>
              <w:rPr>
                <w:sz w:val="20"/>
                <w:szCs w:val="20"/>
                <w:color w:val="auto"/>
              </w:rPr>
            </w:pPr>
            <w:r>
              <w:rPr>
                <w:rFonts w:ascii="Arial" w:cs="Arial" w:eastAsia="Arial" w:hAnsi="Arial"/>
                <w:sz w:val="16"/>
                <w:szCs w:val="16"/>
                <w:b w:val="1"/>
                <w:bCs w:val="1"/>
                <w:color w:val="auto"/>
              </w:rPr>
              <w:t>December 31, 2024</w:t>
            </w:r>
          </w:p>
        </w:tc>
        <w:tc>
          <w:tcPr>
            <w:tcW w:w="0" w:type="dxa"/>
            <w:vAlign w:val="bottom"/>
          </w:tcPr>
          <w:p>
            <w:pPr>
              <w:spacing w:after="0"/>
              <w:rPr>
                <w:sz w:val="1"/>
                <w:szCs w:val="1"/>
                <w:color w:val="auto"/>
              </w:rPr>
            </w:pPr>
          </w:p>
        </w:tc>
      </w:tr>
      <w:tr>
        <w:trPr>
          <w:trHeight w:val="210"/>
        </w:trPr>
        <w:tc>
          <w:tcPr>
            <w:tcW w:w="5340" w:type="dxa"/>
            <w:vAlign w:val="bottom"/>
          </w:tcPr>
          <w:p>
            <w:pPr>
              <w:ind w:left="20"/>
              <w:spacing w:after="0"/>
              <w:rPr>
                <w:sz w:val="20"/>
                <w:szCs w:val="20"/>
                <w:color w:val="auto"/>
              </w:rPr>
            </w:pPr>
            <w:r>
              <w:rPr>
                <w:rFonts w:ascii="Arial" w:cs="Arial" w:eastAsia="Arial" w:hAnsi="Arial"/>
                <w:sz w:val="16"/>
                <w:szCs w:val="16"/>
                <w:b w:val="1"/>
                <w:bCs w:val="1"/>
                <w:color w:val="auto"/>
              </w:rPr>
              <w:t>(in millions)</w:t>
            </w: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Low</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High</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ind w:left="200"/>
              <w:spacing w:after="0"/>
              <w:rPr>
                <w:sz w:val="20"/>
                <w:szCs w:val="20"/>
                <w:color w:val="auto"/>
              </w:rPr>
            </w:pPr>
            <w:r>
              <w:rPr>
                <w:rFonts w:ascii="Arial" w:cs="Arial" w:eastAsia="Arial" w:hAnsi="Arial"/>
                <w:sz w:val="16"/>
                <w:szCs w:val="16"/>
                <w:b w:val="1"/>
                <w:bCs w:val="1"/>
                <w:color w:val="auto"/>
              </w:rPr>
              <w:t>Low</w:t>
            </w:r>
          </w:p>
        </w:tc>
        <w:tc>
          <w:tcPr>
            <w:tcW w:w="440" w:type="dxa"/>
            <w:vAlign w:val="bottom"/>
          </w:tcPr>
          <w:p>
            <w:pPr>
              <w:spacing w:after="0"/>
              <w:rPr>
                <w:sz w:val="18"/>
                <w:szCs w:val="18"/>
                <w:color w:val="auto"/>
              </w:rPr>
            </w:pPr>
          </w:p>
        </w:tc>
        <w:tc>
          <w:tcPr>
            <w:tcW w:w="940" w:type="dxa"/>
            <w:vAlign w:val="bottom"/>
          </w:tcPr>
          <w:p>
            <w:pPr>
              <w:jc w:val="right"/>
              <w:ind w:right="431"/>
              <w:spacing w:after="0"/>
              <w:rPr>
                <w:sz w:val="20"/>
                <w:szCs w:val="20"/>
                <w:color w:val="auto"/>
              </w:rPr>
            </w:pPr>
            <w:r>
              <w:rPr>
                <w:rFonts w:ascii="Arial" w:cs="Arial" w:eastAsia="Arial" w:hAnsi="Arial"/>
                <w:sz w:val="16"/>
                <w:szCs w:val="16"/>
                <w:b w:val="1"/>
                <w:bCs w:val="1"/>
                <w:color w:val="auto"/>
              </w:rPr>
              <w:t>High</w:t>
            </w:r>
          </w:p>
        </w:tc>
        <w:tc>
          <w:tcPr>
            <w:tcW w:w="0" w:type="dxa"/>
            <w:vAlign w:val="bottom"/>
          </w:tcPr>
          <w:p>
            <w:pPr>
              <w:spacing w:after="0"/>
              <w:rPr>
                <w:sz w:val="1"/>
                <w:szCs w:val="1"/>
                <w:color w:val="auto"/>
              </w:rPr>
            </w:pPr>
          </w:p>
        </w:tc>
      </w:tr>
      <w:tr>
        <w:trPr>
          <w:trHeight w:val="223"/>
        </w:trPr>
        <w:tc>
          <w:tcPr>
            <w:tcW w:w="53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Forecasted loss from operations</w:t>
            </w:r>
          </w:p>
        </w:tc>
        <w:tc>
          <w:tcPr>
            <w:tcW w:w="900" w:type="dxa"/>
            <w:vAlign w:val="bottom"/>
            <w:tcBorders>
              <w:top w:val="single" w:sz="8" w:color="auto"/>
            </w:tcBorders>
            <w:shd w:val="clear" w:color="auto" w:fill="CCEEFF"/>
          </w:tcPr>
          <w:p>
            <w:pPr>
              <w:jc w:val="right"/>
              <w:ind w:right="695"/>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ind w:right="713"/>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12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30"/>
        </w:trPr>
        <w:tc>
          <w:tcPr>
            <w:tcW w:w="5340" w:type="dxa"/>
            <w:vAlign w:val="bottom"/>
          </w:tcPr>
          <w:p>
            <w:pPr>
              <w:ind w:left="20"/>
              <w:spacing w:after="0"/>
              <w:rPr>
                <w:sz w:val="20"/>
                <w:szCs w:val="20"/>
                <w:color w:val="auto"/>
              </w:rPr>
            </w:pPr>
            <w:r>
              <w:rPr>
                <w:rFonts w:ascii="Arial" w:cs="Arial" w:eastAsia="Arial" w:hAnsi="Arial"/>
                <w:sz w:val="18"/>
                <w:szCs w:val="18"/>
                <w:color w:val="auto"/>
              </w:rPr>
              <w:t>Forecasted stock-based compensation</w:t>
            </w:r>
          </w:p>
        </w:tc>
        <w:tc>
          <w:tcPr>
            <w:tcW w:w="9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41.6</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41.6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164.6</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164.6</w:t>
            </w:r>
          </w:p>
        </w:tc>
        <w:tc>
          <w:tcPr>
            <w:tcW w:w="0" w:type="dxa"/>
            <w:vAlign w:val="bottom"/>
          </w:tcPr>
          <w:p>
            <w:pPr>
              <w:spacing w:after="0"/>
              <w:rPr>
                <w:sz w:val="1"/>
                <w:szCs w:val="1"/>
                <w:color w:val="auto"/>
              </w:rPr>
            </w:pPr>
          </w:p>
        </w:tc>
      </w:tr>
      <w:tr>
        <w:trPr>
          <w:trHeight w:val="230"/>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Forecasted acquisition-related expenses</w:t>
            </w:r>
          </w:p>
        </w:tc>
        <w:tc>
          <w:tcPr>
            <w:tcW w:w="9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9"/>
        </w:trPr>
        <w:tc>
          <w:tcPr>
            <w:tcW w:w="5340" w:type="dxa"/>
            <w:vAlign w:val="bottom"/>
          </w:tcPr>
          <w:p>
            <w:pPr>
              <w:ind w:left="20"/>
              <w:spacing w:after="0"/>
              <w:rPr>
                <w:sz w:val="20"/>
                <w:szCs w:val="20"/>
                <w:color w:val="auto"/>
              </w:rPr>
            </w:pPr>
            <w:r>
              <w:rPr>
                <w:rFonts w:ascii="Arial" w:cs="Arial" w:eastAsia="Arial" w:hAnsi="Arial"/>
                <w:sz w:val="18"/>
                <w:szCs w:val="18"/>
                <w:color w:val="auto"/>
              </w:rPr>
              <w:t>Forecasted restructuring</w:t>
            </w:r>
          </w:p>
        </w:tc>
        <w:tc>
          <w:tcPr>
            <w:tcW w:w="900" w:type="dxa"/>
            <w:vAlign w:val="bottom"/>
          </w:tcPr>
          <w:p>
            <w:pPr>
              <w:spacing w:after="0"/>
              <w:rPr>
                <w:sz w:val="19"/>
                <w:szCs w:val="19"/>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9"/>
                <w:szCs w:val="19"/>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29"/>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Forecasted amortization of acquired intangible assets</w:t>
            </w:r>
          </w:p>
        </w:tc>
        <w:tc>
          <w:tcPr>
            <w:tcW w:w="90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23"/>
        </w:trPr>
        <w:tc>
          <w:tcPr>
            <w:tcW w:w="5340" w:type="dxa"/>
            <w:vAlign w:val="bottom"/>
          </w:tcPr>
          <w:p>
            <w:pPr>
              <w:ind w:left="220"/>
              <w:spacing w:after="0"/>
              <w:rPr>
                <w:sz w:val="20"/>
                <w:szCs w:val="20"/>
                <w:color w:val="auto"/>
              </w:rPr>
            </w:pPr>
            <w:r>
              <w:rPr>
                <w:rFonts w:ascii="Arial" w:cs="Arial" w:eastAsia="Arial" w:hAnsi="Arial"/>
                <w:sz w:val="18"/>
                <w:szCs w:val="18"/>
                <w:color w:val="auto"/>
              </w:rPr>
              <w:t>Forecasted non-GAAP income from operations</w:t>
            </w:r>
          </w:p>
        </w:tc>
        <w:tc>
          <w:tcPr>
            <w:tcW w:w="900" w:type="dxa"/>
            <w:vAlign w:val="bottom"/>
            <w:tcBorders>
              <w:bottom w:val="single" w:sz="8" w:color="auto"/>
            </w:tcBorders>
          </w:tcPr>
          <w:p>
            <w:pPr>
              <w:jc w:val="right"/>
              <w:ind w:right="695"/>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w:t>
            </w:r>
          </w:p>
        </w:tc>
        <w:tc>
          <w:tcPr>
            <w:tcW w:w="100" w:type="dxa"/>
            <w:vAlign w:val="bottom"/>
          </w:tcPr>
          <w:p>
            <w:pPr>
              <w:spacing w:after="0"/>
              <w:rPr>
                <w:sz w:val="19"/>
                <w:szCs w:val="19"/>
                <w:color w:val="auto"/>
              </w:rPr>
            </w:pPr>
          </w:p>
        </w:tc>
        <w:tc>
          <w:tcPr>
            <w:tcW w:w="920" w:type="dxa"/>
            <w:vAlign w:val="bottom"/>
            <w:tcBorders>
              <w:bottom w:val="single" w:sz="8" w:color="auto"/>
            </w:tcBorders>
          </w:tcPr>
          <w:p>
            <w:pPr>
              <w:jc w:val="right"/>
              <w:ind w:right="713"/>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167.0</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171.0</w:t>
            </w:r>
          </w:p>
        </w:tc>
        <w:tc>
          <w:tcPr>
            <w:tcW w:w="0" w:type="dxa"/>
            <w:vAlign w:val="bottom"/>
          </w:tcPr>
          <w:p>
            <w:pPr>
              <w:spacing w:after="0"/>
              <w:rPr>
                <w:sz w:val="1"/>
                <w:szCs w:val="1"/>
                <w:color w:val="auto"/>
              </w:rPr>
            </w:pPr>
          </w:p>
        </w:tc>
      </w:tr>
      <w:tr>
        <w:trPr>
          <w:trHeight w:val="21"/>
        </w:trPr>
        <w:tc>
          <w:tcPr>
            <w:tcW w:w="53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07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1240"/>
          </w:cols>
          <w:pgMar w:left="320" w:top="1070" w:right="339" w:bottom="1440" w:gutter="0" w:footer="0" w:header="0"/>
          <w:type w:val="continuous"/>
        </w:sectPr>
      </w:pPr>
    </w:p>
    <w:bookmarkStart w:id="13" w:name="page14"/>
    <w:bookmarkEnd w:id="13"/>
    <w:tbl>
      <w:tblPr>
        <w:tblLayout w:type="fixed"/>
        <w:tblInd w:w="0" w:type="dxa"/>
        <w:tblCellMar>
          <w:top w:w="0" w:type="dxa"/>
          <w:left w:w="0" w:type="dxa"/>
          <w:bottom w:w="0" w:type="dxa"/>
          <w:right w:w="0" w:type="dxa"/>
        </w:tblCellMar>
      </w:tblPr>
      <w:tr>
        <w:trPr>
          <w:trHeight w:val="184"/>
        </w:trPr>
        <w:tc>
          <w:tcPr>
            <w:tcW w:w="5400" w:type="dxa"/>
            <w:vAlign w:val="bottom"/>
          </w:tcPr>
          <w:p>
            <w:pPr>
              <w:ind w:left="20"/>
              <w:spacing w:after="0"/>
              <w:rPr>
                <w:sz w:val="20"/>
                <w:szCs w:val="20"/>
                <w:color w:val="auto"/>
              </w:rPr>
            </w:pPr>
            <w:r>
              <w:rPr>
                <w:rFonts w:ascii="Arial" w:cs="Arial" w:eastAsia="Arial" w:hAnsi="Arial"/>
                <w:sz w:val="16"/>
                <w:szCs w:val="16"/>
                <w:b w:val="1"/>
                <w:bCs w:val="1"/>
                <w:color w:val="auto"/>
              </w:rPr>
              <w:t>Forecasted Non-GAAP Net Income and Non-GAAP Earnings Per</w:t>
            </w:r>
          </w:p>
        </w:tc>
        <w:tc>
          <w:tcPr>
            <w:tcW w:w="2360" w:type="dxa"/>
            <w:vAlign w:val="bottom"/>
            <w:gridSpan w:val="4"/>
          </w:tcPr>
          <w:p>
            <w:pPr>
              <w:jc w:val="right"/>
              <w:ind w:right="12"/>
              <w:spacing w:after="0"/>
              <w:rPr>
                <w:sz w:val="20"/>
                <w:szCs w:val="20"/>
                <w:color w:val="auto"/>
              </w:rPr>
            </w:pPr>
            <w:r>
              <w:rPr>
                <w:rFonts w:ascii="Arial" w:cs="Arial" w:eastAsia="Arial" w:hAnsi="Arial"/>
                <w:sz w:val="16"/>
                <w:szCs w:val="16"/>
                <w:b w:val="1"/>
                <w:bCs w:val="1"/>
                <w:color w:val="auto"/>
              </w:rPr>
              <w:t>Three Months Ending</w:t>
            </w: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20" w:type="dxa"/>
            <w:vAlign w:val="bottom"/>
            <w:gridSpan w:val="3"/>
          </w:tcPr>
          <w:p>
            <w:pPr>
              <w:jc w:val="right"/>
              <w:spacing w:after="0"/>
              <w:rPr>
                <w:sz w:val="20"/>
                <w:szCs w:val="20"/>
                <w:color w:val="auto"/>
              </w:rPr>
            </w:pPr>
            <w:r>
              <w:rPr>
                <w:rFonts w:ascii="Arial" w:cs="Arial" w:eastAsia="Arial" w:hAnsi="Arial"/>
                <w:sz w:val="16"/>
                <w:szCs w:val="16"/>
                <w:b w:val="1"/>
                <w:bCs w:val="1"/>
                <w:color w:val="auto"/>
              </w:rPr>
              <w:t>Year Ending</w:t>
            </w:r>
          </w:p>
        </w:tc>
        <w:tc>
          <w:tcPr>
            <w:tcW w:w="920" w:type="dxa"/>
            <w:vAlign w:val="bottom"/>
          </w:tcPr>
          <w:p>
            <w:pPr>
              <w:spacing w:after="0"/>
              <w:rPr>
                <w:sz w:val="16"/>
                <w:szCs w:val="16"/>
                <w:color w:val="auto"/>
              </w:rPr>
            </w:pPr>
          </w:p>
        </w:tc>
      </w:tr>
      <w:tr>
        <w:trPr>
          <w:trHeight w:val="216"/>
        </w:trPr>
        <w:tc>
          <w:tcPr>
            <w:tcW w:w="5400" w:type="dxa"/>
            <w:vAlign w:val="bottom"/>
          </w:tcPr>
          <w:p>
            <w:pPr>
              <w:ind w:left="20"/>
              <w:spacing w:after="0"/>
              <w:rPr>
                <w:sz w:val="20"/>
                <w:szCs w:val="20"/>
                <w:color w:val="auto"/>
              </w:rPr>
            </w:pPr>
            <w:r>
              <w:rPr>
                <w:rFonts w:ascii="Arial" w:cs="Arial" w:eastAsia="Arial" w:hAnsi="Arial"/>
                <w:sz w:val="16"/>
                <w:szCs w:val="16"/>
                <w:b w:val="1"/>
                <w:bCs w:val="1"/>
                <w:color w:val="auto"/>
              </w:rPr>
              <w:t>Share</w:t>
            </w:r>
          </w:p>
        </w:tc>
        <w:tc>
          <w:tcPr>
            <w:tcW w:w="2360" w:type="dxa"/>
            <w:vAlign w:val="bottom"/>
            <w:tcBorders>
              <w:bottom w:val="single" w:sz="8" w:color="auto"/>
            </w:tcBorders>
            <w:gridSpan w:val="4"/>
          </w:tcPr>
          <w:p>
            <w:pPr>
              <w:jc w:val="right"/>
              <w:ind w:right="52"/>
              <w:spacing w:after="0"/>
              <w:rPr>
                <w:sz w:val="20"/>
                <w:szCs w:val="20"/>
                <w:color w:val="auto"/>
              </w:rPr>
            </w:pPr>
            <w:r>
              <w:rPr>
                <w:rFonts w:ascii="Arial" w:cs="Arial" w:eastAsia="Arial" w:hAnsi="Arial"/>
                <w:sz w:val="16"/>
                <w:szCs w:val="16"/>
                <w:b w:val="1"/>
                <w:bCs w:val="1"/>
                <w:color w:val="auto"/>
              </w:rPr>
              <w:t>September 30, 2024</w:t>
            </w:r>
          </w:p>
        </w:tc>
        <w:tc>
          <w:tcPr>
            <w:tcW w:w="5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gridSpan w:val="4"/>
          </w:tcPr>
          <w:p>
            <w:pPr>
              <w:jc w:val="right"/>
              <w:ind w:right="611"/>
              <w:spacing w:after="0"/>
              <w:rPr>
                <w:sz w:val="20"/>
                <w:szCs w:val="20"/>
                <w:color w:val="auto"/>
              </w:rPr>
            </w:pPr>
            <w:r>
              <w:rPr>
                <w:rFonts w:ascii="Arial" w:cs="Arial" w:eastAsia="Arial" w:hAnsi="Arial"/>
                <w:sz w:val="16"/>
                <w:szCs w:val="16"/>
                <w:b w:val="1"/>
                <w:bCs w:val="1"/>
                <w:color w:val="auto"/>
              </w:rPr>
              <w:t>December 31, 2024</w:t>
            </w:r>
          </w:p>
        </w:tc>
      </w:tr>
      <w:tr>
        <w:trPr>
          <w:trHeight w:val="210"/>
        </w:trPr>
        <w:tc>
          <w:tcPr>
            <w:tcW w:w="5400" w:type="dxa"/>
            <w:vAlign w:val="bottom"/>
          </w:tcPr>
          <w:p>
            <w:pPr>
              <w:ind w:left="20"/>
              <w:spacing w:after="0"/>
              <w:rPr>
                <w:sz w:val="20"/>
                <w:szCs w:val="20"/>
                <w:color w:val="auto"/>
              </w:rPr>
            </w:pPr>
            <w:r>
              <w:rPr>
                <w:rFonts w:ascii="Arial" w:cs="Arial" w:eastAsia="Arial" w:hAnsi="Arial"/>
                <w:sz w:val="16"/>
                <w:szCs w:val="16"/>
                <w:b w:val="1"/>
                <w:bCs w:val="1"/>
                <w:color w:val="auto"/>
              </w:rPr>
              <w:t>(in millions, except per share data)</w:t>
            </w: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Low</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High</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ind w:left="200"/>
              <w:spacing w:after="0"/>
              <w:rPr>
                <w:sz w:val="20"/>
                <w:szCs w:val="20"/>
                <w:color w:val="auto"/>
              </w:rPr>
            </w:pPr>
            <w:r>
              <w:rPr>
                <w:rFonts w:ascii="Arial" w:cs="Arial" w:eastAsia="Arial" w:hAnsi="Arial"/>
                <w:sz w:val="16"/>
                <w:szCs w:val="16"/>
                <w:b w:val="1"/>
                <w:bCs w:val="1"/>
                <w:color w:val="auto"/>
              </w:rPr>
              <w:t>Low</w:t>
            </w:r>
          </w:p>
        </w:tc>
        <w:tc>
          <w:tcPr>
            <w:tcW w:w="460" w:type="dxa"/>
            <w:vAlign w:val="bottom"/>
          </w:tcPr>
          <w:p>
            <w:pPr>
              <w:spacing w:after="0"/>
              <w:rPr>
                <w:sz w:val="18"/>
                <w:szCs w:val="18"/>
                <w:color w:val="auto"/>
              </w:rPr>
            </w:pPr>
          </w:p>
        </w:tc>
        <w:tc>
          <w:tcPr>
            <w:tcW w:w="920" w:type="dxa"/>
            <w:vAlign w:val="bottom"/>
          </w:tcPr>
          <w:p>
            <w:pPr>
              <w:jc w:val="right"/>
              <w:ind w:right="411"/>
              <w:spacing w:after="0"/>
              <w:rPr>
                <w:sz w:val="20"/>
                <w:szCs w:val="20"/>
                <w:color w:val="auto"/>
              </w:rPr>
            </w:pPr>
            <w:r>
              <w:rPr>
                <w:rFonts w:ascii="Arial" w:cs="Arial" w:eastAsia="Arial" w:hAnsi="Arial"/>
                <w:sz w:val="16"/>
                <w:szCs w:val="16"/>
                <w:b w:val="1"/>
                <w:bCs w:val="1"/>
                <w:color w:val="auto"/>
              </w:rPr>
              <w:t>High</w:t>
            </w:r>
          </w:p>
        </w:tc>
      </w:tr>
      <w:tr>
        <w:trPr>
          <w:trHeight w:val="223"/>
        </w:trPr>
        <w:tc>
          <w:tcPr>
            <w:tcW w:w="5400" w:type="dxa"/>
            <w:vAlign w:val="bottom"/>
            <w:tcBorders>
              <w:top w:val="single" w:sz="8" w:color="CCEEFF"/>
            </w:tcBorders>
            <w:shd w:val="clear" w:color="auto" w:fill="CCEEFF"/>
          </w:tcPr>
          <w:p>
            <w:pPr>
              <w:ind w:left="20"/>
              <w:spacing w:after="0" w:line="223" w:lineRule="exact"/>
              <w:rPr>
                <w:sz w:val="20"/>
                <w:szCs w:val="20"/>
                <w:color w:val="auto"/>
              </w:rPr>
            </w:pPr>
            <w:r>
              <w:rPr>
                <w:rFonts w:ascii="Arial" w:cs="Arial" w:eastAsia="Arial" w:hAnsi="Arial"/>
                <w:sz w:val="18"/>
                <w:szCs w:val="18"/>
                <w:color w:val="auto"/>
              </w:rPr>
              <w:t>Forecasted net loss</w:t>
            </w:r>
            <w:r>
              <w:rPr>
                <w:rFonts w:ascii="Arial" w:cs="Arial" w:eastAsia="Arial" w:hAnsi="Arial"/>
                <w:sz w:val="23"/>
                <w:szCs w:val="23"/>
                <w:color w:val="auto"/>
                <w:vertAlign w:val="superscript"/>
              </w:rPr>
              <w:t>(1)</w:t>
            </w:r>
          </w:p>
        </w:tc>
        <w:tc>
          <w:tcPr>
            <w:tcW w:w="880" w:type="dxa"/>
            <w:vAlign w:val="bottom"/>
            <w:tcBorders>
              <w:top w:val="single" w:sz="8" w:color="auto"/>
            </w:tcBorders>
            <w:shd w:val="clear" w:color="auto" w:fill="CCEEFF"/>
          </w:tcPr>
          <w:p>
            <w:pPr>
              <w:jc w:val="right"/>
              <w:ind w:right="674"/>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(14.6)</w:t>
            </w:r>
          </w:p>
        </w:tc>
        <w:tc>
          <w:tcPr>
            <w:tcW w:w="12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ind w:right="652"/>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(12.6)</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(52.6)</w:t>
            </w: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w:t>
            </w:r>
          </w:p>
        </w:tc>
      </w:tr>
      <w:tr>
        <w:trPr>
          <w:trHeight w:val="230"/>
        </w:trPr>
        <w:tc>
          <w:tcPr>
            <w:tcW w:w="5400" w:type="dxa"/>
            <w:vAlign w:val="bottom"/>
          </w:tcPr>
          <w:p>
            <w:pPr>
              <w:ind w:left="20"/>
              <w:spacing w:after="0"/>
              <w:rPr>
                <w:sz w:val="20"/>
                <w:szCs w:val="20"/>
                <w:color w:val="auto"/>
              </w:rPr>
            </w:pPr>
            <w:r>
              <w:rPr>
                <w:rFonts w:ascii="Arial" w:cs="Arial" w:eastAsia="Arial" w:hAnsi="Arial"/>
                <w:sz w:val="18"/>
                <w:szCs w:val="18"/>
                <w:color w:val="auto"/>
              </w:rPr>
              <w:t>Forecasted stock-based compensation</w:t>
            </w:r>
          </w:p>
        </w:tc>
        <w:tc>
          <w:tcPr>
            <w:tcW w:w="8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41.6</w:t>
            </w: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41.6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164.6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164.6</w:t>
            </w:r>
          </w:p>
        </w:tc>
      </w:tr>
      <w:tr>
        <w:trPr>
          <w:trHeight w:val="229"/>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Forecasted tax impact of stock-based compensation</w:t>
            </w:r>
          </w:p>
        </w:tc>
        <w:tc>
          <w:tcPr>
            <w:tcW w:w="8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29"/>
        </w:trPr>
        <w:tc>
          <w:tcPr>
            <w:tcW w:w="5400" w:type="dxa"/>
            <w:vAlign w:val="bottom"/>
          </w:tcPr>
          <w:p>
            <w:pPr>
              <w:ind w:left="20"/>
              <w:spacing w:after="0"/>
              <w:rPr>
                <w:sz w:val="20"/>
                <w:szCs w:val="20"/>
                <w:color w:val="auto"/>
              </w:rPr>
            </w:pPr>
            <w:r>
              <w:rPr>
                <w:rFonts w:ascii="Arial" w:cs="Arial" w:eastAsia="Arial" w:hAnsi="Arial"/>
                <w:sz w:val="18"/>
                <w:szCs w:val="18"/>
                <w:color w:val="auto"/>
              </w:rPr>
              <w:t>Forecasted acquisition-related expenses</w:t>
            </w:r>
          </w:p>
        </w:tc>
        <w:tc>
          <w:tcPr>
            <w:tcW w:w="8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30"/>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Forecasted restructuring</w:t>
            </w:r>
          </w:p>
        </w:tc>
        <w:tc>
          <w:tcPr>
            <w:tcW w:w="88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r>
      <w:tr>
        <w:trPr>
          <w:trHeight w:val="229"/>
        </w:trPr>
        <w:tc>
          <w:tcPr>
            <w:tcW w:w="5400" w:type="dxa"/>
            <w:vAlign w:val="bottom"/>
          </w:tcPr>
          <w:p>
            <w:pPr>
              <w:ind w:left="20"/>
              <w:spacing w:after="0"/>
              <w:rPr>
                <w:sz w:val="20"/>
                <w:szCs w:val="20"/>
                <w:color w:val="auto"/>
              </w:rPr>
            </w:pPr>
            <w:r>
              <w:rPr>
                <w:rFonts w:ascii="Arial" w:cs="Arial" w:eastAsia="Arial" w:hAnsi="Arial"/>
                <w:sz w:val="18"/>
                <w:szCs w:val="18"/>
                <w:color w:val="auto"/>
              </w:rPr>
              <w:t>Forecasted amortization of acquired intangible assets</w:t>
            </w:r>
          </w:p>
        </w:tc>
        <w:tc>
          <w:tcPr>
            <w:tcW w:w="8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19.5</w:t>
            </w:r>
          </w:p>
        </w:tc>
      </w:tr>
      <w:tr>
        <w:trPr>
          <w:trHeight w:val="230"/>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Forecasted tax impact of acquisitions</w:t>
            </w:r>
          </w:p>
        </w:tc>
        <w:tc>
          <w:tcPr>
            <w:tcW w:w="88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23"/>
        </w:trPr>
        <w:tc>
          <w:tcPr>
            <w:tcW w:w="5400" w:type="dxa"/>
            <w:vAlign w:val="bottom"/>
          </w:tcPr>
          <w:p>
            <w:pPr>
              <w:ind w:left="220"/>
              <w:spacing w:after="0"/>
              <w:rPr>
                <w:sz w:val="20"/>
                <w:szCs w:val="20"/>
                <w:color w:val="auto"/>
              </w:rPr>
            </w:pPr>
            <w:r>
              <w:rPr>
                <w:rFonts w:ascii="Arial" w:cs="Arial" w:eastAsia="Arial" w:hAnsi="Arial"/>
                <w:sz w:val="18"/>
                <w:szCs w:val="18"/>
                <w:color w:val="auto"/>
              </w:rPr>
              <w:t>Forecasted non-GAAP net income</w:t>
            </w:r>
          </w:p>
        </w:tc>
        <w:tc>
          <w:tcPr>
            <w:tcW w:w="880" w:type="dxa"/>
            <w:vAlign w:val="bottom"/>
            <w:tcBorders>
              <w:top w:val="single" w:sz="8" w:color="auto"/>
              <w:bottom w:val="single" w:sz="8" w:color="auto"/>
            </w:tcBorders>
          </w:tcPr>
          <w:p>
            <w:pPr>
              <w:jc w:val="right"/>
              <w:ind w:right="674"/>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35.0</w:t>
            </w:r>
          </w:p>
        </w:tc>
        <w:tc>
          <w:tcPr>
            <w:tcW w:w="12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ind w:right="652"/>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37.0</w:t>
            </w:r>
          </w:p>
        </w:tc>
        <w:tc>
          <w:tcPr>
            <w:tcW w:w="1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143.0</w:t>
            </w:r>
          </w:p>
        </w:tc>
        <w:tc>
          <w:tcPr>
            <w:tcW w:w="10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147.0</w:t>
            </w:r>
          </w:p>
        </w:tc>
      </w:tr>
      <w:tr>
        <w:trPr>
          <w:trHeight w:val="20"/>
        </w:trPr>
        <w:tc>
          <w:tcPr>
            <w:tcW w:w="54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83"/>
        </w:trPr>
        <w:tc>
          <w:tcPr>
            <w:tcW w:w="54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229"/>
        </w:trPr>
        <w:tc>
          <w:tcPr>
            <w:tcW w:w="5400" w:type="dxa"/>
            <w:vAlign w:val="bottom"/>
          </w:tcPr>
          <w:p>
            <w:pPr>
              <w:ind w:left="20"/>
              <w:spacing w:after="0" w:line="230" w:lineRule="exact"/>
              <w:rPr>
                <w:sz w:val="20"/>
                <w:szCs w:val="20"/>
                <w:color w:val="auto"/>
              </w:rPr>
            </w:pPr>
            <w:r>
              <w:rPr>
                <w:rFonts w:ascii="Arial" w:cs="Arial" w:eastAsia="Arial" w:hAnsi="Arial"/>
                <w:sz w:val="18"/>
                <w:szCs w:val="18"/>
                <w:color w:val="auto"/>
              </w:rPr>
              <w:t>Forecasted net loss per share, diluted</w:t>
            </w:r>
            <w:r>
              <w:rPr>
                <w:rFonts w:ascii="Arial" w:cs="Arial" w:eastAsia="Arial" w:hAnsi="Arial"/>
                <w:sz w:val="23"/>
                <w:szCs w:val="23"/>
                <w:color w:val="auto"/>
                <w:vertAlign w:val="superscript"/>
              </w:rPr>
              <w:t>(1)</w:t>
            </w:r>
          </w:p>
        </w:tc>
        <w:tc>
          <w:tcPr>
            <w:tcW w:w="880" w:type="dxa"/>
            <w:vAlign w:val="bottom"/>
          </w:tcPr>
          <w:p>
            <w:pPr>
              <w:jc w:val="right"/>
              <w:ind w:right="674"/>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97"/>
              </w:rPr>
              <w:t>(0.12)</w:t>
            </w:r>
          </w:p>
        </w:tc>
        <w:tc>
          <w:tcPr>
            <w:tcW w:w="120" w:type="dxa"/>
            <w:vAlign w:val="bottom"/>
          </w:tcPr>
          <w:p>
            <w:pPr>
              <w:spacing w:after="0"/>
              <w:rPr>
                <w:sz w:val="19"/>
                <w:szCs w:val="19"/>
                <w:color w:val="auto"/>
              </w:rPr>
            </w:pPr>
          </w:p>
        </w:tc>
        <w:tc>
          <w:tcPr>
            <w:tcW w:w="860" w:type="dxa"/>
            <w:vAlign w:val="bottom"/>
          </w:tcPr>
          <w:p>
            <w:pPr>
              <w:jc w:val="right"/>
              <w:ind w:right="652"/>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97"/>
              </w:rPr>
              <w:t>(0.11)</w:t>
            </w:r>
          </w:p>
        </w:tc>
        <w:tc>
          <w:tcPr>
            <w:tcW w:w="12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(0.44)</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(0.41)</w:t>
            </w:r>
          </w:p>
        </w:tc>
      </w:tr>
      <w:tr>
        <w:trPr>
          <w:trHeight w:val="229"/>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Forecasted stock-based compensation</w:t>
            </w:r>
          </w:p>
        </w:tc>
        <w:tc>
          <w:tcPr>
            <w:tcW w:w="8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0.35</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r>
      <w:tr>
        <w:trPr>
          <w:trHeight w:val="230"/>
        </w:trPr>
        <w:tc>
          <w:tcPr>
            <w:tcW w:w="5400" w:type="dxa"/>
            <w:vAlign w:val="bottom"/>
          </w:tcPr>
          <w:p>
            <w:pPr>
              <w:ind w:left="20"/>
              <w:spacing w:after="0"/>
              <w:rPr>
                <w:sz w:val="20"/>
                <w:szCs w:val="20"/>
                <w:color w:val="auto"/>
              </w:rPr>
            </w:pPr>
            <w:r>
              <w:rPr>
                <w:rFonts w:ascii="Arial" w:cs="Arial" w:eastAsia="Arial" w:hAnsi="Arial"/>
                <w:sz w:val="18"/>
                <w:szCs w:val="18"/>
                <w:color w:val="auto"/>
              </w:rPr>
              <w:t>Forecasted tax impact of stock-based compensation</w:t>
            </w:r>
          </w:p>
        </w:tc>
        <w:tc>
          <w:tcPr>
            <w:tcW w:w="8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0.02</w:t>
            </w: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0.02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0.03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0.03</w:t>
            </w:r>
          </w:p>
        </w:tc>
      </w:tr>
      <w:tr>
        <w:trPr>
          <w:trHeight w:val="229"/>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Forecasted acquisition-related expenses</w:t>
            </w:r>
          </w:p>
        </w:tc>
        <w:tc>
          <w:tcPr>
            <w:tcW w:w="8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r>
      <w:tr>
        <w:trPr>
          <w:trHeight w:val="230"/>
        </w:trPr>
        <w:tc>
          <w:tcPr>
            <w:tcW w:w="5400" w:type="dxa"/>
            <w:vAlign w:val="bottom"/>
          </w:tcPr>
          <w:p>
            <w:pPr>
              <w:ind w:left="20"/>
              <w:spacing w:after="0"/>
              <w:rPr>
                <w:sz w:val="20"/>
                <w:szCs w:val="20"/>
                <w:color w:val="auto"/>
              </w:rPr>
            </w:pPr>
            <w:r>
              <w:rPr>
                <w:rFonts w:ascii="Arial" w:cs="Arial" w:eastAsia="Arial" w:hAnsi="Arial"/>
                <w:sz w:val="18"/>
                <w:szCs w:val="18"/>
                <w:color w:val="auto"/>
              </w:rPr>
              <w:t>Forecasted restructuring</w:t>
            </w:r>
          </w:p>
        </w:tc>
        <w:tc>
          <w:tcPr>
            <w:tcW w:w="880" w:type="dxa"/>
            <w:vAlign w:val="bottom"/>
          </w:tcPr>
          <w:p>
            <w:pPr>
              <w:spacing w:after="0"/>
              <w:rPr>
                <w:sz w:val="19"/>
                <w:szCs w:val="19"/>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9"/>
                <w:szCs w:val="19"/>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0.05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0.05</w:t>
            </w:r>
          </w:p>
        </w:tc>
      </w:tr>
      <w:tr>
        <w:trPr>
          <w:trHeight w:val="229"/>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Forecasted amortization of acquired intangible assets</w:t>
            </w:r>
          </w:p>
        </w:tc>
        <w:tc>
          <w:tcPr>
            <w:tcW w:w="8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0.16</w:t>
            </w:r>
          </w:p>
        </w:tc>
      </w:tr>
      <w:tr>
        <w:trPr>
          <w:trHeight w:val="229"/>
        </w:trPr>
        <w:tc>
          <w:tcPr>
            <w:tcW w:w="5400" w:type="dxa"/>
            <w:vAlign w:val="bottom"/>
          </w:tcPr>
          <w:p>
            <w:pPr>
              <w:ind w:left="20"/>
              <w:spacing w:after="0"/>
              <w:rPr>
                <w:sz w:val="20"/>
                <w:szCs w:val="20"/>
                <w:color w:val="auto"/>
              </w:rPr>
            </w:pPr>
            <w:r>
              <w:rPr>
                <w:rFonts w:ascii="Arial" w:cs="Arial" w:eastAsia="Arial" w:hAnsi="Arial"/>
                <w:sz w:val="18"/>
                <w:szCs w:val="18"/>
                <w:color w:val="auto"/>
              </w:rPr>
              <w:t>Forecasted tax impact of acquisitions</w:t>
            </w:r>
          </w:p>
        </w:tc>
        <w:tc>
          <w:tcPr>
            <w:tcW w:w="880" w:type="dxa"/>
            <w:vAlign w:val="bottom"/>
          </w:tcPr>
          <w:p>
            <w:pPr>
              <w:spacing w:after="0"/>
              <w:rPr>
                <w:sz w:val="19"/>
                <w:szCs w:val="19"/>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9"/>
                <w:szCs w:val="19"/>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4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Adjustment to diluted earnings per share</w:t>
            </w:r>
            <w:r>
              <w:rPr>
                <w:rFonts w:ascii="Arial" w:cs="Arial" w:eastAsia="Arial" w:hAnsi="Arial"/>
                <w:sz w:val="23"/>
                <w:szCs w:val="23"/>
                <w:color w:val="auto"/>
                <w:vertAlign w:val="superscript"/>
              </w:rPr>
              <w:t>(2)</w:t>
            </w:r>
          </w:p>
        </w:tc>
        <w:tc>
          <w:tcPr>
            <w:tcW w:w="88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(0.02)</w:t>
            </w:r>
          </w:p>
        </w:tc>
        <w:tc>
          <w:tcPr>
            <w:tcW w:w="12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(0.01)</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(0.04)</w:t>
            </w:r>
          </w:p>
        </w:tc>
      </w:tr>
      <w:tr>
        <w:trPr>
          <w:trHeight w:val="223"/>
        </w:trPr>
        <w:tc>
          <w:tcPr>
            <w:tcW w:w="5400" w:type="dxa"/>
            <w:vAlign w:val="bottom"/>
          </w:tcPr>
          <w:p>
            <w:pPr>
              <w:ind w:left="220"/>
              <w:spacing w:after="0"/>
              <w:rPr>
                <w:sz w:val="20"/>
                <w:szCs w:val="20"/>
                <w:color w:val="auto"/>
              </w:rPr>
            </w:pPr>
            <w:r>
              <w:rPr>
                <w:rFonts w:ascii="Arial" w:cs="Arial" w:eastAsia="Arial" w:hAnsi="Arial"/>
                <w:sz w:val="18"/>
                <w:szCs w:val="18"/>
                <w:color w:val="auto"/>
              </w:rPr>
              <w:t>Forecasted non-GAAP earnings per share, diluted</w:t>
            </w:r>
          </w:p>
        </w:tc>
        <w:tc>
          <w:tcPr>
            <w:tcW w:w="880" w:type="dxa"/>
            <w:vAlign w:val="bottom"/>
            <w:tcBorders>
              <w:bottom w:val="single" w:sz="8" w:color="auto"/>
            </w:tcBorders>
          </w:tcPr>
          <w:p>
            <w:pPr>
              <w:jc w:val="right"/>
              <w:ind w:right="674"/>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0.28</w:t>
            </w:r>
          </w:p>
        </w:tc>
        <w:tc>
          <w:tcPr>
            <w:tcW w:w="120" w:type="dxa"/>
            <w:vAlign w:val="bottom"/>
          </w:tcPr>
          <w:p>
            <w:pPr>
              <w:spacing w:after="0"/>
              <w:rPr>
                <w:sz w:val="19"/>
                <w:szCs w:val="19"/>
                <w:color w:val="auto"/>
              </w:rPr>
            </w:pPr>
          </w:p>
        </w:tc>
        <w:tc>
          <w:tcPr>
            <w:tcW w:w="860" w:type="dxa"/>
            <w:vAlign w:val="bottom"/>
            <w:tcBorders>
              <w:bottom w:val="single" w:sz="8" w:color="auto"/>
            </w:tcBorders>
          </w:tcPr>
          <w:p>
            <w:pPr>
              <w:jc w:val="right"/>
              <w:ind w:right="652"/>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0.30</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w:t>
            </w:r>
          </w:p>
        </w:tc>
      </w:tr>
      <w:tr>
        <w:trPr>
          <w:trHeight w:val="20"/>
        </w:trPr>
        <w:tc>
          <w:tcPr>
            <w:tcW w:w="54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83"/>
        </w:trPr>
        <w:tc>
          <w:tcPr>
            <w:tcW w:w="54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bl>
    <w:p>
      <w:pPr>
        <w:spacing w:after="0" w:line="1" w:lineRule="exact"/>
        <w:rPr>
          <w:sz w:val="20"/>
          <w:szCs w:val="20"/>
          <w:color w:val="auto"/>
        </w:rPr>
      </w:pPr>
    </w:p>
    <w:p>
      <w:pPr>
        <w:sectPr>
          <w:pgSz w:w="11900" w:h="16838" w:orient="portrait"/>
          <w:cols w:equalWidth="0" w:num="1">
            <w:col w:w="11240"/>
          </w:cols>
          <w:pgMar w:left="320" w:top="955" w:right="339" w:bottom="1440" w:gutter="0" w:footer="0" w:header="0"/>
        </w:sectPr>
      </w:pPr>
    </w:p>
    <w:p>
      <w:pPr>
        <w:ind w:left="100" w:right="380" w:hanging="80"/>
        <w:spacing w:after="0" w:line="237" w:lineRule="auto"/>
        <w:rPr>
          <w:sz w:val="20"/>
          <w:szCs w:val="20"/>
          <w:color w:val="auto"/>
        </w:rPr>
      </w:pPr>
      <w:r>
        <w:rPr>
          <w:rFonts w:ascii="Arial" w:cs="Arial" w:eastAsia="Arial" w:hAnsi="Arial"/>
          <w:sz w:val="18"/>
          <w:szCs w:val="18"/>
          <w:color w:val="auto"/>
        </w:rPr>
        <w:t>Forecasted weighted-average shares used to compute GAAP net loss per share, diluted</w:t>
      </w:r>
    </w:p>
    <w:p>
      <w:pPr>
        <w:spacing w:after="0" w:line="4" w:lineRule="exact"/>
        <w:rPr>
          <w:sz w:val="20"/>
          <w:szCs w:val="20"/>
          <w:color w:val="auto"/>
        </w:rPr>
      </w:pPr>
    </w:p>
    <w:p>
      <w:pPr>
        <w:ind w:left="100" w:right="320" w:hanging="80"/>
        <w:spacing w:after="0"/>
        <w:rPr>
          <w:sz w:val="20"/>
          <w:szCs w:val="20"/>
          <w:color w:val="auto"/>
        </w:rPr>
      </w:pPr>
      <w:r>
        <w:rPr>
          <w:rFonts w:ascii="Arial" w:cs="Arial" w:eastAsia="Arial" w:hAnsi="Arial"/>
          <w:sz w:val="18"/>
          <w:szCs w:val="18"/>
          <w:color w:val="auto"/>
        </w:rPr>
        <w:t>Forecasted weighted-average shares used to compute non-GAAP earnings per share,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-259080</wp:posOffset>
            </wp:positionV>
            <wp:extent cx="7132320" cy="2654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line="71"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9"/>
        </w:trPr>
        <w:tc>
          <w:tcPr>
            <w:tcW w:w="960" w:type="dxa"/>
            <w:vAlign w:val="bottom"/>
          </w:tcPr>
          <w:p>
            <w:pPr>
              <w:jc w:val="right"/>
              <w:ind w:right="430"/>
              <w:spacing w:after="0"/>
              <w:rPr>
                <w:sz w:val="20"/>
                <w:szCs w:val="20"/>
                <w:color w:val="auto"/>
              </w:rPr>
            </w:pPr>
            <w:r>
              <w:rPr>
                <w:rFonts w:ascii="Arial" w:cs="Arial" w:eastAsia="Arial" w:hAnsi="Arial"/>
                <w:sz w:val="18"/>
                <w:szCs w:val="18"/>
                <w:color w:val="auto"/>
                <w:w w:val="93"/>
              </w:rPr>
              <w:t>119.0</w:t>
            </w:r>
          </w:p>
        </w:tc>
        <w:tc>
          <w:tcPr>
            <w:tcW w:w="1480" w:type="dxa"/>
            <w:vAlign w:val="bottom"/>
          </w:tcPr>
          <w:p>
            <w:pPr>
              <w:jc w:val="right"/>
              <w:ind w:right="410"/>
              <w:spacing w:after="0"/>
              <w:rPr>
                <w:sz w:val="20"/>
                <w:szCs w:val="20"/>
                <w:color w:val="auto"/>
              </w:rPr>
            </w:pPr>
            <w:r>
              <w:rPr>
                <w:rFonts w:ascii="Arial" w:cs="Arial" w:eastAsia="Arial" w:hAnsi="Arial"/>
                <w:sz w:val="18"/>
                <w:szCs w:val="18"/>
                <w:color w:val="auto"/>
              </w:rPr>
              <w:t>119.0</w:t>
            </w:r>
          </w:p>
        </w:tc>
        <w:tc>
          <w:tcPr>
            <w:tcW w:w="1500" w:type="dxa"/>
            <w:vAlign w:val="bottom"/>
          </w:tcPr>
          <w:p>
            <w:pPr>
              <w:jc w:val="right"/>
              <w:ind w:right="430"/>
              <w:spacing w:after="0"/>
              <w:rPr>
                <w:sz w:val="20"/>
                <w:szCs w:val="20"/>
                <w:color w:val="auto"/>
              </w:rPr>
            </w:pPr>
            <w:r>
              <w:rPr>
                <w:rFonts w:ascii="Arial" w:cs="Arial" w:eastAsia="Arial" w:hAnsi="Arial"/>
                <w:sz w:val="18"/>
                <w:szCs w:val="18"/>
                <w:color w:val="auto"/>
              </w:rPr>
              <w:t>119.0</w:t>
            </w:r>
          </w:p>
        </w:tc>
        <w:tc>
          <w:tcPr>
            <w:tcW w:w="960" w:type="dxa"/>
            <w:vAlign w:val="bottom"/>
          </w:tcPr>
          <w:p>
            <w:pPr>
              <w:jc w:val="right"/>
              <w:spacing w:after="0"/>
              <w:rPr>
                <w:sz w:val="20"/>
                <w:szCs w:val="20"/>
                <w:color w:val="auto"/>
              </w:rPr>
            </w:pPr>
            <w:r>
              <w:rPr>
                <w:rFonts w:ascii="Arial" w:cs="Arial" w:eastAsia="Arial" w:hAnsi="Arial"/>
                <w:sz w:val="18"/>
                <w:szCs w:val="18"/>
                <w:color w:val="auto"/>
              </w:rPr>
              <w:t>119.0</w:t>
            </w:r>
          </w:p>
        </w:tc>
      </w:tr>
      <w:tr>
        <w:trPr>
          <w:trHeight w:val="418"/>
        </w:trPr>
        <w:tc>
          <w:tcPr>
            <w:tcW w:w="960" w:type="dxa"/>
            <w:vAlign w:val="bottom"/>
          </w:tcPr>
          <w:p>
            <w:pPr>
              <w:jc w:val="right"/>
              <w:ind w:right="430"/>
              <w:spacing w:after="0"/>
              <w:rPr>
                <w:sz w:val="20"/>
                <w:szCs w:val="20"/>
                <w:color w:val="auto"/>
              </w:rPr>
            </w:pPr>
            <w:r>
              <w:rPr>
                <w:rFonts w:ascii="Arial" w:cs="Arial" w:eastAsia="Arial" w:hAnsi="Arial"/>
                <w:sz w:val="18"/>
                <w:szCs w:val="18"/>
                <w:color w:val="auto"/>
                <w:w w:val="93"/>
              </w:rPr>
              <w:t>123.0</w:t>
            </w:r>
          </w:p>
        </w:tc>
        <w:tc>
          <w:tcPr>
            <w:tcW w:w="1480" w:type="dxa"/>
            <w:vAlign w:val="bottom"/>
          </w:tcPr>
          <w:p>
            <w:pPr>
              <w:jc w:val="right"/>
              <w:ind w:right="410"/>
              <w:spacing w:after="0"/>
              <w:rPr>
                <w:sz w:val="20"/>
                <w:szCs w:val="20"/>
                <w:color w:val="auto"/>
              </w:rPr>
            </w:pPr>
            <w:r>
              <w:rPr>
                <w:rFonts w:ascii="Arial" w:cs="Arial" w:eastAsia="Arial" w:hAnsi="Arial"/>
                <w:sz w:val="18"/>
                <w:szCs w:val="18"/>
                <w:color w:val="auto"/>
              </w:rPr>
              <w:t>123.0</w:t>
            </w:r>
          </w:p>
        </w:tc>
        <w:tc>
          <w:tcPr>
            <w:tcW w:w="1500" w:type="dxa"/>
            <w:vAlign w:val="bottom"/>
          </w:tcPr>
          <w:p>
            <w:pPr>
              <w:jc w:val="right"/>
              <w:ind w:right="430"/>
              <w:spacing w:after="0"/>
              <w:rPr>
                <w:sz w:val="20"/>
                <w:szCs w:val="20"/>
                <w:color w:val="auto"/>
              </w:rPr>
            </w:pPr>
            <w:r>
              <w:rPr>
                <w:rFonts w:ascii="Arial" w:cs="Arial" w:eastAsia="Arial" w:hAnsi="Arial"/>
                <w:sz w:val="18"/>
                <w:szCs w:val="18"/>
                <w:color w:val="auto"/>
              </w:rPr>
              <w:t>123.5</w:t>
            </w:r>
          </w:p>
        </w:tc>
        <w:tc>
          <w:tcPr>
            <w:tcW w:w="960" w:type="dxa"/>
            <w:vAlign w:val="bottom"/>
          </w:tcPr>
          <w:p>
            <w:pPr>
              <w:jc w:val="right"/>
              <w:spacing w:after="0"/>
              <w:rPr>
                <w:sz w:val="20"/>
                <w:szCs w:val="20"/>
                <w:color w:val="auto"/>
              </w:rPr>
            </w:pPr>
            <w:r>
              <w:rPr>
                <w:rFonts w:ascii="Arial" w:cs="Arial" w:eastAsia="Arial" w:hAnsi="Arial"/>
                <w:sz w:val="18"/>
                <w:szCs w:val="18"/>
                <w:color w:val="auto"/>
              </w:rPr>
              <w:t>123.5</w:t>
            </w:r>
          </w:p>
        </w:tc>
      </w:tr>
    </w:tbl>
    <w:p>
      <w:pPr>
        <w:spacing w:after="0" w:line="213" w:lineRule="exact"/>
        <w:rPr>
          <w:sz w:val="20"/>
          <w:szCs w:val="20"/>
          <w:color w:val="auto"/>
        </w:rPr>
      </w:pPr>
    </w:p>
    <w:p>
      <w:pPr>
        <w:sectPr>
          <w:pgSz w:w="11900" w:h="16838" w:orient="portrait"/>
          <w:cols w:equalWidth="0" w:num="2">
            <w:col w:w="5600" w:space="720"/>
            <w:col w:w="4920"/>
          </w:cols>
          <w:pgMar w:left="320" w:top="955" w:right="339" w:bottom="1440" w:gutter="0" w:footer="0" w:header="0"/>
          <w:type w:val="continuous"/>
        </w:sectPr>
      </w:pPr>
    </w:p>
    <w:p>
      <w:pPr>
        <w:ind w:right="40" w:firstLine="8"/>
        <w:spacing w:after="0" w:line="280" w:lineRule="auto"/>
        <w:tabs>
          <w:tab w:leader="none" w:pos="375"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forecasted GAAP net loss assumes income tax expense of $5.8 million and $16.3 million in the three months ending September 30, 2024 and year ending December 31, 2024, respectively.</w:t>
      </w:r>
    </w:p>
    <w:p>
      <w:pPr>
        <w:ind w:right="720" w:firstLine="8"/>
        <w:spacing w:after="0" w:line="286" w:lineRule="auto"/>
        <w:tabs>
          <w:tab w:leader="none" w:pos="369" w:val="left"/>
        </w:tabs>
        <w:numPr>
          <w:ilvl w:val="0"/>
          <w:numId w:val="13"/>
        </w:numPr>
        <w:rPr>
          <w:rFonts w:ascii="Arial" w:cs="Arial" w:eastAsia="Arial" w:hAnsi="Arial"/>
          <w:sz w:val="16"/>
          <w:szCs w:val="16"/>
          <w:color w:val="auto"/>
        </w:rPr>
      </w:pPr>
      <w:r>
        <w:rPr>
          <w:rFonts w:ascii="Arial" w:cs="Arial" w:eastAsia="Arial" w:hAnsi="Arial"/>
          <w:sz w:val="16"/>
          <w:szCs w:val="16"/>
          <w:color w:val="auto"/>
        </w:rPr>
        <w:t>Adjustment to reconcile GAAP net loss per share, which excludes potentially dilutive shares, to non-GAAP earnings per share, which includes potentially dilutive shares.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12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Forecasted Free Cash Flow and Unlevered Free Cash Flow</w:t>
            </w:r>
          </w:p>
        </w:tc>
        <w:tc>
          <w:tcPr>
            <w:tcW w:w="3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20" w:type="dxa"/>
            <w:vAlign w:val="bottom"/>
            <w:gridSpan w:val="3"/>
          </w:tcPr>
          <w:p>
            <w:pPr>
              <w:jc w:val="right"/>
              <w:spacing w:after="0"/>
              <w:rPr>
                <w:sz w:val="20"/>
                <w:szCs w:val="20"/>
                <w:color w:val="auto"/>
              </w:rPr>
            </w:pPr>
            <w:r>
              <w:rPr>
                <w:rFonts w:ascii="Arial" w:cs="Arial" w:eastAsia="Arial" w:hAnsi="Arial"/>
                <w:sz w:val="16"/>
                <w:szCs w:val="16"/>
                <w:b w:val="1"/>
                <w:bCs w:val="1"/>
                <w:color w:val="auto"/>
              </w:rPr>
              <w:t>Year Ending</w:t>
            </w: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120" w:type="dxa"/>
            <w:vAlign w:val="bottom"/>
            <w:vMerge w:val="continue"/>
          </w:tcPr>
          <w:p>
            <w:pPr>
              <w:spacing w:after="0"/>
              <w:rPr>
                <w:sz w:val="18"/>
                <w:szCs w:val="18"/>
                <w:color w:val="auto"/>
              </w:rPr>
            </w:pPr>
          </w:p>
        </w:tc>
        <w:tc>
          <w:tcPr>
            <w:tcW w:w="32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540" w:type="dxa"/>
            <w:vAlign w:val="bottom"/>
            <w:tcBorders>
              <w:bottom w:val="single" w:sz="8" w:color="auto"/>
            </w:tcBorders>
            <w:gridSpan w:val="4"/>
          </w:tcPr>
          <w:p>
            <w:pPr>
              <w:jc w:val="right"/>
              <w:ind w:right="611"/>
              <w:spacing w:after="0"/>
              <w:rPr>
                <w:sz w:val="20"/>
                <w:szCs w:val="20"/>
                <w:color w:val="auto"/>
              </w:rPr>
            </w:pPr>
            <w:r>
              <w:rPr>
                <w:rFonts w:ascii="Arial" w:cs="Arial" w:eastAsia="Arial" w:hAnsi="Arial"/>
                <w:sz w:val="16"/>
                <w:szCs w:val="16"/>
                <w:b w:val="1"/>
                <w:bCs w:val="1"/>
                <w:color w:val="auto"/>
              </w:rPr>
              <w:t>December 31, 2024</w:t>
            </w:r>
          </w:p>
        </w:tc>
        <w:tc>
          <w:tcPr>
            <w:tcW w:w="0" w:type="dxa"/>
            <w:vAlign w:val="bottom"/>
          </w:tcPr>
          <w:p>
            <w:pPr>
              <w:spacing w:after="0"/>
              <w:rPr>
                <w:sz w:val="1"/>
                <w:szCs w:val="1"/>
                <w:color w:val="auto"/>
              </w:rPr>
            </w:pPr>
          </w:p>
        </w:tc>
      </w:tr>
      <w:tr>
        <w:trPr>
          <w:trHeight w:val="210"/>
        </w:trPr>
        <w:tc>
          <w:tcPr>
            <w:tcW w:w="5120" w:type="dxa"/>
            <w:vAlign w:val="bottom"/>
          </w:tcPr>
          <w:p>
            <w:pPr>
              <w:ind w:left="20"/>
              <w:spacing w:after="0"/>
              <w:rPr>
                <w:sz w:val="20"/>
                <w:szCs w:val="20"/>
                <w:color w:val="auto"/>
              </w:rPr>
            </w:pPr>
            <w:r>
              <w:rPr>
                <w:rFonts w:ascii="Arial" w:cs="Arial" w:eastAsia="Arial" w:hAnsi="Arial"/>
                <w:sz w:val="16"/>
                <w:szCs w:val="16"/>
                <w:b w:val="1"/>
                <w:bCs w:val="1"/>
                <w:color w:val="auto"/>
              </w:rPr>
              <w:t>(in millions)</w:t>
            </w:r>
          </w:p>
        </w:tc>
        <w:tc>
          <w:tcPr>
            <w:tcW w:w="3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ind w:left="200"/>
              <w:spacing w:after="0"/>
              <w:rPr>
                <w:sz w:val="20"/>
                <w:szCs w:val="20"/>
                <w:color w:val="auto"/>
              </w:rPr>
            </w:pPr>
            <w:r>
              <w:rPr>
                <w:rFonts w:ascii="Arial" w:cs="Arial" w:eastAsia="Arial" w:hAnsi="Arial"/>
                <w:sz w:val="16"/>
                <w:szCs w:val="16"/>
                <w:b w:val="1"/>
                <w:bCs w:val="1"/>
                <w:color w:val="auto"/>
              </w:rPr>
              <w:t>Low</w:t>
            </w:r>
          </w:p>
        </w:tc>
        <w:tc>
          <w:tcPr>
            <w:tcW w:w="460" w:type="dxa"/>
            <w:vAlign w:val="bottom"/>
          </w:tcPr>
          <w:p>
            <w:pPr>
              <w:spacing w:after="0"/>
              <w:rPr>
                <w:sz w:val="18"/>
                <w:szCs w:val="18"/>
                <w:color w:val="auto"/>
              </w:rPr>
            </w:pPr>
          </w:p>
        </w:tc>
        <w:tc>
          <w:tcPr>
            <w:tcW w:w="920" w:type="dxa"/>
            <w:vAlign w:val="bottom"/>
          </w:tcPr>
          <w:p>
            <w:pPr>
              <w:jc w:val="right"/>
              <w:ind w:right="411"/>
              <w:spacing w:after="0"/>
              <w:rPr>
                <w:sz w:val="20"/>
                <w:szCs w:val="20"/>
                <w:color w:val="auto"/>
              </w:rPr>
            </w:pPr>
            <w:r>
              <w:rPr>
                <w:rFonts w:ascii="Arial" w:cs="Arial" w:eastAsia="Arial" w:hAnsi="Arial"/>
                <w:sz w:val="16"/>
                <w:szCs w:val="16"/>
                <w:b w:val="1"/>
                <w:bCs w:val="1"/>
                <w:color w:val="auto"/>
              </w:rPr>
              <w:t>High</w:t>
            </w:r>
          </w:p>
        </w:tc>
        <w:tc>
          <w:tcPr>
            <w:tcW w:w="0" w:type="dxa"/>
            <w:vAlign w:val="bottom"/>
          </w:tcPr>
          <w:p>
            <w:pPr>
              <w:spacing w:after="0"/>
              <w:rPr>
                <w:sz w:val="1"/>
                <w:szCs w:val="1"/>
                <w:color w:val="auto"/>
              </w:rPr>
            </w:pPr>
          </w:p>
        </w:tc>
      </w:tr>
      <w:tr>
        <w:trPr>
          <w:trHeight w:val="223"/>
        </w:trPr>
        <w:tc>
          <w:tcPr>
            <w:tcW w:w="51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Forecasted net cash provided by operating activities</w:t>
            </w:r>
          </w:p>
        </w:tc>
        <w:tc>
          <w:tcPr>
            <w:tcW w:w="326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206.2</w:t>
            </w: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216.2</w:t>
            </w:r>
          </w:p>
        </w:tc>
        <w:tc>
          <w:tcPr>
            <w:tcW w:w="0" w:type="dxa"/>
            <w:vAlign w:val="bottom"/>
          </w:tcPr>
          <w:p>
            <w:pPr>
              <w:spacing w:after="0"/>
              <w:rPr>
                <w:sz w:val="1"/>
                <w:szCs w:val="1"/>
                <w:color w:val="auto"/>
              </w:rPr>
            </w:pPr>
          </w:p>
        </w:tc>
      </w:tr>
      <w:tr>
        <w:trPr>
          <w:trHeight w:val="229"/>
        </w:trPr>
        <w:tc>
          <w:tcPr>
            <w:tcW w:w="5120" w:type="dxa"/>
            <w:vAlign w:val="bottom"/>
          </w:tcPr>
          <w:p>
            <w:pPr>
              <w:ind w:left="20"/>
              <w:spacing w:after="0"/>
              <w:rPr>
                <w:sz w:val="20"/>
                <w:szCs w:val="20"/>
                <w:color w:val="auto"/>
              </w:rPr>
            </w:pPr>
            <w:r>
              <w:rPr>
                <w:rFonts w:ascii="Arial" w:cs="Arial" w:eastAsia="Arial" w:hAnsi="Arial"/>
                <w:sz w:val="18"/>
                <w:szCs w:val="18"/>
                <w:color w:val="auto"/>
              </w:rPr>
              <w:t>Forecasted purchases of property and equipment</w:t>
            </w:r>
          </w:p>
        </w:tc>
        <w:tc>
          <w:tcPr>
            <w:tcW w:w="3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30"/>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Forecasted capitalized software development costs</w:t>
            </w:r>
          </w:p>
        </w:tc>
        <w:tc>
          <w:tcPr>
            <w:tcW w:w="326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23"/>
        </w:trPr>
        <w:tc>
          <w:tcPr>
            <w:tcW w:w="5120" w:type="dxa"/>
            <w:vAlign w:val="bottom"/>
          </w:tcPr>
          <w:p>
            <w:pPr>
              <w:ind w:left="220"/>
              <w:spacing w:after="0"/>
              <w:rPr>
                <w:sz w:val="20"/>
                <w:szCs w:val="20"/>
                <w:color w:val="auto"/>
              </w:rPr>
            </w:pPr>
            <w:r>
              <w:rPr>
                <w:rFonts w:ascii="Arial" w:cs="Arial" w:eastAsia="Arial" w:hAnsi="Arial"/>
                <w:sz w:val="18"/>
                <w:szCs w:val="18"/>
                <w:color w:val="auto"/>
              </w:rPr>
              <w:t>Forecasted free cash flow</w:t>
            </w:r>
          </w:p>
        </w:tc>
        <w:tc>
          <w:tcPr>
            <w:tcW w:w="3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193.7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203.7</w:t>
            </w:r>
          </w:p>
        </w:tc>
        <w:tc>
          <w:tcPr>
            <w:tcW w:w="0" w:type="dxa"/>
            <w:vAlign w:val="bottom"/>
          </w:tcPr>
          <w:p>
            <w:pPr>
              <w:spacing w:after="0"/>
              <w:rPr>
                <w:sz w:val="1"/>
                <w:szCs w:val="1"/>
                <w:color w:val="auto"/>
              </w:rPr>
            </w:pPr>
          </w:p>
        </w:tc>
      </w:tr>
      <w:tr>
        <w:trPr>
          <w:trHeight w:val="230"/>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Forecasted cash paid for interest and other financing costs</w:t>
            </w:r>
          </w:p>
        </w:tc>
        <w:tc>
          <w:tcPr>
            <w:tcW w:w="326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23"/>
        </w:trPr>
        <w:tc>
          <w:tcPr>
            <w:tcW w:w="5120" w:type="dxa"/>
            <w:vAlign w:val="bottom"/>
          </w:tcPr>
          <w:p>
            <w:pPr>
              <w:ind w:left="220"/>
              <w:spacing w:after="0"/>
              <w:rPr>
                <w:sz w:val="20"/>
                <w:szCs w:val="20"/>
                <w:color w:val="auto"/>
              </w:rPr>
            </w:pPr>
            <w:r>
              <w:rPr>
                <w:rFonts w:ascii="Arial" w:cs="Arial" w:eastAsia="Arial" w:hAnsi="Arial"/>
                <w:sz w:val="18"/>
                <w:szCs w:val="18"/>
                <w:color w:val="auto"/>
              </w:rPr>
              <w:t>Forecasted unlevered free cash flow</w:t>
            </w:r>
          </w:p>
        </w:tc>
        <w:tc>
          <w:tcPr>
            <w:tcW w:w="326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225.0</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235.0</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3260" w:type="dxa"/>
            <w:vAlign w:val="bottom"/>
            <w:vMerge w:val="restart"/>
          </w:tcPr>
          <w:p>
            <w:pPr>
              <w:jc w:val="right"/>
              <w:ind w:right="2570"/>
              <w:spacing w:after="0"/>
              <w:rPr>
                <w:sz w:val="20"/>
                <w:szCs w:val="20"/>
                <w:color w:val="auto"/>
              </w:rPr>
            </w:pPr>
            <w:r>
              <w:rPr>
                <w:rFonts w:ascii="Arial" w:cs="Arial" w:eastAsia="Arial" w:hAnsi="Arial"/>
                <w:sz w:val="18"/>
                <w:szCs w:val="18"/>
                <w:color w:val="auto"/>
              </w:rPr>
              <w:t>11</w:t>
            </w: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43"/>
        </w:trPr>
        <w:tc>
          <w:tcPr>
            <w:tcW w:w="5120" w:type="dxa"/>
            <w:vAlign w:val="bottom"/>
          </w:tcPr>
          <w:p>
            <w:pPr>
              <w:spacing w:after="0"/>
              <w:rPr>
                <w:sz w:val="24"/>
                <w:szCs w:val="24"/>
                <w:color w:val="auto"/>
              </w:rPr>
            </w:pPr>
          </w:p>
        </w:tc>
        <w:tc>
          <w:tcPr>
            <w:tcW w:w="326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955"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1)"/>
      <w:numFmt w:val="decimal"/>
      <w:start w:val="1"/>
    </w:lvl>
  </w:abstractNum>
  <w:abstractNum w:abstractNumId="8">
    <w:nsid w:val="1F16E9E8"/>
    <w:multiLevelType w:val="hybridMultilevel"/>
    <w:lvl w:ilvl="0">
      <w:lvlJc w:val="left"/>
      <w:lvlText w:val="(%1)"/>
      <w:numFmt w:val="decimal"/>
      <w:start w:val="1"/>
    </w:lvl>
  </w:abstractNum>
  <w:abstractNum w:abstractNumId="9">
    <w:nsid w:val="1190CDE7"/>
    <w:multiLevelType w:val="hybridMultilevel"/>
    <w:lvl w:ilvl="0">
      <w:lvlJc w:val="left"/>
      <w:lvlText w:val="(%1)"/>
      <w:numFmt w:val="decimal"/>
      <w:start w:val="1"/>
    </w:lvl>
  </w:abstractNum>
  <w:abstractNum w:abstractNumId="10">
    <w:nsid w:val="66EF438D"/>
    <w:multiLevelType w:val="hybridMultilevel"/>
    <w:lvl w:ilvl="0">
      <w:lvlJc w:val="left"/>
      <w:lvlText w:val="(%1)"/>
      <w:numFmt w:val="decimal"/>
      <w:start w:val="1"/>
    </w:lvl>
  </w:abstractNum>
  <w:abstractNum w:abstractNumId="11">
    <w:nsid w:val="140E0F76"/>
    <w:multiLevelType w:val="hybridMultilevel"/>
    <w:lvl w:ilvl="0">
      <w:lvlJc w:val="left"/>
      <w:lvlText w:val="(%1)"/>
      <w:numFmt w:val="decimal"/>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2024-07-31T15:27:21Z</dcterms:created>
  <dcterms:modified xsi:type="dcterms:W3CDTF">2024-07-31T15:27:21Z</dcterms:modified>
</cp:coreProperties>
</file>