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231F20"/>
        </w:rPr>
        <w:t>UNITED STATES</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231F20"/>
        </w:rPr>
        <w:t>SECURITIES AND EXCHANGE COMMISSION</w:t>
      </w:r>
    </w:p>
    <w:p>
      <w:pPr>
        <w:spacing w:after="0" w:line="62"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231F20"/>
        </w:rPr>
        <w:t>Washington, D.C. 20549</w:t>
      </w: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231F20"/>
        </w:rPr>
        <w:t>FORM 10-K</w:t>
      </w:r>
    </w:p>
    <w:p>
      <w:pPr>
        <w:spacing w:after="0" w:line="29"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15" w:lineRule="exact"/>
        <w:rPr>
          <w:sz w:val="24"/>
          <w:szCs w:val="24"/>
          <w:color w:val="auto"/>
        </w:rPr>
      </w:pPr>
    </w:p>
    <w:p>
      <w:pPr>
        <w:ind w:left="1160" w:hanging="500"/>
        <w:spacing w:after="0"/>
        <w:tabs>
          <w:tab w:leader="none" w:pos="11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1"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16"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1140" w:hanging="480"/>
        <w:spacing w:after="0"/>
        <w:tabs>
          <w:tab w:leader="none" w:pos="11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Commission file number 001-38600</w:t>
      </w: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62"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231F20"/>
        </w:rPr>
        <w:t>TENABLE HOLDINGS, INC.</w:t>
      </w:r>
    </w:p>
    <w:p>
      <w:pPr>
        <w:spacing w:after="0" w:line="8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231F20"/>
        </w:rPr>
        <w:t>(Exact name of registrant as specified in its charter)</w:t>
      </w:r>
    </w:p>
    <w:p>
      <w:pPr>
        <w:spacing w:after="0" w:line="24"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340"/>
          </w:cols>
          <w:pgMar w:left="320" w:top="1383" w:right="239" w:bottom="1440" w:gutter="0" w:footer="0" w:header="0"/>
        </w:sectPr>
      </w:pPr>
    </w:p>
    <w:p>
      <w:pPr>
        <w:spacing w:after="0" w:line="102"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43" w:lineRule="exact"/>
        <w:rPr>
          <w:sz w:val="24"/>
          <w:szCs w:val="24"/>
          <w:color w:val="auto"/>
        </w:rPr>
      </w:pPr>
    </w:p>
    <w:p>
      <w:pPr>
        <w:sectPr>
          <w:pgSz w:w="11900" w:h="16838" w:orient="portrait"/>
          <w:cols w:equalWidth="0" w:num="2">
            <w:col w:w="8280" w:space="720"/>
            <w:col w:w="2340"/>
          </w:cols>
          <w:pgMar w:left="320" w:top="1383" w:right="239" w:bottom="1440" w:gutter="0" w:footer="0" w:header="0"/>
          <w:type w:val="continuous"/>
        </w:sectPr>
      </w:pPr>
    </w:p>
    <w:p>
      <w:pPr>
        <w:ind w:left="10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39" w:lineRule="exact"/>
        <w:rPr>
          <w:sz w:val="24"/>
          <w:szCs w:val="24"/>
          <w:color w:val="auto"/>
        </w:rPr>
      </w:pPr>
    </w:p>
    <w:p>
      <w:pPr>
        <w:sectPr>
          <w:pgSz w:w="11900" w:h="16838" w:orient="portrait"/>
          <w:cols w:equalWidth="0" w:num="2">
            <w:col w:w="7420" w:space="720"/>
            <w:col w:w="3200"/>
          </w:cols>
          <w:pgMar w:left="320" w:top="1383" w:right="23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6100 Merriweather Drive, Columbia, Maryland 21044</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(Address of principal executive offices, including zip code)</w:t>
      </w:r>
    </w:p>
    <w:p>
      <w:pPr>
        <w:ind w:left="5300"/>
        <w:spacing w:after="0" w:line="237" w:lineRule="auto"/>
        <w:rPr>
          <w:sz w:val="20"/>
          <w:szCs w:val="20"/>
          <w:color w:val="auto"/>
        </w:rPr>
      </w:pPr>
      <w:r>
        <w:rPr>
          <w:rFonts w:ascii="Arial" w:cs="Arial" w:eastAsia="Arial" w:hAnsi="Arial"/>
          <w:sz w:val="14"/>
          <w:szCs w:val="14"/>
          <w:b w:val="1"/>
          <w:bCs w:val="1"/>
          <w:color w:val="auto"/>
        </w:rPr>
        <w:t>(410) 872-0555</w:t>
      </w:r>
    </w:p>
    <w:p>
      <w:pPr>
        <w:ind w:left="4120"/>
        <w:spacing w:after="0" w:line="225" w:lineRule="auto"/>
        <w:rPr>
          <w:sz w:val="20"/>
          <w:szCs w:val="20"/>
          <w:color w:val="auto"/>
        </w:rPr>
      </w:pPr>
      <w:r>
        <w:rPr>
          <w:rFonts w:ascii="Arial" w:cs="Arial" w:eastAsia="Arial" w:hAnsi="Arial"/>
          <w:sz w:val="14"/>
          <w:szCs w:val="14"/>
          <w:color w:val="auto"/>
        </w:rPr>
        <w:t>(Registrant’s telephone number, including area code)</w:t>
      </w: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33" w:lineRule="exact"/>
        <w:rPr>
          <w:sz w:val="24"/>
          <w:szCs w:val="24"/>
          <w:color w:val="auto"/>
        </w:rPr>
      </w:pPr>
    </w:p>
    <w:p>
      <w:pPr>
        <w:ind w:left="430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340"/>
          </w:cols>
          <w:pgMar w:left="320" w:top="1383" w:right="239" w:bottom="1440" w:gutter="0" w:footer="0" w:header="0"/>
          <w:type w:val="continuous"/>
        </w:sectPr>
      </w:pPr>
    </w:p>
    <w:p>
      <w:pPr>
        <w:spacing w:after="0" w:line="9" w:lineRule="exact"/>
        <w:rPr>
          <w:sz w:val="24"/>
          <w:szCs w:val="24"/>
          <w:color w:val="auto"/>
        </w:rPr>
      </w:pPr>
    </w:p>
    <w:p>
      <w:pPr>
        <w:jc w:val="center"/>
        <w:ind w:left="8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0" w:lineRule="exact"/>
        <w:rPr>
          <w:sz w:val="24"/>
          <w:szCs w:val="24"/>
          <w:color w:val="auto"/>
        </w:rPr>
      </w:pPr>
    </w:p>
    <w:p>
      <w:pPr>
        <w:sectPr>
          <w:pgSz w:w="11900" w:h="16838" w:orient="portrait"/>
          <w:cols w:equalWidth="0" w:num="3">
            <w:col w:w="4760" w:space="720"/>
            <w:col w:w="1860" w:space="720"/>
            <w:col w:w="3280"/>
          </w:cols>
          <w:pgMar w:left="320" w:top="1383" w:right="239" w:bottom="1440" w:gutter="0" w:footer="0" w:header="0"/>
          <w:type w:val="continuous"/>
        </w:sectPr>
      </w:pPr>
    </w:p>
    <w:p>
      <w:pPr>
        <w:ind w:left="150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25" w:lineRule="exact"/>
        <w:rPr>
          <w:sz w:val="24"/>
          <w:szCs w:val="24"/>
          <w:color w:val="auto"/>
        </w:rPr>
      </w:pPr>
    </w:p>
    <w:p>
      <w:pPr>
        <w:sectPr>
          <w:pgSz w:w="11900" w:h="16838" w:orient="portrait"/>
          <w:cols w:equalWidth="0" w:num="3">
            <w:col w:w="5180" w:space="720"/>
            <w:col w:w="1840" w:space="720"/>
            <w:col w:w="2880"/>
          </w:cols>
          <w:pgMar w:left="320" w:top="1383" w:right="239" w:bottom="1440" w:gutter="0" w:footer="0" w:header="0"/>
          <w:type w:val="continuous"/>
        </w:sectPr>
      </w:pPr>
    </w:p>
    <w:p>
      <w:pPr>
        <w:ind w:left="412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9" w:lineRule="exact"/>
        <w:rPr>
          <w:sz w:val="24"/>
          <w:szCs w:val="24"/>
          <w:color w:val="auto"/>
        </w:rPr>
      </w:pPr>
    </w:p>
    <w:p>
      <w:pPr>
        <w:ind w:right="3140"/>
        <w:spacing w:after="0" w:line="21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 w:lineRule="exact"/>
        <w:rPr>
          <w:sz w:val="24"/>
          <w:szCs w:val="24"/>
          <w:color w:val="auto"/>
        </w:rPr>
      </w:pPr>
    </w:p>
    <w:p>
      <w:pPr>
        <w:ind w:right="360"/>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6" w:lineRule="exact"/>
        <w:rPr>
          <w:sz w:val="24"/>
          <w:szCs w:val="24"/>
          <w:color w:val="auto"/>
        </w:rPr>
      </w:pPr>
    </w:p>
    <w:p>
      <w:pPr>
        <w:ind w:right="120"/>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340"/>
          </w:cols>
          <w:pgMar w:left="320" w:top="1383" w:right="239" w:bottom="1440" w:gutter="0" w:footer="0" w:header="0"/>
          <w:type w:val="continuous"/>
        </w:sectPr>
      </w:pPr>
    </w:p>
    <w:p>
      <w:pPr>
        <w:spacing w:after="0" w:line="15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7" w:lineRule="exact"/>
        <w:rPr>
          <w:sz w:val="24"/>
          <w:szCs w:val="24"/>
          <w:color w:val="auto"/>
        </w:rPr>
      </w:pPr>
    </w:p>
    <w:p>
      <w:pPr>
        <w:sectPr>
          <w:pgSz w:w="11900" w:h="16838" w:orient="portrait"/>
          <w:cols w:equalWidth="0" w:num="3">
            <w:col w:w="4660" w:space="720"/>
            <w:col w:w="420" w:space="720"/>
            <w:col w:w="4820"/>
          </w:cols>
          <w:pgMar w:left="320" w:top="1383" w:right="239" w:bottom="1440" w:gutter="0" w:footer="0" w:header="0"/>
          <w:type w:val="continuous"/>
        </w:sectPr>
      </w:pPr>
    </w:p>
    <w:p>
      <w:pPr>
        <w:spacing w:after="0" w:line="6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78" w:lineRule="exact"/>
        <w:rPr>
          <w:sz w:val="24"/>
          <w:szCs w:val="24"/>
          <w:color w:val="auto"/>
        </w:rPr>
      </w:pPr>
    </w:p>
    <w:p>
      <w:pPr>
        <w:sectPr>
          <w:pgSz w:w="11900" w:h="16838" w:orient="portrait"/>
          <w:cols w:equalWidth="0" w:num="3">
            <w:col w:w="4660" w:space="720"/>
            <w:col w:w="420" w:space="720"/>
            <w:col w:w="4820"/>
          </w:cols>
          <w:pgMar w:left="320" w:top="1383" w:right="239" w:bottom="1440" w:gutter="0" w:footer="0" w:header="0"/>
          <w:type w:val="continuous"/>
        </w:sectPr>
      </w:pPr>
    </w:p>
    <w:p>
      <w:pPr>
        <w:ind w:left="652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340"/>
          </w:cols>
          <w:pgMar w:left="320" w:top="1383" w:right="239" w:bottom="1440" w:gutter="0" w:footer="0" w:header="0"/>
          <w:type w:val="continuous"/>
        </w:sectPr>
      </w:pPr>
    </w:p>
    <w:p>
      <w:pPr>
        <w:spacing w:after="0" w:line="51" w:lineRule="exact"/>
        <w:rPr>
          <w:sz w:val="24"/>
          <w:szCs w:val="24"/>
          <w:color w:val="auto"/>
        </w:rPr>
      </w:pPr>
    </w:p>
    <w:p>
      <w:pPr>
        <w:ind w:left="340" w:firstLine="318"/>
        <w:spacing w:after="0" w:line="22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 accounting standards provided pursuant to Section 13(a) of the Exchange Act. o</w:t>
      </w:r>
    </w:p>
    <w:p>
      <w:pPr>
        <w:spacing w:after="0" w:line="149" w:lineRule="exact"/>
        <w:rPr>
          <w:sz w:val="24"/>
          <w:szCs w:val="24"/>
          <w:color w:val="auto"/>
        </w:rPr>
      </w:pPr>
    </w:p>
    <w:p>
      <w:pPr>
        <w:ind w:right="12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2021, the aggregate market value of the common stock of the registrant held by non-affiliates was approximately $3.9 billion.</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22, 2022 was 109,780,284.</w:t>
      </w:r>
    </w:p>
    <w:p>
      <w:pPr>
        <w:spacing w:after="0" w:line="192"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9" w:lineRule="exact"/>
        <w:rPr>
          <w:sz w:val="24"/>
          <w:szCs w:val="24"/>
          <w:color w:val="auto"/>
        </w:rPr>
      </w:pPr>
    </w:p>
    <w:p>
      <w:pPr>
        <w:ind w:right="140" w:firstLine="318"/>
        <w:spacing w:after="0" w:line="250"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are incorporated herein by reference in Part III of this Annual Report on Form 10-K. The Proxy Statement will be filed with the Securities and Exchange Commission within 120 days after the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882015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38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TENABLE HOLDINGS, INC.</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4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3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PART I</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Pa</w:t>
            </w:r>
          </w:p>
        </w:tc>
        <w:tc>
          <w:tcPr>
            <w:tcW w:w="0" w:type="dxa"/>
            <w:vAlign w:val="bottom"/>
          </w:tcPr>
          <w:p>
            <w:pPr>
              <w:spacing w:after="0"/>
              <w:rPr>
                <w:sz w:val="1"/>
                <w:szCs w:val="1"/>
                <w:color w:val="auto"/>
              </w:rPr>
            </w:pPr>
          </w:p>
        </w:tc>
      </w:tr>
      <w:tr>
        <w:trPr>
          <w:trHeight w:val="244"/>
        </w:trPr>
        <w:tc>
          <w:tcPr>
            <w:tcW w:w="136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360" w:type="dxa"/>
            <w:vAlign w:val="bottom"/>
          </w:tcPr>
          <w:p>
            <w:pPr>
              <w:ind w:left="320"/>
              <w:spacing w:after="0" w:line="187" w:lineRule="exact"/>
              <w:rPr>
                <w:sz w:val="20"/>
                <w:szCs w:val="20"/>
                <w:color w:val="auto"/>
              </w:rPr>
            </w:pPr>
            <w:r>
              <w:rPr>
                <w:rFonts w:ascii="Arial" w:cs="Arial" w:eastAsia="Arial" w:hAnsi="Arial"/>
                <w:sz w:val="18"/>
                <w:szCs w:val="18"/>
                <w:color w:val="auto"/>
              </w:rPr>
              <w:t>Item 1.</w:t>
            </w:r>
          </w:p>
        </w:tc>
        <w:tc>
          <w:tcPr>
            <w:tcW w:w="9420" w:type="dxa"/>
            <w:vAlign w:val="bottom"/>
            <w:gridSpan w:val="23"/>
          </w:tcPr>
          <w:p>
            <w:pPr>
              <w:spacing w:after="0" w:line="187"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FF"/>
            </w:tcBorders>
            <w:gridSpan w:val="4"/>
          </w:tcPr>
          <w:p>
            <w:pPr>
              <w:spacing w:after="0" w:line="205" w:lineRule="exact"/>
              <w:rPr>
                <w:rFonts w:ascii="Arial" w:cs="Arial" w:eastAsia="Arial" w:hAnsi="Arial"/>
                <w:sz w:val="18"/>
                <w:szCs w:val="18"/>
                <w:color w:val="0000FF"/>
                <w:w w:val="95"/>
              </w:rPr>
            </w:pPr>
            <w:hyperlink w:anchor="page12">
              <w:r>
                <w:rPr>
                  <w:rFonts w:ascii="Arial" w:cs="Arial" w:eastAsia="Arial" w:hAnsi="Arial"/>
                  <w:sz w:val="18"/>
                  <w:szCs w:val="18"/>
                  <w:color w:val="0000FF"/>
                  <w:w w:val="95"/>
                </w:rPr>
                <w:t>Risk Factors</w:t>
              </w:r>
            </w:hyperlink>
          </w:p>
        </w:tc>
        <w:tc>
          <w:tcPr>
            <w:tcW w:w="844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1B.</w:t>
            </w:r>
          </w:p>
        </w:tc>
        <w:tc>
          <w:tcPr>
            <w:tcW w:w="2200" w:type="dxa"/>
            <w:vAlign w:val="bottom"/>
            <w:tcBorders>
              <w:bottom w:val="single" w:sz="8" w:color="0000FF"/>
            </w:tcBorders>
            <w:gridSpan w:val="11"/>
          </w:tcPr>
          <w:p>
            <w:pPr>
              <w:spacing w:after="0" w:line="205" w:lineRule="exact"/>
              <w:rPr>
                <w:rFonts w:ascii="Arial" w:cs="Arial" w:eastAsia="Arial" w:hAnsi="Arial"/>
                <w:sz w:val="18"/>
                <w:szCs w:val="18"/>
                <w:color w:val="0000FF"/>
                <w:w w:val="96"/>
              </w:rPr>
            </w:pPr>
            <w:hyperlink w:anchor="page39">
              <w:r>
                <w:rPr>
                  <w:rFonts w:ascii="Arial" w:cs="Arial" w:eastAsia="Arial" w:hAnsi="Arial"/>
                  <w:sz w:val="18"/>
                  <w:szCs w:val="18"/>
                  <w:color w:val="0000FF"/>
                  <w:w w:val="96"/>
                </w:rPr>
                <w:t>Unresolved Staff Comments</w:t>
              </w:r>
            </w:hyperlink>
          </w:p>
        </w:tc>
        <w:tc>
          <w:tcPr>
            <w:tcW w:w="722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2.</w:t>
            </w:r>
          </w:p>
        </w:tc>
        <w:tc>
          <w:tcPr>
            <w:tcW w:w="800" w:type="dxa"/>
            <w:vAlign w:val="bottom"/>
            <w:tcBorders>
              <w:bottom w:val="single" w:sz="8" w:color="0000FF"/>
            </w:tcBorders>
            <w:gridSpan w:val="2"/>
          </w:tcPr>
          <w:p>
            <w:pPr>
              <w:spacing w:after="0" w:line="205" w:lineRule="exact"/>
              <w:rPr>
                <w:rFonts w:ascii="Arial" w:cs="Arial" w:eastAsia="Arial" w:hAnsi="Arial"/>
                <w:sz w:val="18"/>
                <w:szCs w:val="18"/>
                <w:color w:val="0000FF"/>
                <w:w w:val="95"/>
              </w:rPr>
            </w:pPr>
            <w:hyperlink w:anchor="page39">
              <w:r>
                <w:rPr>
                  <w:rFonts w:ascii="Arial" w:cs="Arial" w:eastAsia="Arial" w:hAnsi="Arial"/>
                  <w:sz w:val="18"/>
                  <w:szCs w:val="18"/>
                  <w:color w:val="0000FF"/>
                  <w:w w:val="95"/>
                </w:rPr>
                <w:t>Properties</w:t>
              </w:r>
            </w:hyperlink>
          </w:p>
        </w:tc>
        <w:tc>
          <w:tcPr>
            <w:tcW w:w="862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FF"/>
            </w:tcBorders>
            <w:gridSpan w:val="6"/>
          </w:tcPr>
          <w:p>
            <w:pPr>
              <w:spacing w:after="0" w:line="205" w:lineRule="exact"/>
              <w:rPr>
                <w:rFonts w:ascii="Arial" w:cs="Arial" w:eastAsia="Arial" w:hAnsi="Arial"/>
                <w:sz w:val="18"/>
                <w:szCs w:val="18"/>
                <w:color w:val="0000FF"/>
                <w:w w:val="96"/>
              </w:rPr>
            </w:pPr>
            <w:hyperlink w:anchor="page39">
              <w:r>
                <w:rPr>
                  <w:rFonts w:ascii="Arial" w:cs="Arial" w:eastAsia="Arial" w:hAnsi="Arial"/>
                  <w:sz w:val="18"/>
                  <w:szCs w:val="18"/>
                  <w:color w:val="0000FF"/>
                  <w:w w:val="96"/>
                </w:rPr>
                <w:t>Legal Proceedings</w:t>
              </w:r>
            </w:hyperlink>
          </w:p>
        </w:tc>
        <w:tc>
          <w:tcPr>
            <w:tcW w:w="796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4.</w:t>
            </w:r>
          </w:p>
        </w:tc>
        <w:tc>
          <w:tcPr>
            <w:tcW w:w="9420" w:type="dxa"/>
            <w:vAlign w:val="bottom"/>
            <w:gridSpan w:val="23"/>
          </w:tcPr>
          <w:p>
            <w:pPr>
              <w:spacing w:after="0" w:line="205" w:lineRule="exact"/>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PART II</w:t>
            </w: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ind w:left="320"/>
              <w:spacing w:after="0" w:line="187" w:lineRule="exact"/>
              <w:rPr>
                <w:sz w:val="20"/>
                <w:szCs w:val="20"/>
                <w:color w:val="auto"/>
              </w:rPr>
            </w:pPr>
            <w:r>
              <w:rPr>
                <w:rFonts w:ascii="Arial" w:cs="Arial" w:eastAsia="Arial" w:hAnsi="Arial"/>
                <w:sz w:val="18"/>
                <w:szCs w:val="18"/>
                <w:color w:val="auto"/>
              </w:rPr>
              <w:t>Item 5.</w:t>
            </w:r>
          </w:p>
        </w:tc>
        <w:tc>
          <w:tcPr>
            <w:tcW w:w="9420" w:type="dxa"/>
            <w:vAlign w:val="bottom"/>
            <w:gridSpan w:val="23"/>
          </w:tcPr>
          <w:p>
            <w:pPr>
              <w:spacing w:after="0" w:line="187" w:lineRule="exact"/>
              <w:rPr>
                <w:rFonts w:ascii="Arial" w:cs="Arial" w:eastAsia="Arial" w:hAnsi="Arial"/>
                <w:sz w:val="18"/>
                <w:szCs w:val="18"/>
                <w:color w:val="0000FF"/>
              </w:rPr>
            </w:pPr>
            <w:hyperlink w:anchor="page41">
              <w:r>
                <w:rPr>
                  <w:rFonts w:ascii="Arial" w:cs="Arial" w:eastAsia="Arial" w:hAnsi="Arial"/>
                  <w:sz w:val="18"/>
                  <w:szCs w:val="18"/>
                  <w:color w:val="0000FF"/>
                </w:rPr>
                <w:t>Market for Registrant's Common Equity, Related Stockholder Matters and Issuer Purchases of Equity Securities</w:t>
              </w:r>
            </w:hyperlink>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6.</w:t>
            </w:r>
          </w:p>
        </w:tc>
        <w:tc>
          <w:tcPr>
            <w:tcW w:w="1860" w:type="dxa"/>
            <w:vAlign w:val="bottom"/>
            <w:tcBorders>
              <w:top w:val="single" w:sz="8" w:color="0000FF"/>
              <w:bottom w:val="single" w:sz="8" w:color="0000FF"/>
            </w:tcBorders>
            <w:gridSpan w:val="8"/>
          </w:tcPr>
          <w:p>
            <w:pPr>
              <w:spacing w:after="0" w:line="205" w:lineRule="exact"/>
              <w:rPr>
                <w:rFonts w:ascii="Arial" w:cs="Arial" w:eastAsia="Arial" w:hAnsi="Arial"/>
                <w:sz w:val="18"/>
                <w:szCs w:val="18"/>
                <w:color w:val="0000FF"/>
                <w:w w:val="96"/>
              </w:rPr>
            </w:pPr>
            <w:hyperlink w:anchor="page41">
              <w:r>
                <w:rPr>
                  <w:rFonts w:ascii="Arial" w:cs="Arial" w:eastAsia="Arial" w:hAnsi="Arial"/>
                  <w:sz w:val="18"/>
                  <w:szCs w:val="18"/>
                  <w:color w:val="0000FF"/>
                  <w:w w:val="96"/>
                </w:rPr>
                <w:t>Selected Financial Data</w:t>
              </w:r>
            </w:hyperlink>
          </w:p>
        </w:tc>
        <w:tc>
          <w:tcPr>
            <w:tcW w:w="6840" w:type="dxa"/>
            <w:vAlign w:val="bottom"/>
            <w:tcBorders>
              <w:top w:val="single" w:sz="8" w:color="0000FF"/>
            </w:tcBorders>
            <w:gridSpan w:val="14"/>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7.</w:t>
            </w:r>
          </w:p>
        </w:tc>
        <w:tc>
          <w:tcPr>
            <w:tcW w:w="6940" w:type="dxa"/>
            <w:vAlign w:val="bottom"/>
            <w:tcBorders>
              <w:bottom w:val="single" w:sz="8" w:color="0000FF"/>
            </w:tcBorders>
            <w:gridSpan w:val="19"/>
          </w:tcPr>
          <w:p>
            <w:pPr>
              <w:spacing w:after="0" w:line="205" w:lineRule="exact"/>
              <w:rPr>
                <w:rFonts w:ascii="Arial" w:cs="Arial" w:eastAsia="Arial" w:hAnsi="Arial"/>
                <w:sz w:val="18"/>
                <w:szCs w:val="18"/>
                <w:color w:val="0000FF"/>
                <w:w w:val="97"/>
              </w:rPr>
            </w:pPr>
            <w:hyperlink w:anchor="page43">
              <w:r>
                <w:rPr>
                  <w:rFonts w:ascii="Arial" w:cs="Arial" w:eastAsia="Arial" w:hAnsi="Arial"/>
                  <w:sz w:val="18"/>
                  <w:szCs w:val="18"/>
                  <w:color w:val="0000FF"/>
                  <w:w w:val="97"/>
                </w:rPr>
                <w:t>Management's Discussion and Analysis of Financial Condition and Results of Operations</w:t>
              </w:r>
            </w:hyperlink>
          </w:p>
        </w:tc>
        <w:tc>
          <w:tcPr>
            <w:tcW w:w="248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7A.</w:t>
            </w:r>
          </w:p>
        </w:tc>
        <w:tc>
          <w:tcPr>
            <w:tcW w:w="4600" w:type="dxa"/>
            <w:vAlign w:val="bottom"/>
            <w:tcBorders>
              <w:bottom w:val="single" w:sz="8" w:color="0000FF"/>
            </w:tcBorders>
            <w:gridSpan w:val="16"/>
          </w:tcPr>
          <w:p>
            <w:pPr>
              <w:spacing w:after="0" w:line="205" w:lineRule="exact"/>
              <w:rPr>
                <w:rFonts w:ascii="Arial" w:cs="Arial" w:eastAsia="Arial" w:hAnsi="Arial"/>
                <w:sz w:val="18"/>
                <w:szCs w:val="18"/>
                <w:color w:val="0000FF"/>
                <w:w w:val="97"/>
              </w:rPr>
            </w:pPr>
            <w:hyperlink w:anchor="page65">
              <w:r>
                <w:rPr>
                  <w:rFonts w:ascii="Arial" w:cs="Arial" w:eastAsia="Arial" w:hAnsi="Arial"/>
                  <w:sz w:val="18"/>
                  <w:szCs w:val="18"/>
                  <w:color w:val="0000FF"/>
                  <w:w w:val="97"/>
                </w:rPr>
                <w:t>Quantitative and Qualitative Disclosures about Market Risk</w:t>
              </w:r>
            </w:hyperlink>
          </w:p>
        </w:tc>
        <w:tc>
          <w:tcPr>
            <w:tcW w:w="48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8.</w:t>
            </w:r>
          </w:p>
        </w:tc>
        <w:tc>
          <w:tcPr>
            <w:tcW w:w="9420" w:type="dxa"/>
            <w:vAlign w:val="bottom"/>
            <w:gridSpan w:val="23"/>
          </w:tcPr>
          <w:p>
            <w:pPr>
              <w:spacing w:after="0" w:line="205" w:lineRule="exact"/>
              <w:rPr>
                <w:rFonts w:ascii="Arial" w:cs="Arial" w:eastAsia="Arial" w:hAnsi="Arial"/>
                <w:sz w:val="18"/>
                <w:szCs w:val="18"/>
                <w:color w:val="0000FF"/>
              </w:rPr>
            </w:pPr>
            <w:hyperlink w:anchor="page66">
              <w:r>
                <w:rPr>
                  <w:rFonts w:ascii="Arial" w:cs="Arial" w:eastAsia="Arial" w:hAnsi="Arial"/>
                  <w:sz w:val="18"/>
                  <w:szCs w:val="18"/>
                  <w:color w:val="0000FF"/>
                </w:rPr>
                <w:t>Financial Statements and Supplementary Data</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9.</w:t>
            </w:r>
          </w:p>
        </w:tc>
        <w:tc>
          <w:tcPr>
            <w:tcW w:w="7000" w:type="dxa"/>
            <w:vAlign w:val="bottom"/>
            <w:tcBorders>
              <w:bottom w:val="single" w:sz="8" w:color="0000FF"/>
            </w:tcBorders>
            <w:gridSpan w:val="20"/>
          </w:tcPr>
          <w:p>
            <w:pPr>
              <w:spacing w:after="0" w:line="205" w:lineRule="exact"/>
              <w:rPr>
                <w:rFonts w:ascii="Arial" w:cs="Arial" w:eastAsia="Arial" w:hAnsi="Arial"/>
                <w:sz w:val="18"/>
                <w:szCs w:val="18"/>
                <w:color w:val="0000FF"/>
                <w:w w:val="97"/>
              </w:rPr>
            </w:pPr>
            <w:hyperlink w:anchor="page97">
              <w:r>
                <w:rPr>
                  <w:rFonts w:ascii="Arial" w:cs="Arial" w:eastAsia="Arial" w:hAnsi="Arial"/>
                  <w:sz w:val="18"/>
                  <w:szCs w:val="18"/>
                  <w:color w:val="0000FF"/>
                  <w:w w:val="97"/>
                </w:rPr>
                <w:t>Changes in and Disagreements with Accountants on Accounting and Financial Disclosure</w:t>
              </w:r>
            </w:hyperlink>
          </w:p>
        </w:tc>
        <w:tc>
          <w:tcPr>
            <w:tcW w:w="24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9A.</w:t>
            </w:r>
          </w:p>
        </w:tc>
        <w:tc>
          <w:tcPr>
            <w:tcW w:w="9420" w:type="dxa"/>
            <w:vAlign w:val="bottom"/>
            <w:gridSpan w:val="23"/>
          </w:tcPr>
          <w:p>
            <w:pPr>
              <w:spacing w:after="0" w:line="205" w:lineRule="exact"/>
              <w:rPr>
                <w:rFonts w:ascii="Arial" w:cs="Arial" w:eastAsia="Arial" w:hAnsi="Arial"/>
                <w:sz w:val="18"/>
                <w:szCs w:val="18"/>
                <w:color w:val="0000FF"/>
              </w:rPr>
            </w:pPr>
            <w:hyperlink w:anchor="page98">
              <w:r>
                <w:rPr>
                  <w:rFonts w:ascii="Arial" w:cs="Arial" w:eastAsia="Arial" w:hAnsi="Arial"/>
                  <w:sz w:val="18"/>
                  <w:szCs w:val="18"/>
                  <w:color w:val="0000FF"/>
                </w:rPr>
                <w:t>Controls and Procedures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9B.</w:t>
            </w:r>
          </w:p>
        </w:tc>
        <w:tc>
          <w:tcPr>
            <w:tcW w:w="1940" w:type="dxa"/>
            <w:vAlign w:val="bottom"/>
            <w:tcBorders>
              <w:top w:val="single" w:sz="8" w:color="0000FF"/>
            </w:tcBorders>
            <w:gridSpan w:val="10"/>
          </w:tcPr>
          <w:p>
            <w:pPr>
              <w:spacing w:after="0" w:line="205" w:lineRule="exact"/>
              <w:rPr>
                <w:rFonts w:ascii="Arial" w:cs="Arial" w:eastAsia="Arial" w:hAnsi="Arial"/>
                <w:sz w:val="18"/>
                <w:szCs w:val="18"/>
                <w:color w:val="0000FF"/>
              </w:rPr>
            </w:pPr>
            <w:hyperlink w:anchor="page99">
              <w:r>
                <w:rPr>
                  <w:rFonts w:ascii="Arial" w:cs="Arial" w:eastAsia="Arial" w:hAnsi="Arial"/>
                  <w:sz w:val="18"/>
                  <w:szCs w:val="18"/>
                  <w:color w:val="0000FF"/>
                </w:rPr>
                <w:t>Other Information</w:t>
              </w:r>
            </w:hyperlink>
          </w:p>
        </w:tc>
        <w:tc>
          <w:tcPr>
            <w:tcW w:w="748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9C.</w:t>
            </w:r>
          </w:p>
        </w:tc>
        <w:tc>
          <w:tcPr>
            <w:tcW w:w="9420" w:type="dxa"/>
            <w:vAlign w:val="bottom"/>
            <w:gridSpan w:val="23"/>
          </w:tcPr>
          <w:p>
            <w:pPr>
              <w:spacing w:after="0" w:line="205" w:lineRule="exact"/>
              <w:rPr>
                <w:rFonts w:ascii="Arial" w:cs="Arial" w:eastAsia="Arial" w:hAnsi="Arial"/>
                <w:sz w:val="18"/>
                <w:szCs w:val="18"/>
                <w:color w:val="0000FF"/>
              </w:rPr>
            </w:pPr>
            <w:hyperlink w:anchor="page99">
              <w:r>
                <w:rPr>
                  <w:rFonts w:ascii="Arial" w:cs="Arial" w:eastAsia="Arial" w:hAnsi="Arial"/>
                  <w:sz w:val="18"/>
                  <w:szCs w:val="18"/>
                  <w:color w:val="0000FF"/>
                </w:rPr>
                <w:t>Disclosure Regarding Foreign Jurisdictions that Prevent Inspections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9"/>
        </w:trPr>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PART III</w:t>
            </w: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ind w:left="320"/>
              <w:spacing w:after="0" w:line="187" w:lineRule="exact"/>
              <w:rPr>
                <w:sz w:val="20"/>
                <w:szCs w:val="20"/>
                <w:color w:val="auto"/>
              </w:rPr>
            </w:pPr>
            <w:r>
              <w:rPr>
                <w:rFonts w:ascii="Arial" w:cs="Arial" w:eastAsia="Arial" w:hAnsi="Arial"/>
                <w:sz w:val="18"/>
                <w:szCs w:val="18"/>
                <w:color w:val="auto"/>
              </w:rPr>
              <w:t>Item 10.</w:t>
            </w:r>
          </w:p>
        </w:tc>
        <w:tc>
          <w:tcPr>
            <w:tcW w:w="9420" w:type="dxa"/>
            <w:vAlign w:val="bottom"/>
            <w:gridSpan w:val="23"/>
          </w:tcPr>
          <w:p>
            <w:pPr>
              <w:spacing w:after="0" w:line="187" w:lineRule="exact"/>
              <w:rPr>
                <w:rFonts w:ascii="Arial" w:cs="Arial" w:eastAsia="Arial" w:hAnsi="Arial"/>
                <w:sz w:val="18"/>
                <w:szCs w:val="18"/>
                <w:color w:val="0000FF"/>
              </w:rPr>
            </w:pPr>
            <w:hyperlink w:anchor="page100">
              <w:r>
                <w:rPr>
                  <w:rFonts w:ascii="Arial" w:cs="Arial" w:eastAsia="Arial" w:hAnsi="Arial"/>
                  <w:sz w:val="18"/>
                  <w:szCs w:val="18"/>
                  <w:color w:val="0000FF"/>
                </w:rPr>
                <w:t>Directors, Executive Officers and Corporate Governance</w:t>
              </w:r>
            </w:hyperlink>
          </w:p>
        </w:tc>
        <w:tc>
          <w:tcPr>
            <w:tcW w:w="220" w:type="dxa"/>
            <w:vAlign w:val="bottom"/>
            <w:gridSpan w:val="2"/>
          </w:tcPr>
          <w:p>
            <w:pPr>
              <w:jc w:val="right"/>
              <w:spacing w:after="0" w:line="187" w:lineRule="exact"/>
              <w:rPr>
                <w:rFonts w:ascii="Arial" w:cs="Arial" w:eastAsia="Arial" w:hAnsi="Arial"/>
                <w:sz w:val="18"/>
                <w:szCs w:val="18"/>
                <w:color w:val="0000FF"/>
              </w:rPr>
            </w:pPr>
            <w:hyperlink w:anchor="page100">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11.</w:t>
            </w:r>
          </w:p>
        </w:tc>
        <w:tc>
          <w:tcPr>
            <w:tcW w:w="3120" w:type="dxa"/>
            <w:vAlign w:val="bottom"/>
            <w:tcBorders>
              <w:top w:val="single" w:sz="8" w:color="0000FF"/>
              <w:bottom w:val="single" w:sz="8" w:color="0000FF"/>
            </w:tcBorders>
            <w:gridSpan w:val="12"/>
          </w:tcPr>
          <w:p>
            <w:pPr>
              <w:spacing w:after="0" w:line="205" w:lineRule="exact"/>
              <w:rPr>
                <w:rFonts w:ascii="Arial" w:cs="Arial" w:eastAsia="Arial" w:hAnsi="Arial"/>
                <w:sz w:val="18"/>
                <w:szCs w:val="18"/>
                <w:color w:val="0000FF"/>
              </w:rPr>
            </w:pPr>
            <w:hyperlink w:anchor="page100">
              <w:r>
                <w:rPr>
                  <w:rFonts w:ascii="Arial" w:cs="Arial" w:eastAsia="Arial" w:hAnsi="Arial"/>
                  <w:sz w:val="18"/>
                  <w:szCs w:val="18"/>
                  <w:color w:val="0000FF"/>
                </w:rPr>
                <w:t>Executive Compensation</w:t>
              </w:r>
            </w:hyperlink>
          </w:p>
        </w:tc>
        <w:tc>
          <w:tcPr>
            <w:tcW w:w="1280" w:type="dxa"/>
            <w:vAlign w:val="bottom"/>
            <w:tcBorders>
              <w:top w:val="single" w:sz="8" w:color="0000FF"/>
            </w:tcBorders>
            <w:gridSpan w:val="3"/>
          </w:tcPr>
          <w:p>
            <w:pPr>
              <w:spacing w:after="0"/>
              <w:rPr>
                <w:sz w:val="17"/>
                <w:szCs w:val="17"/>
                <w:color w:val="auto"/>
              </w:rPr>
            </w:pPr>
          </w:p>
        </w:tc>
        <w:tc>
          <w:tcPr>
            <w:tcW w:w="502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right"/>
              <w:spacing w:after="0" w:line="205" w:lineRule="exact"/>
              <w:rPr>
                <w:rFonts w:ascii="Arial" w:cs="Arial" w:eastAsia="Arial" w:hAnsi="Arial"/>
                <w:sz w:val="18"/>
                <w:szCs w:val="18"/>
                <w:color w:val="0000FF"/>
                <w:w w:val="79"/>
              </w:rPr>
            </w:pPr>
            <w:hyperlink w:anchor="page100">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12.</w:t>
            </w:r>
          </w:p>
        </w:tc>
        <w:tc>
          <w:tcPr>
            <w:tcW w:w="9420" w:type="dxa"/>
            <w:vAlign w:val="bottom"/>
            <w:tcBorders>
              <w:bottom w:val="single" w:sz="8" w:color="0000FF"/>
            </w:tcBorders>
            <w:gridSpan w:val="23"/>
          </w:tcPr>
          <w:p>
            <w:pPr>
              <w:spacing w:after="0" w:line="205" w:lineRule="exact"/>
              <w:rPr>
                <w:rFonts w:ascii="Arial" w:cs="Arial" w:eastAsia="Arial" w:hAnsi="Arial"/>
                <w:sz w:val="18"/>
                <w:szCs w:val="18"/>
                <w:color w:val="0000FF"/>
              </w:rPr>
            </w:pPr>
            <w:hyperlink w:anchor="page100">
              <w:r>
                <w:rPr>
                  <w:rFonts w:ascii="Arial" w:cs="Arial" w:eastAsia="Arial" w:hAnsi="Arial"/>
                  <w:sz w:val="18"/>
                  <w:szCs w:val="18"/>
                  <w:color w:val="0000FF"/>
                </w:rPr>
                <w:t>Security Ownership of Certain Beneficial Owners and Management and Related Stockholder Matters</w:t>
              </w:r>
            </w:hyperlink>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100">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13.</w:t>
            </w:r>
          </w:p>
        </w:tc>
        <w:tc>
          <w:tcPr>
            <w:tcW w:w="9420" w:type="dxa"/>
            <w:vAlign w:val="bottom"/>
            <w:gridSpan w:val="23"/>
          </w:tcPr>
          <w:p>
            <w:pPr>
              <w:spacing w:after="0" w:line="205" w:lineRule="exact"/>
              <w:rPr>
                <w:rFonts w:ascii="Arial" w:cs="Arial" w:eastAsia="Arial" w:hAnsi="Arial"/>
                <w:sz w:val="18"/>
                <w:szCs w:val="18"/>
                <w:color w:val="0000FF"/>
              </w:rPr>
            </w:pPr>
            <w:hyperlink w:anchor="page100">
              <w:r>
                <w:rPr>
                  <w:rFonts w:ascii="Arial" w:cs="Arial" w:eastAsia="Arial" w:hAnsi="Arial"/>
                  <w:sz w:val="18"/>
                  <w:szCs w:val="18"/>
                  <w:color w:val="0000FF"/>
                </w:rPr>
                <w:t>Certain Relationships and Related Transactions and Director Independence</w:t>
              </w:r>
            </w:hyperlink>
          </w:p>
        </w:tc>
        <w:tc>
          <w:tcPr>
            <w:tcW w:w="220" w:type="dxa"/>
            <w:vAlign w:val="bottom"/>
            <w:gridSpan w:val="2"/>
          </w:tcPr>
          <w:p>
            <w:pPr>
              <w:jc w:val="right"/>
              <w:spacing w:after="0" w:line="205" w:lineRule="exact"/>
              <w:rPr>
                <w:rFonts w:ascii="Arial" w:cs="Arial" w:eastAsia="Arial" w:hAnsi="Arial"/>
                <w:sz w:val="18"/>
                <w:szCs w:val="18"/>
                <w:color w:val="0000FF"/>
              </w:rPr>
            </w:pPr>
            <w:hyperlink w:anchor="page100">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14.</w:t>
            </w:r>
          </w:p>
        </w:tc>
        <w:tc>
          <w:tcPr>
            <w:tcW w:w="5900" w:type="dxa"/>
            <w:vAlign w:val="bottom"/>
            <w:tcBorders>
              <w:top w:val="single" w:sz="8" w:color="0000FF"/>
            </w:tcBorders>
            <w:gridSpan w:val="18"/>
          </w:tcPr>
          <w:p>
            <w:pPr>
              <w:spacing w:after="0" w:line="205" w:lineRule="exact"/>
              <w:rPr>
                <w:rFonts w:ascii="Arial" w:cs="Arial" w:eastAsia="Arial" w:hAnsi="Arial"/>
                <w:sz w:val="18"/>
                <w:szCs w:val="18"/>
                <w:color w:val="0000FF"/>
              </w:rPr>
            </w:pPr>
            <w:hyperlink w:anchor="page100">
              <w:r>
                <w:rPr>
                  <w:rFonts w:ascii="Arial" w:cs="Arial" w:eastAsia="Arial" w:hAnsi="Arial"/>
                  <w:sz w:val="18"/>
                  <w:szCs w:val="18"/>
                  <w:color w:val="0000FF"/>
                </w:rPr>
                <w:t>Principal Accountant Fees and Services</w:t>
              </w:r>
            </w:hyperlink>
          </w:p>
        </w:tc>
        <w:tc>
          <w:tcPr>
            <w:tcW w:w="352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FF"/>
            </w:tcBorders>
          </w:tcPr>
          <w:p>
            <w:pPr>
              <w:jc w:val="right"/>
              <w:spacing w:after="0" w:line="205" w:lineRule="exact"/>
              <w:rPr>
                <w:rFonts w:ascii="Arial" w:cs="Arial" w:eastAsia="Arial" w:hAnsi="Arial"/>
                <w:sz w:val="18"/>
                <w:szCs w:val="18"/>
                <w:color w:val="0000FF"/>
                <w:w w:val="79"/>
              </w:rPr>
            </w:pPr>
            <w:hyperlink w:anchor="page100">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457"/>
        </w:trPr>
        <w:tc>
          <w:tcPr>
            <w:tcW w:w="1360" w:type="dxa"/>
            <w:vAlign w:val="bottom"/>
          </w:tcPr>
          <w:p>
            <w:pPr>
              <w:ind w:left="320"/>
              <w:spacing w:after="0"/>
              <w:rPr>
                <w:sz w:val="20"/>
                <w:szCs w:val="20"/>
                <w:color w:val="auto"/>
              </w:rPr>
            </w:pPr>
            <w:r>
              <w:rPr>
                <w:rFonts w:ascii="Arial" w:cs="Arial" w:eastAsia="Arial" w:hAnsi="Arial"/>
                <w:sz w:val="18"/>
                <w:szCs w:val="18"/>
                <w:b w:val="1"/>
                <w:bCs w:val="1"/>
                <w:color w:val="auto"/>
              </w:rPr>
              <w:t>PART</w:t>
            </w:r>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IV</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360" w:type="dxa"/>
            <w:vAlign w:val="bottom"/>
          </w:tcPr>
          <w:p>
            <w:pPr>
              <w:ind w:left="320"/>
              <w:spacing w:after="0" w:line="177" w:lineRule="exact"/>
              <w:rPr>
                <w:sz w:val="20"/>
                <w:szCs w:val="20"/>
                <w:color w:val="auto"/>
              </w:rPr>
            </w:pPr>
            <w:r>
              <w:rPr>
                <w:rFonts w:ascii="Arial" w:cs="Arial" w:eastAsia="Arial" w:hAnsi="Arial"/>
                <w:sz w:val="18"/>
                <w:szCs w:val="18"/>
                <w:color w:val="auto"/>
              </w:rPr>
              <w:t>Item 15.</w:t>
            </w:r>
          </w:p>
        </w:tc>
        <w:tc>
          <w:tcPr>
            <w:tcW w:w="9420" w:type="dxa"/>
            <w:vAlign w:val="bottom"/>
            <w:tcBorders>
              <w:bottom w:val="single" w:sz="8" w:color="0000FF"/>
            </w:tcBorders>
            <w:gridSpan w:val="23"/>
          </w:tcPr>
          <w:p>
            <w:pPr>
              <w:spacing w:after="0" w:line="177" w:lineRule="exact"/>
              <w:rPr>
                <w:rFonts w:ascii="Arial" w:cs="Arial" w:eastAsia="Arial" w:hAnsi="Arial"/>
                <w:sz w:val="18"/>
                <w:szCs w:val="18"/>
                <w:color w:val="0000FF"/>
              </w:rPr>
            </w:pPr>
            <w:hyperlink w:anchor="page101">
              <w:r>
                <w:rPr>
                  <w:rFonts w:ascii="Arial" w:cs="Arial" w:eastAsia="Arial" w:hAnsi="Arial"/>
                  <w:sz w:val="18"/>
                  <w:szCs w:val="18"/>
                  <w:color w:val="0000FF"/>
                </w:rPr>
                <w:t>Exhibits, Financial Statement Schedules</w:t>
              </w:r>
            </w:hyperlink>
          </w:p>
        </w:tc>
        <w:tc>
          <w:tcPr>
            <w:tcW w:w="120" w:type="dxa"/>
            <w:vAlign w:val="bottom"/>
          </w:tcPr>
          <w:p>
            <w:pPr>
              <w:spacing w:after="0"/>
              <w:rPr>
                <w:sz w:val="15"/>
                <w:szCs w:val="15"/>
                <w:color w:val="auto"/>
              </w:rPr>
            </w:pPr>
          </w:p>
        </w:tc>
        <w:tc>
          <w:tcPr>
            <w:tcW w:w="100" w:type="dxa"/>
            <w:vAlign w:val="bottom"/>
            <w:tcBorders>
              <w:bottom w:val="single" w:sz="8" w:color="0000FF"/>
            </w:tcBorders>
          </w:tcPr>
          <w:p>
            <w:pPr>
              <w:jc w:val="right"/>
              <w:spacing w:after="0" w:line="177" w:lineRule="exact"/>
              <w:rPr>
                <w:rFonts w:ascii="Arial" w:cs="Arial" w:eastAsia="Arial" w:hAnsi="Arial"/>
                <w:sz w:val="18"/>
                <w:szCs w:val="18"/>
                <w:color w:val="0000FF"/>
                <w:w w:val="79"/>
              </w:rPr>
            </w:pPr>
            <w:hyperlink w:anchor="page101">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225"/>
        </w:trPr>
        <w:tc>
          <w:tcPr>
            <w:tcW w:w="1360" w:type="dxa"/>
            <w:vAlign w:val="bottom"/>
          </w:tcPr>
          <w:p>
            <w:pPr>
              <w:ind w:left="320"/>
              <w:spacing w:after="0" w:line="205" w:lineRule="exact"/>
              <w:rPr>
                <w:sz w:val="20"/>
                <w:szCs w:val="20"/>
                <w:color w:val="auto"/>
              </w:rPr>
            </w:pPr>
            <w:r>
              <w:rPr>
                <w:rFonts w:ascii="Arial" w:cs="Arial" w:eastAsia="Arial" w:hAnsi="Arial"/>
                <w:sz w:val="18"/>
                <w:szCs w:val="18"/>
                <w:color w:val="auto"/>
              </w:rPr>
              <w:t>Item 16.</w:t>
            </w:r>
          </w:p>
        </w:tc>
        <w:tc>
          <w:tcPr>
            <w:tcW w:w="1640" w:type="dxa"/>
            <w:vAlign w:val="bottom"/>
            <w:tcBorders>
              <w:bottom w:val="single" w:sz="8" w:color="0000FF"/>
            </w:tcBorders>
            <w:gridSpan w:val="7"/>
          </w:tcPr>
          <w:p>
            <w:pPr>
              <w:spacing w:after="0" w:line="205" w:lineRule="exact"/>
              <w:rPr>
                <w:rFonts w:ascii="Arial" w:cs="Arial" w:eastAsia="Arial" w:hAnsi="Arial"/>
                <w:sz w:val="18"/>
                <w:szCs w:val="18"/>
                <w:color w:val="0000FF"/>
                <w:w w:val="96"/>
              </w:rPr>
            </w:pPr>
            <w:hyperlink w:anchor="page103">
              <w:r>
                <w:rPr>
                  <w:rFonts w:ascii="Arial" w:cs="Arial" w:eastAsia="Arial" w:hAnsi="Arial"/>
                  <w:sz w:val="18"/>
                  <w:szCs w:val="18"/>
                  <w:color w:val="0000FF"/>
                  <w:w w:val="96"/>
                </w:rPr>
                <w:t>Form 10-K Summary</w:t>
              </w:r>
            </w:hyperlink>
          </w:p>
        </w:tc>
        <w:tc>
          <w:tcPr>
            <w:tcW w:w="7780" w:type="dxa"/>
            <w:vAlign w:val="bottom"/>
            <w:gridSpan w:val="16"/>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0000FF"/>
            </w:tcBorders>
          </w:tcPr>
          <w:p>
            <w:pPr>
              <w:jc w:val="right"/>
              <w:spacing w:after="0" w:line="205" w:lineRule="exact"/>
              <w:rPr>
                <w:rFonts w:ascii="Arial" w:cs="Arial" w:eastAsia="Arial" w:hAnsi="Arial"/>
                <w:sz w:val="18"/>
                <w:szCs w:val="18"/>
                <w:color w:val="0000FF"/>
                <w:w w:val="79"/>
              </w:rPr>
            </w:pPr>
            <w:hyperlink w:anchor="page103">
              <w:r>
                <w:rPr>
                  <w:rFonts w:ascii="Arial" w:cs="Arial" w:eastAsia="Arial" w:hAnsi="Arial"/>
                  <w:sz w:val="18"/>
                  <w:szCs w:val="18"/>
                  <w:color w:val="0000FF"/>
                  <w:w w:val="79"/>
                </w:rPr>
                <w:t>1</w:t>
              </w:r>
            </w:hyperlink>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840" w:type="dxa"/>
            <w:vAlign w:val="bottom"/>
            <w:tcBorders>
              <w:bottom w:val="single" w:sz="8" w:color="0000FF"/>
            </w:tcBorders>
            <w:gridSpan w:val="3"/>
          </w:tcPr>
          <w:p>
            <w:pPr>
              <w:spacing w:after="0" w:line="185" w:lineRule="exact"/>
              <w:rPr>
                <w:rFonts w:ascii="Arial" w:cs="Arial" w:eastAsia="Arial" w:hAnsi="Arial"/>
                <w:sz w:val="18"/>
                <w:szCs w:val="18"/>
                <w:color w:val="0000FF"/>
                <w:w w:val="95"/>
              </w:rPr>
            </w:pPr>
            <w:hyperlink w:anchor="page103">
              <w:r>
                <w:rPr>
                  <w:rFonts w:ascii="Arial" w:cs="Arial" w:eastAsia="Arial" w:hAnsi="Arial"/>
                  <w:sz w:val="18"/>
                  <w:szCs w:val="18"/>
                  <w:color w:val="0000FF"/>
                  <w:w w:val="95"/>
                </w:rPr>
                <w:t>Signatures</w:t>
              </w:r>
            </w:hyperlink>
          </w:p>
        </w:tc>
        <w:tc>
          <w:tcPr>
            <w:tcW w:w="8580" w:type="dxa"/>
            <w:vAlign w:val="bottom"/>
            <w:gridSpan w:val="20"/>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firstLine="437"/>
        <w:spacing w:after="0" w:line="246"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52" w:lineRule="exact"/>
        <w:rPr>
          <w:sz w:val="20"/>
          <w:szCs w:val="20"/>
          <w:color w:val="auto"/>
        </w:rPr>
      </w:pPr>
    </w:p>
    <w:p>
      <w:pPr>
        <w:ind w:left="640" w:right="30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 of the global economic uncertainty and financial market conditions caused by the COVID-19 pandemic on our business, results of operations and financial condition, including on our sales and our revenue growth rate;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58"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and effectively enhance, innovate and scale our enterprise platform and solutions;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and potential acquisitions and integration of complementary businesses and technologies;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58" w:lineRule="exact"/>
        <w:rPr>
          <w:rFonts w:ascii="Arial" w:cs="Arial" w:eastAsia="Arial" w:hAnsi="Arial"/>
          <w:sz w:val="18"/>
          <w:szCs w:val="18"/>
          <w:color w:val="auto"/>
        </w:rPr>
      </w:pPr>
    </w:p>
    <w:p>
      <w:pPr>
        <w:ind w:left="640" w:right="10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17" w:lineRule="exact"/>
        <w:rPr>
          <w:sz w:val="20"/>
          <w:szCs w:val="20"/>
          <w:color w:val="auto"/>
        </w:rPr>
      </w:pPr>
    </w:p>
    <w:p>
      <w:pPr>
        <w:ind w:right="20" w:firstLine="437"/>
        <w:spacing w:after="0" w:line="246"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right="920" w:firstLine="318"/>
        <w:spacing w:after="0" w:line="251" w:lineRule="auto"/>
        <w:rPr>
          <w:sz w:val="20"/>
          <w:szCs w:val="20"/>
          <w:color w:val="auto"/>
        </w:rPr>
      </w:pPr>
      <w:r>
        <w:rPr>
          <w:rFonts w:ascii="Arial" w:cs="Arial" w:eastAsia="Arial" w:hAnsi="Arial"/>
          <w:sz w:val="18"/>
          <w:szCs w:val="18"/>
          <w:color w:val="auto"/>
        </w:rPr>
        <w:t>We are a leading provider of Cyber Exposure solutions. Cyber Exposure is a discipline for managing, measuring and comparing cybersecurity risk in the digital era.</w:t>
      </w:r>
    </w:p>
    <w:p>
      <w:pPr>
        <w:spacing w:after="0" w:line="203"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Digital transformation is driving radical change and is powering the economy and our social infrastructure. A digital-first economy is only sustainable if it is built with a solid cybersecurity foundation. As organizations modernize their IT infrastructures and adopt cloud or hybrid cloud architectures that are no longer housed in the confines of their traditional on-premise IT networks, they have less visibility and control over the security of these assets. Organizations are also increasingly implementing modern solutions, such as Cloud, DevOps, Infrastructure as Code, or IaC, Mobility, Internet of Things, or IoT, devices, digital identity, web applications and application containers, to enable the rapid development and deployment of new products, services and business models, as well as to drive operational efficiencies. Further, safety-critical Operational Technology, or OT, such as Industrial Control Systems, are now network-connected and must be secured from cybersecurity threats. As organizations implement these modern solutions, they significantly expand their cyber attack surface.</w:t>
      </w:r>
    </w:p>
    <w:p>
      <w:pPr>
        <w:spacing w:after="0" w:line="211"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While other functions in an organization, such as finance and operations, have systems to help them manage and measure risk, cybersecurity risk has not historically been adequately measured or understood. We are building on our deep technology expertise as a pioneer in the vulnerability assessment and management market to provide broad visibility across the modern attack surface and deep insights to help security teams, executives and boards of directors prioritize and measure Cyber Exposure. We believe our Cyber Exposure solutions are transforming how cybersecurity risk is managed and measured and will help organizations more rapidly embrace digital transformation.</w:t>
      </w:r>
    </w:p>
    <w:p>
      <w:pPr>
        <w:spacing w:after="0" w:line="193"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In 2021, 2020 and 2019 our total revenue was $541.1 million, $440.2 million and $354.6 million, respectively, representing year-over-year growth rates of 23% from 2020 to 2021 and 24% from 2019 to 2020. Our net loss was $46.7 million, $42.7 million and $99.0 million in 2021, 2020 and 2019, respectively. Our cash flows from operating activities were $96.8 million, $64.2 million and $(10.7) million in 2021, 2020 and 2019, respectively.</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Enterprise Platform Offerings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enterprise platform enables organizations to answer foundational and strategic questions such as:</w:t>
      </w:r>
    </w:p>
    <w:p>
      <w:pPr>
        <w:spacing w:after="0" w:line="111"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are we exposed?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Where should we prioritize remediation based on risk?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we reducing our exposure over time?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How do we compare to our peers?</w:t>
      </w:r>
    </w:p>
    <w:p>
      <w:pPr>
        <w:spacing w:after="0" w:line="21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have continued to expand and diversify our platform offerings from traditional vulnerability management (VM) solutions, which include Tenable.sc and Nessus, to our cloud exposure solutions, which include Tenable.ep, Tenable.io, Tenable.cs, Tenable Web Scanning, or Tenable.io WAS, Tenable.ad and Tenable.ot. 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DevOps environments, Active Directory and Identity environments, and Industrial IoT and OT environments. We also provide deep analytics to help organizations score, trend and compare their cyber exposure over time, and communicate cyber risk in business terms to make better strategic decisions. Our platform offerings integrate and analyze data from our native collectors alongside IT asset, vulnerability and threat data from third-party systems and applications to prioritize security issues for remediation and focus an organization’s resources based on risk and business criticality.</w:t>
      </w:r>
    </w:p>
    <w:p>
      <w:pPr>
        <w:spacing w:after="0" w:line="189" w:lineRule="exact"/>
        <w:rPr>
          <w:sz w:val="20"/>
          <w:szCs w:val="20"/>
          <w:color w:val="auto"/>
        </w:rPr>
      </w:pPr>
    </w:p>
    <w:p>
      <w:pPr>
        <w:ind w:right="360" w:firstLine="318"/>
        <w:spacing w:after="0" w:line="256" w:lineRule="auto"/>
        <w:rPr>
          <w:sz w:val="20"/>
          <w:szCs w:val="20"/>
          <w:color w:val="auto"/>
        </w:rPr>
      </w:pPr>
      <w:r>
        <w:rPr>
          <w:rFonts w:ascii="Arial" w:cs="Arial" w:eastAsia="Arial" w:hAnsi="Arial"/>
          <w:sz w:val="18"/>
          <w:szCs w:val="18"/>
          <w:b w:val="1"/>
          <w:bCs w:val="1"/>
          <w:color w:val="auto"/>
        </w:rPr>
        <w:t xml:space="preserve">Tenable.ep </w:t>
      </w:r>
      <w:r>
        <w:rPr>
          <w:rFonts w:ascii="Arial" w:cs="Arial" w:eastAsia="Arial" w:hAnsi="Arial"/>
          <w:sz w:val="18"/>
          <w:szCs w:val="18"/>
          <w:color w:val="auto"/>
        </w:rPr>
        <w:t>is our unified platform that helps organizations identify, assess and accurately prioritize cyber risks across the entire attack</w:t>
      </w:r>
      <w:r>
        <w:rPr>
          <w:rFonts w:ascii="Arial" w:cs="Arial" w:eastAsia="Arial" w:hAnsi="Arial"/>
          <w:sz w:val="18"/>
          <w:szCs w:val="18"/>
          <w:b w:val="1"/>
          <w:bCs w:val="1"/>
          <w:color w:val="auto"/>
        </w:rPr>
        <w:t xml:space="preserve"> </w:t>
      </w:r>
      <w:r>
        <w:rPr>
          <w:rFonts w:ascii="Arial" w:cs="Arial" w:eastAsia="Arial" w:hAnsi="Arial"/>
          <w:sz w:val="18"/>
          <w:szCs w:val="18"/>
          <w:color w:val="auto"/>
        </w:rPr>
        <w:t>surface. In addition to streamlining risk-based vulnerability management, Tenable.ep delivers deep business insights that empower organizations to calculate, communicate and compare their cyber risk exposure over time with that of their industry peers. These advanced capabilities enable a better understanding of the overall effectiveness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760"/>
        <w:spacing w:after="0" w:line="251" w:lineRule="auto"/>
        <w:rPr>
          <w:sz w:val="20"/>
          <w:szCs w:val="20"/>
          <w:color w:val="auto"/>
        </w:rPr>
      </w:pPr>
      <w:r>
        <w:rPr>
          <w:rFonts w:ascii="Arial" w:cs="Arial" w:eastAsia="Arial" w:hAnsi="Arial"/>
          <w:sz w:val="18"/>
          <w:szCs w:val="18"/>
          <w:color w:val="auto"/>
        </w:rPr>
        <w:t>security programs and provide a key guide for strategic decision-making. Tenable.ep includes Tenable.io, Tenable.cs, Tenable.io WAS, Tenable.ad, and Tenable Lumin risk analytics.</w:t>
      </w:r>
    </w:p>
    <w:p>
      <w:pPr>
        <w:spacing w:after="0" w:line="181" w:lineRule="exact"/>
        <w:rPr>
          <w:sz w:val="20"/>
          <w:szCs w:val="20"/>
          <w:color w:val="auto"/>
        </w:rPr>
      </w:pPr>
    </w:p>
    <w:p>
      <w:pPr>
        <w:ind w:right="40" w:firstLine="318"/>
        <w:spacing w:after="0" w:line="253" w:lineRule="auto"/>
        <w:rPr>
          <w:sz w:val="20"/>
          <w:szCs w:val="20"/>
          <w:color w:val="auto"/>
        </w:rPr>
      </w:pPr>
      <w:r>
        <w:rPr>
          <w:rFonts w:ascii="Arial" w:cs="Arial" w:eastAsia="Arial" w:hAnsi="Arial"/>
          <w:sz w:val="18"/>
          <w:szCs w:val="18"/>
          <w:b w:val="1"/>
          <w:bCs w:val="1"/>
          <w:color w:val="auto"/>
        </w:rPr>
        <w:t xml:space="preserve">Tenable.io </w:t>
      </w:r>
      <w:r>
        <w:rPr>
          <w:rFonts w:ascii="Arial" w:cs="Arial" w:eastAsia="Arial" w:hAnsi="Arial"/>
          <w:sz w:val="18"/>
          <w:szCs w:val="18"/>
          <w:color w:val="auto"/>
        </w:rPr>
        <w:t>is our cloud-delivered software as a service, or SaaS, offering that provides organizations with a risk-based view of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and modern attack surfaces. Tenable.io is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 Tenable.io is available as a standalone solution or as part of Tenable.ep.</w:t>
      </w:r>
    </w:p>
    <w:p>
      <w:pPr>
        <w:spacing w:after="0" w:line="181"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b w:val="1"/>
          <w:bCs w:val="1"/>
          <w:color w:val="auto"/>
        </w:rPr>
        <w:t xml:space="preserve">Tenable.cs </w:t>
      </w:r>
      <w:r>
        <w:rPr>
          <w:rFonts w:ascii="Arial" w:cs="Arial" w:eastAsia="Arial" w:hAnsi="Arial"/>
          <w:sz w:val="18"/>
          <w:szCs w:val="18"/>
          <w:color w:val="auto"/>
        </w:rPr>
        <w:t>is our cloud-native application platform that enables organizations to programmatically detect and fix cloud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misconfigurations in the design, build and runtime phases of the Software Development Lifecycle to prevent unresolved insecure configuration or exploitable vulnerabilities from reaching production. Tenable.cs secures IaC before deployment, maintains a secure posture in runtime, and controls policy deviations over time by synchronizing configuration between runtime and IaC. Tenable.cs also includes Frictionless or Nessus Assessment for cloud workloads as well as Container Security to assess cloud hosts and container images for vulnerabilities without the need to manage scan schedules, credentials or agents. Tenable.cs is available as a standalone solution, as part of Tenable.io or as part of Tenable.ep.</w:t>
      </w:r>
    </w:p>
    <w:p>
      <w:pPr>
        <w:spacing w:after="0" w:line="181" w:lineRule="exact"/>
        <w:rPr>
          <w:sz w:val="20"/>
          <w:szCs w:val="20"/>
          <w:color w:val="auto"/>
        </w:rPr>
      </w:pPr>
    </w:p>
    <w:p>
      <w:pPr>
        <w:ind w:right="300" w:firstLine="318"/>
        <w:spacing w:after="0" w:line="261" w:lineRule="auto"/>
        <w:rPr>
          <w:sz w:val="20"/>
          <w:szCs w:val="20"/>
          <w:color w:val="auto"/>
        </w:rPr>
      </w:pPr>
      <w:r>
        <w:rPr>
          <w:rFonts w:ascii="Arial" w:cs="Arial" w:eastAsia="Arial" w:hAnsi="Arial"/>
          <w:sz w:val="18"/>
          <w:szCs w:val="18"/>
          <w:b w:val="1"/>
          <w:bCs w:val="1"/>
          <w:color w:val="auto"/>
        </w:rPr>
        <w:t xml:space="preserve">Tenable.io WAS </w:t>
      </w:r>
      <w:r>
        <w:rPr>
          <w:rFonts w:ascii="Arial" w:cs="Arial" w:eastAsia="Arial" w:hAnsi="Arial"/>
          <w:sz w:val="18"/>
          <w:szCs w:val="18"/>
          <w:color w:val="auto"/>
        </w:rPr>
        <w:t>provides easy-to-use, comprehensive and automated vulnerability scanning for modern web applications, and allows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to quickly configure and manage web app scans, enabling them to identify vulnerabilities and prioritize remediation. Tenable.io WAS is available as part of Tenable.io or Tenable.ep.</w:t>
      </w:r>
    </w:p>
    <w:p>
      <w:pPr>
        <w:spacing w:after="0" w:line="173" w:lineRule="exact"/>
        <w:rPr>
          <w:sz w:val="20"/>
          <w:szCs w:val="20"/>
          <w:color w:val="auto"/>
        </w:rPr>
      </w:pPr>
    </w:p>
    <w:p>
      <w:pPr>
        <w:jc w:val="both"/>
        <w:ind w:right="260" w:firstLine="318"/>
        <w:spacing w:after="0" w:line="261" w:lineRule="auto"/>
        <w:rPr>
          <w:sz w:val="20"/>
          <w:szCs w:val="20"/>
          <w:color w:val="auto"/>
        </w:rPr>
      </w:pPr>
      <w:r>
        <w:rPr>
          <w:rFonts w:ascii="Arial" w:cs="Arial" w:eastAsia="Arial" w:hAnsi="Arial"/>
          <w:sz w:val="18"/>
          <w:szCs w:val="18"/>
          <w:b w:val="1"/>
          <w:bCs w:val="1"/>
          <w:color w:val="auto"/>
        </w:rPr>
        <w:t xml:space="preserve">Tenable.ad </w:t>
      </w:r>
      <w:r>
        <w:rPr>
          <w:rFonts w:ascii="Arial" w:cs="Arial" w:eastAsia="Arial" w:hAnsi="Arial"/>
          <w:sz w:val="18"/>
          <w:szCs w:val="18"/>
          <w:color w:val="auto"/>
        </w:rPr>
        <w:t>is our solution to secure Active Directory environments by enabling users to find and fix existing weaknesses before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exploited and detect and respond to ongoing attacks in real time without the need to deploy agents or use privileged accounts. Tenable.ad is sold as a stand-alone solution and integrates with Tenable.io and Tenable.sc.</w:t>
      </w:r>
    </w:p>
    <w:p>
      <w:pPr>
        <w:spacing w:after="0" w:line="173" w:lineRule="exact"/>
        <w:rPr>
          <w:sz w:val="20"/>
          <w:szCs w:val="20"/>
          <w:color w:val="auto"/>
        </w:rPr>
      </w:pPr>
    </w:p>
    <w:p>
      <w:pPr>
        <w:ind w:right="140" w:firstLine="318"/>
        <w:spacing w:after="0" w:line="261" w:lineRule="auto"/>
        <w:rPr>
          <w:sz w:val="20"/>
          <w:szCs w:val="20"/>
          <w:color w:val="auto"/>
        </w:rPr>
      </w:pPr>
      <w:r>
        <w:rPr>
          <w:rFonts w:ascii="Arial" w:cs="Arial" w:eastAsia="Arial" w:hAnsi="Arial"/>
          <w:sz w:val="18"/>
          <w:szCs w:val="18"/>
          <w:b w:val="1"/>
          <w:bCs w:val="1"/>
          <w:color w:val="auto"/>
        </w:rPr>
        <w:t xml:space="preserve">Tenable.ot </w:t>
      </w:r>
      <w:r>
        <w:rPr>
          <w:rFonts w:ascii="Arial" w:cs="Arial" w:eastAsia="Arial" w:hAnsi="Arial"/>
          <w:sz w:val="18"/>
          <w:szCs w:val="18"/>
          <w:color w:val="auto"/>
        </w:rPr>
        <w:t>is our solution that provides threat detection, asset tracking, vulnerability management, and configuration control capabilities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protect OT environments, including industrial networks. Tenable.ot is sold as a stand-alone solution and integrates with Tenable.io and Tenable.sc.</w:t>
      </w:r>
    </w:p>
    <w:p>
      <w:pPr>
        <w:spacing w:after="0" w:line="173" w:lineRule="exact"/>
        <w:rPr>
          <w:sz w:val="20"/>
          <w:szCs w:val="20"/>
          <w:color w:val="auto"/>
        </w:rPr>
      </w:pPr>
    </w:p>
    <w:p>
      <w:pPr>
        <w:ind w:right="220" w:firstLine="318"/>
        <w:spacing w:after="0" w:line="261" w:lineRule="auto"/>
        <w:rPr>
          <w:sz w:val="20"/>
          <w:szCs w:val="20"/>
          <w:color w:val="auto"/>
        </w:rPr>
      </w:pPr>
      <w:r>
        <w:rPr>
          <w:rFonts w:ascii="Arial" w:cs="Arial" w:eastAsia="Arial" w:hAnsi="Arial"/>
          <w:sz w:val="18"/>
          <w:szCs w:val="18"/>
          <w:b w:val="1"/>
          <w:bCs w:val="1"/>
          <w:color w:val="auto"/>
        </w:rPr>
        <w:t xml:space="preserve">Tenable.sc </w:t>
      </w:r>
      <w:r>
        <w:rPr>
          <w:rFonts w:ascii="Arial" w:cs="Arial" w:eastAsia="Arial" w:hAnsi="Arial"/>
          <w:sz w:val="18"/>
          <w:szCs w:val="18"/>
          <w:color w:val="auto"/>
        </w:rPr>
        <w:t>is our on-premise offering that provides a risk-based view of an organization’s IT, security and compliance posture so</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can quickly identify, investigate and prioritize their assets and vulnerabilities based on risk assessment and predictive analytics, and provide insightful remediation guidance.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enterprise platform offerings deliver the following capabilities:</w:t>
      </w:r>
    </w:p>
    <w:p>
      <w:pPr>
        <w:spacing w:after="0" w:line="93" w:lineRule="exact"/>
        <w:rPr>
          <w:sz w:val="20"/>
          <w:szCs w:val="20"/>
          <w:color w:val="auto"/>
        </w:rPr>
      </w:pPr>
    </w:p>
    <w:p>
      <w:pPr>
        <w:ind w:left="640" w:right="180" w:hanging="316"/>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Live asset discovery. </w:t>
      </w:r>
      <w:r>
        <w:rPr>
          <w:rFonts w:ascii="Arial" w:cs="Arial" w:eastAsia="Arial" w:hAnsi="Arial"/>
          <w:sz w:val="18"/>
          <w:szCs w:val="18"/>
          <w:color w:val="auto"/>
        </w:rPr>
        <w:t>We can automatically discover a broad range of traditional and modern IT assets, including on-premises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web applications, cloud environments, mobile devices, containers, IoT devices and OT systems. We use a combination of active scanning, passive network monitoring and public cloud monitoring via our connectors to identify known and unknown assets on the network.</w:t>
      </w:r>
    </w:p>
    <w:p>
      <w:pPr>
        <w:spacing w:after="0" w:line="24" w:lineRule="exact"/>
        <w:rPr>
          <w:rFonts w:ascii="Arial" w:cs="Arial" w:eastAsia="Arial" w:hAnsi="Arial"/>
          <w:sz w:val="18"/>
          <w:szCs w:val="18"/>
          <w:color w:val="auto"/>
        </w:rPr>
      </w:pPr>
    </w:p>
    <w:p>
      <w:pPr>
        <w:ind w:left="640" w:hanging="316"/>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Automated exposure assessment. </w:t>
      </w:r>
      <w:r>
        <w:rPr>
          <w:rFonts w:ascii="Arial" w:cs="Arial" w:eastAsia="Arial" w:hAnsi="Arial"/>
          <w:sz w:val="18"/>
          <w:szCs w:val="18"/>
          <w:color w:val="auto"/>
        </w:rPr>
        <w:t>With every change in a customer’s computing environment, we can automatically assess and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where there are vulnerabilities, internal and regulatory compliance violations and misconfigurations across assets and cloud environments, such as missing software patches or outdated software versions. In addition, we can help optimize existing security technology investments to identify indicators of cyber exposure, such as improperly configured anti-virus software.</w:t>
      </w:r>
    </w:p>
    <w:p>
      <w:pPr>
        <w:spacing w:after="0" w:line="24" w:lineRule="exact"/>
        <w:rPr>
          <w:rFonts w:ascii="Arial" w:cs="Arial" w:eastAsia="Arial" w:hAnsi="Arial"/>
          <w:sz w:val="18"/>
          <w:szCs w:val="18"/>
          <w:color w:val="auto"/>
        </w:rPr>
      </w:pPr>
    </w:p>
    <w:p>
      <w:pPr>
        <w:ind w:left="640" w:right="60" w:hanging="316"/>
        <w:spacing w:after="0" w:line="25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Deep analytics to allow for prioritization. </w:t>
      </w:r>
      <w:r>
        <w:rPr>
          <w:rFonts w:ascii="Arial" w:cs="Arial" w:eastAsia="Arial" w:hAnsi="Arial"/>
          <w:sz w:val="18"/>
          <w:szCs w:val="18"/>
          <w:color w:val="auto"/>
        </w:rPr>
        <w:t>We combine our product, vulnerability data and threat intelligence with third-party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business context and enable organizations to prioritize remediation efforts based on the business criticality of the asset and the likelihood of exploit. Predictive Prioritization enables organizations to reduce business risk by focusing on the vulnerabilities with the greatest likelihood of imminently being exploited. It combines Tenable vulnerability data with third-party threat and vulnerability data across more than 150 data sources using a proprietary machine learning algorithm developed by Tenable Research and data science teams to provide clear guidance on where to focus remediation efforts. Predictive Prioritization provides a threat-based view of vulnerabilities, which is a critical component of modern risk-based vulnerability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right="80" w:hanging="316"/>
        <w:spacing w:after="0" w:line="259" w:lineRule="auto"/>
        <w:tabs>
          <w:tab w:leader="none" w:pos="6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Open and extensible platform</w:t>
      </w:r>
      <w:r>
        <w:rPr>
          <w:rFonts w:ascii="Arial" w:cs="Arial" w:eastAsia="Arial" w:hAnsi="Arial"/>
          <w:sz w:val="18"/>
          <w:szCs w:val="18"/>
          <w:color w:val="auto"/>
        </w:rPr>
        <w:t>. Our enterprise platform integrates with industry-leading IT workflow, security information and event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or SIEM, and systems management tools to accelerate remediation and provide common visibility across security and IT operations teams.</w:t>
      </w:r>
    </w:p>
    <w:p>
      <w:pPr>
        <w:spacing w:after="0" w:line="18" w:lineRule="exact"/>
        <w:rPr>
          <w:rFonts w:ascii="Arial" w:cs="Arial" w:eastAsia="Arial" w:hAnsi="Arial"/>
          <w:sz w:val="18"/>
          <w:szCs w:val="18"/>
          <w:i w:val="1"/>
          <w:iCs w:val="1"/>
          <w:color w:val="auto"/>
        </w:rPr>
      </w:pPr>
    </w:p>
    <w:p>
      <w:pPr>
        <w:ind w:left="640" w:right="20" w:hanging="316"/>
        <w:spacing w:after="0" w:line="24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Cyber exposure measurement. </w:t>
      </w:r>
      <w:r>
        <w:rPr>
          <w:rFonts w:ascii="Arial" w:cs="Arial" w:eastAsia="Arial" w:hAnsi="Arial"/>
          <w:sz w:val="18"/>
          <w:szCs w:val="18"/>
          <w:color w:val="auto"/>
        </w:rPr>
        <w:t>Tenable Lumin leverages our expansive knowledge base of assets and vulnerabilities coupled with data</w:t>
      </w:r>
      <w:r>
        <w:rPr>
          <w:rFonts w:ascii="Arial" w:cs="Arial" w:eastAsia="Arial" w:hAnsi="Arial"/>
          <w:sz w:val="18"/>
          <w:szCs w:val="18"/>
          <w:i w:val="1"/>
          <w:iCs w:val="1"/>
          <w:color w:val="auto"/>
        </w:rPr>
        <w:t xml:space="preserve"> </w:t>
      </w:r>
      <w:r>
        <w:rPr>
          <w:rFonts w:ascii="Arial" w:cs="Arial" w:eastAsia="Arial" w:hAnsi="Arial"/>
          <w:sz w:val="18"/>
          <w:szCs w:val="18"/>
          <w:color w:val="auto"/>
        </w:rPr>
        <w:t>science insights to help our customers objectively score, trend and benchmark cyber exposure across their organizations, including by business unit or geography, for comparison and best practices. We believe this capability is critical to help security executives effectively translate technical information and communicate cybersecurity risk to a non-technical audience, including the C-suite and the board of directors, to make better strategic decisions on where to focus investment to maximize cybersecurity risk reduction. As we continue to expand our database with more vulnerability and asset intelligence as well as additional third-party data sources, we anticipate that we will be able to leverage these insights in Lumin to measure an organization’s cyber exposure beyond vulnerabilities to overall cybersecurity program effectiveness.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Nessus</w:t>
      </w:r>
    </w:p>
    <w:p>
      <w:pPr>
        <w:spacing w:after="0" w:line="23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Nessus is one of the most widely deployed vulnerability assessment solutions in the cybersecurity industry and underpins our enterprise platform. Since the introduction of Nessus in 1998, an extensive community of Nessus users has emerged. We continue to cultivate knowledge and affinity within this user base, which, when combined with our enterprise customers and our Tenable Research team of cybersecurity and data science experts, creates powerful network effects in the form of a 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189" w:lineRule="exact"/>
        <w:rPr>
          <w:sz w:val="20"/>
          <w:szCs w:val="20"/>
          <w:color w:val="auto"/>
        </w:rPr>
      </w:pPr>
    </w:p>
    <w:p>
      <w:pPr>
        <w:ind w:right="560" w:firstLine="318"/>
        <w:spacing w:after="0" w:line="273" w:lineRule="auto"/>
        <w:rPr>
          <w:sz w:val="20"/>
          <w:szCs w:val="20"/>
          <w:color w:val="auto"/>
        </w:rPr>
      </w:pPr>
      <w:r>
        <w:rPr>
          <w:rFonts w:ascii="Arial" w:cs="Arial" w:eastAsia="Arial" w:hAnsi="Arial"/>
          <w:sz w:val="17"/>
          <w:szCs w:val="17"/>
          <w:b w:val="1"/>
          <w:bCs w:val="1"/>
          <w:color w:val="auto"/>
        </w:rPr>
        <w:t xml:space="preserve">Nessus Professional </w:t>
      </w:r>
      <w:r>
        <w:rPr>
          <w:rFonts w:ascii="Arial" w:cs="Arial" w:eastAsia="Arial" w:hAnsi="Arial"/>
          <w:sz w:val="17"/>
          <w:szCs w:val="17"/>
          <w:color w:val="auto"/>
        </w:rPr>
        <w:t>is a vulnerability assessment solution for identifying security vulnerabilities, configuration issues and malware.</w:t>
      </w:r>
      <w:r>
        <w:rPr>
          <w:rFonts w:ascii="Arial" w:cs="Arial" w:eastAsia="Arial" w:hAnsi="Arial"/>
          <w:sz w:val="17"/>
          <w:szCs w:val="17"/>
          <w:b w:val="1"/>
          <w:bCs w:val="1"/>
          <w:color w:val="auto"/>
        </w:rPr>
        <w:t xml:space="preserve"> </w:t>
      </w:r>
      <w:r>
        <w:rPr>
          <w:rFonts w:ascii="Arial" w:cs="Arial" w:eastAsia="Arial" w:hAnsi="Arial"/>
          <w:sz w:val="17"/>
          <w:szCs w:val="17"/>
          <w:color w:val="auto"/>
        </w:rPr>
        <w:t>Nessus Professional serves as both a stand-alone product designed for security consultants and practitioners performing one-time or ad-</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hoc assessment as well as an on-ramp product to our enterprise platform. With broad vulnerability coverage, accurate analysis and an easy-to-use interface, Nessus Professional offers a cost-effective and comprehensive solution for security consultants and users with ad-hoc assessment needs.</w:t>
      </w:r>
    </w:p>
    <w:p>
      <w:pPr>
        <w:spacing w:after="0" w:line="184" w:lineRule="exact"/>
        <w:rPr>
          <w:sz w:val="20"/>
          <w:szCs w:val="20"/>
          <w:color w:val="auto"/>
        </w:rPr>
      </w:pPr>
    </w:p>
    <w:p>
      <w:pPr>
        <w:ind w:right="200" w:firstLine="318"/>
        <w:spacing w:after="0" w:line="276" w:lineRule="auto"/>
        <w:rPr>
          <w:sz w:val="20"/>
          <w:szCs w:val="20"/>
          <w:color w:val="auto"/>
        </w:rPr>
      </w:pPr>
      <w:r>
        <w:rPr>
          <w:rFonts w:ascii="Arial" w:cs="Arial" w:eastAsia="Arial" w:hAnsi="Arial"/>
          <w:sz w:val="18"/>
          <w:szCs w:val="18"/>
          <w:b w:val="1"/>
          <w:bCs w:val="1"/>
          <w:color w:val="auto"/>
        </w:rPr>
        <w:t xml:space="preserve">Nessus Essentials </w:t>
      </w:r>
      <w:r>
        <w:rPr>
          <w:rFonts w:ascii="Arial" w:cs="Arial" w:eastAsia="Arial" w:hAnsi="Arial"/>
          <w:sz w:val="18"/>
          <w:szCs w:val="18"/>
          <w:color w:val="auto"/>
        </w:rPr>
        <w:t>is our free version of our Nessus product, which includes vulnerability assessment for a limited number of assets, but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include access to support and certain features that Nessus Professional customers enjoy.</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Technology Architecture</w:t>
      </w:r>
    </w:p>
    <w:p>
      <w:pPr>
        <w:spacing w:after="0" w:line="23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Our platform is built from the ground up to support the needs of modern IT assets and environments. Our platform’s scalability can meet the requirements of the largest global enterprise customers, which may require assessment for millions of assets.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Foundational elements of our technology architecture include:</w:t>
      </w:r>
    </w:p>
    <w:p>
      <w:pPr>
        <w:spacing w:after="0" w:line="89" w:lineRule="exact"/>
        <w:rPr>
          <w:sz w:val="20"/>
          <w:szCs w:val="20"/>
          <w:color w:val="auto"/>
        </w:rPr>
      </w:pPr>
    </w:p>
    <w:p>
      <w:pPr>
        <w:ind w:left="640" w:right="220" w:hanging="316"/>
        <w:spacing w:after="0" w:line="28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Public cloud infrastructure for agility. </w:t>
      </w:r>
      <w:r>
        <w:rPr>
          <w:rFonts w:ascii="Arial" w:cs="Arial" w:eastAsia="Arial" w:hAnsi="Arial"/>
          <w:sz w:val="17"/>
          <w:szCs w:val="17"/>
          <w:color w:val="auto"/>
        </w:rPr>
        <w:t>Our use of the public cloud delivers agility and market responsiveness without the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or time delay involved with planning, purchasing and deploying hardware. It also provides a flexible cost profile in which capacity can be quickly adjusted up or down in response to new opportunities and market demand, with relatively modest fixed costs.</w:t>
      </w:r>
    </w:p>
    <w:p>
      <w:pPr>
        <w:spacing w:after="0" w:line="50" w:lineRule="exact"/>
        <w:rPr>
          <w:rFonts w:ascii="Arial" w:cs="Arial" w:eastAsia="Arial" w:hAnsi="Arial"/>
          <w:sz w:val="17"/>
          <w:szCs w:val="17"/>
          <w:color w:val="auto"/>
        </w:rPr>
      </w:pPr>
    </w:p>
    <w:p>
      <w:pPr>
        <w:ind w:left="640" w:hanging="316"/>
        <w:spacing w:after="0" w:line="25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w:t>
      </w:r>
      <w:r>
        <w:rPr>
          <w:rFonts w:ascii="Arial" w:cs="Arial" w:eastAsia="Arial" w:hAnsi="Arial"/>
          <w:sz w:val="18"/>
          <w:szCs w:val="18"/>
          <w:color w:val="auto"/>
        </w:rPr>
        <w:t>Our platform scales up and down to continuously meet customer demands, through the use of public cloud infrastructure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around the world. This approach provides elastic resources for compute, data transfer and storage, and allows us to meet the needs of even the largest global enterprises and government agencies. Our platform manages and supports millions of assets for multiple enterprise customers across a variety of industries, with the ability to process millions of application programming interface, or API, calls daily. The platform can scale to support IoT deployments that are an order of magnitude larger than IT deployments.</w:t>
      </w:r>
    </w:p>
    <w:p>
      <w:pPr>
        <w:spacing w:after="0" w:line="75" w:lineRule="exact"/>
        <w:rPr>
          <w:rFonts w:ascii="Arial" w:cs="Arial" w:eastAsia="Arial" w:hAnsi="Arial"/>
          <w:sz w:val="18"/>
          <w:szCs w:val="18"/>
          <w:color w:val="auto"/>
        </w:rPr>
      </w:pPr>
    </w:p>
    <w:p>
      <w:pPr>
        <w:ind w:left="640" w:right="120" w:hanging="316"/>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w:t>
      </w:r>
      <w:r>
        <w:rPr>
          <w:rFonts w:ascii="Arial" w:cs="Arial" w:eastAsia="Arial" w:hAnsi="Arial"/>
          <w:sz w:val="18"/>
          <w:szCs w:val="18"/>
          <w:color w:val="auto"/>
        </w:rPr>
        <w:t>Our modern architecture, leveraging state-of-the-art public cloud services, offers high availability and high performance.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geographic redundancy, as well as automated backup, without the need for us to build redundant infrastructure. As a result, we offer a service level agreement for Tenable.io that promises 99.95% availability to help ensure the reliability of operation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40" w:right="20" w:hanging="316"/>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Extensibility and integration. </w:t>
      </w:r>
      <w:r>
        <w:rPr>
          <w:rFonts w:ascii="Arial" w:cs="Arial" w:eastAsia="Arial" w:hAnsi="Arial"/>
          <w:sz w:val="18"/>
          <w:szCs w:val="18"/>
          <w:color w:val="auto"/>
        </w:rPr>
        <w:t>Our open API and software development kit, or SDK, enables import of data from third-party 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sensors, including competitor products, to augment our native discovery, assessment and analytics. This is essential to providing a unified view of assets, vulnerabilities and exposure across the enterprise. These capabilities also enable flexible export of our data to third party systems.</w:t>
      </w:r>
    </w:p>
    <w:p>
      <w:pPr>
        <w:spacing w:after="0" w:line="70" w:lineRule="exact"/>
        <w:rPr>
          <w:rFonts w:ascii="Arial" w:cs="Arial" w:eastAsia="Arial" w:hAnsi="Arial"/>
          <w:sz w:val="18"/>
          <w:szCs w:val="18"/>
          <w:color w:val="auto"/>
        </w:rPr>
      </w:pPr>
    </w:p>
    <w:p>
      <w:pPr>
        <w:ind w:left="640" w:right="40" w:hanging="316"/>
        <w:spacing w:after="0" w:line="307"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Unified Platform. </w:t>
      </w:r>
      <w:r>
        <w:rPr>
          <w:rFonts w:ascii="Arial" w:cs="Arial" w:eastAsia="Arial" w:hAnsi="Arial"/>
          <w:sz w:val="17"/>
          <w:szCs w:val="17"/>
          <w:color w:val="auto"/>
        </w:rPr>
        <w:t>Our products are built on a unified platform with a unified data model that enables us to share data,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vulnerabilities across our applications so our customers can run workflows and have a consistent user experience across our products.</w:t>
      </w:r>
    </w:p>
    <w:p>
      <w:pPr>
        <w:spacing w:after="0" w:line="29" w:lineRule="exact"/>
        <w:rPr>
          <w:rFonts w:ascii="Arial" w:cs="Arial" w:eastAsia="Arial" w:hAnsi="Arial"/>
          <w:sz w:val="17"/>
          <w:szCs w:val="17"/>
          <w:color w:val="auto"/>
        </w:rPr>
      </w:pPr>
    </w:p>
    <w:p>
      <w:pPr>
        <w:ind w:left="640" w:right="340" w:hanging="316"/>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Widely adopted industry standard file format. </w:t>
      </w:r>
      <w:r>
        <w:rPr>
          <w:rFonts w:ascii="Arial" w:cs="Arial" w:eastAsia="Arial" w:hAnsi="Arial"/>
          <w:sz w:val="18"/>
          <w:szCs w:val="18"/>
          <w:color w:val="auto"/>
        </w:rPr>
        <w:t>The “.Nessus” file format for vulnerability data used in all of our products is openly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documented and supported by dozens of products and programming languages, which simplifies integration with our ecosystem partners’ technologies.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Technology Ecosystem</w:t>
      </w:r>
    </w:p>
    <w:p>
      <w:pPr>
        <w:spacing w:after="0" w:line="239"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We have partnered and/or integrated with market leading technology companies to pioneer the industry’s first Cyber Exposure ecosystem to help organizations build resilient cybersecurity programs. Our ecosystem consists of a variety of third-party data import sources into our platform offerings, as well as export of our data out to third-party IT systems. Our technology ecosystem connects disparate solutions and data to automate processes and accelerate an organization’s ability to understand, manage and reduce its cyber exposure.</w:t>
      </w:r>
    </w:p>
    <w:p>
      <w:pPr>
        <w:spacing w:after="0" w:line="193" w:lineRule="exact"/>
        <w:rPr>
          <w:sz w:val="20"/>
          <w:szCs w:val="20"/>
          <w:color w:val="auto"/>
        </w:rPr>
      </w:pPr>
    </w:p>
    <w:p>
      <w:pPr>
        <w:ind w:right="340" w:firstLine="318"/>
        <w:spacing w:after="0" w:line="248" w:lineRule="auto"/>
        <w:rPr>
          <w:sz w:val="20"/>
          <w:szCs w:val="20"/>
          <w:color w:val="auto"/>
        </w:rPr>
      </w:pPr>
      <w:r>
        <w:rPr>
          <w:rFonts w:ascii="Arial" w:cs="Arial" w:eastAsia="Arial" w:hAnsi="Arial"/>
          <w:sz w:val="18"/>
          <w:szCs w:val="18"/>
          <w:color w:val="auto"/>
        </w:rPr>
        <w:t>We integrate a variety of third-party data sources, including ticketing, configuration management databases, or CMDBs, and systems management, into our platform to augment our native data collection and help with analysis and remediation prioritization. Furthermore, our data is also exported out to enrich third-party IT management and security systems.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239"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Our objectives are to maintain our market leadership in Cyber Exposure and to capture our large market opportunity. To accomplish these objectives, we intend to:</w:t>
      </w:r>
    </w:p>
    <w:p>
      <w:pPr>
        <w:spacing w:after="0" w:line="75" w:lineRule="exact"/>
        <w:rPr>
          <w:sz w:val="20"/>
          <w:szCs w:val="20"/>
          <w:color w:val="auto"/>
        </w:rPr>
      </w:pPr>
    </w:p>
    <w:p>
      <w:pPr>
        <w:ind w:left="640" w:right="100" w:hanging="316"/>
        <w:spacing w:after="0" w:line="25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platform offerings. We have experienced growth in new enterprise platform customers due to improved product capabilities and investments in sales and marketing. We intend to continue to aggressively pursue new domestic and international customers by adding sales capacity and leveraging our network of channel partnerships around the world.</w:t>
      </w:r>
    </w:p>
    <w:p>
      <w:pPr>
        <w:spacing w:after="0" w:line="70" w:lineRule="exact"/>
        <w:rPr>
          <w:rFonts w:ascii="Arial" w:cs="Arial" w:eastAsia="Arial" w:hAnsi="Arial"/>
          <w:sz w:val="18"/>
          <w:szCs w:val="18"/>
          <w:color w:val="auto"/>
        </w:rPr>
      </w:pPr>
    </w:p>
    <w:p>
      <w:pPr>
        <w:ind w:left="640" w:right="140" w:hanging="316"/>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Expand Asset Coverage Within Our Customer Base</w:t>
      </w:r>
      <w:r>
        <w:rPr>
          <w:rFonts w:ascii="Arial" w:cs="Arial" w:eastAsia="Arial" w:hAnsi="Arial"/>
          <w:sz w:val="18"/>
          <w:szCs w:val="18"/>
          <w:color w:val="auto"/>
        </w:rPr>
        <w:t>. We believe we have a significant opportunity to expand our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existing customers by targeting additional teams, business units or geographies, pursuing broad enterprise deployments and generally expanding our coverage of their IT assets and cross-selling new applications and solutions.</w:t>
      </w:r>
    </w:p>
    <w:p>
      <w:pPr>
        <w:spacing w:after="0" w:line="66" w:lineRule="exact"/>
        <w:rPr>
          <w:rFonts w:ascii="Arial" w:cs="Arial" w:eastAsia="Arial" w:hAnsi="Arial"/>
          <w:sz w:val="18"/>
          <w:szCs w:val="18"/>
          <w:color w:val="auto"/>
        </w:rPr>
      </w:pPr>
    </w:p>
    <w:p>
      <w:pPr>
        <w:ind w:left="640" w:hanging="316"/>
        <w:spacing w:after="0" w:line="25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w:t>
      </w:r>
      <w:r>
        <w:rPr>
          <w:rFonts w:ascii="Arial" w:cs="Arial" w:eastAsia="Arial" w:hAnsi="Arial"/>
          <w:sz w:val="18"/>
          <w:szCs w:val="18"/>
          <w:color w:val="auto"/>
        </w:rPr>
        <w:t>. We intend to continue to innovate, develop and broaden our exposure and traditional vulnerability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solutions, including expanding the coverage of emerging attack surfaces and asset types and the addition of analytical capabilities, to help our customers measure and manage their cyber exposure. As we collect more data and ingest more data from third-party sources, we believe our data set will become even more valuable over time, which will allow us to continue to develop new analytical products and capabilities to our existing product suite over time.</w:t>
      </w:r>
    </w:p>
    <w:p>
      <w:pPr>
        <w:spacing w:after="0" w:line="75" w:lineRule="exact"/>
        <w:rPr>
          <w:rFonts w:ascii="Arial" w:cs="Arial" w:eastAsia="Arial" w:hAnsi="Arial"/>
          <w:sz w:val="18"/>
          <w:szCs w:val="18"/>
          <w:color w:val="auto"/>
        </w:rPr>
      </w:pPr>
    </w:p>
    <w:p>
      <w:pPr>
        <w:ind w:left="640" w:right="580" w:hanging="316"/>
        <w:spacing w:after="0" w:line="27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Explore Acquisition Opportunities</w:t>
      </w:r>
      <w:r>
        <w:rPr>
          <w:rFonts w:ascii="Arial" w:cs="Arial" w:eastAsia="Arial" w:hAnsi="Arial"/>
          <w:sz w:val="18"/>
          <w:szCs w:val="18"/>
          <w:color w:val="auto"/>
        </w:rPr>
        <w:t>. We intend to acquire other businesses, technology and/or development personnel that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and enhance the functionality of our platform offerings.</w:t>
      </w:r>
    </w:p>
    <w:p>
      <w:pPr>
        <w:spacing w:after="0" w:line="62" w:lineRule="exact"/>
        <w:rPr>
          <w:rFonts w:ascii="Arial" w:cs="Arial" w:eastAsia="Arial" w:hAnsi="Arial"/>
          <w:sz w:val="18"/>
          <w:szCs w:val="18"/>
          <w:color w:val="auto"/>
        </w:rPr>
      </w:pPr>
    </w:p>
    <w:p>
      <w:pPr>
        <w:ind w:left="1280" w:right="460" w:hanging="320"/>
        <w:spacing w:after="0" w:line="226" w:lineRule="auto"/>
        <w:tabs>
          <w:tab w:leader="none" w:pos="1276" w:val="left"/>
        </w:tabs>
        <w:numPr>
          <w:ilvl w:val="1"/>
          <w:numId w:val="9"/>
        </w:numPr>
        <w:rPr>
          <w:rFonts w:ascii="Arial" w:cs="Arial" w:eastAsia="Arial" w:hAnsi="Arial"/>
          <w:sz w:val="21"/>
          <w:szCs w:val="21"/>
          <w:color w:val="auto"/>
        </w:rPr>
      </w:pPr>
      <w:r>
        <w:rPr>
          <w:rFonts w:ascii="Arial" w:cs="Arial" w:eastAsia="Arial" w:hAnsi="Arial"/>
          <w:sz w:val="18"/>
          <w:szCs w:val="18"/>
          <w:color w:val="auto"/>
        </w:rPr>
        <w:t>In February 2022, we acquired Cymptom to expand our products' ability to identify, understand and disrupt attack paths in enterprise networks.</w:t>
      </w:r>
    </w:p>
    <w:p>
      <w:pPr>
        <w:spacing w:after="0" w:line="54" w:lineRule="exact"/>
        <w:rPr>
          <w:rFonts w:ascii="Arial" w:cs="Arial" w:eastAsia="Arial" w:hAnsi="Arial"/>
          <w:sz w:val="21"/>
          <w:szCs w:val="21"/>
          <w:color w:val="auto"/>
        </w:rPr>
      </w:pPr>
    </w:p>
    <w:p>
      <w:pPr>
        <w:ind w:left="1280" w:hanging="320"/>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October 2021, we acquired Accurics to expand our cloud strategy and ability to assess IaC.</w:t>
      </w:r>
    </w:p>
    <w:p>
      <w:pPr>
        <w:spacing w:after="0" w:line="58" w:lineRule="exact"/>
        <w:rPr>
          <w:rFonts w:ascii="Arial" w:cs="Arial" w:eastAsia="Arial" w:hAnsi="Arial"/>
          <w:sz w:val="18"/>
          <w:szCs w:val="18"/>
          <w:color w:val="auto"/>
        </w:rPr>
      </w:pPr>
    </w:p>
    <w:p>
      <w:pPr>
        <w:ind w:left="1280" w:hanging="320"/>
        <w:spacing w:after="0"/>
        <w:tabs>
          <w:tab w:leader="none" w:pos="12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April 2021, we acquired Alsid to expand our product offerings to include active directory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80" w:right="500" w:hanging="320"/>
        <w:spacing w:after="0" w:line="280" w:lineRule="auto"/>
        <w:tabs>
          <w:tab w:leader="none" w:pos="12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2019, we acquired Indegy Ltd., or Indegy, to expand our depth of OT expertise and intelligence and our breadth of OT-specific capabilities from vulnerability management to asset inventory, configuration management and threat detection.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Customers</w:t>
      </w:r>
    </w:p>
    <w:p>
      <w:pPr>
        <w:spacing w:after="0" w:line="239" w:lineRule="exact"/>
        <w:rPr>
          <w:sz w:val="20"/>
          <w:szCs w:val="20"/>
          <w:color w:val="auto"/>
        </w:rPr>
      </w:pPr>
    </w:p>
    <w:p>
      <w:pPr>
        <w:ind w:right="420" w:firstLine="318"/>
        <w:spacing w:after="0" w:line="270" w:lineRule="auto"/>
        <w:rPr>
          <w:sz w:val="20"/>
          <w:szCs w:val="20"/>
          <w:color w:val="auto"/>
        </w:rPr>
      </w:pPr>
      <w:r>
        <w:rPr>
          <w:rFonts w:ascii="Arial" w:cs="Arial" w:eastAsia="Arial" w:hAnsi="Arial"/>
          <w:sz w:val="17"/>
          <w:szCs w:val="17"/>
          <w:color w:val="auto"/>
        </w:rPr>
        <w:t>We sell and market our enterprise platform offerings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18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customers are located in over 170 countries and include enterprises of all sizes and span a wide range of industries, including manufacturing, energy and industrials; technology, media and telecommunications; banking, insurance and finance; government, education and non-profit; healthcare; and retail and consumer.</w:t>
      </w:r>
    </w:p>
    <w:p>
      <w:pPr>
        <w:spacing w:after="0" w:line="206"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As of December 31, 2021, we had approximately 40,000 customers. At December 31, 2021 our customers included approximately 60% of the Fortune 500 and approximately 40% of the Global 2000. In 2021, 2020 and 2019, no single customer represented more than 2% of our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239" w:lineRule="exact"/>
        <w:rPr>
          <w:sz w:val="20"/>
          <w:szCs w:val="20"/>
          <w:color w:val="auto"/>
        </w:rPr>
      </w:pPr>
    </w:p>
    <w:p>
      <w:pPr>
        <w:jc w:val="both"/>
        <w:ind w:right="160" w:firstLine="318"/>
        <w:spacing w:after="0" w:line="247" w:lineRule="auto"/>
        <w:rPr>
          <w:sz w:val="20"/>
          <w:szCs w:val="20"/>
          <w:color w:val="auto"/>
        </w:rPr>
      </w:pPr>
      <w:r>
        <w:rPr>
          <w:rFonts w:ascii="Arial" w:cs="Arial" w:eastAsia="Arial" w:hAnsi="Arial"/>
          <w:sz w:val="18"/>
          <w:szCs w:val="18"/>
          <w:color w:val="auto"/>
        </w:rPr>
        <w:t>Our sales strategy employs both a direct-touch approach through our sales forces and a low-touch approach through sales closed by our channel partners and transacted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208" w:lineRule="exact"/>
        <w:rPr>
          <w:sz w:val="20"/>
          <w:szCs w:val="20"/>
          <w:color w:val="auto"/>
        </w:rPr>
      </w:pPr>
    </w:p>
    <w:p>
      <w:pPr>
        <w:ind w:right="280" w:firstLine="318"/>
        <w:spacing w:after="0" w:line="280" w:lineRule="auto"/>
        <w:rPr>
          <w:sz w:val="20"/>
          <w:szCs w:val="20"/>
          <w:color w:val="auto"/>
        </w:rPr>
      </w:pPr>
      <w:r>
        <w:rPr>
          <w:rFonts w:ascii="Arial" w:cs="Arial" w:eastAsia="Arial" w:hAnsi="Arial"/>
          <w:sz w:val="17"/>
          <w:szCs w:val="17"/>
          <w:color w:val="auto"/>
        </w:rPr>
        <w:t>We sell to organizations of all sizes across a broad range of industries, with a specific focus on enterprise accounts. Our sales team is divided by customer size and geography, including the Americas; Europe, the Middle East and Africa ("EMEA"); and Asia Pacific and Japan.</w:t>
      </w:r>
    </w:p>
    <w:p>
      <w:pPr>
        <w:spacing w:after="0" w:line="18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100"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Our marketing efforts focus on cultivating brand awareness and leveraging our brand strength with Nessus, building demand across all segments with a specific emphasis on our enterprise customers and delivering tailored marketing programs focused on security executives, functional managers and security practitioners and consultants with Nessus. We also provide educational programs to DevOps teams for our Container Security and Web Application Scanning products. We execute marketing programs targeted at new customer acquisition, customer retention and cross-selling and up-selling of products across our platform.</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Research and Development</w:t>
      </w:r>
    </w:p>
    <w:p>
      <w:pPr>
        <w:spacing w:after="0" w:line="239" w:lineRule="exact"/>
        <w:rPr>
          <w:sz w:val="20"/>
          <w:szCs w:val="20"/>
          <w:color w:val="auto"/>
        </w:rPr>
      </w:pPr>
    </w:p>
    <w:p>
      <w:pPr>
        <w:jc w:val="both"/>
        <w:ind w:right="260" w:firstLine="318"/>
        <w:spacing w:after="0" w:line="248" w:lineRule="auto"/>
        <w:rPr>
          <w:sz w:val="20"/>
          <w:szCs w:val="20"/>
          <w:color w:val="auto"/>
        </w:rPr>
      </w:pPr>
      <w:r>
        <w:rPr>
          <w:rFonts w:ascii="Arial" w:cs="Arial" w:eastAsia="Arial" w:hAnsi="Arial"/>
          <w:sz w:val="18"/>
          <w:szCs w:val="18"/>
          <w:color w:val="auto"/>
        </w:rPr>
        <w:t>We continue to invest substantial resources in research and development to enhance our platform offerings by developing new features, functionality, and applications. Our engineering expertise combines extensive security product development experience with individuals who possess deep cloud and user interface design background.</w:t>
      </w:r>
    </w:p>
    <w:p>
      <w:pPr>
        <w:spacing w:after="0" w:line="206" w:lineRule="exact"/>
        <w:rPr>
          <w:sz w:val="20"/>
          <w:szCs w:val="20"/>
          <w:color w:val="auto"/>
        </w:rPr>
      </w:pPr>
    </w:p>
    <w:p>
      <w:pPr>
        <w:ind w:right="500" w:firstLine="318"/>
        <w:spacing w:after="0" w:line="248" w:lineRule="auto"/>
        <w:rPr>
          <w:sz w:val="20"/>
          <w:szCs w:val="20"/>
          <w:color w:val="auto"/>
        </w:rPr>
      </w:pPr>
      <w:r>
        <w:rPr>
          <w:rFonts w:ascii="Arial" w:cs="Arial" w:eastAsia="Arial" w:hAnsi="Arial"/>
          <w:sz w:val="18"/>
          <w:szCs w:val="18"/>
          <w:color w:val="auto"/>
        </w:rPr>
        <w:t>Additionally, our Tenable Research team includes a team of cybersecurity and data science experts who deliver Cyber Exposure intelligence, data science insights, alerts and security advisories. Frequent updates from Tenable Research ensure the latest vulnerability checks, zero-day research, and configuration benchmarks are available within our Cyber Exposure solutions.</w:t>
      </w:r>
    </w:p>
    <w:p>
      <w:pPr>
        <w:spacing w:after="0" w:line="206" w:lineRule="exact"/>
        <w:rPr>
          <w:sz w:val="20"/>
          <w:szCs w:val="20"/>
          <w:color w:val="auto"/>
        </w:rPr>
      </w:pPr>
    </w:p>
    <w:p>
      <w:pPr>
        <w:ind w:right="640" w:firstLine="318"/>
        <w:spacing w:after="0" w:line="251"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research and development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research and development expense was $116.4 million, $101.7 million and $87.1 million in 2021, 2020 and 2019, respectively.</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Backlog</w:t>
      </w:r>
    </w:p>
    <w:p>
      <w:pPr>
        <w:spacing w:after="0" w:line="239"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We define backlog as contractually committed orders to be invoiced under our existing agreements that are not included in the deferred revenue on our consolidated balance sheets. At December 31, 2021 and 2020, we had backlog of $27.7 million and $8.0 million, respectively. We expect substantially all of the backlog at December 31, 2021 to be invoiced within the following twelve months.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239"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nascent vulnerability assessment capabilities, including CrowdStrike; public cloud vendors and companies, such as Palo Alto Networks, that offer solutions for cloud security (private, public and hybrid cloud); and providers of point solutions that compete with some of the features present in our solutions. We also compete against internally-developed efforts that often use open source solutions.</w:t>
      </w:r>
    </w:p>
    <w:p>
      <w:pPr>
        <w:spacing w:after="0" w:line="197"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w:t>
      </w:r>
    </w:p>
    <w:p>
      <w:pPr>
        <w:spacing w:after="0" w:line="239" w:lineRule="exact"/>
        <w:rPr>
          <w:sz w:val="20"/>
          <w:szCs w:val="20"/>
          <w:color w:val="auto"/>
        </w:rPr>
      </w:pPr>
    </w:p>
    <w:p>
      <w:pPr>
        <w:jc w:val="both"/>
        <w:ind w:right="360" w:firstLine="318"/>
        <w:spacing w:after="0" w:line="248"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20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As of December 31, 2021, we had 23 issued patents and 15 patent applications pending in the United States. Our issued patents expire between 2027 and 2039 and cover our network scanning, monitoring and analysis technologies and additional features of our platform offerings. As of December 31, 2021, we had 15 registered trademarks and 13 trademark applications pending in the United States. We view our copyrights, trade secrets and know-how as a significant component of our intellectual property assets.</w:t>
      </w:r>
    </w:p>
    <w:p>
      <w:pPr>
        <w:spacing w:after="0" w:line="208"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206"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Government Regulation</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w:t>
      </w:r>
    </w:p>
    <w:p>
      <w:pPr>
        <w:spacing w:after="0" w:line="217"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In the ordinary course of our business, we process personal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or the CCPA, the Colorado Privacy Act, Virginia’s Consumer Data Protection Act, the European Union’s General Data Protection Regulation 2016/679, or EU GDPR, the EU GDPR as it forms part of the United Kingdom law by virtue of section 3 of the European Union (Withdrawal) Act of 2018, or UK GDPR, and the ePrivacy Directive.</w:t>
      </w:r>
    </w:p>
    <w:p>
      <w:pPr>
        <w:spacing w:after="0" w:line="211"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The CCPA and EU GDPR are examples of the increasingly stringent and evolving regulatory frameworks related to personal information. The EU GDPR applies to companies established in the European Economic Area, or EEA, and to companies established outside the EEA that process personal information in connection with the offering of goods or services to individuals in the EEA or the monitoring of the behavior of</w:t>
      </w:r>
    </w:p>
    <w:p>
      <w:pPr>
        <w:spacing w:after="0" w:line="1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individuals in the EEA. The EU GDPR includes stringent and complex obligations on entities that receive or process personal information, along with significant penalties for non-compliance, more robust obligations on data processors and data controllers, greater rights for individuals, and heavier documentation requirements for data protection compliance programs. In addition, the EU GDPR increases the scrutiny of transfers of personal information from locations in the EEA to the United States and other jurisdictions that the European Commission does not recognize as having “adequate” data protection laws and imposes substantial fines for breaches and violations (up to the greater of €20 million or 4% of consolidated annual worldwide gross revenue). Similarly, the CCPA imposes many obligations on covered businesses, including to provide specific disclosures related to a business’s collecting, using, and disclosing personal information and to respond to certain requests from California residents related to their personal information (for example, requests to know of the business’s personal information processing</w:t>
      </w:r>
    </w:p>
    <w:p>
      <w:pPr>
        <w:spacing w:after="0" w:line="2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activities, to delete the individual’s personal information, and to opt out of certain personal information disclosures). The CCPA provides for civil penalties (up to $7,500 per violation) and has a private cause of action for data breaches.</w:t>
      </w:r>
    </w:p>
    <w:p>
      <w:pPr>
        <w:spacing w:after="0" w:line="203"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Certain of our products are subject to encryption controls under the EAR due to the nature of the product and its use or incorporation of encryption functionality. Under the encryption controls in the EAR, applicable products may only be exported outside of the United States with required export authorizations, such as a license, a license exception or other appropriate government authorizations. In addition to the restrictions under the EAR, U.S. export control laws and economic sanctions prohibit the export of products and services to countries, governments, entities or persons subject to U.S. embargoes or trade sanctions.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w:t>
      </w:r>
    </w:p>
    <w:p>
      <w:pPr>
        <w:spacing w:after="0" w:line="23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As of December 31, 2021, we had 1,617 employees, including 635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in upholding a core set of values for our entire global workforce:</w:t>
      </w:r>
    </w:p>
    <w:p>
      <w:pPr>
        <w:spacing w:after="0" w:line="89" w:lineRule="exact"/>
        <w:rPr>
          <w:sz w:val="20"/>
          <w:szCs w:val="20"/>
          <w:color w:val="auto"/>
        </w:rPr>
      </w:pPr>
    </w:p>
    <w:p>
      <w:pPr>
        <w:ind w:left="640" w:right="100" w:hanging="316"/>
        <w:spacing w:after="0" w:line="27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One Tenable</w:t>
      </w:r>
      <w:r>
        <w:rPr>
          <w:rFonts w:ascii="Arial" w:cs="Arial" w:eastAsia="Arial" w:hAnsi="Arial"/>
          <w:sz w:val="18"/>
          <w:szCs w:val="18"/>
          <w:color w:val="auto"/>
        </w:rPr>
        <w:t>: We are united as one Tenable team. We win together. We are one team internally, with our customers, with our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market.</w:t>
      </w:r>
    </w:p>
    <w:p>
      <w:pPr>
        <w:ind w:left="640" w:right="120" w:hanging="316"/>
        <w:spacing w:after="0" w:line="27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We Care</w:t>
      </w:r>
      <w:r>
        <w:rPr>
          <w:rFonts w:ascii="Arial" w:cs="Arial" w:eastAsia="Arial" w:hAnsi="Arial"/>
          <w:sz w:val="18"/>
          <w:szCs w:val="18"/>
          <w:color w:val="auto"/>
        </w:rPr>
        <w:t>: About our work, about our customers, about one another and about our communities. We speak straight and we do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w:t>
      </w: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Deliver Results</w:t>
      </w:r>
      <w:r>
        <w:rPr>
          <w:rFonts w:ascii="Arial" w:cs="Arial" w:eastAsia="Arial" w:hAnsi="Arial"/>
          <w:sz w:val="18"/>
          <w:szCs w:val="18"/>
          <w:color w:val="auto"/>
        </w:rPr>
        <w:t>: We set high goals, take bold risks, measure honestly and deliver results that exceed expectations.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What We Do Matters</w:t>
      </w:r>
      <w:r>
        <w:rPr>
          <w:rFonts w:ascii="Arial" w:cs="Arial" w:eastAsia="Arial" w:hAnsi="Arial"/>
          <w:sz w:val="18"/>
          <w:szCs w:val="18"/>
          <w:color w:val="auto"/>
        </w:rPr>
        <w:t>: The work that we do makes a difference in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key human capital objectives are to attract, retain and develop our highly talented existing and future employees, while cultivating a diverse and inclusive workforce and environment to achieve exceptional business results. We strive to be a career destination where employees from all backgrounds are welcome and empowered, are treated with fairness and respect, can make a difference, and have the opportunity to grow.</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Benefits and Talent Development</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provide robust compensation and benefits packages to attract and retain our talent. We aim to incentivize our employees by aligning a portion of their compensation with the overall success of our business. In addition to base salary, our benefits packages include annual bonuses, equity awards, an employee stock purchase plan, retirement plans, along with health and wellness benefits. Equity awards of restricted stock units that vest over time are granted to new hires and to employees on an annual basis. Employees are eligible to participate in our Employee Stock Purchase Plan, in which employees may contribute a percentage of their compensation to purchase shares of our common stock at a discount. Our health and welfare benefits include health and life insurance, paid time off, family leave, and employee assistance programs. We are committed to a hybrid workplace strategy where employees have the flexibility to define the environment where they can do their best work.</w:t>
      </w:r>
    </w:p>
    <w:p>
      <w:pPr>
        <w:spacing w:after="0" w:line="211" w:lineRule="exact"/>
        <w:rPr>
          <w:sz w:val="20"/>
          <w:szCs w:val="20"/>
          <w:color w:val="auto"/>
        </w:rPr>
      </w:pPr>
    </w:p>
    <w:p>
      <w:pPr>
        <w:ind w:right="240" w:firstLine="318"/>
        <w:spacing w:after="0" w:line="270" w:lineRule="auto"/>
        <w:rPr>
          <w:sz w:val="20"/>
          <w:szCs w:val="20"/>
          <w:color w:val="auto"/>
        </w:rPr>
      </w:pPr>
      <w:r>
        <w:rPr>
          <w:rFonts w:ascii="Arial" w:cs="Arial" w:eastAsia="Arial" w:hAnsi="Arial"/>
          <w:sz w:val="17"/>
          <w:szCs w:val="17"/>
          <w:color w:val="auto"/>
        </w:rPr>
        <w:t>We promote and support employee development and organizational effectiveness by providing high-quality learning and development programs as well as tuition assistance programs. These programs are designed to meet individual, team, and organizational needs and objectives. We strive to enhance learning and development programs to create a better workplace environment and to build a better Tenable.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39" w:lineRule="exact"/>
        <w:rPr>
          <w:sz w:val="20"/>
          <w:szCs w:val="20"/>
          <w:color w:val="auto"/>
        </w:rPr>
      </w:pPr>
    </w:p>
    <w:p>
      <w:pPr>
        <w:ind w:right="560" w:firstLine="318"/>
        <w:spacing w:after="0" w:line="247" w:lineRule="auto"/>
        <w:rPr>
          <w:sz w:val="20"/>
          <w:szCs w:val="20"/>
          <w:color w:val="auto"/>
        </w:rPr>
      </w:pPr>
      <w:r>
        <w:rPr>
          <w:rFonts w:ascii="Arial" w:cs="Arial" w:eastAsia="Arial" w:hAnsi="Arial"/>
          <w:sz w:val="18"/>
          <w:szCs w:val="18"/>
          <w:color w:val="auto"/>
        </w:rPr>
        <w:t>We seek to cultivate a diverse and inclusive workforce and environment to achieve exceptional business results. When we value and celebrate differences, we drive more innovation and grow closer to our customers, partners, and communities. We strive to be a career destination where employees from all backgrounds are welcome and empowered, treated with fairness and respect, presented with opportunities to make a difference, and provided opportunities to grow.</w:t>
      </w:r>
    </w:p>
    <w:p>
      <w:pPr>
        <w:spacing w:after="0" w:line="208"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undertake numerous efforts to increase diversity in our employee population and to foster a culture of fairness and belonging through a number of measures in our recruiting, engagement, retention, and outreach practices. Our dedicated Diversity and Inclusion Council and Employee Resource Groups – along with our committed leaders and managers – strive to attract and hire employees who bring broad diversity of background, thought, and style into the company and foster a sense of inclusion to make them want to stay. To support these initiatives, we build partnerships within our communities to support organizations and events that strive for greater representation of women and underrepresented minorities in cybersecurity, hold inclusion and bias mitigation training and offer targeted development opportunities to assist with career advancement. In addition to our global talent acquisition team receiving a diversity sourcing and recruiting certification, we have hired a team to help spearhead these initiatives.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Stewardship</w:t>
      </w:r>
    </w:p>
    <w:p>
      <w:pPr>
        <w:spacing w:after="0" w:line="239"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Our Board and management team recognize that we have a role to play in environmental stewardship. We believe that environmentally responsible operating practices are important to generating value for our stockholders, being a good partner with our customers, and being a good employer to our employees.</w:t>
      </w:r>
    </w:p>
    <w:p>
      <w:pPr>
        <w:spacing w:after="0" w:line="20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Energy consumption and usage within data centers is an important component of our day-to-day operations of our business. We outsource our data center needs to Amazon Web Services (“AWS”). In 2014, AWS shared its long-term commitment to achieve 100 percent renewable energy usage for the global AWS infrastructure footprint. Additionally, our corporate headquarters is a LEED Certified Gold for Core Construction and we are pursuing an Energy Star rating.</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Information and Segments</w:t>
      </w:r>
    </w:p>
    <w:p>
      <w:pPr>
        <w:spacing w:after="0" w:line="239" w:lineRule="exact"/>
        <w:rPr>
          <w:sz w:val="20"/>
          <w:szCs w:val="20"/>
          <w:color w:val="auto"/>
        </w:rPr>
      </w:pPr>
    </w:p>
    <w:p>
      <w:pPr>
        <w:ind w:right="600" w:firstLine="318"/>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Segment and geographic information required by Part I, Item 1 of Form 10-K can be found in </w:t>
      </w:r>
      <w:hyperlink w:anchor="page77">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97">
        <w:r>
          <w:rPr>
            <w:rFonts w:ascii="Arial" w:cs="Arial" w:eastAsia="Arial" w:hAnsi="Arial"/>
            <w:sz w:val="18"/>
            <w:szCs w:val="18"/>
            <w:u w:val="single" w:color="auto"/>
            <w:color w:val="0000FF"/>
          </w:rPr>
          <w:t>Note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13 of the Notes to our Consolidated Financial Statements included in Part II, Item 8, Financial Statements,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239"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and in November 2015, Tenable Network Security, Inc. was merged into our wholly-owned indirect subsidiary and in 2017 was renamed as Tenable, Inc.</w:t>
      </w:r>
    </w:p>
    <w:p>
      <w:pPr>
        <w:spacing w:after="0" w:line="20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208"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“Tenable,” “Nessus,” “Tenable.io," "Lumin" and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Available Information</w:t>
      </w:r>
    </w:p>
    <w:p>
      <w:pPr>
        <w:spacing w:after="0" w:line="239"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207"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The contents of any website referred to in this Form 10-K are not intended to be incorporated into this Annual Report on Form 10-K or in any other report or document we file with the SEC.</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1"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97" w:lineRule="exact"/>
        <w:rPr>
          <w:sz w:val="20"/>
          <w:szCs w:val="20"/>
          <w:color w:val="auto"/>
        </w:rPr>
      </w:pPr>
    </w:p>
    <w:p>
      <w:pPr>
        <w:ind w:left="640" w:right="74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operations and financial performance may be negatively affected by adverse changes in the evolving COVID-19 pandemic.</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58"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customers’ growing needs.</w:t>
      </w:r>
    </w:p>
    <w:p>
      <w:pPr>
        <w:spacing w:after="0" w:line="58" w:lineRule="exact"/>
        <w:rPr>
          <w:rFonts w:ascii="Arial" w:cs="Arial" w:eastAsia="Arial" w:hAnsi="Arial"/>
          <w:sz w:val="18"/>
          <w:szCs w:val="18"/>
          <w:color w:val="auto"/>
        </w:rPr>
      </w:pPr>
    </w:p>
    <w:p>
      <w:pPr>
        <w:ind w:left="640" w:right="20" w:hanging="316"/>
        <w:spacing w:after="0" w:line="24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180"/>
        <w:spacing w:after="0" w:line="251" w:lineRule="auto"/>
        <w:rPr>
          <w:sz w:val="20"/>
          <w:szCs w:val="20"/>
          <w:color w:val="auto"/>
        </w:rPr>
      </w:pPr>
      <w:r>
        <w:rPr>
          <w:rFonts w:ascii="Arial" w:cs="Arial" w:eastAsia="Arial" w:hAnsi="Arial"/>
          <w:sz w:val="18"/>
          <w:szCs w:val="18"/>
          <w:color w:val="auto"/>
        </w:rPr>
        <w:t>if our solutions fail to detect vulnerabilities or incorrectly detect vulnerabilities, or if they contain undetected errors or defects, we could experience adverse consequences.</w:t>
      </w:r>
    </w:p>
    <w:p>
      <w:pPr>
        <w:spacing w:after="0" w:line="44" w:lineRule="exact"/>
        <w:rPr>
          <w:sz w:val="20"/>
          <w:szCs w:val="20"/>
          <w:color w:val="auto"/>
        </w:rPr>
      </w:pPr>
    </w:p>
    <w:p>
      <w:pPr>
        <w:ind w:left="640" w:right="520" w:hanging="316"/>
        <w:spacing w:after="0" w:line="25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44" w:lineRule="exact"/>
        <w:rPr>
          <w:rFonts w:ascii="Arial" w:cs="Arial" w:eastAsia="Arial" w:hAnsi="Arial"/>
          <w:sz w:val="18"/>
          <w:szCs w:val="18"/>
          <w:color w:val="auto"/>
        </w:rPr>
      </w:pPr>
    </w:p>
    <w:p>
      <w:pPr>
        <w:ind w:left="640" w:hanging="316"/>
        <w:spacing w:after="0" w:line="270"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29" w:lineRule="exact"/>
        <w:rPr>
          <w:rFonts w:ascii="Arial" w:cs="Arial" w:eastAsia="Arial" w:hAnsi="Arial"/>
          <w:sz w:val="17"/>
          <w:szCs w:val="17"/>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58" w:lineRule="exact"/>
        <w:rPr>
          <w:rFonts w:ascii="Arial" w:cs="Arial" w:eastAsia="Arial" w:hAnsi="Arial"/>
          <w:sz w:val="18"/>
          <w:szCs w:val="18"/>
          <w:color w:val="auto"/>
        </w:rPr>
      </w:pPr>
    </w:p>
    <w:p>
      <w:pPr>
        <w:jc w:val="both"/>
        <w:ind w:left="640" w:right="80" w:hanging="316"/>
        <w:spacing w:after="0" w:line="24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stringent and changing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w:t>
      </w:r>
    </w:p>
    <w:p>
      <w:pPr>
        <w:spacing w:after="0" w:line="4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5"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7" w:lineRule="exact"/>
        <w:rPr>
          <w:sz w:val="20"/>
          <w:szCs w:val="20"/>
          <w:color w:val="auto"/>
        </w:rPr>
      </w:pPr>
    </w:p>
    <w:p>
      <w:pPr>
        <w:ind w:right="360" w:firstLine="318"/>
        <w:spacing w:after="0" w:line="276" w:lineRule="auto"/>
        <w:rPr>
          <w:sz w:val="20"/>
          <w:szCs w:val="20"/>
          <w:color w:val="auto"/>
        </w:rPr>
      </w:pPr>
      <w:r>
        <w:rPr>
          <w:rFonts w:ascii="Arial" w:cs="Arial" w:eastAsia="Arial" w:hAnsi="Arial"/>
          <w:sz w:val="18"/>
          <w:szCs w:val="18"/>
          <w:b w:val="1"/>
          <w:bCs w:val="1"/>
          <w:i w:val="1"/>
          <w:iCs w:val="1"/>
          <w:color w:val="auto"/>
        </w:rPr>
        <w:t>Our business, operations and financial performance may be negatively affected by adverse changes in the evolving COVID-19 pandemic.</w:t>
      </w:r>
    </w:p>
    <w:p>
      <w:pPr>
        <w:spacing w:after="0" w:line="182" w:lineRule="exact"/>
        <w:rPr>
          <w:sz w:val="20"/>
          <w:szCs w:val="20"/>
          <w:color w:val="auto"/>
        </w:rPr>
      </w:pPr>
    </w:p>
    <w:p>
      <w:pPr>
        <w:ind w:right="40" w:firstLine="318"/>
        <w:spacing w:after="0" w:line="261" w:lineRule="auto"/>
        <w:rPr>
          <w:sz w:val="20"/>
          <w:szCs w:val="20"/>
          <w:color w:val="auto"/>
        </w:rPr>
      </w:pPr>
      <w:r>
        <w:rPr>
          <w:rFonts w:ascii="Arial" w:cs="Arial" w:eastAsia="Arial" w:hAnsi="Arial"/>
          <w:sz w:val="17"/>
          <w:szCs w:val="17"/>
          <w:color w:val="auto"/>
        </w:rPr>
        <w:t>As of December 31, 2021, we have not seen a significant adverse impact to our financial position, results of operations, cash flows and liquidity as a result of the COVID-19 pandemic. However, the COVID-19 pandemic is continuing to evolve rapidly, and significant adverse changes in the spread or severity of COVID-19 infections and the resulting societal impact, and response thereto, could have material adverse impacts on our business, operations and financial performance. The COVID-19 pandemic resulted in travel and other restrictions, including state and local orders across the United States and in countries in which we operate that, among other things, directed individuals to follow social distancing guidelines and or to shelter at their places of residence, directed businesses and governmental agencies to cease non-essential operations at physical locations, prohibited certain non-essential gatherings and events and ordered cessation of non-essential travel. In response to public health directives and orders, we implemented work-from-home policies for our global workforce, including at our headquarters in Columbia, Maryland. As the COVID-19 pandemic has evolved and as these restrictions have eased or been reinstated in response to COVID-19 variants such as Delta and Omicron, we have continued to update our employee health and safety policies, including relating to business travel and in-person office work. As conditions permit, we will continue to allow some activities, including limited business travel and in-person work at the option of the employee at certain of our global office locations, including at our headquarters. In-person work at our offices or business travel could expose our employees to health risks, and us to associated liability, and could create additional risks and operational challenges that require us to make additional investments in the design, implementation and enforcement of new workplace and travel health and safety protocols. We expect to continue our hybrid work policies indefinitely and that many employees will choose to continue to work remotely or a hybrid of in-person and remote work, which presents risks, uncertainties and costs that could affect our performance, including operational and workplace culture challenges, uncertainty regarding office space needs and heightened vulnerability to cyberattacks. Further, we anticipate that our revenue growth could be adversely impacted by developments in the COVID-19 pandemic that negatively impact global economic conditions, including, for example, as a result of the tightening of health and safety restrictions in the United States or globally.</w:t>
      </w:r>
    </w:p>
    <w:p>
      <w:pPr>
        <w:spacing w:after="0" w:line="201"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Adverse developments in the COVID-19 pandemic could also impact our partners, customers and service providers. Health concerns and political or governmental developments in response to COVID-19 has created or contributed to economic, social or labor instability or prolonged contractions in the industries in which our customers or partners operate. As a result, existing and potential customers have and may continue to choose to reduce or delay technology spending in response to the ongoing COVID-19 pandemic, or may attempt to renegotiate contracts and obtain concessions, which could materially and negatively impact our operating results, financial condition and prospects. Because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offerings are primarily sold on a subscription basis, any such adverse effects may not be fully reflected in our operating results until future periods, and such effects may be offset by temporary decreases in our expenses related to restrictions on the conduct of our business. We expect to incur additional costs as we resume business-related travel and return to the office, the timing and extent of which remains subject to ongoing developments in the COVID-19 pandemic.</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full extent to which changes in the COVID-19 pandemic impact our business and operations will depend on future developments that are highly uncertain and cannot be predicted with confidence at the time of this Form 10-K, such as the duration of the outbreak, the duration and effect of business disruptions, the ongoing effectiveness and widespread adoption of vaccines, both domestically and globally, the duration and ultimate effectiveness of the travel restrictions, quarantines, social distancing requirements and business closures in the United States and other countries to contain and treat the disease, and the impact of new variants or mutations of the coronavirus, such as the Delta or Omicron variants. An increase or extended period of global supply chain and economic disruption as a result of the COVID-19 pandemic could have a material negative impact on our business, results of operations, access to sources of liquidity and financial condition, though the full extent and duration of these impacts is uncertain. Accordingly, we do not yet know the full extent of potential impacts on our business and operations, or those of our partners and customers, or the global economy as a whole.</w:t>
      </w:r>
    </w:p>
    <w:p>
      <w:pPr>
        <w:spacing w:after="0" w:line="211"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3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have historically incurred net losses, including net losses of $46.7 million, $42.7 million and $99.0 million in 2021, 2020 and 2019, respectively. As of December 31, 2021, we had an accumulated deficit of $654.5 million. Because the market for our offerings is highly competitive and rapidly evolving and these solutions have not yet reached widespread adoption, it is difficult for us to predict our future results of operations. Further, although we have not seen a significant adverse impact to our financial position, results of operations, cash flows and liquidity as a result of the COVID-19 pandemic as of December 31, 2021, we do not yet know the full effects of the evolving pandemic, which increases the difficulty in predicting future results of operations.</w:t>
      </w:r>
    </w:p>
    <w:p>
      <w:pPr>
        <w:spacing w:after="0" w:line="105"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102"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17"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71" w:lineRule="exact"/>
        <w:rPr>
          <w:sz w:val="20"/>
          <w:szCs w:val="20"/>
          <w:color w:val="auto"/>
        </w:rPr>
      </w:pPr>
    </w:p>
    <w:p>
      <w:pPr>
        <w:ind w:right="560" w:firstLine="318"/>
        <w:spacing w:after="0" w:line="276"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82" w:lineRule="exact"/>
        <w:rPr>
          <w:sz w:val="20"/>
          <w:szCs w:val="20"/>
          <w:color w:val="auto"/>
        </w:rPr>
      </w:pPr>
    </w:p>
    <w:p>
      <w:pPr>
        <w:ind w:right="800" w:firstLine="318"/>
        <w:spacing w:after="0" w:line="251"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nascent vulnerability assessment capabilities, including CrowdStrike; public cloud vendors and companies, such as Palo Alto Networks, that offer solutions for cloud security (private, public and hybrid cloud); and providers of point solutions that compete with some of the features present in our solutions. We also compete against internally-developed efforts that often use open source solutions.</w:t>
      </w:r>
    </w:p>
    <w:p>
      <w:pPr>
        <w:spacing w:after="0" w:line="211"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in 2019 Microsoft introduced a vulnerability management offering as part of their existing endpoint security platform. Smaller companies could also launch new products and services that we do not offer and that could gain market acceptance quickly.</w:t>
      </w:r>
    </w:p>
    <w:p>
      <w:pPr>
        <w:spacing w:after="0" w:line="194"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 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11"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or in hybrid environments and the increasing adoption by organizations of cloud or hybrid cloud architectures during the COVID-19 pandemic.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39" w:lineRule="exact"/>
        <w:rPr>
          <w:sz w:val="20"/>
          <w:szCs w:val="20"/>
          <w:color w:val="auto"/>
        </w:rPr>
      </w:pPr>
    </w:p>
    <w:p>
      <w:pPr>
        <w:jc w:val="both"/>
        <w:ind w:right="240" w:firstLine="318"/>
        <w:spacing w:after="0" w:line="248" w:lineRule="auto"/>
        <w:rPr>
          <w:sz w:val="20"/>
          <w:szCs w:val="20"/>
          <w:color w:val="auto"/>
        </w:rPr>
      </w:pPr>
      <w:r>
        <w:rPr>
          <w:rFonts w:ascii="Arial" w:cs="Arial" w:eastAsia="Arial" w:hAnsi="Arial"/>
          <w:sz w:val="18"/>
          <w:szCs w:val="18"/>
          <w:color w:val="auto"/>
        </w:rPr>
        <w:t>From 2020 to 2021, our revenue grew from $440.2 million to $541.1 million, representing year-over-year growth of 23%. This growth was primarily from an increase in subscription revenue. Although we have experienced rapid growth historically and currently have high customer renewal rates, we may not continue to grow as rapidly in the future due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decline in our renewal rates, failure to attract new customers or other factors. Any success that we may experience in the future will depend in large part on our ability to, among other things:</w:t>
      </w:r>
    </w:p>
    <w:p>
      <w:pPr>
        <w:spacing w:after="0" w:line="97"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17"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If we are unable to maintain consistent revenue or revenue growth, including as a result of the ongoing COVID-19 pandemic or related macroeconomic conditions, our stock price could be volatile, and it may be difficult to achieve and maintain profitability. You should not rely on our revenue for any prior quarterly or annual periods as any indication of our future revenue or revenue growth.</w:t>
      </w:r>
    </w:p>
    <w:p>
      <w:pPr>
        <w:spacing w:after="0" w:line="206" w:lineRule="exact"/>
        <w:rPr>
          <w:sz w:val="20"/>
          <w:szCs w:val="20"/>
          <w:color w:val="auto"/>
        </w:rPr>
      </w:pPr>
    </w:p>
    <w:p>
      <w:pPr>
        <w:ind w:right="400" w:firstLine="318"/>
        <w:spacing w:after="0" w:line="25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181" w:lineRule="exact"/>
        <w:rPr>
          <w:sz w:val="20"/>
          <w:szCs w:val="20"/>
          <w:color w:val="auto"/>
        </w:rPr>
      </w:pPr>
    </w:p>
    <w:p>
      <w:pPr>
        <w:ind w:right="20" w:firstLine="318"/>
        <w:spacing w:after="0" w:line="261"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5"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the ongoing COVID-19 pandemic or related macroeconomic conditions,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8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enterprise platform offerings, Tenable.ep, Tenable.io, Tenable.cs, Tenable.ad, Tenable.ot, and Tenable.sc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and hybrid work during the COVID-19 pandemic,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10"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85" w:lineRule="exact"/>
        <w:rPr>
          <w:sz w:val="20"/>
          <w:szCs w:val="20"/>
          <w:color w:val="auto"/>
        </w:rPr>
      </w:pPr>
    </w:p>
    <w:p>
      <w:pPr>
        <w:ind w:firstLine="318"/>
        <w:spacing w:after="0" w:line="256"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w:t>
      </w:r>
    </w:p>
    <w:p>
      <w:pPr>
        <w:spacing w:after="0" w:line="199"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In the ordinary course of our business, we may collect, store, use, transmit, disclose or otherwise process proprietary, confidential, and sensitive information, including personal information, intellectual property, and trade secrets. We rely on third party service providers and technologies to operate critical business systems, including processing this confidential and sensitive information.</w:t>
      </w:r>
    </w:p>
    <w:p>
      <w:pPr>
        <w:spacing w:after="0" w:line="20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Threats to information systems and data come from a variety of sources. In addition to computer “hackers,” threat actors, personnel (such as through theft or misuse), sophisticated nation-states and nation-state-supported actors now engage in attacks. We and the third parties upon which we rely may be subject to a variety of evolving threats, including but not limited to: social-engineering attacks (including through phishing attacks); malicious code (such as viruses and worms); malware (including as a result of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prohibit such payments.</w:t>
      </w:r>
    </w:p>
    <w:p>
      <w:pPr>
        <w:spacing w:after="0" w:line="210"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Any of these or similar threats could cause a security incident or other interruption. These incidents and interruptions can include, but are not limited to, gaining unauthorized access to digital systems for purposes of misappropriating assets or sensitive information, corrupting data or causing operational disruption. Because the techniques used to obtain unauthorized access, insert malicious code or otherwise sabotage systems change frequently and may not immediately produce signs of intrusion, we may be unable to implement adequate preventative measures or timely discover these intrusions.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If we, or a third party upon which we rely, experience a security incident or interruption, or are perceived to have experienced a security incident or interruption, we may experience adverse consequences. These consequences may include: government enforcement actions (for example, investigations, fines, penalties, audits, and inspections); additional reporting obligations and/or oversight; restrictions on processing information (including personal information); litigation (including class claims); indemnification obligations; negative publicity; reputational harm; monetary fund diversions; interruptions of our operations (including availability of data); financial loss; and other similar harm. We sell cybersecurity products and, as a result, may be at increased risk of being a target of cyberattacks designed to penetrate our platform or internal systems or to otherwise impede the performance of our products. We may be required to expend additional, significant resources, fundamentally change our business activities or practices, or modify our operations or information technology in an effort to protect against security incidents or other interruptions.</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deliberate or unintentional human or software errors, capacity constraints and fraud or cybersecurity attacks. Any disruptions or other performance problems with our solutions could harm our reputation and business and may damage our customers’ businesses, including by interrupting their networking traffic or operational technology environments. Interruptions in our service delivery might reduce our revenue, cause us to issue credits to customers, subject us to potential liability and cause customers to not renew their purchases of our solutions.</w:t>
      </w:r>
    </w:p>
    <w:p>
      <w:pPr>
        <w:spacing w:after="0" w:line="21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addition, if our solutions fail to detect vulnerabilities in our customers’ cybersecurity infrastructure, including for remote devices, or if our solutions fail to identify new and increasingly complex methods of cyberattacks, our business and reputation may suffer. There is no guarantee that our solutions will detect all vulnerabilities, especially in light of the rapidly changing security landscape to which we must respond, including as a result of the increased remote work environment during the COVID-19 pandemic.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adversely impact market acceptance of our products and could result in negative publicity, loss of customers and sales and increased costs to remedy any problem.</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experienced errors or defects in the past in connection with the release of new solutions and product upgrades, and we expect that these errors or defects will be found from time to time in the future in new or enhanced solutions after commercial release. In addition, we use third parties to assist in the development of our products and these third parties could be a source of errors or defects. Defects may cause our solutions to be vulnerable to attacks, cause them to fail to detect vulnerabilities, or temporarily interrupt customers’ networking traffic or operational technology environments, any of which may damage our customers’ business and could hurt our reputation. If our solutions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11"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Additionally, applicable data protection requirements may require us to implement specific security measures or use new or different industry-standard measures designed to protect against security incidents. Data protection requirements may also require us to notify relevant stakeholders of security incidents, including affected individuals, partners, collaborators, customers, regulators, law enforcement agencies and others. Such disclosures are costly, and the disclosures or failure to comply with such requirements could lead to adverse impacts, including reputational harm or fines and penalties. 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if any, will be adequate or otherwise protect us from or adequately mitigate liabilities or damages with respect to claims, costs, expenses, litigation, fines, penalties, business loss, data loss, regulatory actions or other impacts arising out of security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60" w:firstLine="318"/>
        <w:spacing w:after="0" w:line="276"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82"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7"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impact of the evolving COVID-19 pandemic on our business and that of our partners and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pacing w:after="0" w:line="58" w:lineRule="exact"/>
        <w:rPr>
          <w:rFonts w:ascii="Arial" w:cs="Arial" w:eastAsia="Arial" w:hAnsi="Arial"/>
          <w:sz w:val="18"/>
          <w:szCs w:val="18"/>
          <w:color w:val="auto"/>
        </w:rPr>
      </w:pPr>
    </w:p>
    <w:p>
      <w:pPr>
        <w:ind w:left="640" w:right="16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58" w:lineRule="exact"/>
        <w:rPr>
          <w:rFonts w:ascii="Arial" w:cs="Arial" w:eastAsia="Arial" w:hAnsi="Arial"/>
          <w:sz w:val="18"/>
          <w:szCs w:val="18"/>
          <w:color w:val="auto"/>
        </w:rPr>
      </w:pPr>
    </w:p>
    <w:p>
      <w:pPr>
        <w:ind w:left="640" w:right="60" w:hanging="316"/>
        <w:spacing w:after="0" w:line="238"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spacing w:after="0" w:line="39"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58"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third-party cloud infrastructure costs and facilities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58" w:lineRule="exact"/>
        <w:rPr>
          <w:rFonts w:ascii="Arial" w:cs="Arial" w:eastAsia="Arial" w:hAnsi="Arial"/>
          <w:sz w:val="18"/>
          <w:szCs w:val="18"/>
          <w:color w:val="auto"/>
        </w:rPr>
      </w:pPr>
    </w:p>
    <w:p>
      <w:pPr>
        <w:ind w:left="640" w:right="20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17"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9" w:lineRule="exact"/>
        <w:rPr>
          <w:sz w:val="20"/>
          <w:szCs w:val="20"/>
          <w:color w:val="auto"/>
        </w:rPr>
      </w:pPr>
    </w:p>
    <w:p>
      <w:pPr>
        <w:ind w:right="60" w:firstLine="318"/>
        <w:spacing w:after="0" w:line="256"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resulting from the ongoing COVID-19 pandemic or other macroeconomic factors that could lead to decreased spending,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3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1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7" w:lineRule="exact"/>
        <w:rPr>
          <w:sz w:val="20"/>
          <w:szCs w:val="20"/>
          <w:color w:val="auto"/>
        </w:rPr>
      </w:pPr>
    </w:p>
    <w:p>
      <w:pPr>
        <w:ind w:right="320" w:firstLine="318"/>
        <w:spacing w:after="0" w:line="247"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186" w:lineRule="exact"/>
        <w:rPr>
          <w:sz w:val="20"/>
          <w:szCs w:val="20"/>
          <w:color w:val="auto"/>
        </w:rPr>
      </w:pPr>
    </w:p>
    <w:p>
      <w:pPr>
        <w:ind w:right="120" w:firstLine="318"/>
        <w:spacing w:after="0" w:line="276"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82"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39"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and to the extent we continue to enter into larger deals, our average sales cycle is likely to increase. Further, the length of time that potential customers devote to their testing and evaluation, contract negotiation and budgeting processes varies significantly, depending on the size of the organization and nature of the product or service under consideration. The ongoing COVID-19 pandemic and related economic uncertainty have also continued to impact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sales cycle.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175" w:lineRule="exact"/>
        <w:rPr>
          <w:sz w:val="20"/>
          <w:szCs w:val="20"/>
          <w:color w:val="auto"/>
        </w:rPr>
      </w:pPr>
    </w:p>
    <w:p>
      <w:pPr>
        <w:ind w:right="380" w:firstLine="318"/>
        <w:spacing w:after="0" w:line="256" w:lineRule="auto"/>
        <w:rPr>
          <w:sz w:val="20"/>
          <w:szCs w:val="20"/>
          <w:color w:val="auto"/>
        </w:rPr>
      </w:pPr>
      <w:r>
        <w:rPr>
          <w:rFonts w:ascii="Arial" w:cs="Arial" w:eastAsia="Arial" w:hAnsi="Arial"/>
          <w:sz w:val="18"/>
          <w:szCs w:val="18"/>
          <w:b w:val="1"/>
          <w:bCs w:val="1"/>
          <w:i w:val="1"/>
          <w:iCs w:val="1"/>
          <w:color w:val="auto"/>
        </w:rPr>
        <w:t>We are subject to stringent and changing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9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In the ordinary course of our business, we process personal information and other sensitive information, including proprietary and confidential business information, trade secrets, intellectual property, and sensitive third-party information. Our data processing activities subject us, and third parties upon which we rely, to numerous data privacy and security obligations, such as various laws, rules, regulations, guidance, industry standards, external and internal privacy policies, contracts, and other obligations that govern the processing of personal information by us and on our behalf.</w:t>
      </w:r>
    </w:p>
    <w:p>
      <w:pPr>
        <w:spacing w:after="0" w:line="207"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In the United States, federal, state, and local governments have enacted numerous data privacy security laws, including data breach notification laws, personal information privacy laws, and consumer protection laws. For example, the California Consumer Privacy Act, or the CCPA, imposes obligations on businesses to which it applies including, but not limited to, providing specific disclosures in privacy notices and affording California residents certain rights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their personal information. The CCPA allows for statutory fines for noncompliance (up to $7,500 per violation). Further, the California Privacy Rights Act, or CPRA, effective on January 1, 2023, will expand the CCPA, including by expanding certain consumers’ rights. The CPRA also creates a new state agency that will be vested with authority to implement and enforce the CPRA, which could increase the risk of an enforcement action. Other states have enacted data privacy laws. For example, Virginia recently passed its Consumer Data Protection Act and Colorado recently passed the Colorado Privacy Act, both of which differ from the CPRA and go into effect on January 1, 2023 and July 1, 2023 respectively.</w:t>
      </w:r>
    </w:p>
    <w:p>
      <w:pPr>
        <w:spacing w:after="0" w:line="211" w:lineRule="exact"/>
        <w:rPr>
          <w:sz w:val="20"/>
          <w:szCs w:val="20"/>
          <w:color w:val="auto"/>
        </w:rPr>
      </w:pPr>
    </w:p>
    <w:p>
      <w:pPr>
        <w:ind w:right="200" w:firstLine="318"/>
        <w:spacing w:after="0" w:line="246" w:lineRule="auto"/>
        <w:rPr>
          <w:sz w:val="20"/>
          <w:szCs w:val="20"/>
          <w:color w:val="auto"/>
        </w:rPr>
      </w:pPr>
      <w:r>
        <w:rPr>
          <w:rFonts w:ascii="Arial" w:cs="Arial" w:eastAsia="Arial" w:hAnsi="Arial"/>
          <w:sz w:val="18"/>
          <w:szCs w:val="18"/>
          <w:color w:val="auto"/>
        </w:rPr>
        <w:t>Outside the United States, an increasing number of laws, regulations, and industry standards apply to data privacy and security. For example, the European Union’s General Data Protection Regulation, or EU GDPR, and the United Kingdom’s GDPR, or UK GDPR, impose strict requirements for processing the personal information of individuals. Violations of these obligations carry significant potential consequences. For example, under the EU GDPR, government regulators may impose temporary or definitive bans on processing, as well as fines of up to €20 million or up to 4% of the annual global revenue, whichever is greater. We have an internal data privacy function that oversees and supervises our compliance with European and UK data protection regulations but, despite our efforts, we may fail, or be perceived to have failed, to comply.</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Additionally, certain jurisdictions have enacted data localization laws and cross-border personal information transfer laws, which could make it more difficult to transfer personal information across jurisdictions (such as transferring or receiving personal information that originates in the EU or UK). Existing mechanisms that may facilitate cross-border personal information transfers may change or be invalidated. For example, absent appropriate safeguards or other circumstances, the EU GDPR generally restricts the transfer of personal information to countries outside of the European Economic Area, such as the United States, which the EU does not consider to provide an adequate level of data privacy and security, unless certain safeguards are in place. While we have taken steps to lawfully transfer personal information, the efficacy and longevity of these mechanisms remains uncertain.</w:t>
      </w:r>
    </w:p>
    <w:p>
      <w:pPr>
        <w:spacing w:after="0" w:line="211"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Existing and proposed laws and regulations can be costly to comply with, can delay or impede the development or adoption of our products and services and require significant management time and attention. Although we endeavor to comply with all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If we fail, or are perceived to have failed, to address or comply with applicable data privacy and security obligations, we could face significant consequences. These consequences include, but are not limited to: government enforcement actions (such as investigations, fines, penalties, audits, inspections); litigation (including class-related claims); additional reporting requirements and/or oversight. Any of these events could have a material adverse effect on our reputation, business, or financial condition, including but not limited to: interruptions or stoppages in our business operations, inability to process personal information or operate in certain jurisdictions; limited ability to develop or commercialize our products; expenditure of time and resources to defend any claim or inquiry; reputational harm; loss of customers; reduction in the use of our products; or revision or restricting of our operations.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our third-party channel partner network of distributors and resellers to generate a substantial amount of our revenue.</w:t>
      </w:r>
    </w:p>
    <w:p>
      <w:pPr>
        <w:spacing w:after="0" w:line="25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2021, 2020 and 2019, we derived 92%, 91% and 90%, respectively, of our revenue from subscriptions and perpetual licenses sold through channel partners, and the percentage of revenue derived from channel partners may continue to increase in future periods. Ingram Micro, Inc., a distributor, accounted for 39%, 43% and 43% of our revenue in 2021, 2020 and 2019, respectively, and 32% of our accounts receivable as of December 31, 2021 and 41% as of December 31, 2020. Our agreements with our channel partners, including our agreement with Ingram Micro, are non-exclusive and do not prohibit them from working with our competitors or offering competing solutions, and some of our channel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the ongoing COVID-19 pandemic,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8" w:lineRule="exact"/>
        <w:rPr>
          <w:sz w:val="20"/>
          <w:szCs w:val="20"/>
          <w:color w:val="auto"/>
        </w:rPr>
      </w:pPr>
    </w:p>
    <w:p>
      <w:pPr>
        <w:ind w:right="120" w:firstLine="318"/>
        <w:spacing w:after="0" w:line="276"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1"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0" w:lineRule="exact"/>
        <w:rPr>
          <w:sz w:val="20"/>
          <w:szCs w:val="20"/>
          <w:color w:val="auto"/>
        </w:rPr>
      </w:pPr>
    </w:p>
    <w:p>
      <w:pPr>
        <w:spacing w:after="0" w:line="214"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11"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6" w:lineRule="exact"/>
        <w:rPr>
          <w:sz w:val="20"/>
          <w:szCs w:val="20"/>
          <w:color w:val="auto"/>
        </w:rPr>
      </w:pPr>
    </w:p>
    <w:p>
      <w:pPr>
        <w:ind w:right="880" w:firstLine="318"/>
        <w:spacing w:after="0" w:line="276"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8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11"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5" w:lineRule="exact"/>
        <w:rPr>
          <w:sz w:val="20"/>
          <w:szCs w:val="20"/>
          <w:color w:val="auto"/>
        </w:rPr>
      </w:pPr>
    </w:p>
    <w:p>
      <w:pPr>
        <w:ind w:right="680" w:firstLine="318"/>
        <w:spacing w:after="0" w:line="276"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82"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 Lumin does not garner widespread market adoption and implementation, our operating results and competitive position could suffer.</w:t>
      </w:r>
    </w:p>
    <w:p>
      <w:pPr>
        <w:spacing w:after="0" w:line="211" w:lineRule="exact"/>
        <w:rPr>
          <w:sz w:val="20"/>
          <w:szCs w:val="20"/>
          <w:color w:val="auto"/>
        </w:rPr>
      </w:pPr>
    </w:p>
    <w:p>
      <w:pPr>
        <w:jc w:val="both"/>
        <w:ind w:right="340" w:firstLine="318"/>
        <w:spacing w:after="0" w:line="280"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8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7" w:lineRule="exact"/>
        <w:rPr>
          <w:sz w:val="20"/>
          <w:szCs w:val="20"/>
          <w:color w:val="auto"/>
        </w:rPr>
      </w:pPr>
    </w:p>
    <w:p>
      <w:pPr>
        <w:ind w:left="640" w:right="34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the ongoing COVID-19 pandemic or related macroeconomic trends, in terms of functionality and to supply offerings that meets this demand in a timely fashion;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58"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the ongoing COVID-19 pandemic, causing them to delay or forgo IT purchases;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17"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4" w:lineRule="exact"/>
        <w:rPr>
          <w:sz w:val="20"/>
          <w:szCs w:val="20"/>
          <w:color w:val="auto"/>
        </w:rPr>
      </w:pPr>
    </w:p>
    <w:p>
      <w:pPr>
        <w:ind w:right="160" w:firstLine="318"/>
        <w:spacing w:after="0" w:line="276"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82"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1" w:lineRule="exact"/>
        <w:rPr>
          <w:sz w:val="20"/>
          <w:szCs w:val="20"/>
          <w:color w:val="auto"/>
        </w:rPr>
      </w:pPr>
    </w:p>
    <w:p>
      <w:pPr>
        <w:ind w:right="520" w:firstLine="318"/>
        <w:spacing w:after="0" w:line="276"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82"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9" w:lineRule="exact"/>
        <w:rPr>
          <w:sz w:val="20"/>
          <w:szCs w:val="20"/>
          <w:color w:val="auto"/>
        </w:rPr>
      </w:pPr>
    </w:p>
    <w:p>
      <w:pPr>
        <w:ind w:right="620" w:firstLine="318"/>
        <w:spacing w:after="0" w:line="276"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82"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42% and 39% of our revenue in 2021 and 2020,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20"/>
        <w:spacing w:after="0" w:line="251" w:lineRule="auto"/>
        <w:rPr>
          <w:sz w:val="20"/>
          <w:szCs w:val="20"/>
          <w:color w:val="auto"/>
        </w:rPr>
      </w:pPr>
      <w:r>
        <w:rPr>
          <w:rFonts w:ascii="Arial" w:cs="Arial" w:eastAsia="Arial" w:hAnsi="Arial"/>
          <w:sz w:val="18"/>
          <w:szCs w:val="18"/>
          <w:color w:val="auto"/>
        </w:rPr>
        <w:t>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97"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w:t>
      </w:r>
    </w:p>
    <w:p>
      <w:pPr>
        <w:spacing w:after="0" w:line="58"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heightened levels of inflation;</w:t>
      </w:r>
    </w:p>
    <w:p>
      <w:pPr>
        <w:spacing w:after="0" w:line="4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travel restrictions resulting from the COVID-19 pandemic, including restrictions on U.S. travelers entering some foreign countries;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7" w:lineRule="exact"/>
        <w:rPr>
          <w:rFonts w:ascii="Arial" w:cs="Arial" w:eastAsia="Arial" w:hAnsi="Arial"/>
          <w:sz w:val="18"/>
          <w:szCs w:val="18"/>
          <w:color w:val="auto"/>
        </w:rPr>
      </w:pPr>
    </w:p>
    <w:p>
      <w:pPr>
        <w:ind w:left="640" w:right="100" w:hanging="316"/>
        <w:spacing w:after="0" w:line="232" w:lineRule="auto"/>
        <w:tabs>
          <w:tab w:leader="none" w:pos="635" w:val="left"/>
        </w:tabs>
        <w:numPr>
          <w:ilvl w:val="0"/>
          <w:numId w:val="19"/>
        </w:numPr>
        <w:rPr>
          <w:rFonts w:ascii="Arial" w:cs="Arial" w:eastAsia="Arial" w:hAnsi="Arial"/>
          <w:sz w:val="21"/>
          <w:szCs w:val="21"/>
          <w:color w:val="auto"/>
        </w:rPr>
      </w:pPr>
      <w:r>
        <w:rPr>
          <w:rFonts w:ascii="Arial" w:cs="Arial" w:eastAsia="Arial" w:hAnsi="Arial"/>
          <w:sz w:val="18"/>
          <w:szCs w:val="18"/>
          <w:color w:val="auto"/>
        </w:rPr>
        <w:t>difficulties and costs of staffing, managing and potentially reorganizing foreign operations, including increased employee recruitment, training and retention costs related to global employment turnover trends and inflationary pressures in the labor market stemming from the COVID-19 pandemic;</w:t>
      </w:r>
    </w:p>
    <w:p>
      <w:pPr>
        <w:spacing w:after="0" w:line="55" w:lineRule="exact"/>
        <w:rPr>
          <w:rFonts w:ascii="Arial" w:cs="Arial" w:eastAsia="Arial" w:hAnsi="Arial"/>
          <w:sz w:val="21"/>
          <w:szCs w:val="21"/>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58" w:lineRule="exact"/>
        <w:rPr>
          <w:rFonts w:ascii="Arial" w:cs="Arial" w:eastAsia="Arial" w:hAnsi="Arial"/>
          <w:sz w:val="18"/>
          <w:szCs w:val="18"/>
          <w:color w:val="auto"/>
        </w:rPr>
      </w:pPr>
    </w:p>
    <w:p>
      <w:pPr>
        <w:ind w:left="640" w:right="22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spacing w:after="0" w:line="44"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47" w:lineRule="exact"/>
        <w:rPr>
          <w:rFonts w:ascii="Arial" w:cs="Arial" w:eastAsia="Arial" w:hAnsi="Arial"/>
          <w:sz w:val="18"/>
          <w:szCs w:val="18"/>
          <w:color w:val="auto"/>
        </w:rPr>
      </w:pPr>
    </w:p>
    <w:p>
      <w:pPr>
        <w:ind w:left="640" w:right="30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44"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 and regimes.</w:t>
      </w:r>
    </w:p>
    <w:p>
      <w:pPr>
        <w:spacing w:after="0" w:line="21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94"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211"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is intense. The recent move by companies to offer a remote or hybrid work environment may increase competition for such employees outside of our traditional office locations. In addition, employee turnover rates in the broader global economy and inflationary pressures in the labor market have increased during the ongoing COVID-19 pandemic and may continue to be elevated, which has led, and could continue to lead. to increased recruiting, training and retention costs. If we do not succeed in attracting well-qualified employees, retaining and motivating existing employees or maintaining our corporate culture in a hybrid or remote work environment, our business would be adversely affected.</w:t>
      </w:r>
    </w:p>
    <w:p>
      <w:pPr>
        <w:spacing w:after="0" w:line="211"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3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delays in the provisioning of our offerings until equivalent data is either developed by us, or, if available, is identified, obtained and integrated, which could harm our business.</w:t>
      </w:r>
    </w:p>
    <w:p>
      <w:pPr>
        <w:spacing w:after="0" w:line="203"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39"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w:t>
      </w:r>
    </w:p>
    <w:p>
      <w:pPr>
        <w:spacing w:after="0" w:line="20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While we have begun to initiate hybrid remote and in-person work policies, substantially all of our employees have been working remotely due to the COVID-19 pandemic, which may pose additional security risks. Our business operations are subject to interruption by natural disasters, including those related to the long-term effects of climate change, and other catastrophic events such as fire, floods, power loss, telecommunications failure, cyberattack, war or terrorist attack, or epidemic or pandemic, such as the COVID-19 pandemic. To the extent such events impact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39"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We have in the past acquired products, technologies and businesses from other parties, such as our 2021 acquisitions of Alsid and Accurics, and we expect to expand our current business by acquiring additional businesses or technologies in the future. Acquisitions involve many risks, including the following:</w:t>
      </w:r>
    </w:p>
    <w:p>
      <w:pPr>
        <w:spacing w:after="0" w:line="100" w:lineRule="exact"/>
        <w:rPr>
          <w:sz w:val="20"/>
          <w:szCs w:val="20"/>
          <w:color w:val="auto"/>
        </w:rPr>
      </w:pPr>
    </w:p>
    <w:p>
      <w:pPr>
        <w:ind w:left="640" w:right="40" w:hanging="316"/>
        <w:spacing w:after="0" w:line="247"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58" w:lineRule="exact"/>
        <w:rPr>
          <w:rFonts w:ascii="Arial" w:cs="Arial" w:eastAsia="Arial" w:hAnsi="Arial"/>
          <w:sz w:val="18"/>
          <w:szCs w:val="18"/>
          <w:color w:val="auto"/>
        </w:rPr>
      </w:pPr>
    </w:p>
    <w:p>
      <w:pPr>
        <w:ind w:left="640" w:right="68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58" w:lineRule="exact"/>
        <w:rPr>
          <w:rFonts w:ascii="Arial" w:cs="Arial" w:eastAsia="Arial" w:hAnsi="Arial"/>
          <w:sz w:val="18"/>
          <w:szCs w:val="18"/>
          <w:color w:val="auto"/>
        </w:rPr>
      </w:pPr>
    </w:p>
    <w:p>
      <w:pPr>
        <w:ind w:left="640" w:right="64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58" w:lineRule="exact"/>
        <w:rPr>
          <w:rFonts w:ascii="Arial" w:cs="Arial" w:eastAsia="Arial" w:hAnsi="Arial"/>
          <w:sz w:val="18"/>
          <w:szCs w:val="18"/>
          <w:color w:val="auto"/>
        </w:rPr>
      </w:pPr>
    </w:p>
    <w:p>
      <w:pPr>
        <w:ind w:left="640" w:right="80" w:hanging="316"/>
        <w:spacing w:after="0" w:line="251"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203"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on acceptable terms, if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1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loan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do not generate sufficient cash flows, we may be unable to service all of our indebtedness.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to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spacing w:after="0" w:line="208"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If our cash flows and capital resources are insufficient to fund our debt service obligations, or to repay the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 operations. Our ability to implement successfully any such alternative financing plans will depend on a range of factors, including general economic conditions, the level of activity in capital markets generally, and the terms of our various debt instruments then in effect.</w:t>
      </w:r>
    </w:p>
    <w:p>
      <w:pPr>
        <w:spacing w:after="0" w:line="189"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Covenants under our Credit Agreement may restrict our business and operations in many ways, and if we do not effectively manage our covenants, our financial conditions and results of operations could be adversely affected.</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Agreement imposes various covenants that limit our ability and/or our restricted subsidiaries’ ability to, among other things:</w:t>
      </w:r>
    </w:p>
    <w:p>
      <w:pPr>
        <w:spacing w:after="0" w:line="68"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pay dividends or distributions, repurchase equity, prepay, redeem or repurchase certain debt, and make certain investments;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incur additional debt and issue certain preferred stock;</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provide guarantees in respect of obligations of other persons;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incur liens on assets;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engage in certain asset sales, including capital stock of our subsidiaries;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merge, consolidate with, or sell all or substantially all our assets to another person;</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enter into agreements that restrict distributions from our subsidiaries;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designate subsidiaries as unrestricted subsidiaries; and</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prohibit certain restrictions on the ability of restricted subsidiaries to pay dividends or make other payments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covenants may:</w:t>
      </w:r>
    </w:p>
    <w:p>
      <w:pPr>
        <w:spacing w:after="0" w:line="68"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2" w:lineRule="exact"/>
        <w:rPr>
          <w:rFonts w:ascii="Arial" w:cs="Arial" w:eastAsia="Arial" w:hAnsi="Arial"/>
          <w:sz w:val="21"/>
          <w:szCs w:val="21"/>
          <w:color w:val="auto"/>
        </w:rPr>
      </w:pPr>
    </w:p>
    <w:p>
      <w:pPr>
        <w:ind w:left="640" w:right="180" w:hanging="316"/>
        <w:spacing w:after="0" w:line="226" w:lineRule="auto"/>
        <w:tabs>
          <w:tab w:leader="none" w:pos="635" w:val="left"/>
        </w:tabs>
        <w:numPr>
          <w:ilvl w:val="0"/>
          <w:numId w:val="22"/>
        </w:numPr>
        <w:rPr>
          <w:rFonts w:ascii="Arial" w:cs="Arial" w:eastAsia="Arial" w:hAnsi="Arial"/>
          <w:sz w:val="21"/>
          <w:szCs w:val="21"/>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64"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require us to use a substantial portion of our cash flow from operations to make debt service payments;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limit our flexibility to plan for, or react to, changes in our business and industry;</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place us at a competitive disadvantage compared to less leveraged competitors; and</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2"/>
        </w:numPr>
        <w:rPr>
          <w:rFonts w:ascii="Arial" w:cs="Arial" w:eastAsia="Arial" w:hAnsi="Arial"/>
          <w:sz w:val="21"/>
          <w:szCs w:val="21"/>
          <w:color w:val="auto"/>
        </w:rPr>
      </w:pPr>
      <w:r>
        <w:rPr>
          <w:rFonts w:ascii="Arial" w:cs="Arial" w:eastAsia="Arial" w:hAnsi="Arial"/>
          <w:sz w:val="18"/>
          <w:szCs w:val="18"/>
          <w:color w:val="auto"/>
        </w:rPr>
        <w:t>increase our vulnerability to the impact of adverse economic and industry conditions.</w:t>
      </w:r>
    </w:p>
    <w:p>
      <w:pPr>
        <w:spacing w:after="0" w:line="212"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spacing w:after="0" w:line="203"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 provided to the administrative agent, including, proceeding against the collateral granted to secure our obligations under the Credit Agreement. An event of default under the Credit Agreement could also lead to an event of default under the terms of certain of our other agreements. Any such event of default or any exercise of rights and remedies by our creditors could seriously harm our business.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LIBOR calculation method may change, and LIBOR is expected to be phased out after 2021.</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Loans under the Credit Agreement bear interest at a rate based on the London Interbank Offered Rate, or LIBOR. On July 27, 2017, the U.K. Financial Conduct Authority, or the FCA, announced that it will no longer require banks to submit rates for the calculation of LIBOR after 2021. However, the cessation date has been deferred to June 30, 2023 for the most commonly used tenors in U.S. dollar LIBOR (i.e., overnight and one, three and six months). This extension to 2023 means that many legacy U.S. dollar LIBOR contracts would terminate before related LIBOR rates cease to be published. In the meantime, actions by the FCA, other regulators, or law enforcement agencies may result in changes to the method by which LIBOR is calculated. If changes to LIBOR result in an increase in rates, our interest expense under the Credit Agreement would increase. Further, if LIBOR is no longer available, our Credit Agreement provides a process to determine a substitute rate, and if such substitute rate is higher than LIBOR, our interest expense under the Credit Agreement would increase.</w:t>
      </w:r>
    </w:p>
    <w:p>
      <w:pPr>
        <w:spacing w:after="0" w:line="189" w:lineRule="exact"/>
        <w:rPr>
          <w:sz w:val="20"/>
          <w:szCs w:val="20"/>
          <w:color w:val="auto"/>
        </w:rPr>
      </w:pPr>
    </w:p>
    <w:p>
      <w:pPr>
        <w:ind w:right="80" w:firstLine="318"/>
        <w:spacing w:after="0" w:line="256"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If there are significant changes in current principles, financial reporting standards or interpretations, or if our estimates or judgments relating to our critical accounting policies prove to be incorrect, we may experience unexpected financial reporting fluctuations and our results of operations could be adversely affected.</w:t>
      </w:r>
    </w:p>
    <w:p>
      <w:pPr>
        <w:spacing w:after="0" w:line="19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8"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07"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We might be required to change our accounting policies, alter our operational policies and implement new or enhance existing systems, or we may be required to restate our published financial statements, as a result of new standards, changes to existing standards and changes in their interpretation.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17"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82"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9" w:lineRule="exact"/>
        <w:rPr>
          <w:sz w:val="20"/>
          <w:szCs w:val="20"/>
          <w:color w:val="auto"/>
        </w:rPr>
      </w:pPr>
    </w:p>
    <w:p>
      <w:pPr>
        <w:ind w:right="540" w:firstLine="318"/>
        <w:spacing w:after="0" w:line="276"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82"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8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of December 31, 2021, we had 23 issued patents and 15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firstLine="318"/>
        <w:spacing w:after="0" w:line="262" w:lineRule="auto"/>
        <w:rPr>
          <w:sz w:val="20"/>
          <w:szCs w:val="20"/>
          <w:color w:val="auto"/>
        </w:rPr>
      </w:pPr>
      <w:r>
        <w:rPr>
          <w:rFonts w:ascii="Arial" w:cs="Arial" w:eastAsia="Arial" w:hAnsi="Arial"/>
          <w:sz w:val="17"/>
          <w:szCs w:val="17"/>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19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11"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71"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and as we acquire more companies,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10"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including those relating to companies we acquire. Any intellectual property claims, with or without merit, could be very time-consuming, could be expensive to settle or litigate, could divert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8"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39" w:lineRule="exact"/>
        <w:rPr>
          <w:sz w:val="20"/>
          <w:szCs w:val="20"/>
          <w:color w:val="auto"/>
        </w:rPr>
      </w:pPr>
    </w:p>
    <w:p>
      <w:pPr>
        <w:jc w:val="both"/>
        <w:ind w:right="260" w:firstLine="318"/>
        <w:spacing w:after="0" w:line="248"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100"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6"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58"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58" w:lineRule="exact"/>
        <w:rPr>
          <w:rFonts w:ascii="Arial" w:cs="Arial" w:eastAsia="Arial" w:hAnsi="Arial"/>
          <w:sz w:val="18"/>
          <w:szCs w:val="18"/>
          <w:color w:val="auto"/>
        </w:rPr>
      </w:pPr>
    </w:p>
    <w:p>
      <w:pPr>
        <w:ind w:left="640" w:right="38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comply with the terms of the Credit Agreement;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58" w:lineRule="exact"/>
        <w:rPr>
          <w:rFonts w:ascii="Arial" w:cs="Arial" w:eastAsia="Arial" w:hAnsi="Arial"/>
          <w:sz w:val="18"/>
          <w:szCs w:val="18"/>
          <w:color w:val="auto"/>
        </w:rPr>
      </w:pPr>
    </w:p>
    <w:p>
      <w:pPr>
        <w:ind w:left="640" w:right="62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58" w:lineRule="exact"/>
        <w:rPr>
          <w:rFonts w:ascii="Arial" w:cs="Arial" w:eastAsia="Arial" w:hAnsi="Arial"/>
          <w:sz w:val="18"/>
          <w:szCs w:val="18"/>
          <w:color w:val="auto"/>
        </w:rPr>
      </w:pPr>
    </w:p>
    <w:p>
      <w:pPr>
        <w:ind w:left="640" w:right="74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or proposed laws or regulations or new interpretations of existing laws or regulations applicable to our business, including proposed changes to the U.S. corporate income tax rate and capital gains tax rates;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war, incidents of terrorism or responses to these events.</w:t>
      </w:r>
    </w:p>
    <w:p>
      <w:pPr>
        <w:spacing w:after="0" w:line="21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in connection with the COVID-19 pandemic.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89" w:lineRule="exact"/>
        <w:rPr>
          <w:sz w:val="20"/>
          <w:szCs w:val="20"/>
          <w:color w:val="auto"/>
        </w:rPr>
      </w:pPr>
    </w:p>
    <w:p>
      <w:pPr>
        <w:ind w:right="340" w:firstLine="318"/>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82"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20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9" w:lineRule="exact"/>
        <w:rPr>
          <w:sz w:val="20"/>
          <w:szCs w:val="20"/>
          <w:color w:val="auto"/>
        </w:rPr>
      </w:pPr>
    </w:p>
    <w:p>
      <w:pPr>
        <w:ind w:right="180" w:firstLine="318"/>
        <w:spacing w:after="0" w:line="276"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spacing w:after="0" w:line="189" w:lineRule="exact"/>
        <w:rPr>
          <w:sz w:val="20"/>
          <w:szCs w:val="20"/>
          <w:color w:val="auto"/>
        </w:rPr>
      </w:pPr>
    </w:p>
    <w:p>
      <w:pPr>
        <w:ind w:right="240" w:firstLine="318"/>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2" w:lineRule="exact"/>
        <w:rPr>
          <w:sz w:val="20"/>
          <w:szCs w:val="20"/>
          <w:color w:val="auto"/>
        </w:rPr>
      </w:pPr>
    </w:p>
    <w:p>
      <w:pPr>
        <w:ind w:left="640" w:right="4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44" w:lineRule="exact"/>
        <w:rPr>
          <w:rFonts w:ascii="Arial" w:cs="Arial" w:eastAsia="Arial" w:hAnsi="Arial"/>
          <w:sz w:val="18"/>
          <w:szCs w:val="18"/>
          <w:color w:val="auto"/>
        </w:rPr>
      </w:pPr>
    </w:p>
    <w:p>
      <w:pPr>
        <w:ind w:left="640" w:right="400" w:hanging="316"/>
        <w:spacing w:after="0" w:line="24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47" w:lineRule="exact"/>
        <w:rPr>
          <w:rFonts w:ascii="Arial" w:cs="Arial" w:eastAsia="Arial" w:hAnsi="Arial"/>
          <w:sz w:val="18"/>
          <w:szCs w:val="18"/>
          <w:color w:val="auto"/>
        </w:rPr>
      </w:pPr>
    </w:p>
    <w:p>
      <w:pPr>
        <w:ind w:left="640" w:right="40" w:hanging="316"/>
        <w:spacing w:after="0" w:line="28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 w:lineRule="exact"/>
        <w:rPr>
          <w:rFonts w:ascii="Arial" w:cs="Arial" w:eastAsia="Arial" w:hAnsi="Arial"/>
          <w:sz w:val="17"/>
          <w:szCs w:val="17"/>
          <w:color w:val="auto"/>
        </w:rPr>
      </w:pPr>
    </w:p>
    <w:p>
      <w:pPr>
        <w:ind w:left="640" w:right="26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4" w:lineRule="exact"/>
        <w:rPr>
          <w:rFonts w:ascii="Arial" w:cs="Arial" w:eastAsia="Arial" w:hAnsi="Arial"/>
          <w:sz w:val="18"/>
          <w:szCs w:val="18"/>
          <w:color w:val="auto"/>
        </w:rPr>
      </w:pPr>
    </w:p>
    <w:p>
      <w:pPr>
        <w:jc w:val="both"/>
        <w:ind w:left="640" w:right="20" w:hanging="316"/>
        <w:spacing w:after="0" w:line="24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47" w:lineRule="exact"/>
        <w:rPr>
          <w:rFonts w:ascii="Arial" w:cs="Arial" w:eastAsia="Arial" w:hAnsi="Arial"/>
          <w:sz w:val="18"/>
          <w:szCs w:val="18"/>
          <w:color w:val="auto"/>
        </w:rPr>
      </w:pPr>
    </w:p>
    <w:p>
      <w:pPr>
        <w:ind w:left="640" w:right="34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40"/>
        <w:spacing w:after="0" w:line="280" w:lineRule="auto"/>
        <w:rPr>
          <w:sz w:val="20"/>
          <w:szCs w:val="20"/>
          <w:color w:val="auto"/>
        </w:rPr>
      </w:pPr>
      <w:r>
        <w:rPr>
          <w:rFonts w:ascii="Arial" w:cs="Arial" w:eastAsia="Arial" w:hAnsi="Arial"/>
          <w:sz w:val="17"/>
          <w:szCs w:val="17"/>
          <w:color w:val="auto"/>
        </w:rPr>
        <w:t>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21" w:lineRule="exact"/>
        <w:rPr>
          <w:sz w:val="20"/>
          <w:szCs w:val="20"/>
          <w:color w:val="auto"/>
        </w:rPr>
      </w:pPr>
    </w:p>
    <w:p>
      <w:pPr>
        <w:ind w:left="640" w:right="200" w:hanging="316"/>
        <w:spacing w:after="0" w:line="24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47" w:lineRule="exact"/>
        <w:rPr>
          <w:rFonts w:ascii="Arial" w:cs="Arial" w:eastAsia="Arial" w:hAnsi="Arial"/>
          <w:sz w:val="18"/>
          <w:szCs w:val="18"/>
          <w:color w:val="auto"/>
        </w:rPr>
      </w:pPr>
    </w:p>
    <w:p>
      <w:pPr>
        <w:ind w:left="640" w:right="140" w:hanging="316"/>
        <w:spacing w:after="0" w:line="248"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6"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81" w:lineRule="exact"/>
        <w:rPr>
          <w:sz w:val="20"/>
          <w:szCs w:val="20"/>
          <w:color w:val="auto"/>
        </w:rPr>
      </w:pPr>
    </w:p>
    <w:p>
      <w:pPr>
        <w:ind w:right="200" w:firstLine="318"/>
        <w:spacing w:after="0" w:line="283"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79"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7"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58" w:lineRule="exact"/>
        <w:rPr>
          <w:rFonts w:ascii="Arial" w:cs="Arial" w:eastAsia="Arial" w:hAnsi="Arial"/>
          <w:sz w:val="18"/>
          <w:szCs w:val="18"/>
          <w:color w:val="auto"/>
        </w:rPr>
      </w:pPr>
    </w:p>
    <w:p>
      <w:pPr>
        <w:ind w:left="640" w:right="80" w:hanging="316"/>
        <w:spacing w:after="0" w:line="251"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10"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Risks</w:t>
      </w:r>
    </w:p>
    <w:p>
      <w:pPr>
        <w:spacing w:after="0" w:line="217" w:lineRule="exact"/>
        <w:rPr>
          <w:sz w:val="20"/>
          <w:szCs w:val="20"/>
          <w:color w:val="auto"/>
        </w:rPr>
      </w:pPr>
    </w:p>
    <w:p>
      <w:pPr>
        <w:ind w:right="180" w:firstLine="318"/>
        <w:spacing w:after="0" w:line="307" w:lineRule="auto"/>
        <w:rPr>
          <w:sz w:val="20"/>
          <w:szCs w:val="20"/>
          <w:color w:val="auto"/>
        </w:rPr>
      </w:pPr>
      <w:r>
        <w:rPr>
          <w:rFonts w:ascii="Arial" w:cs="Arial" w:eastAsia="Arial" w:hAnsi="Arial"/>
          <w:sz w:val="17"/>
          <w:szCs w:val="17"/>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58"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0" w:lineRule="exact"/>
        <w:rPr>
          <w:sz w:val="20"/>
          <w:szCs w:val="20"/>
          <w:color w:val="auto"/>
        </w:rPr>
      </w:pPr>
    </w:p>
    <w:p>
      <w:pPr>
        <w:jc w:val="center"/>
        <w:ind w:right="60"/>
        <w:spacing w:after="0" w:line="307"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10"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07" w:lineRule="exact"/>
        <w:rPr>
          <w:sz w:val="20"/>
          <w:szCs w:val="20"/>
          <w:color w:val="auto"/>
        </w:rPr>
      </w:pPr>
    </w:p>
    <w:p>
      <w:pPr>
        <w:ind w:right="100" w:firstLine="318"/>
        <w:spacing w:after="0" w:line="270" w:lineRule="auto"/>
        <w:rPr>
          <w:sz w:val="20"/>
          <w:szCs w:val="20"/>
          <w:color w:val="auto"/>
        </w:rPr>
      </w:pPr>
      <w:r>
        <w:rPr>
          <w:rFonts w:ascii="Arial" w:cs="Arial" w:eastAsia="Arial" w:hAnsi="Arial"/>
          <w:sz w:val="17"/>
          <w:szCs w:val="17"/>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66" w:lineRule="exact"/>
        <w:rPr>
          <w:sz w:val="20"/>
          <w:szCs w:val="20"/>
          <w:color w:val="auto"/>
        </w:rPr>
      </w:pPr>
    </w:p>
    <w:p>
      <w:pPr>
        <w:ind w:right="280" w:firstLine="318"/>
        <w:spacing w:after="0" w:line="256" w:lineRule="auto"/>
        <w:rPr>
          <w:sz w:val="20"/>
          <w:szCs w:val="20"/>
          <w:color w:val="auto"/>
        </w:rPr>
      </w:pPr>
      <w:r>
        <w:rPr>
          <w:rFonts w:ascii="Arial" w:cs="Arial" w:eastAsia="Arial" w:hAnsi="Arial"/>
          <w:sz w:val="18"/>
          <w:szCs w:val="18"/>
          <w:b w:val="1"/>
          <w:bCs w:val="1"/>
          <w:i w:val="1"/>
          <w:iCs w:val="1"/>
          <w:color w:val="auto"/>
        </w:rPr>
        <w:t>Uncertainties in the interpretation and application of existing, new and proposed tax laws could materially affect our tax obligations and effective tax rate. 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w:t>
      </w:r>
    </w:p>
    <w:p>
      <w:pPr>
        <w:spacing w:after="0" w:line="4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subject to significant change. For example, the 2017 Tax Cuts and Jobs Act, or the Tax Act, as modified in 2020 by the Coronavirus Aid, Relief, and Economic Security Act, or the CARES Act, made broad and complex changes to the U.S. tax code, including changes to U.S. federal tax rates, additional limitations on the deductibility of interest, both positive and negative changes to the utilization of future net operating loss, or NOL, carryforwards, allowing for the expensing of certain capital expenditures, and adopting a modified territorial system. Many countries in the European Union, as well as a number of other countries and organizations such as the Organization for Economic Cooperation and Development and the European Commission, are actively considering changes to existing tax laws that, if enacted, could increase our tax obligations in countries where we do business. These proposals include changes to the existing framework to calculate income tax, as well as proposals to change or impose new types of non-income taxes, including taxes based on a percentage of revenue. The issuance of additional regulatory or accounting guidance related to existing or future laws, or changes proposed or implemented by the current or a future U.S. presidential administration, Congress, taxing authorities outside of the United States or otherwise, could materially affect our tax obligations and effective tax rate.</w:t>
      </w:r>
    </w:p>
    <w:p>
      <w:pPr>
        <w:spacing w:after="0" w:line="210"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addition, forecasts of our income tax position and effective tax rate for financial accounting purposes are complex and subject to significant judgment and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tax laws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w:t>
      </w:r>
    </w:p>
    <w:p>
      <w:pPr>
        <w:spacing w:after="0" w:line="21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result in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39"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As of December 31, 2021 we had U.S. federal, state and foreign NOLs, of $398.5 million, $226.1 million, and $289.9 million, respectively, available to offset future taxable income, some of which begin to expire in 2030. Federal NOLs incurred in taxable years beginning after December 31, 2017 can be carried forward indefinitely, but the deductibility of federal NOLs in taxable years beginning after December 31, 2021, is subject to certain limitations. A lack of future taxable income would adversely affect our ability to utilize these NOLs before they expire.</w:t>
      </w:r>
    </w:p>
    <w:p>
      <w:pPr>
        <w:spacing w:after="0" w:line="19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2020,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188" w:lineRule="exact"/>
        <w:rPr>
          <w:sz w:val="20"/>
          <w:szCs w:val="20"/>
          <w:color w:val="auto"/>
        </w:rPr>
      </w:pPr>
    </w:p>
    <w:p>
      <w:pPr>
        <w:jc w:val="both"/>
        <w:ind w:right="620" w:firstLine="318"/>
        <w:spacing w:after="0" w:line="261"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5"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39"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Our corporate headquarters in Columbia, Maryland consist of approximately 160,000 square feet under a lease that expires in February 2032. We maintain additional offices in multiple locations in the United States and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39"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39" w:lineRule="exact"/>
        <w:rPr>
          <w:sz w:val="20"/>
          <w:szCs w:val="20"/>
          <w:color w:val="auto"/>
        </w:rPr>
      </w:pPr>
    </w:p>
    <w:p>
      <w:pPr>
        <w:jc w:val="both"/>
        <w:ind w:right="580" w:firstLine="318"/>
        <w:spacing w:after="0" w:line="280" w:lineRule="auto"/>
        <w:rPr>
          <w:sz w:val="20"/>
          <w:szCs w:val="20"/>
          <w:color w:val="auto"/>
        </w:rPr>
      </w:pPr>
      <w:r>
        <w:rPr>
          <w:rFonts w:ascii="Arial" w:cs="Arial" w:eastAsia="Arial" w:hAnsi="Arial"/>
          <w:sz w:val="17"/>
          <w:szCs w:val="17"/>
          <w:color w:val="auto"/>
        </w:rPr>
        <w:t>At December 31, 2021, we had 18 holders of record. Because many of our shares of common stock are held by brokers and other institutions on behalf of stockholders, we are unable to estimate the total number of stockholders represented by these record holders.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never declared or paid any dividends on our common stock. In addition, our credit agreement with JPMorgan Chase Bank, N.A., as administrative agent and collateral agent, contains restrictive covenants that limit our ability to pay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3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2021, 2020 and 2019 and the selected consolidated balance sheet data as of December 31, 2021 and 2020 are derived from our audited consolidated financial statements included in this Annual Report on Form 10-K. The consolidated statements of operations data for the years ended December 31, 2018 and 2017 and consolidated balance sheet data as of December 31, 2019, 2018 and 2017 are from our audited financial statements not included in this Annual Report on Form 10-K.</w:t>
      </w:r>
    </w:p>
    <w:p>
      <w:pPr>
        <w:spacing w:after="0" w:line="207" w:lineRule="exact"/>
        <w:rPr>
          <w:sz w:val="20"/>
          <w:szCs w:val="20"/>
          <w:color w:val="auto"/>
        </w:rPr>
      </w:pPr>
    </w:p>
    <w:p>
      <w:pPr>
        <w:ind w:right="620" w:firstLine="318"/>
        <w:spacing w:after="0" w:line="248" w:lineRule="auto"/>
        <w:rPr>
          <w:sz w:val="20"/>
          <w:szCs w:val="20"/>
          <w:color w:val="auto"/>
        </w:rPr>
      </w:pPr>
      <w:r>
        <w:rPr>
          <w:rFonts w:ascii="Arial" w:cs="Arial" w:eastAsia="Arial" w:hAnsi="Arial"/>
          <w:sz w:val="18"/>
          <w:szCs w:val="18"/>
          <w:color w:val="auto"/>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060" w:type="dxa"/>
            <w:vAlign w:val="bottom"/>
          </w:tcPr>
          <w:p>
            <w:pPr>
              <w:ind w:left="340"/>
              <w:spacing w:after="0"/>
              <w:rPr>
                <w:sz w:val="20"/>
                <w:szCs w:val="20"/>
                <w:color w:val="auto"/>
              </w:rPr>
            </w:pPr>
            <w:r>
              <w:rPr>
                <w:rFonts w:ascii="Arial" w:cs="Arial" w:eastAsia="Arial" w:hAnsi="Arial"/>
                <w:sz w:val="16"/>
                <w:szCs w:val="16"/>
                <w:b w:val="1"/>
                <w:bCs w:val="1"/>
                <w:color w:val="auto"/>
              </w:rPr>
              <w:t>Consolidated Statements of</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40" w:type="dxa"/>
            <w:vAlign w:val="bottom"/>
            <w:gridSpan w:val="5"/>
            <w:vMerge w:val="restart"/>
          </w:tcPr>
          <w:p>
            <w:pPr>
              <w:ind w:left="60"/>
              <w:spacing w:after="0"/>
              <w:rPr>
                <w:sz w:val="20"/>
                <w:szCs w:val="20"/>
                <w:color w:val="auto"/>
              </w:rPr>
            </w:pPr>
            <w:r>
              <w:rPr>
                <w:rFonts w:ascii="Arial" w:cs="Arial" w:eastAsia="Arial" w:hAnsi="Arial"/>
                <w:sz w:val="16"/>
                <w:szCs w:val="16"/>
                <w:b w:val="1"/>
                <w:bCs w:val="1"/>
                <w:color w:val="auto"/>
                <w:w w:val="99"/>
              </w:rPr>
              <w:t>Year Ended December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Operations Data:</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060" w:type="dxa"/>
            <w:vAlign w:val="bottom"/>
          </w:tcPr>
          <w:p>
            <w:pPr>
              <w:ind w:left="340"/>
              <w:spacing w:after="0" w:line="139" w:lineRule="exact"/>
              <w:rPr>
                <w:sz w:val="20"/>
                <w:szCs w:val="20"/>
                <w:color w:val="auto"/>
              </w:rPr>
            </w:pPr>
            <w:r>
              <w:rPr>
                <w:rFonts w:ascii="Arial" w:cs="Arial" w:eastAsia="Arial" w:hAnsi="Arial"/>
                <w:sz w:val="16"/>
                <w:szCs w:val="16"/>
                <w:b w:val="1"/>
                <w:bCs w:val="1"/>
                <w:color w:val="auto"/>
              </w:rPr>
              <w:t>(in thousands, except per share</w:t>
            </w:r>
          </w:p>
        </w:tc>
        <w:tc>
          <w:tcPr>
            <w:tcW w:w="600" w:type="dxa"/>
            <w:vAlign w:val="bottom"/>
          </w:tcPr>
          <w:p>
            <w:pPr>
              <w:spacing w:after="0"/>
              <w:rPr>
                <w:sz w:val="12"/>
                <w:szCs w:val="12"/>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data)</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w:t>
            </w:r>
          </w:p>
        </w:tc>
        <w:tc>
          <w:tcPr>
            <w:tcW w:w="0" w:type="dxa"/>
            <w:vAlign w:val="bottom"/>
          </w:tcPr>
          <w:p>
            <w:pPr>
              <w:spacing w:after="0"/>
              <w:rPr>
                <w:sz w:val="1"/>
                <w:szCs w:val="1"/>
                <w:color w:val="auto"/>
              </w:rPr>
            </w:pPr>
          </w:p>
        </w:tc>
      </w:tr>
      <w:tr>
        <w:trPr>
          <w:trHeight w:val="225"/>
        </w:trPr>
        <w:tc>
          <w:tcPr>
            <w:tcW w:w="3060" w:type="dxa"/>
            <w:vAlign w:val="bottom"/>
            <w:tcBorders>
              <w:bottom w:val="single" w:sz="8" w:color="CCEEFF"/>
            </w:tcBorders>
          </w:tcPr>
          <w:p>
            <w:pPr>
              <w:ind w:left="34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8"/>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162,13</w:t>
            </w:r>
          </w:p>
        </w:tc>
        <w:tc>
          <w:tcPr>
            <w:tcW w:w="0" w:type="dxa"/>
            <w:vAlign w:val="bottom"/>
          </w:tcPr>
          <w:p>
            <w:pPr>
              <w:spacing w:after="0"/>
              <w:rPr>
                <w:sz w:val="1"/>
                <w:szCs w:val="1"/>
                <w:color w:val="auto"/>
              </w:rPr>
            </w:pPr>
          </w:p>
        </w:tc>
      </w:tr>
      <w:tr>
        <w:trPr>
          <w:trHeight w:val="225"/>
        </w:trPr>
        <w:tc>
          <w:tcPr>
            <w:tcW w:w="306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54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c>
          <w:tcPr>
            <w:tcW w:w="0" w:type="dxa"/>
            <w:vAlign w:val="bottom"/>
          </w:tcPr>
          <w:p>
            <w:pPr>
              <w:spacing w:after="0"/>
              <w:rPr>
                <w:sz w:val="1"/>
                <w:szCs w:val="1"/>
                <w:color w:val="auto"/>
              </w:rPr>
            </w:pPr>
          </w:p>
        </w:tc>
      </w:tr>
      <w:tr>
        <w:trPr>
          <w:trHeight w:val="225"/>
        </w:trPr>
        <w:tc>
          <w:tcPr>
            <w:tcW w:w="3060" w:type="dxa"/>
            <w:vAlign w:val="bottom"/>
          </w:tcPr>
          <w:p>
            <w:pPr>
              <w:ind w:left="54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87,064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54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8"/>
        </w:trPr>
        <w:tc>
          <w:tcPr>
            <w:tcW w:w="30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476,502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399,100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296,774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202,89</w:t>
            </w:r>
          </w:p>
        </w:tc>
        <w:tc>
          <w:tcPr>
            <w:tcW w:w="0" w:type="dxa"/>
            <w:vAlign w:val="bottom"/>
          </w:tcPr>
          <w:p>
            <w:pPr>
              <w:spacing w:after="0"/>
              <w:rPr>
                <w:sz w:val="1"/>
                <w:szCs w:val="1"/>
                <w:color w:val="auto"/>
              </w:rPr>
            </w:pPr>
          </w:p>
        </w:tc>
      </w:tr>
      <w:tr>
        <w:trPr>
          <w:trHeight w:val="226"/>
        </w:trPr>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25"/>
        </w:trPr>
        <w:tc>
          <w:tcPr>
            <w:tcW w:w="3060" w:type="dxa"/>
            <w:vAlign w:val="bottom"/>
          </w:tcPr>
          <w:p>
            <w:pPr>
              <w:ind w:left="560"/>
              <w:spacing w:after="0"/>
              <w:rPr>
                <w:sz w:val="20"/>
                <w:szCs w:val="20"/>
                <w:color w:val="auto"/>
              </w:rPr>
            </w:pPr>
            <w:r>
              <w:rPr>
                <w:rFonts w:ascii="Arial" w:cs="Arial" w:eastAsia="Arial" w:hAnsi="Arial"/>
                <w:sz w:val="18"/>
                <w:szCs w:val="18"/>
                <w:color w:val="auto"/>
              </w:rPr>
              <w:t>Interest (expense) income, net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3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expense, net</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3060" w:type="dxa"/>
            <w:vAlign w:val="bottom"/>
          </w:tcPr>
          <w:p>
            <w:pPr>
              <w:ind w:left="340"/>
              <w:spacing w:after="0"/>
              <w:rPr>
                <w:sz w:val="20"/>
                <w:szCs w:val="20"/>
                <w:color w:val="auto"/>
              </w:rPr>
            </w:pPr>
            <w:r>
              <w:rPr>
                <w:rFonts w:ascii="Arial" w:cs="Arial" w:eastAsia="Arial" w:hAnsi="Arial"/>
                <w:sz w:val="18"/>
                <w:szCs w:val="18"/>
                <w:color w:val="auto"/>
              </w:rPr>
              <w:t>Loss before income taxes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(50,629)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(40,85</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rPr>
              <w:t>(Benefit) provision for income</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30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(73,521)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Accretion of Series A and B</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100"/>
              <w:spacing w:after="0" w:line="172" w:lineRule="exact"/>
              <w:rPr>
                <w:sz w:val="20"/>
                <w:szCs w:val="20"/>
                <w:color w:val="auto"/>
              </w:rPr>
            </w:pPr>
            <w:r>
              <w:rPr>
                <w:rFonts w:ascii="Arial" w:cs="Arial" w:eastAsia="Arial" w:hAnsi="Arial"/>
                <w:sz w:val="18"/>
                <w:szCs w:val="18"/>
                <w:color w:val="auto"/>
              </w:rPr>
              <w:t>redeemable convertible preferred</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w:t>
            </w: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65"/>
        </w:trPr>
        <w:tc>
          <w:tcPr>
            <w:tcW w:w="3060" w:type="dxa"/>
            <w:vAlign w:val="bottom"/>
          </w:tcPr>
          <w:p>
            <w:pPr>
              <w:ind w:left="340"/>
              <w:spacing w:after="0" w:line="164" w:lineRule="exact"/>
              <w:rPr>
                <w:sz w:val="20"/>
                <w:szCs w:val="20"/>
                <w:color w:val="auto"/>
              </w:rPr>
            </w:pPr>
            <w:r>
              <w:rPr>
                <w:rFonts w:ascii="Arial" w:cs="Arial" w:eastAsia="Arial" w:hAnsi="Arial"/>
                <w:sz w:val="18"/>
                <w:szCs w:val="18"/>
                <w:color w:val="auto"/>
              </w:rPr>
              <w:t>Net loss attributable to common</w:t>
            </w: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Pr>
          <w:p>
            <w:pPr>
              <w:spacing w:after="0"/>
              <w:rPr>
                <w:sz w:val="14"/>
                <w:szCs w:val="14"/>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(42,731)</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(99,013)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(73,955)</w:t>
            </w:r>
          </w:p>
        </w:tc>
        <w:tc>
          <w:tcPr>
            <w:tcW w:w="100" w:type="dxa"/>
            <w:vAlign w:val="bottom"/>
          </w:tcPr>
          <w:p>
            <w:pPr>
              <w:spacing w:after="0"/>
              <w:rPr>
                <w:sz w:val="14"/>
                <w:szCs w:val="14"/>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186"/>
        </w:trPr>
        <w:tc>
          <w:tcPr>
            <w:tcW w:w="3060" w:type="dxa"/>
            <w:vAlign w:val="bottom"/>
          </w:tcPr>
          <w:p>
            <w:pPr>
              <w:ind w:left="20"/>
              <w:spacing w:after="0" w:line="187" w:lineRule="exact"/>
              <w:rPr>
                <w:sz w:val="20"/>
                <w:szCs w:val="20"/>
                <w:color w:val="auto"/>
              </w:rPr>
            </w:pPr>
            <w:r>
              <w:rPr>
                <w:rFonts w:ascii="Arial" w:cs="Arial" w:eastAsia="Arial" w:hAnsi="Arial"/>
                <w:sz w:val="18"/>
                <w:szCs w:val="18"/>
                <w:color w:val="auto"/>
              </w:rPr>
              <w:t>stockholders</w:t>
            </w:r>
          </w:p>
        </w:tc>
        <w:tc>
          <w:tcPr>
            <w:tcW w:w="6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060" w:type="dxa"/>
            <w:vAlign w:val="bottom"/>
          </w:tcPr>
          <w:p>
            <w:pPr>
              <w:ind w:left="340"/>
              <w:spacing w:after="0" w:line="185" w:lineRule="exact"/>
              <w:rPr>
                <w:sz w:val="20"/>
                <w:szCs w:val="20"/>
                <w:color w:val="auto"/>
              </w:rPr>
            </w:pPr>
            <w:r>
              <w:rPr>
                <w:rFonts w:ascii="Arial" w:cs="Arial" w:eastAsia="Arial" w:hAnsi="Arial"/>
                <w:sz w:val="18"/>
                <w:szCs w:val="18"/>
                <w:color w:val="auto"/>
              </w:rPr>
              <w:t>Net loss per share attributable to</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20"/>
              <w:spacing w:after="0" w:line="162" w:lineRule="exact"/>
              <w:rPr>
                <w:sz w:val="20"/>
                <w:szCs w:val="20"/>
                <w:color w:val="auto"/>
              </w:rPr>
            </w:pPr>
            <w:r>
              <w:rPr>
                <w:rFonts w:ascii="Arial" w:cs="Arial" w:eastAsia="Arial" w:hAnsi="Arial"/>
                <w:sz w:val="18"/>
                <w:szCs w:val="18"/>
                <w:color w:val="auto"/>
              </w:rPr>
              <w:t>common stockholders, basic and</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line="223"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(2)</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Weighted-average shares used to</w:t>
            </w: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100"/>
              <w:spacing w:after="0" w:line="172" w:lineRule="exact"/>
              <w:rPr>
                <w:sz w:val="20"/>
                <w:szCs w:val="20"/>
                <w:color w:val="auto"/>
              </w:rPr>
            </w:pPr>
            <w:r>
              <w:rPr>
                <w:rFonts w:ascii="Arial" w:cs="Arial" w:eastAsia="Arial" w:hAnsi="Arial"/>
                <w:sz w:val="18"/>
                <w:szCs w:val="18"/>
                <w:color w:val="auto"/>
              </w:rPr>
              <w:t>compute net loss per share</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100"/>
              <w:spacing w:after="0" w:line="172" w:lineRule="exact"/>
              <w:rPr>
                <w:sz w:val="20"/>
                <w:szCs w:val="20"/>
                <w:color w:val="auto"/>
              </w:rPr>
            </w:pPr>
            <w:r>
              <w:rPr>
                <w:rFonts w:ascii="Arial" w:cs="Arial" w:eastAsia="Arial" w:hAnsi="Arial"/>
                <w:sz w:val="18"/>
                <w:szCs w:val="18"/>
                <w:color w:val="auto"/>
                <w:w w:val="99"/>
              </w:rPr>
              <w:t>attributable to common stockholders,</w:t>
            </w: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and diluted</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53,669</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420" w:hanging="414"/>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33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9"/>
              </w:rPr>
              <w:t>Year Ended December 31,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33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Arial" w:cs="Arial" w:eastAsia="Arial" w:hAnsi="Arial"/>
                <w:sz w:val="18"/>
                <w:szCs w:val="18"/>
                <w:color w:val="auto"/>
              </w:rPr>
              <w:t>Total stock-based compensation</w:t>
            </w: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6"/>
        </w:trPr>
        <w:tc>
          <w:tcPr>
            <w:tcW w:w="3300" w:type="dxa"/>
            <w:vAlign w:val="bottom"/>
            <w:shd w:val="clear" w:color="auto" w:fill="CCEEFF"/>
          </w:tcPr>
          <w:p>
            <w:pPr>
              <w:ind w:left="380"/>
              <w:spacing w:after="0" w:line="187" w:lineRule="exact"/>
              <w:rPr>
                <w:sz w:val="20"/>
                <w:szCs w:val="20"/>
                <w:color w:val="auto"/>
              </w:rPr>
            </w:pPr>
            <w:r>
              <w:rPr>
                <w:rFonts w:ascii="Arial" w:cs="Arial" w:eastAsia="Arial" w:hAnsi="Arial"/>
                <w:sz w:val="18"/>
                <w:szCs w:val="18"/>
                <w:color w:val="auto"/>
              </w:rPr>
              <w:t>expense</w:t>
            </w:r>
          </w:p>
        </w:tc>
        <w:tc>
          <w:tcPr>
            <w:tcW w:w="5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
        <w:spacing w:after="0" w:line="251" w:lineRule="auto"/>
        <w:tabs>
          <w:tab w:leader="none" w:pos="4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12 to our consolidated financial statements in this Annual Report on Form 10-K for details on the calculation of basic and diluted net loss per share attributable to common stockholders.</w:t>
      </w:r>
    </w:p>
    <w:p>
      <w:pPr>
        <w:sectPr>
          <w:pgSz w:w="11900" w:h="16838" w:orient="portrait"/>
          <w:cols w:equalWidth="0" w:num="1">
            <w:col w:w="11340"/>
          </w:cols>
          <w:pgMar w:left="32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2017</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27,210</w:t>
            </w:r>
          </w:p>
        </w:tc>
      </w:tr>
      <w:tr>
        <w:trPr>
          <w:trHeight w:val="225"/>
        </w:trPr>
        <w:tc>
          <w:tcPr>
            <w:tcW w:w="4460" w:type="dxa"/>
            <w:vAlign w:val="bottom"/>
          </w:tcPr>
          <w:p>
            <w:pPr>
              <w:ind w:left="20"/>
              <w:spacing w:after="0" w:line="225" w:lineRule="exact"/>
              <w:rPr>
                <w:sz w:val="20"/>
                <w:szCs w:val="20"/>
                <w:color w:val="auto"/>
              </w:rPr>
            </w:pPr>
            <w:r>
              <w:rPr>
                <w:rFonts w:ascii="Arial" w:cs="Arial" w:eastAsia="Arial" w:hAnsi="Arial"/>
                <w:sz w:val="18"/>
                <w:szCs w:val="18"/>
                <w:color w:val="auto"/>
              </w:rPr>
              <w:t>Working capital (deficit)</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265,556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33"/>
              <w:spacing w:after="0"/>
              <w:rPr>
                <w:sz w:val="20"/>
                <w:szCs w:val="20"/>
                <w:color w:val="auto"/>
              </w:rPr>
            </w:pPr>
            <w:r>
              <w:rPr>
                <w:rFonts w:ascii="Arial" w:cs="Arial" w:eastAsia="Arial" w:hAnsi="Arial"/>
                <w:sz w:val="18"/>
                <w:szCs w:val="18"/>
                <w:color w:val="auto"/>
                <w:w w:val="98"/>
              </w:rPr>
              <w:t>108,891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13"/>
              <w:spacing w:after="0"/>
              <w:rPr>
                <w:sz w:val="20"/>
                <w:szCs w:val="20"/>
                <w:color w:val="auto"/>
              </w:rPr>
            </w:pPr>
            <w:r>
              <w:rPr>
                <w:rFonts w:ascii="Arial" w:cs="Arial" w:eastAsia="Arial" w:hAnsi="Arial"/>
                <w:sz w:val="18"/>
                <w:szCs w:val="18"/>
                <w:color w:val="auto"/>
                <w:w w:val="95"/>
              </w:rPr>
              <w:t>142,484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(69,091)</w:t>
            </w: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1,248,819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164,337</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530,885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434,510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363,127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225,818</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Term loan, net of issuance costs (net of current portion)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277,735</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(607,852)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8"/>
              </w:rPr>
              <w:t>(466,108)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(392,587)</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215,313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33"/>
              <w:spacing w:after="0"/>
              <w:rPr>
                <w:sz w:val="20"/>
                <w:szCs w:val="20"/>
                <w:color w:val="auto"/>
              </w:rPr>
            </w:pPr>
            <w:r>
              <w:rPr>
                <w:rFonts w:ascii="Arial" w:cs="Arial" w:eastAsia="Arial" w:hAnsi="Arial"/>
                <w:sz w:val="18"/>
                <w:szCs w:val="18"/>
                <w:color w:val="auto"/>
                <w:w w:val="98"/>
              </w:rPr>
              <w:t>150,665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113"/>
              <w:spacing w:after="0"/>
              <w:rPr>
                <w:sz w:val="20"/>
                <w:szCs w:val="20"/>
                <w:color w:val="auto"/>
              </w:rPr>
            </w:pPr>
            <w:r>
              <w:rPr>
                <w:rFonts w:ascii="Arial" w:cs="Arial" w:eastAsia="Arial" w:hAnsi="Arial"/>
                <w:sz w:val="18"/>
                <w:szCs w:val="18"/>
                <w:color w:val="auto"/>
                <w:w w:val="95"/>
              </w:rPr>
              <w:t>121,763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(371,665)</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460" w:firstLine="6"/>
        <w:spacing w:after="0" w:line="251" w:lineRule="auto"/>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define working capital (deficit) as total current assets less total current liabilities. See our consolidated financial statements in this Annual Report on Form 10-K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8" w:lineRule="exact"/>
        <w:rPr>
          <w:sz w:val="20"/>
          <w:szCs w:val="20"/>
          <w:color w:val="auto"/>
        </w:rPr>
      </w:pPr>
    </w:p>
    <w:p>
      <w:pPr>
        <w:ind w:firstLine="318"/>
        <w:spacing w:after="0" w:line="21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Such risks and uncertainties may be amplified by the COVID-19 pandemic and its potential impact on our business and the global economy.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right="960" w:firstLine="318"/>
        <w:spacing w:after="0" w:line="251" w:lineRule="auto"/>
        <w:rPr>
          <w:sz w:val="20"/>
          <w:szCs w:val="20"/>
          <w:color w:val="auto"/>
        </w:rPr>
      </w:pPr>
      <w:r>
        <w:rPr>
          <w:rFonts w:ascii="Arial" w:cs="Arial" w:eastAsia="Arial" w:hAnsi="Arial"/>
          <w:sz w:val="18"/>
          <w:szCs w:val="18"/>
          <w:color w:val="auto"/>
        </w:rPr>
        <w:t>We are a leading provider of Cyber Exposure solutions. Cyber Exposure is a discipline for managing, measuring and comparing cybersecurity risk in the digital era.</w:t>
      </w:r>
    </w:p>
    <w:p>
      <w:pPr>
        <w:spacing w:after="0" w:line="203"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have continued to expand and diversify our platform offerings from traditional vulnerability management (VM) solutions, which include Tenable.sc and Nessus, to our cloud exposure solutions, which include Tenable.ep, Tenable.io, Tenable.cs, Tenable Web Scanning, or Tenable.io WAS, Tenable.ad and Tenable.ot. 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DevOps environments, Active Directory and Identity environments, and Industrial IoT and OT environments. We also provide deep analytics to help organizations score, trend and compare their cyber exposure over time, and communicate cyber risk in business terms to make better strategic decisions. Our platform offerings integrate and analyze data from our native collectors alongside IT asset, vulnerability and threat data from third-party systems and applications to prioritize security issues for remediation and focus an organization’s resources based on risk and business criticality.</w:t>
      </w:r>
    </w:p>
    <w:p>
      <w:pPr>
        <w:spacing w:after="0" w:line="211"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w:t>
      </w:r>
    </w:p>
    <w:p>
      <w:pPr>
        <w:spacing w:after="0" w:line="20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most widely deployed vulnerability assessment solutions in the cybersecurity industry. Nessus, which is sold on a stand-alone basis and is the technology that underpins our enterprise platform offerings, is designed to quickly and accurately identify security vulnerabilities, configuration issues and malware. Our free version of Nessus, Nessus Essentials, allows for vulnerability assessment over a limited number of IP addresses. We believe many of our Nessus customers begin with Nessus Essentials and subsequently upgrade to Nessus Professional, the paid version of Nessus; however, we expect a significant number of users to continue to use Nessus Essentials.</w:t>
      </w:r>
    </w:p>
    <w:p>
      <w:pPr>
        <w:spacing w:after="0" w:line="211"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Revenue in 2021, 2020 and 2019 was $541.1 million, $440.2 million and $354.6 million, representing year-over-year growth of 23% and 24%, respectively. Our recurring revenue, which includes revenue from subscription arrangements for software and cloud-based solutions and maintenance associated with perpetual licenses, represented 94.6%, 93.6% and 91.8% of revenue in 2021, 2020 and 2019, respectively. Our net loss in 2021, 2020 and 2019 was $46.7 million, $42.7 million and $99.0 million, respectively, as we continue to invest in our business and market opportunity. Our cash flows from operating activities were $96.8 million, $64.2 million and $(10.7) million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COVID-19 Update</w:t>
      </w:r>
    </w:p>
    <w:p>
      <w:pPr>
        <w:spacing w:after="0" w:line="239" w:lineRule="exact"/>
        <w:rPr>
          <w:sz w:val="20"/>
          <w:szCs w:val="20"/>
          <w:color w:val="auto"/>
        </w:rPr>
      </w:pPr>
    </w:p>
    <w:p>
      <w:pPr>
        <w:ind w:right="260" w:firstLine="318"/>
        <w:spacing w:after="0" w:line="246" w:lineRule="auto"/>
        <w:rPr>
          <w:sz w:val="20"/>
          <w:szCs w:val="20"/>
          <w:color w:val="auto"/>
        </w:rPr>
      </w:pPr>
      <w:r>
        <w:rPr>
          <w:rFonts w:ascii="Arial" w:cs="Arial" w:eastAsia="Arial" w:hAnsi="Arial"/>
          <w:sz w:val="18"/>
          <w:szCs w:val="18"/>
          <w:color w:val="auto"/>
        </w:rPr>
        <w:t>While we have not seen a significant adverse impact on our business from the pandemic as of December 31, 2021, the extent to which it will impact our business and operations will depend on future developments that are uncertain. We continue to monitor the impact of the COVID-19 pandemic on our customers, partners, employees and service providers. We have resumed limited business travel and adopted a hybrid work environment, which we expect will lead to additional costs. For additional information on the potential effects of the COVID-19 pandemic on our business, financial condition and results of operations, see the "Liquidity and Capital Resources" section below and “Risk Factors” in Part I, Item 1A of this Form 10-K.</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our key financial results: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(90,799)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r>
      <w:tr>
        <w:trPr>
          <w:trHeight w:val="224"/>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(20,674)</w:t>
            </w:r>
          </w:p>
        </w:tc>
      </w:tr>
    </w:tbl>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Factors Affecting Our Performance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39"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Our enterprise platform offerings provide visibility into the broadest range of traditional and modern IT assets across cloud and on-premises environments. We are intensely focused on continued innovation and ongoing development of our enterprise platform offerings that empower organizations to understand and reduce their Cyber Exposure. Additionally, we continue to expand the capabilities of our Nessus products, specifically as they relate to the ability to scan for and detect the rapidly expanding volume of vulnerabilities.</w:t>
      </w:r>
    </w:p>
    <w:p>
      <w:pPr>
        <w:spacing w:after="0" w:line="208"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39"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the number of enterprise platform customers will increase future opportunities for renewals and follow-on sales. We believe that we have significant room to increase our market share.</w:t>
      </w:r>
    </w:p>
    <w:p>
      <w:pPr>
        <w:spacing w:after="0" w:line="206"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continue to invest in our partner network and sales and marketing capability in order to grow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39" w:lineRule="exact"/>
        <w:rPr>
          <w:sz w:val="20"/>
          <w:szCs w:val="20"/>
          <w:color w:val="auto"/>
        </w:rPr>
      </w:pPr>
    </w:p>
    <w:p>
      <w:pPr>
        <w:ind w:right="120" w:firstLine="318"/>
        <w:spacing w:after="0" w:line="266" w:lineRule="auto"/>
        <w:rPr>
          <w:sz w:val="20"/>
          <w:szCs w:val="20"/>
          <w:color w:val="auto"/>
        </w:rPr>
      </w:pPr>
      <w:r>
        <w:rPr>
          <w:rFonts w:ascii="Arial" w:cs="Arial" w:eastAsia="Arial" w:hAnsi="Arial"/>
          <w:sz w:val="17"/>
          <w:szCs w:val="17"/>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IoT and OT, they often increase the scope of their subscriptions and/or add additional perpetual licenses to our enterprise platforms.</w:t>
      </w:r>
    </w:p>
    <w:p>
      <w:pPr>
        <w:spacing w:after="0" w:line="193"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Professional customers are typically organizations or independent security consultants that use Nessus Professional for a single vulnerability assessment at a point in time. We seek to convert these customers to our enterprise platform offerings, which provide continuous visibility and insights into their attack surface, as their needs develop.</w:t>
      </w:r>
    </w:p>
    <w:p>
      <w:pPr>
        <w:spacing w:after="0" w:line="208" w:lineRule="exact"/>
        <w:rPr>
          <w:sz w:val="20"/>
          <w:szCs w:val="20"/>
          <w:color w:val="auto"/>
        </w:rPr>
      </w:pPr>
    </w:p>
    <w:p>
      <w:pPr>
        <w:ind w:right="200" w:firstLine="318"/>
        <w:spacing w:after="0" w:line="246" w:lineRule="auto"/>
        <w:rPr>
          <w:sz w:val="20"/>
          <w:szCs w:val="20"/>
          <w:color w:val="auto"/>
        </w:rPr>
      </w:pPr>
      <w:r>
        <w:rPr>
          <w:rFonts w:ascii="Arial" w:cs="Arial" w:eastAsia="Arial" w:hAnsi="Arial"/>
          <w:sz w:val="18"/>
          <w:szCs w:val="18"/>
          <w:color w:val="auto"/>
        </w:rPr>
        <w:t>Further, we plan to expand existing platform capabilities and launch new products,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 However, our ability to increase sales to existing customers will depend on a number of factors, including satisfaction or dissatisfaction with our products and services, competition, pricing, current economic conditions or overall changes in our and our clients' spending levels.</w:t>
      </w:r>
    </w:p>
    <w:p>
      <w:pPr>
        <w:spacing w:after="0" w:line="211"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We evaluate our ability to expand sales with existing customers by assessing our dollar-based net expansion rate on a last twelve months, or LTM, basis. We have historically calculated our dollar-based net expansion rate as follows:</w:t>
      </w:r>
    </w:p>
    <w:p>
      <w:pPr>
        <w:spacing w:after="0" w:line="203" w:lineRule="exact"/>
        <w:rPr>
          <w:sz w:val="20"/>
          <w:szCs w:val="20"/>
          <w:color w:val="auto"/>
        </w:rPr>
      </w:pPr>
    </w:p>
    <w:p>
      <w:pPr>
        <w:ind w:left="640" w:right="300" w:hanging="316"/>
        <w:spacing w:after="0" w:line="247"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7" w:lineRule="exact"/>
        <w:rPr>
          <w:rFonts w:ascii="Arial" w:cs="Arial" w:eastAsia="Arial" w:hAnsi="Arial"/>
          <w:sz w:val="18"/>
          <w:szCs w:val="18"/>
          <w:color w:val="auto"/>
        </w:rPr>
      </w:pPr>
    </w:p>
    <w:p>
      <w:pPr>
        <w:ind w:left="640" w:right="320" w:hanging="316"/>
        <w:spacing w:after="0" w:line="251"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17"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dollar-based net expansion rate for 2021 exceeded 110% on an LTM basis. Our dollar-based net expansion rate may fluctuate from quarter to quarter if our existing customers choose to reduce or delay technology spending in response to economic conditions resulting from the COVID-19 pandemic, or as a result of a number of other factors, including our existing customers' satisfaction with our solutions, the pricing of our solutions and the ability of competing solutions and the pricing thereof.</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also utilize an alternative dollar-based net expansion rate to assess our ability to expand sales with existing customers and evaluate the performance of our sales team. This alternative dollar-based net expansion rate is based on the methodology described above, but excludes the annual contract value of prior period multi-year sales from ARR in the numerator and the denominator of the calculation. We believe this methodology more closely aligns with the renewal and expansion goals established for our sales team because it measures net expansion by customers with contracts up for renewal during the period. Applying this methodology would have increased the dollar-based net expansion rate by two to five percentage points in 2020 and 2021.</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39" w:lineRule="exact"/>
        <w:rPr>
          <w:sz w:val="20"/>
          <w:szCs w:val="20"/>
          <w:color w:val="auto"/>
        </w:rPr>
      </w:pPr>
    </w:p>
    <w:p>
      <w:pPr>
        <w:jc w:val="both"/>
        <w:ind w:right="140" w:firstLine="318"/>
        <w:spacing w:after="0" w:line="247"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sales and marketing and research and development teams will occur in advance of experiencing the benefits from such investments, so it may be difficult for us to determine if we are efficiently allocating resources in those areas. We expect to acquire businesses, technology and/or development personnel that will expand and enhance the functionality of our platform offerings. These investment activities could increase our net losses over the short term if our revenue growth does not increase at higher rates. However, we expect that these investments will ultimately benefit our results of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9"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and financial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w:t>
      </w:r>
    </w:p>
    <w:p>
      <w:pPr>
        <w:spacing w:after="0" w:line="207"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include these operating metrics and non-GAAP financial measures to present our operating and financial performance using a management view and because we believe that these measures provide an additional comparison of our core operating and financial performance over multiple periods with other companies in our industry.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39"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7"/>
          <w:szCs w:val="17"/>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88" w:lineRule="exact"/>
        <w:rPr>
          <w:sz w:val="20"/>
          <w:szCs w:val="20"/>
          <w:color w:val="auto"/>
        </w:rPr>
      </w:pPr>
    </w:p>
    <w:p>
      <w:pPr>
        <w:ind w:right="400" w:firstLine="318"/>
        <w:spacing w:after="0" w:line="266" w:lineRule="auto"/>
        <w:rPr>
          <w:sz w:val="20"/>
          <w:szCs w:val="20"/>
          <w:color w:val="auto"/>
        </w:rPr>
      </w:pPr>
      <w:r>
        <w:rPr>
          <w:rFonts w:ascii="Arial" w:cs="Arial" w:eastAsia="Arial" w:hAnsi="Arial"/>
          <w:sz w:val="17"/>
          <w:szCs w:val="17"/>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193"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Calculated current billings in any one period may be impacted by the overall timing of sales, including early renewals, as well as the timing and amount of multi-year prepaid contracts, which could favorably or unfavorably impact year-over-year comparisons. For example, an increasing number of large sales transactions, for which the timing has and will continue to vary, may occur in quarters subsequent to or in advance of those that we anticipate.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8"/>
              </w:rPr>
              <w:t>541,130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440,221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8"/>
              </w:rPr>
              <w:t>354,586</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20" w:type="dxa"/>
            <w:vAlign w:val="bottom"/>
          </w:tcPr>
          <w:p>
            <w:pPr>
              <w:spacing w:after="0"/>
              <w:rPr>
                <w:sz w:val="19"/>
                <w:szCs w:val="19"/>
                <w:color w:val="auto"/>
              </w:rPr>
            </w:pPr>
          </w:p>
        </w:tc>
        <w:tc>
          <w:tcPr>
            <w:tcW w:w="1060" w:type="dxa"/>
            <w:vAlign w:val="bottom"/>
          </w:tcPr>
          <w:p>
            <w:pPr>
              <w:jc w:val="center"/>
              <w:ind w:left="175"/>
              <w:spacing w:after="0"/>
              <w:rPr>
                <w:sz w:val="20"/>
                <w:szCs w:val="20"/>
                <w:color w:val="auto"/>
              </w:rPr>
            </w:pPr>
            <w:r>
              <w:rPr>
                <w:rFonts w:ascii="Arial" w:cs="Arial" w:eastAsia="Arial" w:hAnsi="Arial"/>
                <w:sz w:val="18"/>
                <w:szCs w:val="18"/>
                <w:color w:val="auto"/>
                <w:w w:val="98"/>
              </w:rPr>
              <w:t>407,498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173"/>
              <w:spacing w:after="0"/>
              <w:rPr>
                <w:sz w:val="20"/>
                <w:szCs w:val="20"/>
                <w:color w:val="auto"/>
              </w:rPr>
            </w:pPr>
            <w:r>
              <w:rPr>
                <w:rFonts w:ascii="Arial" w:cs="Arial" w:eastAsia="Arial" w:hAnsi="Arial"/>
                <w:sz w:val="18"/>
                <w:szCs w:val="18"/>
                <w:color w:val="auto"/>
                <w:w w:val="98"/>
              </w:rPr>
              <w:t>328,819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left="153"/>
              <w:spacing w:after="0"/>
              <w:rPr>
                <w:sz w:val="20"/>
                <w:szCs w:val="20"/>
                <w:color w:val="auto"/>
              </w:rPr>
            </w:pPr>
            <w:r>
              <w:rPr>
                <w:rFonts w:ascii="Arial" w:cs="Arial" w:eastAsia="Arial" w:hAnsi="Arial"/>
                <w:sz w:val="18"/>
                <w:szCs w:val="18"/>
                <w:color w:val="auto"/>
                <w:w w:val="98"/>
              </w:rPr>
              <w:t>274,348</w:t>
            </w:r>
          </w:p>
        </w:tc>
      </w:tr>
      <w:tr>
        <w:trPr>
          <w:trHeight w:val="226"/>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55"/>
              <w:spacing w:after="0"/>
              <w:rPr>
                <w:sz w:val="20"/>
                <w:szCs w:val="20"/>
                <w:color w:val="auto"/>
              </w:rPr>
            </w:pPr>
            <w:r>
              <w:rPr>
                <w:rFonts w:ascii="Arial" w:cs="Arial" w:eastAsia="Arial" w:hAnsi="Arial"/>
                <w:sz w:val="18"/>
                <w:szCs w:val="18"/>
                <w:color w:val="auto"/>
                <w:w w:val="95"/>
              </w:rPr>
              <w:t>(331,462)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(274,348)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8"/>
              </w:rPr>
              <w:t>(214,069)</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w w:val="98"/>
              </w:rPr>
              <w:t>617,166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8"/>
              </w:rPr>
              <w:t>494,692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8"/>
              </w:rPr>
              <w:t>414,865</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620" w:firstLine="6"/>
        <w:spacing w:after="0" w:line="252" w:lineRule="auto"/>
        <w:tabs>
          <w:tab w:leader="none" w:pos="3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Deferred revenue (current), beginning of period for 2021 and 2019 includes $2.6 million and $0.4 million, respectively, related to acquired deferred revenue.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Free Cash Flow and Unlevered Free Cash Flow</w:t>
      </w:r>
    </w:p>
    <w:p>
      <w:pPr>
        <w:spacing w:after="0" w:line="23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as a liquidity measure because it measures our ability to generate or use cash.</w:t>
      </w:r>
    </w:p>
    <w:p>
      <w:pPr>
        <w:spacing w:after="0" w:line="208" w:lineRule="exact"/>
        <w:rPr>
          <w:sz w:val="20"/>
          <w:szCs w:val="20"/>
          <w:color w:val="auto"/>
        </w:rPr>
      </w:pPr>
    </w:p>
    <w:p>
      <w:pPr>
        <w:jc w:val="both"/>
        <w:ind w:right="280" w:firstLine="318"/>
        <w:spacing w:after="0" w:line="248" w:lineRule="auto"/>
        <w:rPr>
          <w:sz w:val="20"/>
          <w:szCs w:val="20"/>
          <w:color w:val="auto"/>
        </w:rPr>
      </w:pPr>
      <w:r>
        <w:rPr>
          <w:rFonts w:ascii="Arial" w:cs="Arial" w:eastAsia="Arial" w:hAnsi="Arial"/>
          <w:sz w:val="18"/>
          <w:szCs w:val="18"/>
          <w:color w:val="auto"/>
        </w:rPr>
        <w:t>We also use the non-GAAP measure of unlevered free cash flow, which we define as free cash flow plus cash paid for interest and other financing costs. We believe unlevered free cash flow is useful as a liquidity measure as it measures the cash that is available to invest in our business and meet our current and future financing needs.</w:t>
      </w:r>
    </w:p>
    <w:p>
      <w:pPr>
        <w:spacing w:after="0" w:line="206"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use of free cash flow and unlevered free cash flow has limitations as an analytical tool and you should not consider them in isolation or as a substitute for an analysis of our results under GAAP. First, free cash flow and unlevered free cash flow are not substitutes for net cash flows from operating activities. Second, other companies may calculate free cash flow, unlevered free cash flow or similarly titled non-GAAP financial measures differently or may use other measures to evaluate their performance, all of which could reduce the usefulness of free cash flow and unlevered free cash flow as tools for comparison. Additionally, the utility of free cash flow and unlevered free cash flow is further limited as it does not reflect our future contractual commitments and does not represent the total increase or decrease in our cash balance for a given period. Because of these and other limitations, you should consider free cash flow and unlevered free cash flow along with net cash provided by (used in) operating activities and our other GAAP financial measures.</w:t>
      </w:r>
    </w:p>
    <w:p>
      <w:pPr>
        <w:spacing w:after="0" w:line="211"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following table presents a reconciliation of net cash provided by (used in) operating activities, the most directly comparable financial measure calculated in accordance with GAAP, to free cash flow and unlevered cash flow: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(20,674)</w:t>
            </w:r>
          </w:p>
        </w:tc>
      </w:tr>
      <w:tr>
        <w:trPr>
          <w:trHeight w:val="219"/>
        </w:trPr>
        <w:tc>
          <w:tcPr>
            <w:tcW w:w="6900" w:type="dxa"/>
            <w:vAlign w:val="bottom"/>
            <w:shd w:val="clear" w:color="auto" w:fill="CCEEFF"/>
          </w:tcPr>
          <w:p>
            <w:pPr>
              <w:ind w:left="220"/>
              <w:spacing w:after="0" w:line="219" w:lineRule="exact"/>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(31,418)</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 and other financing costs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44"/>
        </w:trPr>
        <w:tc>
          <w:tcPr>
            <w:tcW w:w="6900" w:type="dxa"/>
            <w:vAlign w:val="bottom"/>
            <w:tcBorders>
              <w:bottom w:val="single" w:sz="8" w:color="CCEEFF"/>
            </w:tcBorders>
            <w:shd w:val="clear" w:color="auto" w:fill="CCEEFF"/>
          </w:tcPr>
          <w:p>
            <w:pPr>
              <w:ind w:left="220"/>
              <w:spacing w:after="0" w:line="219"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4"/>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Free cash flow and unlevered free cash flow for the periods presented were impacted by: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205"/>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 activity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4"/>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payment on intra-entity asset transfer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Proceeds from lease incentives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related to new headquarters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bl>
    <w:p>
      <w:pPr>
        <w:spacing w:after="0" w:line="214" w:lineRule="exact"/>
        <w:rPr>
          <w:sz w:val="20"/>
          <w:szCs w:val="20"/>
          <w:color w:val="auto"/>
        </w:rPr>
      </w:pPr>
    </w:p>
    <w:p>
      <w:pPr>
        <w:ind w:right="80" w:firstLine="636"/>
        <w:spacing w:after="0" w:line="247" w:lineRule="auto"/>
        <w:rPr>
          <w:sz w:val="20"/>
          <w:szCs w:val="20"/>
          <w:color w:val="auto"/>
        </w:rPr>
      </w:pPr>
      <w:r>
        <w:rPr>
          <w:rFonts w:ascii="Arial" w:cs="Arial" w:eastAsia="Arial" w:hAnsi="Arial"/>
          <w:sz w:val="16"/>
          <w:szCs w:val="16"/>
          <w:color w:val="auto"/>
        </w:rPr>
        <w:t>Free cash flow and unlevered free cash flow in 2021 were reduced by approximately $8 million due to prepayments of software subscription costs, insurance and rent, offset by a benefit of approximately $15 million from prepayments of similar items made in 2020. The 2020 prepayments reduced free cash flow and unlevered free cash flow by approximately $17 million in 2020.</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39" w:lineRule="exact"/>
        <w:rPr>
          <w:sz w:val="20"/>
          <w:szCs w:val="20"/>
          <w:color w:val="auto"/>
        </w:rPr>
      </w:pPr>
    </w:p>
    <w:p>
      <w:pPr>
        <w:ind w:right="400" w:firstLine="318"/>
        <w:spacing w:after="0" w:line="25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r>
      <w:tr>
        <w:trPr>
          <w:trHeight w:val="219"/>
        </w:trPr>
        <w:tc>
          <w:tcPr>
            <w:tcW w:w="69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2"/>
                <w:szCs w:val="22"/>
                <w:color w:val="auto"/>
                <w:vertAlign w:val="superscript"/>
              </w:rPr>
              <w:t>(1)(2)</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1,882</w:t>
            </w:r>
          </w:p>
        </w:tc>
        <w:tc>
          <w:tcPr>
            <w:tcW w:w="180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1,511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180" w:firstLine="6"/>
        <w:spacing w:after="0" w:line="247" w:lineRule="auto"/>
        <w:tabs>
          <w:tab w:leader="none" w:pos="3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Tenable.ep, Tenable.io, Tenable.cs, Tenable.ad, Tenable.ot or Tenable.sc for an annual amount of $5,000 or greater. New enterprise platform customers represent new customer logos during the periods presented and do not include customer conversions from Nessus Professional to enterprise platforms.</w:t>
      </w:r>
    </w:p>
    <w:p>
      <w:pPr>
        <w:spacing w:after="0" w:line="41" w:lineRule="exact"/>
        <w:rPr>
          <w:rFonts w:ascii="Arial" w:cs="Arial" w:eastAsia="Arial" w:hAnsi="Arial"/>
          <w:sz w:val="16"/>
          <w:szCs w:val="16"/>
          <w:color w:val="auto"/>
        </w:rPr>
      </w:pPr>
    </w:p>
    <w:p>
      <w:pPr>
        <w:ind w:left="380" w:hanging="374"/>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number of new enterprise platform customers added in 2021 includes 95 legacy customers of our acquisitions.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At December 31,</w:t>
            </w:r>
          </w:p>
        </w:tc>
        <w:tc>
          <w:tcPr>
            <w:tcW w:w="136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r>
      <w:tr>
        <w:trPr>
          <w:trHeight w:val="165"/>
        </w:trPr>
        <w:tc>
          <w:tcPr>
            <w:tcW w:w="69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3"/>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641</w:t>
            </w: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Income (Loss) from Operations and Non-GAAP Operating Margin</w:t>
      </w:r>
    </w:p>
    <w:p>
      <w:pPr>
        <w:spacing w:after="0" w:line="239" w:lineRule="exact"/>
        <w:rPr>
          <w:sz w:val="20"/>
          <w:szCs w:val="20"/>
          <w:color w:val="auto"/>
        </w:rPr>
      </w:pPr>
    </w:p>
    <w:p>
      <w:pPr>
        <w:ind w:right="280" w:firstLine="318"/>
        <w:spacing w:after="0" w:line="247" w:lineRule="auto"/>
        <w:rPr>
          <w:sz w:val="20"/>
          <w:szCs w:val="20"/>
          <w:color w:val="auto"/>
        </w:rPr>
      </w:pPr>
      <w:r>
        <w:rPr>
          <w:rFonts w:ascii="Arial" w:cs="Arial" w:eastAsia="Arial" w:hAnsi="Arial"/>
          <w:sz w:val="18"/>
          <w:szCs w:val="18"/>
          <w:color w:val="auto"/>
        </w:rPr>
        <w:t>We use non-GAAP income (loss) from operations along with non-GAAP operating margin as key indicators of our financial performance. We define these non-GAAP financial measures as their respective GAAP measures, excluding the effects of stock-based compensation, acquisition-related expenses and amortization of acquired intangible assets. Acquisition-related expenses include transaction expenses and costs related to the intercompany transfer of acquired intellectual property.</w:t>
      </w:r>
    </w:p>
    <w:p>
      <w:pPr>
        <w:spacing w:after="0" w:line="208"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(loss) from operations and non-GAAP operating margin exclude stock-based compensation expense, which has been, and will continue to be, a significant recurring expense in our business and an important part of our compensation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80" w:firstLine="318"/>
        <w:spacing w:after="0" w:line="248"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(loss) from operations, and operating margin, the most directly comparable financial measure calculated in accordance with GAAP, to non-GAAP operating margin: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2019</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(90,799)</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79,405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59,573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43,443</w:t>
            </w: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3,970</w:t>
            </w:r>
          </w:p>
        </w:tc>
      </w:tr>
      <w:tr>
        <w:trPr>
          <w:trHeight w:val="225"/>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620</w:t>
            </w:r>
          </w:p>
        </w:tc>
      </w:tr>
      <w:tr>
        <w:trPr>
          <w:trHeight w:val="244"/>
        </w:trPr>
        <w:tc>
          <w:tcPr>
            <w:tcW w:w="6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income (loss) from operations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50,985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25,793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(42,766)</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4"/>
        </w:trPr>
        <w:tc>
          <w:tcPr>
            <w:tcW w:w="654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Net Income (Loss) and Non-GAAP Earnings (Loss) Per Share</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use non-GAAP net income (loss), which excludes stock-based compensation, acquisition-related expenses and amortization of acquired intangible assets, as well as the related tax impacts, and the tax impact of intra-entity asset transfers resulting from the internal restructuring of legal entities as well as deferred income tax benefits recognized in connection with acquisitions, to calculate non-GAAP earnings (loss) per share. We believe that these non-GAAP measures provide important information because they facilitate comparisons of our core operating results over multiple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(loss) and non-GAAP earnings (loss) per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43,443</w:t>
            </w:r>
          </w:p>
        </w:tc>
      </w:tr>
      <w:tr>
        <w:trPr>
          <w:trHeight w:val="226"/>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3,970</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acquisitions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10,582</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Non-GAAP net income (loss)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(3)</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acquisitions</w:t>
            </w:r>
            <w:r>
              <w:rPr>
                <w:rFonts w:ascii="Arial" w:cs="Arial" w:eastAsia="Arial" w:hAnsi="Arial"/>
                <w:sz w:val="22"/>
                <w:szCs w:val="22"/>
                <w:color w:val="auto"/>
                <w:vertAlign w:val="superscript"/>
              </w:rPr>
              <w:t>(4)</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intra-entity asset transfer</w:t>
            </w:r>
            <w:r>
              <w:rPr>
                <w:rFonts w:ascii="Arial" w:cs="Arial" w:eastAsia="Arial" w:hAnsi="Arial"/>
                <w:sz w:val="22"/>
                <w:szCs w:val="22"/>
                <w:color w:val="auto"/>
                <w:vertAlign w:val="superscript"/>
              </w:rPr>
              <w:t>(5)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2"/>
                <w:szCs w:val="22"/>
                <w:color w:val="auto"/>
                <w:vertAlign w:val="superscript"/>
              </w:rPr>
              <w:t>(6)</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Non-GAAP earnings (loss) per share, diluted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2"/>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shares used to compute GAAP net loss per share,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96,014</w:t>
            </w:r>
          </w:p>
        </w:tc>
      </w:tr>
      <w:tr>
        <w:trPr>
          <w:trHeight w:val="265"/>
        </w:trPr>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174"/>
        </w:trPr>
        <w:tc>
          <w:tcPr>
            <w:tcW w:w="6900" w:type="dxa"/>
            <w:vAlign w:val="bottom"/>
          </w:tcPr>
          <w:p>
            <w:pPr>
              <w:ind w:left="20"/>
              <w:spacing w:after="0" w:line="175" w:lineRule="exact"/>
              <w:rPr>
                <w:sz w:val="20"/>
                <w:szCs w:val="20"/>
                <w:color w:val="auto"/>
              </w:rPr>
            </w:pPr>
            <w:r>
              <w:rPr>
                <w:rFonts w:ascii="Arial" w:cs="Arial" w:eastAsia="Arial" w:hAnsi="Arial"/>
                <w:sz w:val="18"/>
                <w:szCs w:val="18"/>
                <w:color w:val="auto"/>
              </w:rPr>
              <w:t>Weighted-average shares used to compute non-GAAP earnings (loss) per share,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4"/>
        </w:trPr>
        <w:tc>
          <w:tcPr>
            <w:tcW w:w="6900" w:type="dxa"/>
            <w:vAlign w:val="bottom"/>
          </w:tcPr>
          <w:p>
            <w:pPr>
              <w:ind w:left="100"/>
              <w:spacing w:after="0"/>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(7)</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114,825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96,014</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ind w:left="320" w:hanging="314"/>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applicable tax jurisdictions.</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impact of acquisition-related expenses is not material.</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impact of the amortization of acquired intangible assets is included in the tax impact of acquisitions.</w:t>
      </w:r>
    </w:p>
    <w:p>
      <w:pPr>
        <w:spacing w:after="0" w:line="54" w:lineRule="exact"/>
        <w:rPr>
          <w:rFonts w:ascii="Arial" w:cs="Arial" w:eastAsia="Arial" w:hAnsi="Arial"/>
          <w:sz w:val="16"/>
          <w:szCs w:val="16"/>
          <w:color w:val="auto"/>
        </w:rPr>
      </w:pPr>
    </w:p>
    <w:p>
      <w:pPr>
        <w:ind w:right="40" w:firstLine="6"/>
        <w:spacing w:after="0" w:line="245" w:lineRule="auto"/>
        <w:tabs>
          <w:tab w:leader="none" w:pos="3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impact of acquisitions in 2021 includes a reversal of the $7.9 million income tax benefit recognized for GAAP purposes related to the partial release of our valuation allowance associated with the Accurics acquisition and a reversal of $2.6 million of deferred tax benefits related to the Alsid acquisition. The tax impact of the Indegy acquisition in 2019 includes $6.3 million of current tax expense and $4.2 million of deferred tax expense related to the transfer of acquired intellectual property.</w:t>
      </w:r>
    </w:p>
    <w:p>
      <w:pPr>
        <w:spacing w:after="0" w:line="43" w:lineRule="exact"/>
        <w:rPr>
          <w:rFonts w:ascii="Arial" w:cs="Arial" w:eastAsia="Arial" w:hAnsi="Arial"/>
          <w:sz w:val="16"/>
          <w:szCs w:val="16"/>
          <w:color w:val="auto"/>
        </w:rPr>
      </w:pPr>
    </w:p>
    <w:p>
      <w:pPr>
        <w:ind w:right="120" w:firstLine="6"/>
        <w:spacing w:after="0" w:line="252" w:lineRule="auto"/>
        <w:tabs>
          <w:tab w:leader="none" w:pos="3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tax impact of the intra-entity asset transfer is related to the internal restructuring of Indegy, resulting in a current tax payment based on the applicable Israeli tax rate.</w:t>
      </w:r>
    </w:p>
    <w:p>
      <w:pPr>
        <w:spacing w:after="0" w:line="37" w:lineRule="exact"/>
        <w:rPr>
          <w:rFonts w:ascii="Arial" w:cs="Arial" w:eastAsia="Arial" w:hAnsi="Arial"/>
          <w:sz w:val="16"/>
          <w:szCs w:val="16"/>
          <w:color w:val="auto"/>
        </w:rPr>
      </w:pPr>
    </w:p>
    <w:p>
      <w:pPr>
        <w:ind w:right="700" w:firstLine="6"/>
        <w:spacing w:after="0" w:line="252" w:lineRule="auto"/>
        <w:tabs>
          <w:tab w:leader="none" w:pos="3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w:t>
      </w:r>
    </w:p>
    <w:p>
      <w:pPr>
        <w:spacing w:after="0" w:line="37" w:lineRule="exact"/>
        <w:rPr>
          <w:rFonts w:ascii="Arial" w:cs="Arial" w:eastAsia="Arial" w:hAnsi="Arial"/>
          <w:sz w:val="16"/>
          <w:szCs w:val="16"/>
          <w:color w:val="auto"/>
        </w:rPr>
      </w:pPr>
    </w:p>
    <w:p>
      <w:pPr>
        <w:ind w:right="440" w:firstLine="6"/>
        <w:spacing w:after="0" w:line="252" w:lineRule="auto"/>
        <w:tabs>
          <w:tab w:leader="none" w:pos="3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periods in which there is a non-GAAP net loss, basic and diluted weighted average shares outstanding are the same, as potentially dilutive shares would be antidilutive.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680" w:firstLine="318"/>
        <w:spacing w:after="0" w:line="25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211"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0"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6"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39"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hardware costs and allocated overhead costs, which consist of information technology and facilities.</w:t>
      </w:r>
    </w:p>
    <w:p>
      <w:pPr>
        <w:spacing w:after="0" w:line="20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20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our gross profit to increase in absolute dollars but our gross margin to decrease over time, as we expect revenue from our cloud-based subscriptions to increase as a percentage of revenue. However, our gross margin could fluctuate from period to period depending on the interplay of all of these factors, particularly as it relates to cloud infrastructure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stock-based compensation and any severance. Operating expenses also include depreciation and amortization as well as allocated overhead costs, including IT and facilities costs.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235" w:lineRule="exact"/>
        <w:rPr>
          <w:sz w:val="20"/>
          <w:szCs w:val="20"/>
          <w:color w:val="auto"/>
        </w:rPr>
      </w:pPr>
    </w:p>
    <w:p>
      <w:pPr>
        <w:ind w:right="60" w:firstLine="318"/>
        <w:spacing w:after="0" w:line="245"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and allocated overhead costs. We capitalize sales commissions, including related fringe benefit costs, and recognize the expense over an estimated period of benefit, which ranges between three and four years for subscription arrangements</w:t>
      </w:r>
    </w:p>
    <w:p>
      <w:pPr>
        <w:spacing w:after="0" w:line="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235"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188"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235"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from period to period due to the timing and extent of these expenses.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23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Interest (expense) income, net consists primarily of interest expense in connection with our senior secured term loan facility, or Term Loan, unused commitment fees on our senior secured revolving credit facility, or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and letter of credit fees. Interest (expense) income, net also includes interest income earned on cash and cash equivalents and short-term investments.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expense, net consists primarily of foreign currency remeasurement and transaction gains and losses.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(Benefit) provision for income taxes has historically consisted of income taxes in certain foreign jurisdictions in which we conduct business and the related withholding taxes on sales to foreign customers. We typically maintain a valuation allowance on our deferred tax assets, including net operating loss carryforwards and tax credits, and expect this to continue for the foreseeable future as it is more likely than not that some or all of those deferred tax assets may not be realized based on our history of losses.</w:t>
      </w:r>
    </w:p>
    <w:p>
      <w:pPr>
        <w:spacing w:after="0" w:line="208"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In 2021, the income tax benefit resulted from a partial release of our valuation allowance associated with the Accurics acquisition and a deferred tax benefit related to post-acquisition activities of Alsid, which were partially offset by tax expense from the restructuring of our research and development operations in Israel as well as income taxes in certain foreign jurisdictions in which we conduct business and the related withholding taxes on sales to foreign customers.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2019, the provision for income taxes also included the tax impact related to the intercompany transfer of acquired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0" w:type="dxa"/>
            <w:vAlign w:val="bottom"/>
          </w:tcPr>
          <w:p>
            <w:pPr>
              <w:spacing w:after="0"/>
              <w:rPr>
                <w:sz w:val="1"/>
                <w:szCs w:val="1"/>
                <w:color w:val="auto"/>
              </w:rPr>
            </w:pPr>
          </w:p>
        </w:tc>
      </w:tr>
      <w:tr>
        <w:trPr>
          <w:trHeight w:val="225"/>
        </w:trPr>
        <w:tc>
          <w:tcPr>
            <w:tcW w:w="690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87,064</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0" w:type="dxa"/>
            <w:vAlign w:val="bottom"/>
          </w:tcPr>
          <w:p>
            <w:pPr>
              <w:spacing w:after="0"/>
              <w:rPr>
                <w:sz w:val="1"/>
                <w:szCs w:val="1"/>
                <w:color w:val="auto"/>
              </w:rPr>
            </w:pP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0" w:type="dxa"/>
            <w:vAlign w:val="bottom"/>
          </w:tcPr>
          <w:p>
            <w:pPr>
              <w:spacing w:after="0"/>
              <w:rPr>
                <w:sz w:val="1"/>
                <w:szCs w:val="1"/>
                <w:color w:val="auto"/>
              </w:rPr>
            </w:pPr>
          </w:p>
        </w:tc>
      </w:tr>
      <w:tr>
        <w:trPr>
          <w:trHeight w:val="225"/>
        </w:trPr>
        <w:tc>
          <w:tcPr>
            <w:tcW w:w="690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(85,649)</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19"/>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(99,013)</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0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Comparison of 2021 and 2020</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increase in revenue: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19"/>
        </w:trPr>
        <w:tc>
          <w:tcPr>
            <w:tcW w:w="530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revenue increased $46.3 million, or 17%. International revenue increased $54.6 million, or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106,396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77,554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434,734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362,667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$28.8 million was primarily due to:</w:t>
      </w:r>
    </w:p>
    <w:p>
      <w:pPr>
        <w:spacing w:after="0" w:line="111"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$17.8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$4.1 million increase in the amortization of acquired intangible assets;</w:t>
      </w:r>
    </w:p>
    <w:p>
      <w:pPr>
        <w:spacing w:after="0" w:line="58" w:lineRule="exact"/>
        <w:rPr>
          <w:rFonts w:ascii="Arial" w:cs="Arial" w:eastAsia="Arial" w:hAnsi="Arial"/>
          <w:sz w:val="18"/>
          <w:szCs w:val="18"/>
          <w:color w:val="auto"/>
        </w:rPr>
      </w:pPr>
    </w:p>
    <w:p>
      <w:pPr>
        <w:ind w:left="640" w:right="120" w:hanging="316"/>
        <w:spacing w:after="0" w:line="251"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$4.0 million increase in personnel costs, primarily due to support for cloud-based products and an increase in headcount, including a $1.3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$1.2 million increase in professional fees;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$1.1 million increase in hardware costs;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$0.6 million decrease in allocated overhead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$45.9 million was primarily due to:</w:t>
      </w:r>
    </w:p>
    <w:p>
      <w:pPr>
        <w:spacing w:after="0" w:line="111" w:lineRule="exact"/>
        <w:rPr>
          <w:sz w:val="20"/>
          <w:szCs w:val="20"/>
          <w:color w:val="auto"/>
        </w:rPr>
      </w:pPr>
    </w:p>
    <w:p>
      <w:pPr>
        <w:ind w:left="640" w:right="620" w:hanging="316"/>
        <w:spacing w:after="0" w:line="251"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$23.3 million increase in personnel costs, related to an increase in headcount, including a $9.6 million increase in stock-based compensation;</w:t>
      </w:r>
    </w:p>
    <w:p>
      <w:pPr>
        <w:spacing w:after="0" w:line="44" w:lineRule="exact"/>
        <w:rPr>
          <w:rFonts w:ascii="Arial" w:cs="Arial" w:eastAsia="Arial" w:hAnsi="Arial"/>
          <w:sz w:val="18"/>
          <w:szCs w:val="18"/>
          <w:color w:val="auto"/>
        </w:rPr>
      </w:pPr>
    </w:p>
    <w:p>
      <w:pPr>
        <w:ind w:left="640" w:right="500" w:hanging="316"/>
        <w:spacing w:after="0" w:line="251"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$10.5 million increase in expenses for demand generation programs, including advertising, sponsorships, and brand awareness efforts;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$10.0 million increase in sales commissions;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$3.8 million increase in selling expenses, including software subscriptions and training programs;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$1.9 million decrease in meeting and travel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$14.7 million was primarily due to:</w:t>
      </w:r>
    </w:p>
    <w:p>
      <w:pPr>
        <w:spacing w:after="0" w:line="111" w:lineRule="exact"/>
        <w:rPr>
          <w:sz w:val="20"/>
          <w:szCs w:val="20"/>
          <w:color w:val="auto"/>
        </w:rPr>
      </w:pPr>
    </w:p>
    <w:p>
      <w:pPr>
        <w:ind w:left="640" w:right="6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$13.5 million increase in personnel costs, largely associated with an increase in headcount, including a $5.8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$2.1 million increase in third-party cloud infrastructure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$0.6 million increase in software subscriptions;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$1.0 million decrease in travel and meeting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$0.5 million decrease in allocated overhead;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$0.5 million decrease in depreciation.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$16.8 million was primarily due to:</w:t>
      </w:r>
    </w:p>
    <w:p>
      <w:pPr>
        <w:spacing w:after="0" w:line="111" w:lineRule="exact"/>
        <w:rPr>
          <w:sz w:val="20"/>
          <w:szCs w:val="20"/>
          <w:color w:val="auto"/>
        </w:rPr>
      </w:pPr>
    </w:p>
    <w:p>
      <w:pPr>
        <w:ind w:left="640" w:right="16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$7.5 million increase in personnel costs, largely associated with an increase in headcount, including a $3.2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$6.3 million increase in acquisition-related expenses;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$2.0 million increase in professional fees;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$1.0 million increase in depreciation and amortization.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2020 and 2019</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increase in 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5"/>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50,594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54,173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19"/>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U.S. revenue increased $43.0 million, or 19%. International revenue increased $42.6 million, or 33%.</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77,554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60,818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362,667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293,768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$16.7 million was primarily due to:</w:t>
      </w:r>
    </w:p>
    <w:p>
      <w:pPr>
        <w:spacing w:after="0" w:line="111" w:lineRule="exact"/>
        <w:rPr>
          <w:sz w:val="20"/>
          <w:szCs w:val="20"/>
          <w:color w:val="auto"/>
        </w:rPr>
      </w:pPr>
    </w:p>
    <w:p>
      <w:pPr>
        <w:ind w:left="640" w:right="120" w:hanging="316"/>
        <w:spacing w:after="0" w:line="251"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$7.0 million increase in personnel costs, primarily due to support for cloud-based products, including a $0.3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$6.7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$1.7 million increase in the amortization of acquired intangible assets;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$1.0 million increase in the amortization of internal use software; and</w:t>
      </w:r>
    </w:p>
    <w:p>
      <w:pPr>
        <w:spacing w:after="0" w:line="58" w:lineRule="exact"/>
        <w:rPr>
          <w:rFonts w:ascii="Arial" w:cs="Arial" w:eastAsia="Arial" w:hAnsi="Arial"/>
          <w:sz w:val="18"/>
          <w:szCs w:val="18"/>
          <w:color w:val="auto"/>
        </w:rPr>
      </w:pPr>
    </w:p>
    <w:p>
      <w:pPr>
        <w:ind w:left="640" w:right="200" w:hanging="316"/>
        <w:spacing w:after="0" w:line="251"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$0.7 million increase in allocated overhead costs driven by both the increase in average headcount and the overall increase in such costs on a year-over-year basis; partially offset by</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$1.1 million decrease in travel and meeting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sales and marketing expense of $3.8 million was primarily due to:</w:t>
      </w:r>
    </w:p>
    <w:p>
      <w:pPr>
        <w:spacing w:after="0" w:line="111"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$7.7 million decrease in selling expenses, including travel and meeting costs and software subscriptions; and</w:t>
      </w:r>
    </w:p>
    <w:p>
      <w:pPr>
        <w:spacing w:after="0" w:line="58" w:lineRule="exact"/>
        <w:rPr>
          <w:rFonts w:ascii="Arial" w:cs="Arial" w:eastAsia="Arial" w:hAnsi="Arial"/>
          <w:sz w:val="18"/>
          <w:szCs w:val="18"/>
          <w:color w:val="auto"/>
        </w:rPr>
      </w:pPr>
    </w:p>
    <w:p>
      <w:pPr>
        <w:ind w:left="640" w:right="540" w:hanging="316"/>
        <w:spacing w:after="0" w:line="251"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$6.4 million decrease in expenses for demand generation programs, including advertising, sponsorships, and brand awareness efforts; partially offset by</w:t>
      </w:r>
    </w:p>
    <w:p>
      <w:pPr>
        <w:spacing w:after="0" w:line="44"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$8.9 million increase in personnel costs, primarily due to an increase in average headcount, including a $3.8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$1.0 million increase in allocated overhead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$0.7 million increase in depreciation.</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$14.6 million was primarily due to:</w:t>
      </w:r>
    </w:p>
    <w:p>
      <w:pPr>
        <w:spacing w:after="0" w:line="111" w:lineRule="exact"/>
        <w:rPr>
          <w:sz w:val="20"/>
          <w:szCs w:val="20"/>
          <w:color w:val="auto"/>
        </w:rPr>
      </w:pPr>
    </w:p>
    <w:p>
      <w:pPr>
        <w:ind w:left="640" w:right="20" w:hanging="316"/>
        <w:spacing w:after="0" w:line="248"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$14.8 million increase in personnel costs, largely associated with an increase in average headcount, including a $5.9 million increase in stock-based compensation and a decrease of $2.6 million of development costs and stock-based compensation capitalized related to internal use software;</w:t>
      </w:r>
    </w:p>
    <w:p>
      <w:pPr>
        <w:spacing w:after="0" w:line="47"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$2.0 million increase in allocated overhead;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$0.5 million increase in software subscriptions;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$1.6 million decrease in travel and meeting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$0.9 million decrease in third-party cloud infrastructure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$3.7 million was primarily due to:</w:t>
      </w:r>
    </w:p>
    <w:p>
      <w:pPr>
        <w:spacing w:after="0" w:line="111"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$8.7 million increase in personnel costs, including a $6.1 million increase in stock-based compensation;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$1.3 million increase in allocated overhead;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$3.6 million decrease in acquisition-related expenses;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$2.3 million decrease in professional fees;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$1.5 million decrease in travel and meeting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At December 31, 2021, we had $278.0 million of cash and cash equivalents, which consisted of bank deposits and money market funds, and $234.3 million short-term investments, which consisted of commercial paper, asset backed securities, certificates of deposit, U.S. Treasury and agency obligations, and corporate and supranational bonds.</w:t>
      </w:r>
    </w:p>
    <w:p>
      <w:pPr>
        <w:spacing w:after="0" w:line="206"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Since our inception, we have primarily financed our operations through cash provided by operations, including payments received from customers using our software products and services. Prior to our IPO, we did not raise any 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$654.5 million at December 31, 2021.</w:t>
      </w:r>
    </w:p>
    <w:p>
      <w:pPr>
        <w:spacing w:after="0" w:line="19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December 31, 2021, we had deferred revenue of $530.9 million, of which $407.5 million was recorded as a current liability and is expected to be recognized as revenue in the next 12 months, provided all other revenue recognition criteria are met.</w:t>
      </w:r>
    </w:p>
    <w:p>
      <w:pPr>
        <w:spacing w:after="0" w:line="211"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In April 2021, we paid $98.5 million in cash to acquire Alsid, and in October 2021, we acquired Accurics for $160.0 million in cash. In February 2022, we acquired Cymptom for approximately $23 million in cash. We may in the future enter into arrangements to acquire or invest in other complementary businesses, services and technologies, including intellectual property rights.</w:t>
      </w:r>
    </w:p>
    <w:p>
      <w:pPr>
        <w:spacing w:after="0" w:line="207" w:lineRule="exact"/>
        <w:rPr>
          <w:sz w:val="20"/>
          <w:szCs w:val="20"/>
          <w:color w:val="auto"/>
        </w:rPr>
      </w:pPr>
    </w:p>
    <w:p>
      <w:pPr>
        <w:ind w:right="180" w:firstLine="318"/>
        <w:spacing w:after="0" w:line="262" w:lineRule="auto"/>
        <w:rPr>
          <w:sz w:val="20"/>
          <w:szCs w:val="20"/>
          <w:color w:val="auto"/>
        </w:rPr>
      </w:pPr>
      <w:r>
        <w:rPr>
          <w:rFonts w:ascii="Arial" w:cs="Arial" w:eastAsia="Arial" w:hAnsi="Arial"/>
          <w:sz w:val="17"/>
          <w:szCs w:val="17"/>
          <w:color w:val="auto"/>
        </w:rPr>
        <w:t>We expect to continue incurring operating losses in the near term. Even though we generated positive cash flows from operations and unlevered free cash flow in 2021 and 2020, we may not be able to sustain these cash flows. We believe that our existing cash and cash equivalents and short-term investments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97"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While we have not seen a significant adverse impact on our business from the pandemic as of December 31, 2021, the extent to which it will impact our business and operations will depend on future developments that are uncertain. Accordingly, the current results and financial conditions discussed herein may not be indicative of our future operating results and trends. See the section titled “Risk Factors” in Part I, Item 1A of this Form 10-K.</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 million Revolving Credit Facility, with a $15.0 million letter of credit sublimit. The Term Loan bears interest at a rate of 2.75% per annum</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over LIBOR, subject to a 0.50% floor. The Term Loan will amortize at 1% per annum in equal quarterly installments, starting in March 2022 until</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final maturity date on July 7, 2028. We may be subject to mandatory Term Loan prepayments related to the excess cash provisions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beginning in 2023. The Revolving Credit Facility bears interest at a rate, depending on first lien net leverage, ranging from</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2.00% to 2.50% over LIBOR and matures on July 7, 2026. We will pay a commitment fee during the term ranging from 0.25% to 0.375%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annum of the average daily undrawn portion of the revolving commitments based on the first lien net leverage ratio. The Credit Agreement contains customary representations and warranties and affirmative and negative covenants. Additionally, if at least 35% of the Revolving Credit Facility is drawn on the last day of the quarter, the total net leverage ratio cannot be greater than 5.50 to 1.00.</w:t>
      </w:r>
    </w:p>
    <w:p>
      <w:pPr>
        <w:spacing w:after="0" w:line="206"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At December 31, 2021, we were in compliance with the covenants and there have been no amounts outstanding under the Revolving Credit Facility.</w:t>
      </w:r>
    </w:p>
    <w:p>
      <w:pPr>
        <w:spacing w:after="0" w:line="203"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In connection with the Credit Agreement, we terminated our $45.0 million senior secured credit facility, or the 2020 Credit Facility, with Silicon Valley Bank, including the release of all related guarantees and liens. Prior to its termination, there were no amounts outstanding under our 2020 Credit Facility.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w:t>
            </w:r>
          </w:p>
        </w:tc>
      </w:tr>
      <w:tr>
        <w:trPr>
          <w:trHeight w:val="225"/>
        </w:trPr>
        <w:tc>
          <w:tcPr>
            <w:tcW w:w="690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(113,050)</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34,161</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35" w:lineRule="exact"/>
        <w:rPr>
          <w:sz w:val="20"/>
          <w:szCs w:val="20"/>
          <w:color w:val="auto"/>
        </w:rPr>
      </w:pPr>
    </w:p>
    <w:p>
      <w:pPr>
        <w:jc w:val="both"/>
        <w:ind w:right="540" w:firstLine="318"/>
        <w:spacing w:after="0" w:line="248"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35"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From 2020 to 2021, net cash used in investing activities increased by $395.7 million, primarily due to an increase of cash paid for acquisitions of $258.2 million, a net increase in short-term investments of $146.2 million, and a $5.0 million simple agreement for future equity investment in 2021, partially offset by a decrease in purchases of property and equipment of $13.7 million.</w:t>
      </w:r>
    </w:p>
    <w:p>
      <w:pPr>
        <w:spacing w:after="0" w:line="206" w:lineRule="exact"/>
        <w:rPr>
          <w:sz w:val="20"/>
          <w:szCs w:val="20"/>
          <w:color w:val="auto"/>
        </w:rPr>
      </w:pPr>
    </w:p>
    <w:p>
      <w:pPr>
        <w:ind w:right="960" w:firstLine="318"/>
        <w:spacing w:after="0" w:line="251" w:lineRule="auto"/>
        <w:rPr>
          <w:sz w:val="20"/>
          <w:szCs w:val="20"/>
          <w:color w:val="auto"/>
        </w:rPr>
      </w:pPr>
      <w:r>
        <w:rPr>
          <w:rFonts w:ascii="Arial" w:cs="Arial" w:eastAsia="Arial" w:hAnsi="Arial"/>
          <w:sz w:val="18"/>
          <w:szCs w:val="18"/>
          <w:color w:val="auto"/>
        </w:rPr>
        <w:t>From 2019 to 2020, cash flows from investing activities increased by $117.1 million, primarily due to a decrease in cash paid for acquisitions of $74.6 million and an increase in our sales, net of purchases, of investments of $42.1 million.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35"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From 2020 to 2021, net cash provided by financing activities increased by $361.2 million, primarily due to net proceeds from our Credit Facility of $365.7 million. This increase was partially offset by a decrease of $3.4 million in the proceeds from the exercise of stock options and $2.0 million of loan proceeds that we received from the state of Maryland in 2020.</w:t>
      </w:r>
    </w:p>
    <w:p>
      <w:pPr>
        <w:spacing w:after="0" w:line="206"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From 2019 to 2020, net cash provided by financing activities increased by $2.2 million, primarily due to $2.0 million of proceeds from a loan agreement from the state of Maryland and an increase in proceeds from the exercise of stock options of $2.7 million, which was partially offset by a decrease in stock issued in connection with the employee stock purchase plan of $2.1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ind w:right="80" w:firstLine="318"/>
        <w:spacing w:after="0" w:line="248" w:lineRule="auto"/>
        <w:rPr>
          <w:rFonts w:ascii="Arial" w:cs="Arial" w:eastAsia="Arial" w:hAnsi="Arial"/>
          <w:sz w:val="18"/>
          <w:szCs w:val="18"/>
          <w:color w:val="auto"/>
        </w:rPr>
      </w:pPr>
      <w:r>
        <w:rPr>
          <w:rFonts w:ascii="Arial" w:cs="Arial" w:eastAsia="Arial" w:hAnsi="Arial"/>
          <w:sz w:val="18"/>
          <w:szCs w:val="18"/>
          <w:color w:val="auto"/>
        </w:rPr>
        <w:t xml:space="preserve">We have certain contractual obligations for future payments. Refer to </w:t>
      </w:r>
      <w:hyperlink w:anchor="page88">
        <w:r>
          <w:rPr>
            <w:rFonts w:ascii="Arial" w:cs="Arial" w:eastAsia="Arial" w:hAnsi="Arial"/>
            <w:sz w:val="18"/>
            <w:szCs w:val="18"/>
            <w:u w:val="single" w:color="auto"/>
            <w:color w:val="0000FF"/>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consolidated financial statements in this Annual Report on Form 10-K for our required operating lease payments and </w:t>
      </w:r>
      <w:hyperlink w:anchor="page90">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required payments to Amazon Web Services, Inc. for cloud services.</w:t>
      </w:r>
    </w:p>
    <w:p>
      <w:pPr>
        <w:spacing w:after="0" w:line="206"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At December 31, 2021, we had other non-cancellable purchase obligations of $8.1 million due in the next twelve months and $11.3 million due thereafter. Additionally, we had $7.6 million of unrecognized tax benefits and $1.2 million of asset retirement obligations, the timing of payments for which is uncertain.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8" w:lineRule="exact"/>
        <w:rPr>
          <w:sz w:val="20"/>
          <w:szCs w:val="20"/>
          <w:color w:val="auto"/>
        </w:rPr>
      </w:pPr>
    </w:p>
    <w:p>
      <w:pPr>
        <w:ind w:right="620" w:firstLine="318"/>
        <w:spacing w:after="0" w:line="251"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spacing w:after="0" w:line="97"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206" w:lineRule="exact"/>
        <w:rPr>
          <w:sz w:val="20"/>
          <w:szCs w:val="20"/>
          <w:color w:val="auto"/>
        </w:rPr>
      </w:pPr>
    </w:p>
    <w:p>
      <w:pPr>
        <w:ind w:right="620" w:firstLine="318"/>
        <w:spacing w:after="0" w:line="25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35"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Our 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35"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w:t>
      </w: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35"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35"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35"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8"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Stock-based compensation expense related to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RSUs that include performance-based vesting conditions are expensed using the accelerated attribution method. We account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Estimating the fair value of stock options and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assumptions and estimates are as follows:</w:t>
      </w:r>
    </w:p>
    <w:p>
      <w:pPr>
        <w:spacing w:after="0" w:line="93" w:lineRule="exact"/>
        <w:rPr>
          <w:sz w:val="20"/>
          <w:szCs w:val="20"/>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“Valuations” discussion below.</w:t>
      </w:r>
    </w:p>
    <w:p>
      <w:pPr>
        <w:spacing w:after="0" w:line="58" w:lineRule="exact"/>
        <w:rPr>
          <w:rFonts w:ascii="Arial" w:cs="Arial" w:eastAsia="Arial" w:hAnsi="Arial"/>
          <w:sz w:val="18"/>
          <w:szCs w:val="18"/>
          <w:color w:val="auto"/>
        </w:rPr>
      </w:pPr>
    </w:p>
    <w:p>
      <w:pPr>
        <w:ind w:left="640" w:right="580" w:hanging="316"/>
        <w:spacing w:after="0" w:line="272"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to calculate the average expected term.</w:t>
      </w:r>
    </w:p>
    <w:p>
      <w:pPr>
        <w:spacing w:after="0" w:line="7" w:lineRule="exact"/>
        <w:rPr>
          <w:rFonts w:ascii="Arial" w:cs="Arial" w:eastAsia="Arial" w:hAnsi="Arial"/>
          <w:sz w:val="18"/>
          <w:szCs w:val="18"/>
          <w:color w:val="auto"/>
        </w:rPr>
      </w:pPr>
    </w:p>
    <w:p>
      <w:pPr>
        <w:ind w:left="640" w:hanging="316"/>
        <w:spacing w:after="0" w:line="254" w:lineRule="auto"/>
        <w:tabs>
          <w:tab w:leader="none" w:pos="63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This is a measure of the amount by which a financial variable, such as a share price, has fluctuated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w:t>
      </w:r>
    </w:p>
    <w:p>
      <w:pPr>
        <w:spacing w:after="0" w:line="24" w:lineRule="exact"/>
        <w:rPr>
          <w:rFonts w:ascii="Arial" w:cs="Arial" w:eastAsia="Arial" w:hAnsi="Arial"/>
          <w:sz w:val="18"/>
          <w:szCs w:val="18"/>
          <w:i w:val="1"/>
          <w:iCs w:val="1"/>
          <w:color w:val="auto"/>
        </w:rPr>
      </w:pPr>
    </w:p>
    <w:p>
      <w:pPr>
        <w:ind w:left="640" w:hanging="316"/>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This is the U.S. Treasury rate, having a term that most closely resembles the expected life of the stock option.</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and do not expect to pay dividends on our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Valuations</w:t>
      </w:r>
    </w:p>
    <w:p>
      <w:pPr>
        <w:spacing w:after="0" w:line="23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 xml:space="preserve">Following our IPO, we use the market price of our common stock at the date of grant as the fair value. Prior to our IPO, the lack of an active public market for our common stock required our board of directors to exercise reasonable judgment and consider a number of factors in order to make the best estimate of fair value of our common stock, in accordance with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Factors considered in connection with estimating the fair value of our common stock underlying our award of restricted stock and stock option awards when performing the fair value calculations with the Black Scholes option-pricing model included:</w:t>
      </w:r>
    </w:p>
    <w:p>
      <w:pPr>
        <w:spacing w:after="0" w:line="211"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independent third-party valuations of our common stock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Recent arm’s length transactions involving the sale or transfer of our common stock</w:t>
      </w:r>
    </w:p>
    <w:p>
      <w:pPr>
        <w:spacing w:after="0" w:line="58" w:lineRule="exact"/>
        <w:rPr>
          <w:rFonts w:ascii="Arial" w:cs="Arial" w:eastAsia="Arial" w:hAnsi="Arial"/>
          <w:sz w:val="18"/>
          <w:szCs w:val="18"/>
          <w:color w:val="auto"/>
        </w:rPr>
      </w:pPr>
    </w:p>
    <w:p>
      <w:pPr>
        <w:ind w:left="640" w:right="460" w:hanging="316"/>
        <w:spacing w:after="0" w:line="251"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preferences and privileges of our Series A and Series B redeemable convertible preferred stock relative to those of our common stock</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historical financial results and future financial projections</w:t>
      </w:r>
    </w:p>
    <w:p>
      <w:pPr>
        <w:spacing w:after="0" w:line="58"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market value of equity interests in substantially similar businesses, which equity interests can be valued through nondiscretionary, objective means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given prevailing market conditions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Industry outlook</w:t>
      </w:r>
    </w:p>
    <w:p>
      <w:pPr>
        <w:spacing w:after="0" w:line="58" w:lineRule="exact"/>
        <w:rPr>
          <w:rFonts w:ascii="Arial" w:cs="Arial" w:eastAsia="Arial" w:hAnsi="Arial"/>
          <w:sz w:val="18"/>
          <w:szCs w:val="18"/>
          <w:color w:val="auto"/>
        </w:rPr>
      </w:pPr>
    </w:p>
    <w:p>
      <w:pPr>
        <w:ind w:left="640" w:right="440" w:hanging="316"/>
        <w:spacing w:after="0" w:line="251"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and unemployment, interest rate environment and global economic trends</w:t>
      </w:r>
    </w:p>
    <w:p>
      <w:pPr>
        <w:spacing w:after="0" w:line="203"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As described above, the exercise price of our stock option awards was determined by our board of directors, with input from management, taking into account the factors described above, using a combination of valuation methodologies with varying weighting applied to each methodology as of the grant date.</w:t>
      </w:r>
    </w:p>
    <w:p>
      <w:pPr>
        <w:spacing w:after="0" w:line="20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Application of these approaches involved the use of estimates, judgment and assumptions that were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would have impacted our valuations as of each valuation date and may have had a material impact on the valuation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2018 ESPP purchase rights were estimated on the offering or modification dates based on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Year Ended December 31,</w:t>
            </w: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8"/>
        </w:trPr>
        <w:tc>
          <w:tcPr>
            <w:tcW w:w="57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6"/>
                <w:szCs w:val="16"/>
                <w:b w:val="1"/>
                <w:bCs w:val="1"/>
                <w:color w:val="auto"/>
              </w:rPr>
              <w:t>2019</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59.4%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000" w:type="dxa"/>
            <w:vAlign w:val="bottom"/>
          </w:tcPr>
          <w:p>
            <w:pPr>
              <w:ind w:left="40"/>
              <w:spacing w:after="0"/>
              <w:rPr>
                <w:sz w:val="20"/>
                <w:szCs w:val="20"/>
                <w:color w:val="auto"/>
              </w:rPr>
            </w:pPr>
            <w:r>
              <w:rPr>
                <w:rFonts w:ascii="Arial" w:cs="Arial" w:eastAsia="Arial" w:hAnsi="Arial"/>
                <w:sz w:val="18"/>
                <w:szCs w:val="18"/>
                <w:color w:val="auto"/>
              </w:rPr>
              <w:t>— 44.6%</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8"/>
              </w:rPr>
              <w:t>0.1% — 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2.5%</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60" w:type="dxa"/>
            <w:vAlign w:val="bottom"/>
          </w:tcPr>
          <w:p>
            <w:pPr>
              <w:spacing w:after="0"/>
              <w:rPr>
                <w:sz w:val="19"/>
                <w:szCs w:val="19"/>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determine the fair value of acquired technology using the multi-period excess earnings method, a form of the income approach. Estimates in valuing identifiable intangible assets include, but are not limited to, projected revenue growth rates, future expected operating expenses,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20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20" w:firstLine="318"/>
        <w:spacing w:after="0" w:line="280"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80"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In connection with the 2021 acquisition of Accurics, we elected to first offset our existing deferred tax assets with acquired deferred tax liabilities. This resulted in releasing $7.9 million of the federal and state valuation allowance, which was recorded as a component of our deferred tax benefit.</w:t>
      </w:r>
    </w:p>
    <w:p>
      <w:pPr>
        <w:spacing w:after="0" w:line="206" w:lineRule="exact"/>
        <w:rPr>
          <w:sz w:val="20"/>
          <w:szCs w:val="20"/>
          <w:color w:val="auto"/>
        </w:rPr>
      </w:pPr>
    </w:p>
    <w:p>
      <w:pPr>
        <w:ind w:right="200" w:firstLine="318"/>
        <w:spacing w:after="0" w:line="246" w:lineRule="auto"/>
        <w:rPr>
          <w:sz w:val="20"/>
          <w:szCs w:val="20"/>
          <w:color w:val="auto"/>
        </w:rPr>
      </w:pPr>
      <w:r>
        <w:rPr>
          <w:rFonts w:ascii="Arial" w:cs="Arial" w:eastAsia="Arial" w:hAnsi="Arial"/>
          <w:sz w:val="18"/>
          <w:szCs w:val="18"/>
          <w:color w:val="auto"/>
        </w:rPr>
        <w:t>In December 2019, subsequent to our acquisition of Indegy, we transferred the acquired intellectual property from Israel to the U.S. and Ireland through an intercompany transaction. The sale of Indegy’s intellectual property for tax purposes resulted in $6.3 million of current tax expense and $4.2 million of deferred tax expense in Israel. In January 2021, we transferred Indegy’s R&amp;D business to another wholly owned Israeli entity through an intercompany transaction. The sale of Indegy’s R&amp;D business resulted in $2.8 million of current tax expense in Israel. The valuation of the intellectual property and R&amp;D business for tax purposes required significant judgment and assumptions with respect to forecasted operating results and discount rates.</w:t>
      </w:r>
    </w:p>
    <w:p>
      <w:pPr>
        <w:spacing w:after="0" w:line="211" w:lineRule="exact"/>
        <w:rPr>
          <w:sz w:val="20"/>
          <w:szCs w:val="20"/>
          <w:color w:val="auto"/>
        </w:rPr>
      </w:pPr>
    </w:p>
    <w:p>
      <w:pPr>
        <w:ind w:right="360" w:firstLine="318"/>
        <w:spacing w:after="0" w:line="248"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9" w:lineRule="exact"/>
        <w:rPr>
          <w:sz w:val="20"/>
          <w:szCs w:val="20"/>
          <w:color w:val="auto"/>
        </w:rPr>
      </w:pPr>
    </w:p>
    <w:p>
      <w:pPr>
        <w:ind w:right="80" w:firstLine="318"/>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77">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consolidated financial statements in this Annual Report on Form 10-K for more information regarding recently issued accounting pronouncements.</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At December 31, 2021, we had $278.0 million of cash and cash equivalents, which consisted of cash deposits and money market funds. We also had $234.3 million of short-term investments, which consisted of commercial paper, asset backed securities, certificates of deposit, U.S. treasury and agency securities and corporate and supranational bonds. Our investments are carried at their fair market values with cumulative unrealized gains or losses recorded as a component of accumulated other comprehensive (loss)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11"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In July 2021, we entered into the Credit Agreement comprised of a $375.0 million Term Loan and a $50.0 million Revolving Credit Facility. Prior to January 31, 2022, the interest rate on the Term Loan was 3.25% (2.75% plus 0.50% LIBOR floor). Effective January 31, 2022 through July 29, 2022, the Term Loan has a variable interest rate of 3.27%. A one-half percentage point increase in the rate would increase 2022 interest expense by $0.8 million. No amounts are outstanding under the Revolving Credit Facility.</w:t>
      </w:r>
    </w:p>
    <w:p>
      <w:pPr>
        <w:spacing w:after="0" w:line="208" w:lineRule="exact"/>
        <w:rPr>
          <w:sz w:val="20"/>
          <w:szCs w:val="20"/>
          <w:color w:val="auto"/>
        </w:rPr>
      </w:pPr>
    </w:p>
    <w:p>
      <w:pPr>
        <w:jc w:val="both"/>
        <w:ind w:right="60" w:firstLine="318"/>
        <w:spacing w:after="0" w:line="280" w:lineRule="auto"/>
        <w:rPr>
          <w:sz w:val="20"/>
          <w:szCs w:val="20"/>
          <w:color w:val="auto"/>
        </w:rPr>
      </w:pPr>
      <w:r>
        <w:rPr>
          <w:rFonts w:ascii="Arial" w:cs="Arial" w:eastAsia="Arial" w:hAnsi="Arial"/>
          <w:sz w:val="17"/>
          <w:szCs w:val="17"/>
          <w:color w:val="auto"/>
        </w:rPr>
        <w:t>Because the United Kingdom Financial Conduct Authority, which regulates LIBOR, announced the desire to phase out the use of LIBOR by the middle of 2023, future borrowings under our Term Loan and Revolving Credit Facility could be subject to reference rates other than LIBOR.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and Indian Rupee.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specifically employee-related and third-party cloud infrastructure costs, were to become subject to significant inflationary pressures, we may not be able to fully offset such higher costs.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200" w:type="dxa"/>
            <w:vAlign w:val="bottom"/>
          </w:tcPr>
          <w:p>
            <w:pPr>
              <w:spacing w:after="0"/>
              <w:rPr>
                <w:sz w:val="20"/>
                <w:szCs w:val="20"/>
                <w:color w:val="auto"/>
              </w:rPr>
            </w:pPr>
          </w:p>
        </w:tc>
        <w:tc>
          <w:tcPr>
            <w:tcW w:w="10260" w:type="dxa"/>
            <w:vAlign w:val="bottom"/>
            <w:gridSpan w:val="23"/>
          </w:tcPr>
          <w:p>
            <w:pPr>
              <w:ind w:left="1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4"/>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80" w:type="dxa"/>
            <w:vAlign w:val="bottom"/>
            <w:gridSpan w:val="11"/>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Pa</w:t>
            </w:r>
          </w:p>
        </w:tc>
      </w:tr>
      <w:tr>
        <w:trPr>
          <w:trHeight w:val="470"/>
        </w:trPr>
        <w:tc>
          <w:tcPr>
            <w:tcW w:w="660" w:type="dxa"/>
            <w:vAlign w:val="bottom"/>
          </w:tcPr>
          <w:p>
            <w:pPr>
              <w:spacing w:after="0"/>
              <w:rPr>
                <w:sz w:val="24"/>
                <w:szCs w:val="24"/>
                <w:color w:val="auto"/>
              </w:rPr>
            </w:pPr>
          </w:p>
        </w:tc>
        <w:tc>
          <w:tcPr>
            <w:tcW w:w="10460" w:type="dxa"/>
            <w:vAlign w:val="bottom"/>
            <w:gridSpan w:val="24"/>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Reports of Independent Registered Public Accounting Firm</w:t>
              </w:r>
            </w:hyperlink>
          </w:p>
        </w:tc>
        <w:tc>
          <w:tcPr>
            <w:tcW w:w="220" w:type="dxa"/>
            <w:vAlign w:val="bottom"/>
            <w:gridSpan w:val="2"/>
          </w:tcPr>
          <w:p>
            <w:pPr>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68</w:t>
              </w:r>
            </w:hyperlink>
          </w:p>
        </w:tc>
      </w:tr>
      <w:tr>
        <w:trPr>
          <w:trHeight w:val="205"/>
        </w:trPr>
        <w:tc>
          <w:tcPr>
            <w:tcW w:w="660" w:type="dxa"/>
            <w:vAlign w:val="bottom"/>
          </w:tcPr>
          <w:p>
            <w:pPr>
              <w:spacing w:after="0"/>
              <w:rPr>
                <w:sz w:val="17"/>
                <w:szCs w:val="17"/>
                <w:color w:val="auto"/>
              </w:rPr>
            </w:pPr>
          </w:p>
        </w:tc>
        <w:tc>
          <w:tcPr>
            <w:tcW w:w="4600" w:type="dxa"/>
            <w:vAlign w:val="bottom"/>
            <w:tcBorders>
              <w:top w:val="single" w:sz="8" w:color="0000FF"/>
            </w:tcBorders>
            <w:gridSpan w:val="22"/>
          </w:tcPr>
          <w:p>
            <w:pPr>
              <w:spacing w:after="0" w:line="205" w:lineRule="exact"/>
              <w:rPr>
                <w:rFonts w:ascii="Arial" w:cs="Arial" w:eastAsia="Arial" w:hAnsi="Arial"/>
                <w:sz w:val="18"/>
                <w:szCs w:val="18"/>
                <w:color w:val="0000FF"/>
              </w:rPr>
            </w:pPr>
            <w:hyperlink w:anchor="page71">
              <w:r>
                <w:rPr>
                  <w:rFonts w:ascii="Arial" w:cs="Arial" w:eastAsia="Arial" w:hAnsi="Arial"/>
                  <w:sz w:val="18"/>
                  <w:szCs w:val="18"/>
                  <w:color w:val="0000FF"/>
                </w:rPr>
                <w:t>Financial Statements</w:t>
              </w:r>
            </w:hyperlink>
          </w:p>
        </w:tc>
        <w:tc>
          <w:tcPr>
            <w:tcW w:w="5860" w:type="dxa"/>
            <w:vAlign w:val="bottom"/>
            <w:gridSpan w:val="2"/>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2320" w:type="dxa"/>
            <w:vAlign w:val="bottom"/>
            <w:gridSpan w:val="10"/>
          </w:tcPr>
          <w:p>
            <w:pPr>
              <w:spacing w:after="0" w:line="205" w:lineRule="exact"/>
              <w:rPr>
                <w:rFonts w:ascii="Arial" w:cs="Arial" w:eastAsia="Arial" w:hAnsi="Arial"/>
                <w:sz w:val="18"/>
                <w:szCs w:val="18"/>
                <w:color w:val="0000FF"/>
                <w:w w:val="97"/>
              </w:rPr>
            </w:pPr>
            <w:hyperlink w:anchor="page71">
              <w:r>
                <w:rPr>
                  <w:rFonts w:ascii="Arial" w:cs="Arial" w:eastAsia="Arial" w:hAnsi="Arial"/>
                  <w:sz w:val="18"/>
                  <w:szCs w:val="18"/>
                  <w:color w:val="0000FF"/>
                  <w:w w:val="97"/>
                </w:rPr>
                <w:t>Consolidated Balance Sheets</w:t>
              </w:r>
            </w:hyperlink>
          </w:p>
        </w:tc>
        <w:tc>
          <w:tcPr>
            <w:tcW w:w="8140" w:type="dxa"/>
            <w:vAlign w:val="bottom"/>
            <w:gridSpan w:val="14"/>
          </w:tcPr>
          <w:p>
            <w:pPr>
              <w:spacing w:after="0"/>
              <w:rPr>
                <w:sz w:val="17"/>
                <w:szCs w:val="17"/>
                <w:color w:val="auto"/>
              </w:rPr>
            </w:pPr>
          </w:p>
        </w:tc>
        <w:tc>
          <w:tcPr>
            <w:tcW w:w="220" w:type="dxa"/>
            <w:vAlign w:val="bottom"/>
            <w:gridSpan w:val="2"/>
          </w:tcPr>
          <w:p>
            <w:pPr>
              <w:spacing w:after="0" w:line="205" w:lineRule="exact"/>
              <w:rPr>
                <w:rFonts w:ascii="Arial" w:cs="Arial" w:eastAsia="Arial" w:hAnsi="Arial"/>
                <w:sz w:val="18"/>
                <w:szCs w:val="18"/>
                <w:color w:val="0000FF"/>
                <w:w w:val="99"/>
              </w:rPr>
            </w:pPr>
            <w:hyperlink w:anchor="page71">
              <w:r>
                <w:rPr>
                  <w:rFonts w:ascii="Arial" w:cs="Arial" w:eastAsia="Arial" w:hAnsi="Arial"/>
                  <w:sz w:val="18"/>
                  <w:szCs w:val="18"/>
                  <w:color w:val="0000FF"/>
                  <w:w w:val="99"/>
                </w:rPr>
                <w:t>72</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10460" w:type="dxa"/>
            <w:vAlign w:val="bottom"/>
            <w:gridSpan w:val="24"/>
          </w:tcPr>
          <w:p>
            <w:pPr>
              <w:spacing w:after="0" w:line="205" w:lineRule="exact"/>
              <w:rPr>
                <w:rFonts w:ascii="Arial" w:cs="Arial" w:eastAsia="Arial" w:hAnsi="Arial"/>
                <w:sz w:val="18"/>
                <w:szCs w:val="18"/>
                <w:color w:val="0000FF"/>
              </w:rPr>
            </w:pPr>
            <w:hyperlink w:anchor="page72">
              <w:r>
                <w:rPr>
                  <w:rFonts w:ascii="Arial" w:cs="Arial" w:eastAsia="Arial" w:hAnsi="Arial"/>
                  <w:sz w:val="18"/>
                  <w:szCs w:val="18"/>
                  <w:color w:val="0000FF"/>
                </w:rPr>
                <w:t>Consolidated Statements of Operations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73</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80" w:type="dxa"/>
            <w:vAlign w:val="bottom"/>
            <w:gridSpan w:val="20"/>
          </w:tcPr>
          <w:p>
            <w:pPr>
              <w:spacing w:after="0" w:line="205" w:lineRule="exact"/>
              <w:rPr>
                <w:rFonts w:ascii="Arial" w:cs="Arial" w:eastAsia="Arial" w:hAnsi="Arial"/>
                <w:sz w:val="18"/>
                <w:szCs w:val="18"/>
                <w:color w:val="0000FF"/>
                <w:w w:val="97"/>
              </w:rPr>
            </w:pPr>
            <w:hyperlink w:anchor="page73">
              <w:r>
                <w:rPr>
                  <w:rFonts w:ascii="Arial" w:cs="Arial" w:eastAsia="Arial" w:hAnsi="Arial"/>
                  <w:sz w:val="18"/>
                  <w:szCs w:val="18"/>
                  <w:color w:val="0000FF"/>
                  <w:w w:val="97"/>
                </w:rPr>
                <w:t>Consolidated Statements of Comprehensive Loss</w:t>
              </w:r>
            </w:hyperlink>
          </w:p>
        </w:tc>
        <w:tc>
          <w:tcPr>
            <w:tcW w:w="6580" w:type="dxa"/>
            <w:vAlign w:val="bottom"/>
            <w:gridSpan w:val="4"/>
          </w:tcPr>
          <w:p>
            <w:pPr>
              <w:spacing w:after="0"/>
              <w:rPr>
                <w:sz w:val="17"/>
                <w:szCs w:val="17"/>
                <w:color w:val="auto"/>
              </w:rPr>
            </w:pPr>
          </w:p>
        </w:tc>
        <w:tc>
          <w:tcPr>
            <w:tcW w:w="220" w:type="dxa"/>
            <w:vAlign w:val="bottom"/>
            <w:gridSpan w:val="2"/>
          </w:tcPr>
          <w:p>
            <w:pPr>
              <w:spacing w:after="0" w:line="205" w:lineRule="exact"/>
              <w:rPr>
                <w:rFonts w:ascii="Arial" w:cs="Arial" w:eastAsia="Arial" w:hAnsi="Arial"/>
                <w:sz w:val="18"/>
                <w:szCs w:val="18"/>
                <w:color w:val="0000FF"/>
                <w:w w:val="99"/>
              </w:rPr>
            </w:pPr>
            <w:hyperlink w:anchor="page73">
              <w:r>
                <w:rPr>
                  <w:rFonts w:ascii="Arial" w:cs="Arial" w:eastAsia="Arial" w:hAnsi="Arial"/>
                  <w:sz w:val="18"/>
                  <w:szCs w:val="18"/>
                  <w:color w:val="0000FF"/>
                  <w:w w:val="99"/>
                </w:rPr>
                <w:t>74</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20" w:type="dxa"/>
            <w:vAlign w:val="bottom"/>
            <w:gridSpan w:val="18"/>
          </w:tcPr>
          <w:p>
            <w:pPr>
              <w:spacing w:after="0" w:line="205" w:lineRule="exact"/>
              <w:rPr>
                <w:rFonts w:ascii="Arial" w:cs="Arial" w:eastAsia="Arial" w:hAnsi="Arial"/>
                <w:sz w:val="18"/>
                <w:szCs w:val="18"/>
                <w:color w:val="0000FF"/>
                <w:w w:val="97"/>
              </w:rPr>
            </w:pPr>
            <w:hyperlink w:anchor="page74">
              <w:r>
                <w:rPr>
                  <w:rFonts w:ascii="Arial" w:cs="Arial" w:eastAsia="Arial" w:hAnsi="Arial"/>
                  <w:sz w:val="18"/>
                  <w:szCs w:val="18"/>
                  <w:color w:val="0000FF"/>
                  <w:w w:val="97"/>
                </w:rPr>
                <w:t>Consolidated Statements of Stockholders' Equity</w:t>
              </w:r>
            </w:hyperlink>
          </w:p>
        </w:tc>
        <w:tc>
          <w:tcPr>
            <w:tcW w:w="60" w:type="dxa"/>
            <w:vAlign w:val="bottom"/>
            <w:gridSpan w:val="2"/>
          </w:tcPr>
          <w:p>
            <w:pPr>
              <w:spacing w:after="0"/>
              <w:rPr>
                <w:sz w:val="17"/>
                <w:szCs w:val="17"/>
                <w:color w:val="auto"/>
              </w:rPr>
            </w:pPr>
          </w:p>
        </w:tc>
        <w:tc>
          <w:tcPr>
            <w:tcW w:w="6580" w:type="dxa"/>
            <w:vAlign w:val="bottom"/>
            <w:gridSpan w:val="4"/>
          </w:tcPr>
          <w:p>
            <w:pPr>
              <w:spacing w:after="0"/>
              <w:rPr>
                <w:sz w:val="17"/>
                <w:szCs w:val="17"/>
                <w:color w:val="auto"/>
              </w:rPr>
            </w:pPr>
          </w:p>
        </w:tc>
        <w:tc>
          <w:tcPr>
            <w:tcW w:w="220" w:type="dxa"/>
            <w:vAlign w:val="bottom"/>
            <w:gridSpan w:val="2"/>
          </w:tcPr>
          <w:p>
            <w:pPr>
              <w:spacing w:after="0" w:line="205" w:lineRule="exact"/>
              <w:rPr>
                <w:rFonts w:ascii="Arial" w:cs="Arial" w:eastAsia="Arial" w:hAnsi="Arial"/>
                <w:sz w:val="18"/>
                <w:szCs w:val="18"/>
                <w:color w:val="0000FF"/>
                <w:w w:val="99"/>
              </w:rPr>
            </w:pPr>
            <w:hyperlink w:anchor="page74">
              <w:r>
                <w:rPr>
                  <w:rFonts w:ascii="Arial" w:cs="Arial" w:eastAsia="Arial" w:hAnsi="Arial"/>
                  <w:sz w:val="18"/>
                  <w:szCs w:val="18"/>
                  <w:color w:val="0000FF"/>
                  <w:w w:val="99"/>
                </w:rPr>
                <w:t>75</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20" w:type="dxa"/>
            <w:vAlign w:val="bottom"/>
            <w:gridSpan w:val="18"/>
          </w:tcPr>
          <w:p>
            <w:pPr>
              <w:spacing w:after="0" w:line="205" w:lineRule="exact"/>
              <w:rPr>
                <w:rFonts w:ascii="Arial" w:cs="Arial" w:eastAsia="Arial" w:hAnsi="Arial"/>
                <w:sz w:val="18"/>
                <w:szCs w:val="18"/>
                <w:color w:val="0000FF"/>
              </w:rPr>
            </w:pPr>
            <w:hyperlink w:anchor="page75">
              <w:r>
                <w:rPr>
                  <w:rFonts w:ascii="Arial" w:cs="Arial" w:eastAsia="Arial" w:hAnsi="Arial"/>
                  <w:sz w:val="18"/>
                  <w:szCs w:val="18"/>
                  <w:color w:val="0000FF"/>
                </w:rPr>
                <w:t>Consolidated Statements of Cash Flows</w:t>
              </w:r>
            </w:hyperlink>
          </w:p>
        </w:tc>
        <w:tc>
          <w:tcPr>
            <w:tcW w:w="6640" w:type="dxa"/>
            <w:vAlign w:val="bottom"/>
            <w:gridSpan w:val="6"/>
          </w:tcPr>
          <w:p>
            <w:pPr>
              <w:spacing w:after="0"/>
              <w:rPr>
                <w:sz w:val="17"/>
                <w:szCs w:val="17"/>
                <w:color w:val="auto"/>
              </w:rPr>
            </w:pPr>
          </w:p>
        </w:tc>
        <w:tc>
          <w:tcPr>
            <w:tcW w:w="220" w:type="dxa"/>
            <w:vAlign w:val="bottom"/>
            <w:gridSpan w:val="2"/>
          </w:tcPr>
          <w:p>
            <w:pPr>
              <w:spacing w:after="0" w:line="205" w:lineRule="exact"/>
              <w:rPr>
                <w:rFonts w:ascii="Arial" w:cs="Arial" w:eastAsia="Arial" w:hAnsi="Arial"/>
                <w:sz w:val="18"/>
                <w:szCs w:val="18"/>
                <w:color w:val="0000FF"/>
                <w:w w:val="99"/>
              </w:rPr>
            </w:pPr>
            <w:hyperlink w:anchor="page75">
              <w:r>
                <w:rPr>
                  <w:rFonts w:ascii="Arial" w:cs="Arial" w:eastAsia="Arial" w:hAnsi="Arial"/>
                  <w:sz w:val="18"/>
                  <w:szCs w:val="18"/>
                  <w:color w:val="0000FF"/>
                  <w:w w:val="99"/>
                </w:rPr>
                <w:t>76</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440" w:type="dxa"/>
            <w:vAlign w:val="bottom"/>
            <w:gridSpan w:val="17"/>
          </w:tcPr>
          <w:p>
            <w:pPr>
              <w:spacing w:after="0" w:line="205" w:lineRule="exact"/>
              <w:rPr>
                <w:rFonts w:ascii="Arial" w:cs="Arial" w:eastAsia="Arial" w:hAnsi="Arial"/>
                <w:sz w:val="18"/>
                <w:szCs w:val="18"/>
                <w:color w:val="0000FF"/>
                <w:w w:val="97"/>
              </w:rPr>
            </w:pPr>
            <w:hyperlink w:anchor="page76">
              <w:r>
                <w:rPr>
                  <w:rFonts w:ascii="Arial" w:cs="Arial" w:eastAsia="Arial" w:hAnsi="Arial"/>
                  <w:sz w:val="18"/>
                  <w:szCs w:val="18"/>
                  <w:color w:val="0000FF"/>
                  <w:w w:val="97"/>
                </w:rPr>
                <w:t>Notes to Consolidated Financial Statements</w:t>
              </w:r>
            </w:hyperlink>
          </w:p>
        </w:tc>
        <w:tc>
          <w:tcPr>
            <w:tcW w:w="7020" w:type="dxa"/>
            <w:vAlign w:val="bottom"/>
            <w:gridSpan w:val="7"/>
          </w:tcPr>
          <w:p>
            <w:pPr>
              <w:spacing w:after="0"/>
              <w:rPr>
                <w:sz w:val="17"/>
                <w:szCs w:val="17"/>
                <w:color w:val="auto"/>
              </w:rPr>
            </w:pPr>
          </w:p>
        </w:tc>
        <w:tc>
          <w:tcPr>
            <w:tcW w:w="220" w:type="dxa"/>
            <w:vAlign w:val="bottom"/>
            <w:gridSpan w:val="2"/>
          </w:tcPr>
          <w:p>
            <w:pPr>
              <w:spacing w:after="0" w:line="205" w:lineRule="exact"/>
              <w:rPr>
                <w:rFonts w:ascii="Arial" w:cs="Arial" w:eastAsia="Arial" w:hAnsi="Arial"/>
                <w:sz w:val="18"/>
                <w:szCs w:val="18"/>
                <w:color w:val="0000FF"/>
                <w:w w:val="99"/>
              </w:rPr>
            </w:pPr>
            <w:hyperlink w:anchor="page76">
              <w:r>
                <w:rPr>
                  <w:rFonts w:ascii="Arial" w:cs="Arial" w:eastAsia="Arial" w:hAnsi="Arial"/>
                  <w:sz w:val="18"/>
                  <w:szCs w:val="18"/>
                  <w:color w:val="0000FF"/>
                  <w:w w:val="99"/>
                </w:rPr>
                <w:t>77</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1.</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77">
              <w:r>
                <w:rPr>
                  <w:rFonts w:ascii="Arial" w:cs="Arial" w:eastAsia="Arial" w:hAnsi="Arial"/>
                  <w:sz w:val="18"/>
                  <w:szCs w:val="18"/>
                  <w:color w:val="0000FF"/>
                </w:rPr>
                <w:t>Business and Summary of Significant Accounting Policies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77">
              <w:r>
                <w:rPr>
                  <w:rFonts w:ascii="Arial" w:cs="Arial" w:eastAsia="Arial" w:hAnsi="Arial"/>
                  <w:sz w:val="18"/>
                  <w:szCs w:val="18"/>
                  <w:color w:val="0000FF"/>
                  <w:w w:val="99"/>
                </w:rPr>
                <w:t>77</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3">
              <w:r>
                <w:rPr>
                  <w:rFonts w:ascii="Arial" w:cs="Arial" w:eastAsia="Arial" w:hAnsi="Arial"/>
                  <w:sz w:val="18"/>
                  <w:szCs w:val="18"/>
                  <w:color w:val="0000FF"/>
                </w:rPr>
                <w:t>2.</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3">
              <w:r>
                <w:rPr>
                  <w:rFonts w:ascii="Arial" w:cs="Arial" w:eastAsia="Arial" w:hAnsi="Arial"/>
                  <w:sz w:val="18"/>
                  <w:szCs w:val="18"/>
                  <w:color w:val="0000FF"/>
                </w:rPr>
                <w:t>Revenue</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3">
              <w:r>
                <w:rPr>
                  <w:rFonts w:ascii="Arial" w:cs="Arial" w:eastAsia="Arial" w:hAnsi="Arial"/>
                  <w:sz w:val="18"/>
                  <w:szCs w:val="18"/>
                  <w:color w:val="0000FF"/>
                  <w:w w:val="99"/>
                </w:rPr>
                <w:t>83</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4">
              <w:r>
                <w:rPr>
                  <w:rFonts w:ascii="Arial" w:cs="Arial" w:eastAsia="Arial" w:hAnsi="Arial"/>
                  <w:sz w:val="18"/>
                  <w:szCs w:val="18"/>
                  <w:color w:val="0000FF"/>
                </w:rPr>
                <w:t>3.</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4">
              <w:r>
                <w:rPr>
                  <w:rFonts w:ascii="Arial" w:cs="Arial" w:eastAsia="Arial" w:hAnsi="Arial"/>
                  <w:sz w:val="18"/>
                  <w:szCs w:val="18"/>
                  <w:color w:val="0000FF"/>
                </w:rPr>
                <w:t>Cash Equivalents and Short-Term Investments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4">
              <w:r>
                <w:rPr>
                  <w:rFonts w:ascii="Arial" w:cs="Arial" w:eastAsia="Arial" w:hAnsi="Arial"/>
                  <w:sz w:val="18"/>
                  <w:szCs w:val="18"/>
                  <w:color w:val="0000FF"/>
                  <w:w w:val="99"/>
                </w:rPr>
                <w:t>84</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5">
              <w:r>
                <w:rPr>
                  <w:rFonts w:ascii="Arial" w:cs="Arial" w:eastAsia="Arial" w:hAnsi="Arial"/>
                  <w:sz w:val="18"/>
                  <w:szCs w:val="18"/>
                  <w:color w:val="0000FF"/>
                </w:rPr>
                <w:t>4.</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5">
              <w:r>
                <w:rPr>
                  <w:rFonts w:ascii="Arial" w:cs="Arial" w:eastAsia="Arial" w:hAnsi="Arial"/>
                  <w:sz w:val="18"/>
                  <w:szCs w:val="18"/>
                  <w:color w:val="0000FF"/>
                </w:rPr>
                <w:t>Fair Value Measurements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5">
              <w:r>
                <w:rPr>
                  <w:rFonts w:ascii="Arial" w:cs="Arial" w:eastAsia="Arial" w:hAnsi="Arial"/>
                  <w:sz w:val="18"/>
                  <w:szCs w:val="18"/>
                  <w:color w:val="0000FF"/>
                  <w:w w:val="99"/>
                </w:rPr>
                <w:t>85</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5.</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Property and Equipment, Net</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86</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6.</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6">
              <w:r>
                <w:rPr>
                  <w:rFonts w:ascii="Arial" w:cs="Arial" w:eastAsia="Arial" w:hAnsi="Arial"/>
                  <w:sz w:val="18"/>
                  <w:szCs w:val="18"/>
                  <w:color w:val="0000FF"/>
                </w:rPr>
                <w:t>Acquisitions, Goodwill and Intangible Assets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86</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662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7.</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8">
              <w:r>
                <w:rPr>
                  <w:rFonts w:ascii="Arial" w:cs="Arial" w:eastAsia="Arial" w:hAnsi="Arial"/>
                  <w:sz w:val="18"/>
                  <w:szCs w:val="18"/>
                  <w:color w:val="0000FF"/>
                </w:rPr>
                <w:t>Leases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8">
              <w:r>
                <w:rPr>
                  <w:rFonts w:ascii="Arial" w:cs="Arial" w:eastAsia="Arial" w:hAnsi="Arial"/>
                  <w:sz w:val="18"/>
                  <w:szCs w:val="18"/>
                  <w:color w:val="0000FF"/>
                  <w:w w:val="99"/>
                </w:rPr>
                <w:t>88</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89">
              <w:r>
                <w:rPr>
                  <w:rFonts w:ascii="Arial" w:cs="Arial" w:eastAsia="Arial" w:hAnsi="Arial"/>
                  <w:sz w:val="18"/>
                  <w:szCs w:val="18"/>
                  <w:color w:val="0000FF"/>
                </w:rPr>
                <w:t>8.</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89">
              <w:r>
                <w:rPr>
                  <w:rFonts w:ascii="Arial" w:cs="Arial" w:eastAsia="Arial" w:hAnsi="Arial"/>
                  <w:sz w:val="18"/>
                  <w:szCs w:val="18"/>
                  <w:color w:val="0000FF"/>
                </w:rPr>
                <w:t>Debt</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89">
              <w:r>
                <w:rPr>
                  <w:rFonts w:ascii="Arial" w:cs="Arial" w:eastAsia="Arial" w:hAnsi="Arial"/>
                  <w:sz w:val="18"/>
                  <w:szCs w:val="18"/>
                  <w:color w:val="0000FF"/>
                  <w:w w:val="99"/>
                </w:rPr>
                <w:t>89</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380" w:type="dxa"/>
            <w:vAlign w:val="bottom"/>
            <w:gridSpan w:val="2"/>
          </w:tcPr>
          <w:p>
            <w:pPr>
              <w:ind w:left="200"/>
              <w:spacing w:after="0" w:line="205" w:lineRule="exact"/>
              <w:rPr>
                <w:rFonts w:ascii="Arial" w:cs="Arial" w:eastAsia="Arial" w:hAnsi="Arial"/>
                <w:sz w:val="18"/>
                <w:szCs w:val="18"/>
                <w:color w:val="0000FF"/>
              </w:rPr>
            </w:pPr>
            <w:hyperlink w:anchor="page90">
              <w:r>
                <w:rPr>
                  <w:rFonts w:ascii="Arial" w:cs="Arial" w:eastAsia="Arial" w:hAnsi="Arial"/>
                  <w:sz w:val="18"/>
                  <w:szCs w:val="18"/>
                  <w:color w:val="0000FF"/>
                </w:rPr>
                <w:t>9.</w:t>
              </w:r>
            </w:hyperlink>
          </w:p>
        </w:tc>
        <w:tc>
          <w:tcPr>
            <w:tcW w:w="10080" w:type="dxa"/>
            <w:vAlign w:val="bottom"/>
            <w:gridSpan w:val="22"/>
          </w:tcPr>
          <w:p>
            <w:pPr>
              <w:ind w:left="20"/>
              <w:spacing w:after="0" w:line="205" w:lineRule="exact"/>
              <w:rPr>
                <w:rFonts w:ascii="Arial" w:cs="Arial" w:eastAsia="Arial" w:hAnsi="Arial"/>
                <w:sz w:val="18"/>
                <w:szCs w:val="18"/>
                <w:color w:val="0000FF"/>
              </w:rPr>
            </w:pPr>
            <w:hyperlink w:anchor="page90">
              <w:r>
                <w:rPr>
                  <w:rFonts w:ascii="Arial" w:cs="Arial" w:eastAsia="Arial" w:hAnsi="Arial"/>
                  <w:sz w:val="18"/>
                  <w:szCs w:val="18"/>
                  <w:color w:val="0000FF"/>
                </w:rPr>
                <w:t>Commitments and Contingencies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0">
              <w:r>
                <w:rPr>
                  <w:rFonts w:ascii="Arial" w:cs="Arial" w:eastAsia="Arial" w:hAnsi="Arial"/>
                  <w:sz w:val="18"/>
                  <w:szCs w:val="18"/>
                  <w:color w:val="0000FF"/>
                  <w:w w:val="99"/>
                </w:rPr>
                <w:t>91</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60" w:type="dxa"/>
            <w:vAlign w:val="bottom"/>
            <w:gridSpan w:val="1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460" w:type="dxa"/>
            <w:vAlign w:val="bottom"/>
            <w:gridSpan w:val="3"/>
          </w:tcPr>
          <w:p>
            <w:pPr>
              <w:ind w:left="200"/>
              <w:spacing w:after="0" w:line="205" w:lineRule="exact"/>
              <w:rPr>
                <w:rFonts w:ascii="Arial" w:cs="Arial" w:eastAsia="Arial" w:hAnsi="Arial"/>
                <w:sz w:val="18"/>
                <w:szCs w:val="18"/>
                <w:color w:val="0000FF"/>
                <w:w w:val="95"/>
              </w:rPr>
            </w:pPr>
            <w:hyperlink w:anchor="page91">
              <w:r>
                <w:rPr>
                  <w:rFonts w:ascii="Arial" w:cs="Arial" w:eastAsia="Arial" w:hAnsi="Arial"/>
                  <w:sz w:val="18"/>
                  <w:szCs w:val="18"/>
                  <w:color w:val="0000FF"/>
                  <w:w w:val="95"/>
                </w:rPr>
                <w:t>10.</w:t>
              </w:r>
            </w:hyperlink>
          </w:p>
        </w:tc>
        <w:tc>
          <w:tcPr>
            <w:tcW w:w="10000" w:type="dxa"/>
            <w:vAlign w:val="bottom"/>
            <w:gridSpan w:val="21"/>
          </w:tcPr>
          <w:p>
            <w:pPr>
              <w:ind w:left="40"/>
              <w:spacing w:after="0" w:line="205" w:lineRule="exact"/>
              <w:rPr>
                <w:rFonts w:ascii="Arial" w:cs="Arial" w:eastAsia="Arial" w:hAnsi="Arial"/>
                <w:sz w:val="18"/>
                <w:szCs w:val="18"/>
                <w:color w:val="0000FF"/>
              </w:rPr>
            </w:pPr>
            <w:hyperlink w:anchor="page91">
              <w:r>
                <w:rPr>
                  <w:rFonts w:ascii="Arial" w:cs="Arial" w:eastAsia="Arial" w:hAnsi="Arial"/>
                  <w:sz w:val="18"/>
                  <w:szCs w:val="18"/>
                  <w:color w:val="0000FF"/>
                </w:rPr>
                <w:t>Stock-Based Compensation</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1">
              <w:r>
                <w:rPr>
                  <w:rFonts w:ascii="Arial" w:cs="Arial" w:eastAsia="Arial" w:hAnsi="Arial"/>
                  <w:sz w:val="18"/>
                  <w:szCs w:val="18"/>
                  <w:color w:val="0000FF"/>
                  <w:w w:val="99"/>
                </w:rPr>
                <w:t>91</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460" w:type="dxa"/>
            <w:vAlign w:val="bottom"/>
            <w:gridSpan w:val="3"/>
          </w:tcPr>
          <w:p>
            <w:pPr>
              <w:ind w:left="200"/>
              <w:spacing w:after="0" w:line="205" w:lineRule="exact"/>
              <w:rPr>
                <w:rFonts w:ascii="Arial" w:cs="Arial" w:eastAsia="Arial" w:hAnsi="Arial"/>
                <w:sz w:val="18"/>
                <w:szCs w:val="18"/>
                <w:color w:val="0000FF"/>
                <w:w w:val="95"/>
              </w:rPr>
            </w:pPr>
            <w:hyperlink w:anchor="page94">
              <w:r>
                <w:rPr>
                  <w:rFonts w:ascii="Arial" w:cs="Arial" w:eastAsia="Arial" w:hAnsi="Arial"/>
                  <w:sz w:val="18"/>
                  <w:szCs w:val="18"/>
                  <w:color w:val="0000FF"/>
                  <w:w w:val="95"/>
                </w:rPr>
                <w:t>11.</w:t>
              </w:r>
            </w:hyperlink>
          </w:p>
        </w:tc>
        <w:tc>
          <w:tcPr>
            <w:tcW w:w="10000" w:type="dxa"/>
            <w:vAlign w:val="bottom"/>
            <w:gridSpan w:val="21"/>
          </w:tcPr>
          <w:p>
            <w:pPr>
              <w:ind w:left="40"/>
              <w:spacing w:after="0" w:line="205" w:lineRule="exact"/>
              <w:rPr>
                <w:rFonts w:ascii="Arial" w:cs="Arial" w:eastAsia="Arial" w:hAnsi="Arial"/>
                <w:sz w:val="18"/>
                <w:szCs w:val="18"/>
                <w:color w:val="0000FF"/>
              </w:rPr>
            </w:pPr>
            <w:hyperlink w:anchor="page94">
              <w:r>
                <w:rPr>
                  <w:rFonts w:ascii="Arial" w:cs="Arial" w:eastAsia="Arial" w:hAnsi="Arial"/>
                  <w:sz w:val="18"/>
                  <w:szCs w:val="18"/>
                  <w:color w:val="0000FF"/>
                </w:rPr>
                <w:t>Income Taxes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4">
              <w:r>
                <w:rPr>
                  <w:rFonts w:ascii="Arial" w:cs="Arial" w:eastAsia="Arial" w:hAnsi="Arial"/>
                  <w:sz w:val="18"/>
                  <w:szCs w:val="18"/>
                  <w:color w:val="0000FF"/>
                  <w:w w:val="99"/>
                </w:rPr>
                <w:t>94</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460" w:type="dxa"/>
            <w:vAlign w:val="bottom"/>
            <w:gridSpan w:val="3"/>
          </w:tcPr>
          <w:p>
            <w:pPr>
              <w:ind w:left="200"/>
              <w:spacing w:after="0" w:line="205" w:lineRule="exact"/>
              <w:rPr>
                <w:rFonts w:ascii="Arial" w:cs="Arial" w:eastAsia="Arial" w:hAnsi="Arial"/>
                <w:sz w:val="18"/>
                <w:szCs w:val="18"/>
                <w:color w:val="0000FF"/>
                <w:w w:val="95"/>
              </w:rPr>
            </w:pPr>
            <w:hyperlink w:anchor="page96">
              <w:r>
                <w:rPr>
                  <w:rFonts w:ascii="Arial" w:cs="Arial" w:eastAsia="Arial" w:hAnsi="Arial"/>
                  <w:sz w:val="18"/>
                  <w:szCs w:val="18"/>
                  <w:color w:val="0000FF"/>
                  <w:w w:val="95"/>
                </w:rPr>
                <w:t>12.</w:t>
              </w:r>
            </w:hyperlink>
          </w:p>
        </w:tc>
        <w:tc>
          <w:tcPr>
            <w:tcW w:w="10000" w:type="dxa"/>
            <w:vAlign w:val="bottom"/>
            <w:gridSpan w:val="21"/>
          </w:tcPr>
          <w:p>
            <w:pPr>
              <w:ind w:left="40"/>
              <w:spacing w:after="0" w:line="205" w:lineRule="exact"/>
              <w:rPr>
                <w:rFonts w:ascii="Arial" w:cs="Arial" w:eastAsia="Arial" w:hAnsi="Arial"/>
                <w:sz w:val="18"/>
                <w:szCs w:val="18"/>
                <w:color w:val="0000FF"/>
              </w:rPr>
            </w:pPr>
            <w:hyperlink w:anchor="page96">
              <w:r>
                <w:rPr>
                  <w:rFonts w:ascii="Arial" w:cs="Arial" w:eastAsia="Arial" w:hAnsi="Arial"/>
                  <w:sz w:val="18"/>
                  <w:szCs w:val="18"/>
                  <w:color w:val="0000FF"/>
                </w:rPr>
                <w:t>Net Loss Per Share</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6">
              <w:r>
                <w:rPr>
                  <w:rFonts w:ascii="Arial" w:cs="Arial" w:eastAsia="Arial" w:hAnsi="Arial"/>
                  <w:sz w:val="18"/>
                  <w:szCs w:val="18"/>
                  <w:color w:val="0000FF"/>
                  <w:w w:val="99"/>
                </w:rPr>
                <w:t>96</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460" w:type="dxa"/>
            <w:vAlign w:val="bottom"/>
            <w:gridSpan w:val="3"/>
          </w:tcPr>
          <w:p>
            <w:pPr>
              <w:ind w:left="200"/>
              <w:spacing w:after="0" w:line="205" w:lineRule="exact"/>
              <w:rPr>
                <w:rFonts w:ascii="Arial" w:cs="Arial" w:eastAsia="Arial" w:hAnsi="Arial"/>
                <w:sz w:val="18"/>
                <w:szCs w:val="18"/>
                <w:color w:val="0000FF"/>
                <w:w w:val="95"/>
              </w:rPr>
            </w:pPr>
            <w:hyperlink w:anchor="page97">
              <w:r>
                <w:rPr>
                  <w:rFonts w:ascii="Arial" w:cs="Arial" w:eastAsia="Arial" w:hAnsi="Arial"/>
                  <w:sz w:val="18"/>
                  <w:szCs w:val="18"/>
                  <w:color w:val="0000FF"/>
                  <w:w w:val="95"/>
                </w:rPr>
                <w:t>13.</w:t>
              </w:r>
            </w:hyperlink>
          </w:p>
        </w:tc>
        <w:tc>
          <w:tcPr>
            <w:tcW w:w="10000" w:type="dxa"/>
            <w:vAlign w:val="bottom"/>
            <w:gridSpan w:val="21"/>
          </w:tcPr>
          <w:p>
            <w:pPr>
              <w:ind w:left="40"/>
              <w:spacing w:after="0" w:line="205" w:lineRule="exact"/>
              <w:rPr>
                <w:rFonts w:ascii="Arial" w:cs="Arial" w:eastAsia="Arial" w:hAnsi="Arial"/>
                <w:sz w:val="18"/>
                <w:szCs w:val="18"/>
                <w:color w:val="0000FF"/>
              </w:rPr>
            </w:pPr>
            <w:hyperlink w:anchor="page97">
              <w:r>
                <w:rPr>
                  <w:rFonts w:ascii="Arial" w:cs="Arial" w:eastAsia="Arial" w:hAnsi="Arial"/>
                  <w:sz w:val="18"/>
                  <w:szCs w:val="18"/>
                  <w:color w:val="0000FF"/>
                </w:rPr>
                <w:t>Geographic Information</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7">
              <w:r>
                <w:rPr>
                  <w:rFonts w:ascii="Arial" w:cs="Arial" w:eastAsia="Arial" w:hAnsi="Arial"/>
                  <w:sz w:val="18"/>
                  <w:szCs w:val="18"/>
                  <w:color w:val="0000FF"/>
                  <w:w w:val="99"/>
                </w:rPr>
                <w:t>97</w:t>
              </w:r>
            </w:hyperlink>
          </w:p>
        </w:tc>
      </w:tr>
      <w:tr>
        <w:trPr>
          <w:trHeight w:val="20"/>
        </w:trPr>
        <w:tc>
          <w:tcPr>
            <w:tcW w:w="6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440" w:type="dxa"/>
            <w:vAlign w:val="bottom"/>
            <w:tcBorders>
              <w:left w:val="single" w:sz="8" w:color="0000FF"/>
            </w:tcBorders>
            <w:gridSpan w:val="1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460" w:type="dxa"/>
            <w:vAlign w:val="bottom"/>
            <w:gridSpan w:val="3"/>
          </w:tcPr>
          <w:p>
            <w:pPr>
              <w:ind w:left="200"/>
              <w:spacing w:after="0" w:line="205" w:lineRule="exact"/>
              <w:rPr>
                <w:rFonts w:ascii="Arial" w:cs="Arial" w:eastAsia="Arial" w:hAnsi="Arial"/>
                <w:sz w:val="18"/>
                <w:szCs w:val="18"/>
                <w:color w:val="0000FF"/>
                <w:w w:val="95"/>
              </w:rPr>
            </w:pPr>
            <w:hyperlink w:anchor="page97">
              <w:r>
                <w:rPr>
                  <w:rFonts w:ascii="Arial" w:cs="Arial" w:eastAsia="Arial" w:hAnsi="Arial"/>
                  <w:sz w:val="18"/>
                  <w:szCs w:val="18"/>
                  <w:color w:val="0000FF"/>
                  <w:w w:val="95"/>
                </w:rPr>
                <w:t>14.</w:t>
              </w:r>
            </w:hyperlink>
          </w:p>
        </w:tc>
        <w:tc>
          <w:tcPr>
            <w:tcW w:w="10000" w:type="dxa"/>
            <w:vAlign w:val="bottom"/>
            <w:gridSpan w:val="21"/>
          </w:tcPr>
          <w:p>
            <w:pPr>
              <w:ind w:left="40"/>
              <w:spacing w:after="0" w:line="205" w:lineRule="exact"/>
              <w:rPr>
                <w:rFonts w:ascii="Arial" w:cs="Arial" w:eastAsia="Arial" w:hAnsi="Arial"/>
                <w:sz w:val="18"/>
                <w:szCs w:val="18"/>
                <w:color w:val="0000FF"/>
              </w:rPr>
            </w:pPr>
            <w:hyperlink w:anchor="page97">
              <w:r>
                <w:rPr>
                  <w:rFonts w:ascii="Arial" w:cs="Arial" w:eastAsia="Arial" w:hAnsi="Arial"/>
                  <w:sz w:val="18"/>
                  <w:szCs w:val="18"/>
                  <w:color w:val="0000FF"/>
                </w:rPr>
                <w:t>Benefit Plans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7">
              <w:r>
                <w:rPr>
                  <w:rFonts w:ascii="Arial" w:cs="Arial" w:eastAsia="Arial" w:hAnsi="Arial"/>
                  <w:sz w:val="18"/>
                  <w:szCs w:val="18"/>
                  <w:color w:val="0000FF"/>
                  <w:w w:val="99"/>
                </w:rPr>
                <w:t>97</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40" w:type="dxa"/>
            <w:vAlign w:val="bottom"/>
            <w:gridSpan w:val="1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460" w:type="dxa"/>
            <w:vAlign w:val="bottom"/>
            <w:gridSpan w:val="3"/>
          </w:tcPr>
          <w:p>
            <w:pPr>
              <w:ind w:left="200"/>
              <w:spacing w:after="0" w:line="205" w:lineRule="exact"/>
              <w:rPr>
                <w:sz w:val="20"/>
                <w:szCs w:val="20"/>
                <w:color w:val="auto"/>
              </w:rPr>
            </w:pPr>
            <w:r>
              <w:rPr>
                <w:rFonts w:ascii="Arial" w:cs="Arial" w:eastAsia="Arial" w:hAnsi="Arial"/>
                <w:sz w:val="18"/>
                <w:szCs w:val="18"/>
                <w:color w:val="0000FF"/>
                <w:w w:val="95"/>
              </w:rPr>
              <w:t>15.</w:t>
            </w:r>
          </w:p>
        </w:tc>
        <w:tc>
          <w:tcPr>
            <w:tcW w:w="10000" w:type="dxa"/>
            <w:vAlign w:val="bottom"/>
            <w:gridSpan w:val="21"/>
          </w:tcPr>
          <w:p>
            <w:pPr>
              <w:ind w:left="40"/>
              <w:spacing w:after="0" w:line="205" w:lineRule="exact"/>
              <w:rPr>
                <w:rFonts w:ascii="Arial" w:cs="Arial" w:eastAsia="Arial" w:hAnsi="Arial"/>
                <w:sz w:val="18"/>
                <w:szCs w:val="18"/>
                <w:color w:val="0000FF"/>
              </w:rPr>
            </w:pPr>
            <w:r>
              <w:rPr>
                <w:rFonts w:ascii="Arial" w:cs="Arial" w:eastAsia="Arial" w:hAnsi="Arial"/>
                <w:sz w:val="18"/>
                <w:szCs w:val="18"/>
                <w:color w:val="0000FF"/>
              </w:rPr>
              <w:t xml:space="preserve">Subsequent </w:t>
            </w:r>
            <w:hyperlink w:anchor="page97">
              <w:r>
                <w:rPr>
                  <w:rFonts w:ascii="Arial" w:cs="Arial" w:eastAsia="Arial" w:hAnsi="Arial"/>
                  <w:sz w:val="18"/>
                  <w:szCs w:val="18"/>
                  <w:color w:val="0000FF"/>
                </w:rPr>
                <w:t>Events</w:t>
              </w:r>
            </w:hyperlink>
          </w:p>
        </w:tc>
        <w:tc>
          <w:tcPr>
            <w:tcW w:w="220" w:type="dxa"/>
            <w:vAlign w:val="bottom"/>
            <w:gridSpan w:val="2"/>
          </w:tcPr>
          <w:p>
            <w:pPr>
              <w:spacing w:after="0" w:line="205" w:lineRule="exact"/>
              <w:rPr>
                <w:rFonts w:ascii="Arial" w:cs="Arial" w:eastAsia="Arial" w:hAnsi="Arial"/>
                <w:sz w:val="18"/>
                <w:szCs w:val="18"/>
                <w:color w:val="0000FF"/>
                <w:w w:val="99"/>
              </w:rPr>
            </w:pPr>
            <w:hyperlink w:anchor="page97">
              <w:r>
                <w:rPr>
                  <w:rFonts w:ascii="Arial" w:cs="Arial" w:eastAsia="Arial" w:hAnsi="Arial"/>
                  <w:sz w:val="18"/>
                  <w:szCs w:val="18"/>
                  <w:color w:val="0000FF"/>
                  <w:w w:val="99"/>
                </w:rPr>
                <w:t>97</w:t>
              </w:r>
            </w:hyperlink>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Tenable Holdings,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audited the accompanying consolidated balance sheets of Tenable Holdings, Inc. (the Company) as of December 31, 2021 and 2020, the related consolidated statements of operations, comprehensive loss, stockholders' equity and cash flows for each of the three years in the period ended December 31, 2021,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25, 2022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right="60"/>
        <w:spacing w:after="0" w:line="233"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right="60"/>
        <w:spacing w:after="0" w:line="233"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 Identification and Evaluation of Contracts with Non-Standard Terms and Conditions.</w:t>
      </w:r>
    </w:p>
    <w:p>
      <w:pPr>
        <w:spacing w:after="0" w:line="7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82D"/>
        </w:rPr>
        <w:t>As described in Note 1 to the consolidated financial statements, management enters into certain contracts with customers, including software subscription arrangements and perpetual licenses with related maintenance, with non-standard terms and conditions.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8"/>
          <w:szCs w:val="18"/>
          <w:color w:val="24282D"/>
        </w:rPr>
        <w:t>Performing procedures relating to the identification and evaluation of non-standard terms and conditions in contracts is a critical audit matter because there is a significant amount of judgment required by management in identifying and evaluating non-standard terms and conditions and determining the impact of such terms and conditions on the amount and timing of revenue recognition. Accordingly, there is significant auditor judgment and significant audit effort in performing our audit procedures to evaluate whether non-standard terms and conditions in contracts were appropriately identified and evaluated by management.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 over the</w:t>
      </w:r>
    </w:p>
    <w:p>
      <w:pPr>
        <w:spacing w:after="0" w:line="45"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Acquired Developed Technology Intangible Assets</w:t>
      </w:r>
    </w:p>
    <w:p>
      <w:pPr>
        <w:spacing w:after="0" w:line="67"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24282D"/>
        </w:rPr>
        <w:t>As described in Note 6 to the consolidated financial statements, during the year ended December 31, 2021, the Company completed the acquisitions of Alsid SAS (“Alsid”) and Accurics, Inc. (“Accurics”) for $98.5 million and $160.0 million in cash, respectively. The Company’s accounting for the acquisitions included determining the fair value of the acquired intangible assets including developed technology of $31.3 million for Alsid and a preliminary value of $33.3 million for Accurics.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Auditing the accounting for the acquired developed technology intangible assets involved complex auditor judgment</w:t>
      </w:r>
    </w:p>
    <w:p>
      <w:pPr>
        <w:spacing w:after="0" w:line="5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due to the estimation required in management’s determination of fair value. The estimation was significant primarily due to the sensitivity of the fair value of the developed technology to the underlying assumptions, including the discount rate, projected revenue growth rates, future expected operating expenses, and the obsolescence projections. These significant assumptions are forward-looking and could be affected by future economic and market conditions.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 over the</w:t>
      </w:r>
    </w:p>
    <w:p>
      <w:pPr>
        <w:spacing w:after="0" w:line="45" w:lineRule="exact"/>
        <w:rPr>
          <w:sz w:val="20"/>
          <w:szCs w:val="20"/>
          <w:color w:val="auto"/>
        </w:rPr>
      </w:pPr>
    </w:p>
    <w:p>
      <w:pPr>
        <w:jc w:val="both"/>
        <w:ind w:right="80"/>
        <w:spacing w:after="0" w:line="270" w:lineRule="auto"/>
        <w:rPr>
          <w:sz w:val="20"/>
          <w:szCs w:val="20"/>
          <w:color w:val="auto"/>
        </w:rPr>
      </w:pPr>
      <w:r>
        <w:rPr>
          <w:rFonts w:ascii="Arial" w:cs="Arial" w:eastAsia="Arial" w:hAnsi="Arial"/>
          <w:sz w:val="17"/>
          <w:szCs w:val="17"/>
          <w:color w:val="auto"/>
        </w:rPr>
        <w:t>Company’s process for accounting for the acquired developed technology intangible assets. For example, we tested controls over management’s review of the valuation model and significant assumptions used in the valuation as well as controls over the completeness and accuracy of the data used in the model and assumptions.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To test the fair value of the acquired developed technology, our audit procedures included, among others, evaluating the Company's use of valuation methodologies, evaluating the significant assumptions, evaluating the prospective financial information and testing the completeness and accuracy of underlying data. We involved our valuation specialist to assist in testing certain significant assumptions used to value the acquired intangible assets. For example, we compared the significant assumptions to current industry and market trends, to assumptions used to value similar assets in other acquisitions and to other relevant factors. We also performed sensitivity analyses of the significant assumptions to evaluate the change in the fair value resulting from changes in the assumptions.</w:t>
      </w:r>
    </w:p>
    <w:p>
      <w:pPr>
        <w:spacing w:after="0" w:line="200" w:lineRule="exact"/>
        <w:rPr>
          <w:sz w:val="20"/>
          <w:szCs w:val="20"/>
          <w:color w:val="auto"/>
        </w:rPr>
      </w:pPr>
    </w:p>
    <w:p>
      <w:pPr>
        <w:sectPr>
          <w:pgSz w:w="11900" w:h="16838" w:orient="portrait"/>
          <w:cols w:equalWidth="0" w:num="2">
            <w:col w:w="1940" w:space="160"/>
            <w:col w:w="9120"/>
          </w:cols>
          <w:pgMar w:left="320" w:top="140" w:right="35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12529"/>
        </w:rPr>
        <w:t>To the Stockholders and Board of Directors of Tenable Holdings,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have audited Tenable Holdings, Inc.’s internal control over financial reporting as of December 31, 2021,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2021, based on the COSO criteria.</w:t>
      </w:r>
    </w:p>
    <w:p>
      <w:pPr>
        <w:spacing w:after="0" w:line="20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Accurics, Inc. acquired on October 1, 2021, which is included in the 2021 consolidated financial statements of Tenable Holdings, Inc. and constituted less than 3% of total assets as of December 31, 2021 and less than 1% of total revenue and operating expenses for the year then ended. Our audit of internal control over financial reporting of Tenable Holdings, Inc. also did not include an evaluation of the internal control over financial reporting of Accurics, Inc.</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Tenable Holdings, Inc. as of December 31, 2021 and 2020, the related consolidated statements of operations, comprehensive loss, stockholders' equity and cash flows for each of the three years in the period ended December 31, 2021, and the related notes and the financial statement schedule listed in the Index at item 15(a)(2) (collectively referred to as the “consolidated financial statements”) and our report dated February 25, 2022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88"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40"/>
          </w:cols>
          <w:pgMar w:left="320" w:top="140" w:right="5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234,292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rPr>
              <w:t>Accounts receivable (net of allowance for doubtful accounts of $524 and $261 at December 31, 2021</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2020, respectively)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115,342</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40,311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32,143</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44,462</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749,438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483,793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38,920</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46,733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39,426</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13,193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1,248,819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16,254</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407,498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328,819</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374,902</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123,387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54,529</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1,033,506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539,924</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rPr>
              <w:t>Common stock (par value: $0.01; 500,000 shares authorized, 108,929 and 103,715 shares issued and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December 31, 2021 and 2020, respectively)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869,059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757,470</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(654,529)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(607,852)</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215,313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150,665</w:t>
            </w:r>
          </w:p>
        </w:tc>
        <w:tc>
          <w:tcPr>
            <w:tcW w:w="0" w:type="dxa"/>
            <w:vAlign w:val="bottom"/>
          </w:tcPr>
          <w:p>
            <w:pPr>
              <w:spacing w:after="0"/>
              <w:rPr>
                <w:sz w:val="1"/>
                <w:szCs w:val="1"/>
                <w:color w:val="auto"/>
              </w:rPr>
            </w:pP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1,248,819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690,589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r>
      <w:tr>
        <w:trPr>
          <w:trHeight w:val="225"/>
        </w:trPr>
        <w:tc>
          <w:tcPr>
            <w:tcW w:w="6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87,064</w:t>
            </w: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384,567</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r>
      <w:tr>
        <w:trPr>
          <w:trHeight w:val="225"/>
        </w:trPr>
        <w:tc>
          <w:tcPr>
            <w:tcW w:w="690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5,830</w:t>
            </w: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(85,649)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r>
      <w:tr>
        <w:trPr>
          <w:trHeight w:val="219"/>
        </w:trPr>
        <w:tc>
          <w:tcPr>
            <w:tcW w:w="6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gain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3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9"/>
              </w:rPr>
              <w:t>Total</w:t>
            </w:r>
          </w:p>
        </w:tc>
      </w:tr>
      <w:tr>
        <w:trPr>
          <w:trHeight w:val="212"/>
        </w:trPr>
        <w:tc>
          <w:tcPr>
            <w:tcW w:w="326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Comprehensive</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1240" w:type="dxa"/>
            <w:vAlign w:val="bottom"/>
          </w:tcPr>
          <w:p>
            <w:pPr>
              <w:jc w:val="center"/>
              <w:ind w:right="41"/>
              <w:spacing w:after="0"/>
              <w:rPr>
                <w:sz w:val="20"/>
                <w:szCs w:val="20"/>
                <w:color w:val="auto"/>
              </w:rPr>
            </w:pPr>
            <w:r>
              <w:rPr>
                <w:rFonts w:ascii="Arial" w:cs="Arial" w:eastAsia="Arial" w:hAnsi="Arial"/>
                <w:sz w:val="16"/>
                <w:szCs w:val="16"/>
                <w:b w:val="1"/>
                <w:bCs w:val="1"/>
                <w:color w:val="auto"/>
                <w:w w:val="98"/>
              </w:rPr>
              <w:t>Stockholders'</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61"/>
              <w:spacing w:after="0"/>
              <w:rPr>
                <w:sz w:val="20"/>
                <w:szCs w:val="20"/>
                <w:color w:val="auto"/>
              </w:rPr>
            </w:pPr>
            <w:r>
              <w:rPr>
                <w:rFonts w:ascii="Arial" w:cs="Arial" w:eastAsia="Arial" w:hAnsi="Arial"/>
                <w:sz w:val="16"/>
                <w:szCs w:val="16"/>
                <w:b w:val="1"/>
                <w:bCs w:val="1"/>
                <w:color w:val="auto"/>
                <w:w w:val="99"/>
              </w:rPr>
              <w:t>(Loss) Income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00" w:type="dxa"/>
            <w:vAlign w:val="bottom"/>
          </w:tcPr>
          <w:p>
            <w:pPr>
              <w:jc w:val="right"/>
              <w:spacing w:after="0"/>
              <w:rPr>
                <w:sz w:val="20"/>
                <w:szCs w:val="20"/>
                <w:color w:val="auto"/>
              </w:rPr>
            </w:pPr>
            <w:r>
              <w:rPr>
                <w:rFonts w:ascii="Arial" w:cs="Arial" w:eastAsia="Arial" w:hAnsi="Arial"/>
                <w:sz w:val="16"/>
                <w:szCs w:val="16"/>
                <w:color w:val="auto"/>
              </w:rPr>
              <w:t>93,126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586,940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(466,108)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121,763</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32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15,129</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41,928</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(99,013)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(99,013)</w:t>
            </w:r>
          </w:p>
        </w:tc>
      </w:tr>
      <w:tr>
        <w:trPr>
          <w:trHeight w:val="208"/>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662,990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(565,121)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98,905</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21,709</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4"/>
        </w:trPr>
        <w:tc>
          <w:tcPr>
            <w:tcW w:w="3260" w:type="dxa"/>
            <w:vAlign w:val="bottom"/>
          </w:tcPr>
          <w:p>
            <w:pPr>
              <w:ind w:left="20"/>
              <w:spacing w:after="0" w:line="175"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4"/>
        </w:trPr>
        <w:tc>
          <w:tcPr>
            <w:tcW w:w="3260" w:type="dxa"/>
            <w:vAlign w:val="bottom"/>
          </w:tcPr>
          <w:p>
            <w:pPr>
              <w:ind w:left="20"/>
              <w:spacing w:after="0"/>
              <w:rPr>
                <w:sz w:val="20"/>
                <w:szCs w:val="20"/>
                <w:color w:val="auto"/>
              </w:rPr>
            </w:pPr>
            <w:r>
              <w:rPr>
                <w:rFonts w:ascii="Arial" w:cs="Arial" w:eastAsia="Arial" w:hAnsi="Arial"/>
                <w:sz w:val="16"/>
                <w:szCs w:val="16"/>
                <w:color w:val="auto"/>
              </w:rPr>
              <w:t>stock purchase plan</w:t>
            </w:r>
          </w:p>
        </w:tc>
        <w:tc>
          <w:tcPr>
            <w:tcW w:w="900" w:type="dxa"/>
            <w:vAlign w:val="bottom"/>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13,040</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59,782</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(42,731)</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103,715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757,470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(607,852)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150,665</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1,872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32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13,736</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79,637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79,637</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(46,677)</w:t>
            </w:r>
          </w:p>
        </w:tc>
      </w:tr>
      <w:tr>
        <w:trPr>
          <w:trHeight w:val="233"/>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869,059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215,313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2019</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(46,677)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(42,731)</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(99,013)</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4,243</w:t>
            </w:r>
          </w:p>
        </w:tc>
      </w:tr>
      <w:tr>
        <w:trPr>
          <w:trHeight w:val="214"/>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w:t>
            </w:r>
          </w:p>
        </w:tc>
      </w:tr>
      <w:tr>
        <w:trPr>
          <w:trHeight w:val="210"/>
        </w:trPr>
        <w:tc>
          <w:tcPr>
            <w:tcW w:w="69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79,405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59,573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41,610</w:t>
            </w:r>
          </w:p>
        </w:tc>
      </w:tr>
      <w:tr>
        <w:trPr>
          <w:trHeight w:val="214"/>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09"/>
        </w:trPr>
        <w:tc>
          <w:tcPr>
            <w:tcW w:w="69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(25,941)</w:t>
            </w:r>
          </w:p>
        </w:tc>
      </w:tr>
      <w:tr>
        <w:trPr>
          <w:trHeight w:val="210"/>
        </w:trPr>
        <w:tc>
          <w:tcPr>
            <w:tcW w:w="690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(46,207)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(16,954)</w:t>
            </w:r>
          </w:p>
        </w:tc>
      </w:tr>
      <w:tr>
        <w:trPr>
          <w:trHeight w:val="214"/>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accrued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10,513</w:t>
            </w:r>
          </w:p>
        </w:tc>
      </w:tr>
      <w:tr>
        <w:trPr>
          <w:trHeight w:val="209"/>
        </w:trPr>
        <w:tc>
          <w:tcPr>
            <w:tcW w:w="69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92,486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71,383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72,799</w:t>
            </w:r>
          </w:p>
        </w:tc>
      </w:tr>
      <w:tr>
        <w:trPr>
          <w:trHeight w:val="212"/>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8,808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(4,097)</w:t>
            </w:r>
          </w:p>
        </w:tc>
      </w:tr>
      <w:tr>
        <w:trPr>
          <w:trHeight w:val="205"/>
        </w:trPr>
        <w:tc>
          <w:tcPr>
            <w:tcW w:w="6900" w:type="dxa"/>
            <w:vAlign w:val="bottom"/>
          </w:tcPr>
          <w:p>
            <w:pPr>
              <w:ind w:left="46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96,765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64,232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(10,744)</w:t>
            </w:r>
          </w:p>
        </w:tc>
      </w:tr>
      <w:tr>
        <w:trPr>
          <w:trHeight w:val="214"/>
        </w:trPr>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(20,674)</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(184,516)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(242,059)</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maturities of short-term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160,874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224,594</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Purchase of other investments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combinations, net of cash acquired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(74,911)</w:t>
            </w:r>
          </w:p>
        </w:tc>
      </w:tr>
      <w:tr>
        <w:trPr>
          <w:trHeight w:val="205"/>
        </w:trPr>
        <w:tc>
          <w:tcPr>
            <w:tcW w:w="6900" w:type="dxa"/>
            <w:vAlign w:val="bottom"/>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(391,590)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(113,050)</w:t>
            </w:r>
          </w:p>
        </w:tc>
      </w:tr>
      <w:tr>
        <w:trPr>
          <w:trHeight w:val="215"/>
        </w:trPr>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Credit facility issuance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loan agreement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stock issued in connection with the employee stock purchase plan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13,736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13,040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15,129</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19,048</w:t>
            </w: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8"/>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397,646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34,161</w:t>
            </w: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r>
      <w:tr>
        <w:trPr>
          <w:trHeight w:val="208"/>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99,808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103,798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(90,713)</w:t>
            </w: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178,463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74,665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165,378</w:t>
            </w:r>
          </w:p>
        </w:tc>
      </w:tr>
      <w:tr>
        <w:trPr>
          <w:trHeight w:val="23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year</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278,271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178,463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74,665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4,978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8,530</w:t>
            </w: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payments for operating leases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w:t>
            </w: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39"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measuring and comparing cybersecurity risk in the digital era. Our platform offerings provide broad visibility into security issues such as vulnerabilities, misconfigurations, internal and regulatory compliance violations and other indicators of the state of an organization’s security across IT infrastructure and applications, cloud environments, Active Directory and industrial internet of things and operational technology environments.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and deferred revenue, the valuation of stock-based compensation, including the estimated underlying fair value of our common stock prior to our IPO, the incremental borrowing rate for operating leases, and the valuation of deferred tax assets. We base these estimates on historical experience and on various other assumptions that we believe to be reasonable. Actual results could differ significantly from these estimates.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39"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$1.9 million, $1.7 million and $1.1 million in 2021, 2020 and 2019, respectively, and are included as a component of other expense, net in the consolidated statements of operations.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1020" w:firstLine="318"/>
        <w:spacing w:after="0" w:line="280"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we expect to be entitled in exchange for those goods or services. To achieve this, we apply the following steps:</w:t>
      </w:r>
    </w:p>
    <w:p>
      <w:pPr>
        <w:spacing w:after="0" w:line="21"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35"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35"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3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35"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35"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limited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consider all highly liquid financial instruments with an original maturity of three months or less when purchased to be cash equivalents.</w:t>
      </w:r>
    </w:p>
    <w:p>
      <w:pPr>
        <w:spacing w:after="0" w:line="22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At December 31, 2021, cash and cash equivalents included $5.8 million of restricted cash primarily related to collateral for our outstanding letters of credit. At December 31, 2020, cash and cash equivalents included $0.4 million of restricted cash primarily related to collateral for a lease and credit card deposits. At December 31, 2021 and 2020, cash and cash equivalents excluded $0.3 million and $0.2 million, respectively, of restricted cash, which is related to an account established as collateral for a lease arrangement and is included in other assets on the consolidated balance sheets.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239" w:lineRule="exact"/>
        <w:rPr>
          <w:sz w:val="20"/>
          <w:szCs w:val="20"/>
          <w:color w:val="auto"/>
        </w:rPr>
      </w:pPr>
    </w:p>
    <w:p>
      <w:pPr>
        <w:jc w:val="both"/>
        <w:ind w:right="480" w:firstLine="318"/>
        <w:spacing w:after="0" w:line="248" w:lineRule="auto"/>
        <w:rPr>
          <w:sz w:val="20"/>
          <w:szCs w:val="20"/>
          <w:color w:val="auto"/>
        </w:rPr>
      </w:pPr>
      <w:r>
        <w:rPr>
          <w:rFonts w:ascii="Arial" w:cs="Arial" w:eastAsia="Arial" w:hAnsi="Arial"/>
          <w:sz w:val="18"/>
          <w:szCs w:val="18"/>
          <w:color w:val="auto"/>
        </w:rPr>
        <w:t>We currently invest in asset backed securities, certificates of deposit, commercial paper, corporate and supranational bonds, and U.S. treasury and agency obligations. Our investments are classified as available-for-sale and recorded at fair value, with unrealized gains and losses reported in accumulated other comprehensive (loss) income within stockholders’ equity.</w:t>
      </w:r>
    </w:p>
    <w:p>
      <w:pPr>
        <w:spacing w:after="0" w:line="206"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w:t>
      </w:r>
    </w:p>
    <w:p>
      <w:pPr>
        <w:spacing w:after="0" w:line="206"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20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November 2021, we entered into a simple agreement for future equity ("SAFE") agreement for $5.0 million in exchange for a right to participate in a future equity financing. Alternatively, upon a change in control or an initial public offering, we have the option to redeem the SAFE for $5.0 million, or convert the SAFE into shares of common stock. The number of shares of common stock would be determined by dividing the SAFE purchase amount by the liquidity price in the SAFE agreement. The $5.0 million value of the SAFE is included in other assets on our consolidated balance sheet at December 31, 2021.</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39"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these estimates may change and future credit losses may differ from our estimates. Expected credit losses from accounts receivable are recognized as expense in our statement of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 net includes right-of-use assets acquired under finance leases. Amortization of assets acquired under finance leases is included in depreciation expense. Repairs and maintenance costs are expensed as incurred.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197" w:lineRule="exact"/>
        <w:rPr>
          <w:sz w:val="20"/>
          <w:szCs w:val="20"/>
          <w:color w:val="auto"/>
        </w:rPr>
      </w:pPr>
    </w:p>
    <w:p>
      <w:pPr>
        <w:ind w:right="120" w:firstLine="318"/>
        <w:spacing w:after="0" w:line="262"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are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evaluate our long-lived assets for impairment whenever events or changes in circumstance indicate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2021, 2020 or 2019.</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determine the fair value of acquired technology using the multi-period excess earnings method, a form of the income approach. Estimates in valuing identifiable intangible assets include, but are not limited to, projected revenue growth rates, future expected operating expenses,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Amended and Restated Certificate of Incorporation authorized 500,000,000 shares of common stock and 10,000,000 shares of preferred stock. There were no shares of preferred stock issued or outstanding at December 31, 2021 or 2020. 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w:t>
      </w:r>
    </w:p>
    <w:p>
      <w:pPr>
        <w:spacing w:after="0" w:line="239"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Advertising costs are expensed as they are incurred. We incurred advertising costs of $13.6 million, $8.2 million and $5.3 million in 2021, 2020 and 2019, respectively, which are included in sales and marketing expense in the consolidated statements of operations.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39"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2021, 2020 and 2019, we capitalized $2.9 million, $1.6 million and $4.2 million, respectively, of development costs related to internal use software.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Stock-based compensation expense related to restricted stock units ("RSUs"), purchase rights issued under our 2018 Employee Stock Purchase Plan ("2018 ESPP"), stock options and restricted stock is calculated based on the fair value of the awards granted and is recognized on a straight-line basis over the requisite service period, which is generally two to four years. RSUs that include performance-based vesting conditions are expensed using the accelerated attribution method. We account for forfeitures as they occur.</w:t>
      </w:r>
    </w:p>
    <w:p>
      <w:pPr>
        <w:spacing w:after="0" w:line="20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fair value of RSUs is based on the market price of our common stock on the date of grant. The fair value of stock options and 2018 ESPP purchase rights is estimated on the grant date using the Black-Scholes option pricing model, which requires us to make assumptions and judgments, including the expected term, expected volatility, and risk-free interest rates. Following our IPO, we use the market price of our common stock at the date of grant. Prior to our IPO, we estimated the fair value of our common stock at the date of grant.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9"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We calculate basic net loss per share by dividing the net loss by the weighted-average number of shares of common stock outstanding during the period.</w:t>
      </w:r>
    </w:p>
    <w:p>
      <w:pPr>
        <w:spacing w:after="0" w:line="20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Diluted earnings per share is computed by giving effect to all potentially dilutive common stock equivalents in the period, including unvested RSUs, stock options, unvested restricted shares and shares to be issued under our 2018 ESPP. As we have reported losses for all periods presented, all potentially dilutive securities have been excluded from the calculation of diluted net loss per share as their effect would be antidilutive.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39" w:lineRule="exact"/>
        <w:rPr>
          <w:sz w:val="20"/>
          <w:szCs w:val="20"/>
          <w:color w:val="auto"/>
        </w:rPr>
      </w:pPr>
    </w:p>
    <w:p>
      <w:pPr>
        <w:ind w:right="300" w:firstLine="318"/>
        <w:spacing w:after="0" w:line="280" w:lineRule="auto"/>
        <w:rPr>
          <w:sz w:val="20"/>
          <w:szCs w:val="20"/>
          <w:color w:val="auto"/>
        </w:rPr>
      </w:pPr>
      <w:r>
        <w:rPr>
          <w:rFonts w:ascii="Arial" w:cs="Arial" w:eastAsia="Arial" w:hAnsi="Arial"/>
          <w:sz w:val="17"/>
          <w:szCs w:val="17"/>
          <w:color w:val="auto"/>
        </w:rPr>
        <w:t>We operate as one operating segment as our chief executive officer, who is our chief operating decision maker, reviews financial information on a consolidated basis for purposes of making operating decisions, allocating resources, and evaluating financial performance.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spacing w:after="0" w:line="208" w:lineRule="exact"/>
        <w:rPr>
          <w:sz w:val="20"/>
          <w:szCs w:val="20"/>
          <w:color w:val="auto"/>
        </w:rPr>
      </w:pPr>
    </w:p>
    <w:p>
      <w:pPr>
        <w:ind w:right="600" w:firstLine="318"/>
        <w:spacing w:after="0" w:line="280"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1" w:lineRule="exact"/>
        <w:rPr>
          <w:sz w:val="20"/>
          <w:szCs w:val="20"/>
          <w:color w:val="auto"/>
        </w:rPr>
      </w:pPr>
    </w:p>
    <w:p>
      <w:pPr>
        <w:ind w:right="60" w:firstLine="318"/>
        <w:spacing w:after="0" w:line="254" w:lineRule="auto"/>
        <w:rPr>
          <w:sz w:val="20"/>
          <w:szCs w:val="20"/>
          <w:color w:val="auto"/>
        </w:rPr>
      </w:pPr>
      <w:r>
        <w:rPr>
          <w:rFonts w:ascii="Arial" w:cs="Arial" w:eastAsia="Arial" w:hAnsi="Arial"/>
          <w:sz w:val="18"/>
          <w:szCs w:val="18"/>
          <w:color w:val="auto"/>
        </w:rPr>
        <w:t xml:space="preserve">We adopted Accounting Standards Update ("ASU") No. 2019-12 -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effective January 1, 2021. The adoption of this guidance did not have a material impact on our condensed consolidated financial statements. This ASU eliminated previously allowed exceptions and clarified existing guidance in the accounting for income taxes, including in the areas of franchise taxes, the tax basis of goodwill and interim period effects of changes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1" w:lineRule="exact"/>
        <w:rPr>
          <w:sz w:val="20"/>
          <w:szCs w:val="20"/>
          <w:color w:val="auto"/>
        </w:rPr>
      </w:pPr>
    </w:p>
    <w:p>
      <w:pPr>
        <w:ind w:right="140" w:firstLine="318"/>
        <w:spacing w:after="0" w:line="252" w:lineRule="auto"/>
        <w:rPr>
          <w:sz w:val="20"/>
          <w:szCs w:val="20"/>
          <w:color w:val="auto"/>
        </w:rPr>
      </w:pPr>
      <w:r>
        <w:rPr>
          <w:rFonts w:ascii="Arial" w:cs="Arial" w:eastAsia="Arial" w:hAnsi="Arial"/>
          <w:sz w:val="18"/>
          <w:szCs w:val="18"/>
          <w:color w:val="auto"/>
        </w:rPr>
        <w:t xml:space="preserve">In March 2020, the Financial Accounting Standards Board ("FASB") issued ASU No. 2020-04 -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xml:space="preserve">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This ASU provides optional expedients and exceptions to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guidance to ease the financial reporting burden of the transition from the London Interbank Offered Rate ("LIBOR") to alternative reference rates. The ASU was effective beginning on March 12, 2020 and can be adopted prospectively through December 31, 2022. We are currently evaluating the impact of this accounting standard on our consolidated financial statements.</w:t>
      </w:r>
    </w:p>
    <w:p>
      <w:pPr>
        <w:spacing w:after="0" w:line="185" w:lineRule="exact"/>
        <w:rPr>
          <w:sz w:val="20"/>
          <w:szCs w:val="20"/>
          <w:color w:val="auto"/>
        </w:rPr>
      </w:pPr>
    </w:p>
    <w:p>
      <w:pPr>
        <w:ind w:right="120" w:firstLine="318"/>
        <w:spacing w:after="0" w:line="252" w:lineRule="auto"/>
        <w:rPr>
          <w:sz w:val="20"/>
          <w:szCs w:val="20"/>
          <w:color w:val="auto"/>
        </w:rPr>
      </w:pPr>
      <w:r>
        <w:rPr>
          <w:rFonts w:ascii="Arial" w:cs="Arial" w:eastAsia="Arial" w:hAnsi="Arial"/>
          <w:sz w:val="18"/>
          <w:szCs w:val="18"/>
          <w:color w:val="auto"/>
        </w:rPr>
        <w:t xml:space="preserve">In October 2021, the FASB issued ASU No. 2021-08 -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This ASU requires companies to measure contract assets and contract liabilities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a business combination in accordance with Accounting Standards Codification Topic 606 on the acquisition date. We early adopted the ASU as of January 1, 2022 and will apply it prospectively to future acquisitions. The impact of this accounting standard will depend on the contract assets and liabilities acquired in future business combinations.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290,549</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54,173</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9,864</w:t>
            </w:r>
          </w:p>
        </w:tc>
      </w:tr>
      <w:tr>
        <w:trPr>
          <w:trHeight w:val="219"/>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w:t>
      </w:r>
    </w:p>
    <w:p>
      <w:pPr>
        <w:spacing w:after="0" w:line="239" w:lineRule="exact"/>
        <w:rPr>
          <w:sz w:val="20"/>
          <w:szCs w:val="20"/>
          <w:color w:val="auto"/>
        </w:rPr>
      </w:pPr>
    </w:p>
    <w:p>
      <w:pPr>
        <w:jc w:val="both"/>
        <w:ind w:right="120" w:firstLine="318"/>
        <w:spacing w:after="0" w:line="265" w:lineRule="auto"/>
        <w:rPr>
          <w:sz w:val="20"/>
          <w:szCs w:val="20"/>
          <w:color w:val="auto"/>
        </w:rPr>
      </w:pPr>
      <w:r>
        <w:rPr>
          <w:rFonts w:ascii="Arial" w:cs="Arial" w:eastAsia="Arial" w:hAnsi="Arial"/>
          <w:sz w:val="17"/>
          <w:szCs w:val="17"/>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We derived 92%, 91% and 90% of revenue through our channel network in 2021, 2020 and 2019, respectively. One of our distributors accounted for 39%, 43% and 43% of revenue in 2021, 2020 and 2019, respectively. That same distributor accounted for 32% and 41% of accounts receivable at December 31, 2021 and 2020,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2021, 2020 and 2019, we recognized revenue of $329.0 million, $274.3 million and $214.0 million, respectively, that was included in the deferred revenue balance at the beginning of each of the respective periods.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3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At December 31, 2021, the future estimated revenue related to unsatisfied performance obligations was $559.0 million, of which approximately 76% is expected to be recognized as revenue over the succeeding twelve months, and the remainder expected to be recognized over the four years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8"/>
              </w:rPr>
              <w:t>78,876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8"/>
              </w:rPr>
              <w:t>72,265</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00" w:type="dxa"/>
            <w:vAlign w:val="bottom"/>
          </w:tcPr>
          <w:p>
            <w:pPr>
              <w:spacing w:after="0"/>
              <w:rPr>
                <w:sz w:val="19"/>
                <w:szCs w:val="19"/>
                <w:color w:val="auto"/>
              </w:rPr>
            </w:pPr>
          </w:p>
        </w:tc>
        <w:tc>
          <w:tcPr>
            <w:tcW w:w="1120" w:type="dxa"/>
            <w:vAlign w:val="bottom"/>
          </w:tcPr>
          <w:p>
            <w:pPr>
              <w:jc w:val="center"/>
              <w:ind w:left="335"/>
              <w:spacing w:after="0"/>
              <w:rPr>
                <w:sz w:val="20"/>
                <w:szCs w:val="20"/>
                <w:color w:val="auto"/>
              </w:rPr>
            </w:pPr>
            <w:r>
              <w:rPr>
                <w:rFonts w:ascii="Arial" w:cs="Arial" w:eastAsia="Arial" w:hAnsi="Arial"/>
                <w:sz w:val="18"/>
                <w:szCs w:val="18"/>
                <w:color w:val="auto"/>
                <w:w w:val="98"/>
              </w:rPr>
              <w:t>58,196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13"/>
              <w:spacing w:after="0"/>
              <w:rPr>
                <w:sz w:val="20"/>
                <w:szCs w:val="20"/>
                <w:color w:val="auto"/>
              </w:rPr>
            </w:pPr>
            <w:r>
              <w:rPr>
                <w:rFonts w:ascii="Arial" w:cs="Arial" w:eastAsia="Arial" w:hAnsi="Arial"/>
                <w:sz w:val="18"/>
                <w:szCs w:val="18"/>
                <w:color w:val="auto"/>
                <w:w w:val="98"/>
              </w:rPr>
              <w:t>38,756</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8"/>
              </w:rPr>
              <w:t>(37,123)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8"/>
              </w:rPr>
              <w:t>(32,145)</w:t>
            </w:r>
          </w:p>
        </w:tc>
      </w:tr>
      <w:tr>
        <w:trPr>
          <w:trHeight w:val="219"/>
        </w:trPr>
        <w:tc>
          <w:tcPr>
            <w:tcW w:w="82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98"/>
              </w:rPr>
              <w:t>99,949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8"/>
              </w:rPr>
              <w:t>78,876</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39"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December 31, 2021</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40" w:type="dxa"/>
            <w:vAlign w:val="bottom"/>
            <w:gridSpan w:val="3"/>
            <w:vMerge w:val="restart"/>
          </w:tcPr>
          <w:p>
            <w:pPr>
              <w:jc w:val="right"/>
              <w:ind w:right="24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20" w:type="dxa"/>
            <w:vAlign w:val="bottom"/>
          </w:tcPr>
          <w:p>
            <w:pPr>
              <w:spacing w:after="0"/>
              <w:rPr>
                <w:sz w:val="13"/>
                <w:szCs w:val="13"/>
                <w:color w:val="auto"/>
              </w:rPr>
            </w:pPr>
          </w:p>
        </w:tc>
        <w:tc>
          <w:tcPr>
            <w:tcW w:w="1280" w:type="dxa"/>
            <w:vAlign w:val="bottom"/>
          </w:tcPr>
          <w:p>
            <w:pPr>
              <w:jc w:val="center"/>
              <w:ind w:right="53"/>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3"/>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180" w:type="dxa"/>
            <w:vAlign w:val="bottom"/>
          </w:tcPr>
          <w:p>
            <w:pPr>
              <w:spacing w:after="0" w:line="206" w:lineRule="exact"/>
              <w:rPr>
                <w:sz w:val="20"/>
                <w:szCs w:val="20"/>
                <w:color w:val="auto"/>
              </w:rPr>
            </w:pPr>
            <w:r>
              <w:rPr>
                <w:rFonts w:ascii="Arial" w:cs="Arial" w:eastAsia="Arial" w:hAnsi="Arial"/>
                <w:sz w:val="18"/>
                <w:szCs w:val="18"/>
                <w:b w:val="1"/>
                <w:bCs w:val="1"/>
                <w:color w:val="auto"/>
              </w:rPr>
              <w:t>Cash equivalents:</w:t>
            </w: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178,518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Total cash equivalents</w:t>
            </w:r>
          </w:p>
        </w:tc>
        <w:tc>
          <w:tcPr>
            <w:tcW w:w="400" w:type="dxa"/>
            <w:vAlign w:val="bottom"/>
            <w:gridSpan w:val="2"/>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178,518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40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Supranational bonds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and agency obligations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27,168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234,598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December 31, 2020</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w w:val="97"/>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20" w:type="dxa"/>
            <w:vAlign w:val="bottom"/>
          </w:tcPr>
          <w:p>
            <w:pPr>
              <w:spacing w:after="0"/>
              <w:rPr>
                <w:sz w:val="13"/>
                <w:szCs w:val="13"/>
                <w:color w:val="auto"/>
              </w:rPr>
            </w:pPr>
          </w:p>
        </w:tc>
        <w:tc>
          <w:tcPr>
            <w:tcW w:w="1280" w:type="dxa"/>
            <w:vAlign w:val="bottom"/>
          </w:tcPr>
          <w:p>
            <w:pPr>
              <w:jc w:val="center"/>
              <w:ind w:right="13"/>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3"/>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gridSpan w:val="2"/>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equivalents</w:t>
            </w:r>
          </w:p>
        </w:tc>
        <w:tc>
          <w:tcPr>
            <w:tcW w:w="40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gridSpan w:val="2"/>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short-term investments</w:t>
            </w:r>
          </w:p>
        </w:tc>
        <w:tc>
          <w:tcPr>
            <w:tcW w:w="40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Gross unrealized losses were not material at December 31, 2021. We considered the extent to which any unrealized losses on our short-term investments were driven by credit risk and other factors, including market risk, and if it is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likely-than-not that we would have to sell the security before the recovery of the amortized cost basis. Based on our assessment, we do not believe any unrealized losses represent credit losses at December 31, 2021.</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8"/>
                <w:szCs w:val="18"/>
                <w:color w:val="auto"/>
              </w:rPr>
            </w:pPr>
          </w:p>
        </w:tc>
        <w:tc>
          <w:tcPr>
            <w:tcW w:w="284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155"/>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Due between one and four years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2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Fair Value Measurements</w:t>
      </w:r>
    </w:p>
    <w:p>
      <w:pPr>
        <w:spacing w:after="0" w:line="239"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9"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58" w:lineRule="exact"/>
        <w:rPr>
          <w:rFonts w:ascii="Arial" w:cs="Arial" w:eastAsia="Arial" w:hAnsi="Arial"/>
          <w:sz w:val="18"/>
          <w:szCs w:val="18"/>
          <w:color w:val="auto"/>
        </w:rPr>
      </w:pPr>
    </w:p>
    <w:p>
      <w:pPr>
        <w:ind w:left="640" w:right="660" w:hanging="316"/>
        <w:spacing w:after="0" w:line="272"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r>
      <w:tr>
        <w:trPr>
          <w:trHeight w:val="205"/>
        </w:trPr>
        <w:tc>
          <w:tcPr>
            <w:tcW w:w="522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r>
      <w:tr>
        <w:trPr>
          <w:trHeight w:val="219"/>
        </w:trPr>
        <w:tc>
          <w:tcPr>
            <w:tcW w:w="5220" w:type="dxa"/>
            <w:vAlign w:val="bottom"/>
          </w:tcPr>
          <w:p>
            <w:pPr>
              <w:ind w:left="240"/>
              <w:spacing w:after="0"/>
              <w:rPr>
                <w:sz w:val="20"/>
                <w:szCs w:val="20"/>
                <w:color w:val="auto"/>
              </w:rPr>
            </w:pPr>
            <w:r>
              <w:rPr>
                <w:rFonts w:ascii="Arial" w:cs="Arial" w:eastAsia="Arial" w:hAnsi="Arial"/>
                <w:sz w:val="18"/>
                <w:szCs w:val="18"/>
                <w:color w:val="auto"/>
              </w:rPr>
              <w:t>Total cash equivalents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178,518</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178,518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134,118</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27,128</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9,992</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r>
      <w:tr>
        <w:trPr>
          <w:trHeight w:val="23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short-term investments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December 31, 2020</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r>
      <w:tr>
        <w:trPr>
          <w:trHeight w:val="205"/>
        </w:trPr>
        <w:tc>
          <w:tcPr>
            <w:tcW w:w="522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r>
      <w:tr>
        <w:trPr>
          <w:trHeight w:val="239"/>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tcPr>
          <w:p>
            <w:pPr>
              <w:spacing w:after="0"/>
              <w:rPr>
                <w:sz w:val="19"/>
                <w:szCs w:val="19"/>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71,425</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37,693</w:t>
            </w:r>
          </w:p>
        </w:tc>
      </w:tr>
      <w:tr>
        <w:trPr>
          <w:trHeight w:val="23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short-term investments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liabilities measured and recorded at fair value on a recurring basis at December 31, 2021 and 2020.</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Property and Equipment, Net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color w:val="auto"/>
              </w:rPr>
              <w:t>Computer software and equipment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29,203</w:t>
            </w:r>
          </w:p>
        </w:tc>
        <w:tc>
          <w:tcPr>
            <w:tcW w:w="12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22,930</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26,210</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under finance leases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18"/>
        </w:trPr>
        <w:tc>
          <w:tcPr>
            <w:tcW w:w="828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56,722</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(17,802)</w:t>
            </w:r>
          </w:p>
        </w:tc>
      </w:tr>
      <w:tr>
        <w:trPr>
          <w:trHeight w:val="219"/>
        </w:trPr>
        <w:tc>
          <w:tcPr>
            <w:tcW w:w="82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38,920</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340" w:firstLine="318"/>
        <w:spacing w:after="0" w:line="251" w:lineRule="auto"/>
        <w:rPr>
          <w:sz w:val="20"/>
          <w:szCs w:val="20"/>
          <w:color w:val="auto"/>
        </w:rPr>
      </w:pPr>
      <w:r>
        <w:rPr>
          <w:rFonts w:ascii="Arial" w:cs="Arial" w:eastAsia="Arial" w:hAnsi="Arial"/>
          <w:sz w:val="18"/>
          <w:szCs w:val="18"/>
          <w:color w:val="auto"/>
        </w:rPr>
        <w:t>Depreciation and amortization related to property and equipment was $9.5 million, $8.1 million and $6.3 million in 2021, 2020 and 2019,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6. Acquisitions, Goodwill and Intangible Assets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In October 2021, we acquired Accurics. Accurics delivers cloud-native security for DevOps and security teams. This acquisition expanded our broader cloud strategy to include the holistic assessment and automated remediation of policy violations and breach paths before the infrastructure is provisioned and throughout its lifecycle. We acquired 100% of the equity in exchange for cash consideration of $160.0 million, net of cash acquired of $9.6 million.</w:t>
      </w:r>
    </w:p>
    <w:p>
      <w:pPr>
        <w:spacing w:after="0" w:line="208" w:lineRule="exact"/>
        <w:rPr>
          <w:sz w:val="20"/>
          <w:szCs w:val="20"/>
          <w:color w:val="auto"/>
        </w:rPr>
      </w:pPr>
    </w:p>
    <w:p>
      <w:pPr>
        <w:jc w:val="both"/>
        <w:ind w:right="160" w:firstLine="318"/>
        <w:spacing w:after="0" w:line="247" w:lineRule="auto"/>
        <w:rPr>
          <w:sz w:val="20"/>
          <w:szCs w:val="20"/>
          <w:color w:val="auto"/>
        </w:rPr>
      </w:pPr>
      <w:r>
        <w:rPr>
          <w:rFonts w:ascii="Arial" w:cs="Arial" w:eastAsia="Arial" w:hAnsi="Arial"/>
          <w:sz w:val="18"/>
          <w:szCs w:val="18"/>
          <w:color w:val="auto"/>
        </w:rPr>
        <w:t>In April 2021, we acquired Alsid, which expanded our product offerings to include active directory security. Active directory is the basis for managing user permissions across on-premises and hybrid cloud deployments and is foundational to the security of cloud workloads, security remote work, and adopting zero trust architectures. Through a share purchase agreement, we acquired 100% of Alsid's equity in exchange for cash consideration of $98.5 million, net of cash acquired of $3.3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consideration, net of cash acquired, was preliminarily allocated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760" w:type="dxa"/>
            <w:vAlign w:val="bottom"/>
            <w:gridSpan w:val="2"/>
          </w:tcPr>
          <w:p>
            <w:pPr>
              <w:ind w:left="300"/>
              <w:spacing w:after="0"/>
              <w:rPr>
                <w:sz w:val="20"/>
                <w:szCs w:val="20"/>
                <w:color w:val="auto"/>
              </w:rPr>
            </w:pPr>
            <w:r>
              <w:rPr>
                <w:rFonts w:ascii="Arial" w:cs="Arial" w:eastAsia="Arial" w:hAnsi="Arial"/>
                <w:sz w:val="16"/>
                <w:szCs w:val="16"/>
                <w:b w:val="1"/>
                <w:bCs w:val="1"/>
                <w:color w:val="auto"/>
              </w:rPr>
              <w:t>Accurics</w:t>
            </w:r>
          </w:p>
        </w:tc>
        <w:tc>
          <w:tcPr>
            <w:tcW w:w="500" w:type="dxa"/>
            <w:vAlign w:val="bottom"/>
          </w:tcPr>
          <w:p>
            <w:pPr>
              <w:spacing w:after="0"/>
              <w:rPr>
                <w:sz w:val="18"/>
                <w:szCs w:val="18"/>
                <w:color w:val="auto"/>
              </w:rPr>
            </w:pPr>
          </w:p>
        </w:tc>
        <w:tc>
          <w:tcPr>
            <w:tcW w:w="1600" w:type="dxa"/>
            <w:vAlign w:val="bottom"/>
          </w:tcPr>
          <w:p>
            <w:pPr>
              <w:jc w:val="right"/>
              <w:ind w:right="773"/>
              <w:spacing w:after="0"/>
              <w:rPr>
                <w:sz w:val="20"/>
                <w:szCs w:val="20"/>
                <w:color w:val="auto"/>
              </w:rPr>
            </w:pPr>
            <w:r>
              <w:rPr>
                <w:rFonts w:ascii="Arial" w:cs="Arial" w:eastAsia="Arial" w:hAnsi="Arial"/>
                <w:sz w:val="16"/>
                <w:szCs w:val="16"/>
                <w:b w:val="1"/>
                <w:bCs w:val="1"/>
                <w:color w:val="auto"/>
              </w:rPr>
              <w:t>Alsid</w:t>
            </w:r>
          </w:p>
        </w:tc>
      </w:tr>
      <w:tr>
        <w:trPr>
          <w:trHeight w:val="221"/>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134,909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72,291</w:t>
            </w:r>
          </w:p>
        </w:tc>
      </w:tr>
      <w:tr>
        <w:trPr>
          <w:trHeight w:val="22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accrued expenses and accrued compensation</w:t>
            </w:r>
          </w:p>
        </w:tc>
        <w:tc>
          <w:tcPr>
            <w:tcW w:w="4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r>
      <w:tr>
        <w:trPr>
          <w:trHeight w:val="225"/>
        </w:trPr>
        <w:tc>
          <w:tcPr>
            <w:tcW w:w="69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(3,699)</w:t>
            </w: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 net</w:t>
            </w:r>
          </w:p>
        </w:tc>
        <w:tc>
          <w:tcPr>
            <w:tcW w:w="4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19"/>
        </w:trPr>
        <w:tc>
          <w:tcPr>
            <w:tcW w:w="6960" w:type="dxa"/>
            <w:vAlign w:val="bottom"/>
          </w:tcPr>
          <w:p>
            <w:pPr>
              <w:ind w:left="220"/>
              <w:spacing w:after="0"/>
              <w:rPr>
                <w:sz w:val="20"/>
                <w:szCs w:val="20"/>
                <w:color w:val="auto"/>
              </w:rPr>
            </w:pPr>
            <w:r>
              <w:rPr>
                <w:rFonts w:ascii="Arial" w:cs="Arial" w:eastAsia="Arial" w:hAnsi="Arial"/>
                <w:sz w:val="18"/>
                <w:szCs w:val="18"/>
                <w:color w:val="auto"/>
              </w:rPr>
              <w:t>Total purchase price allocation</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159,976</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98,489</w:t>
            </w:r>
          </w:p>
        </w:tc>
      </w:tr>
      <w:tr>
        <w:trPr>
          <w:trHeight w:val="20"/>
        </w:trPr>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620" w:firstLine="318"/>
        <w:spacing w:after="0" w:line="251" w:lineRule="auto"/>
        <w:rPr>
          <w:sz w:val="20"/>
          <w:szCs w:val="20"/>
          <w:color w:val="auto"/>
        </w:rPr>
      </w:pPr>
      <w:r>
        <w:rPr>
          <w:rFonts w:ascii="Arial" w:cs="Arial" w:eastAsia="Arial" w:hAnsi="Arial"/>
          <w:sz w:val="18"/>
          <w:szCs w:val="18"/>
          <w:color w:val="auto"/>
        </w:rPr>
        <w:t>We are still finalizing the allocations of the purchase price, which may change as additional information becomes available related to acquired intangible assets, working capital and income taxes for Accurics and income taxes for Alsid.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and their estimated useful lives at the date of acquisition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ind w:left="800"/>
              <w:spacing w:after="0"/>
              <w:rPr>
                <w:sz w:val="20"/>
                <w:szCs w:val="20"/>
                <w:color w:val="auto"/>
              </w:rPr>
            </w:pPr>
            <w:r>
              <w:rPr>
                <w:rFonts w:ascii="Arial" w:cs="Arial" w:eastAsia="Arial" w:hAnsi="Arial"/>
                <w:sz w:val="16"/>
                <w:szCs w:val="16"/>
                <w:b w:val="1"/>
                <w:bCs w:val="1"/>
                <w:color w:val="auto"/>
              </w:rPr>
              <w:t>Accurics</w:t>
            </w:r>
          </w:p>
        </w:tc>
        <w:tc>
          <w:tcPr>
            <w:tcW w:w="320" w:type="dxa"/>
            <w:vAlign w:val="bottom"/>
          </w:tcPr>
          <w:p>
            <w:pPr>
              <w:spacing w:after="0"/>
              <w:rPr>
                <w:sz w:val="18"/>
                <w:szCs w:val="18"/>
                <w:color w:val="auto"/>
              </w:rPr>
            </w:pPr>
          </w:p>
        </w:tc>
        <w:tc>
          <w:tcPr>
            <w:tcW w:w="2620" w:type="dxa"/>
            <w:vAlign w:val="bottom"/>
            <w:gridSpan w:val="3"/>
          </w:tcPr>
          <w:p>
            <w:pPr>
              <w:ind w:left="960"/>
              <w:spacing w:after="0"/>
              <w:rPr>
                <w:sz w:val="20"/>
                <w:szCs w:val="20"/>
                <w:color w:val="auto"/>
              </w:rPr>
            </w:pPr>
            <w:r>
              <w:rPr>
                <w:rFonts w:ascii="Arial" w:cs="Arial" w:eastAsia="Arial" w:hAnsi="Arial"/>
                <w:sz w:val="16"/>
                <w:szCs w:val="16"/>
                <w:b w:val="1"/>
                <w:bCs w:val="1"/>
                <w:color w:val="auto"/>
              </w:rPr>
              <w:t>Alsid</w:t>
            </w:r>
          </w:p>
        </w:tc>
        <w:tc>
          <w:tcPr>
            <w:tcW w:w="0" w:type="dxa"/>
            <w:vAlign w:val="bottom"/>
          </w:tcPr>
          <w:p>
            <w:pPr>
              <w:spacing w:after="0"/>
              <w:rPr>
                <w:sz w:val="1"/>
                <w:szCs w:val="1"/>
                <w:color w:val="auto"/>
              </w:rPr>
            </w:pPr>
          </w:p>
        </w:tc>
      </w:tr>
      <w:tr>
        <w:trPr>
          <w:trHeight w:val="155"/>
        </w:trPr>
        <w:tc>
          <w:tcPr>
            <w:tcW w:w="5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8"/>
              </w:rPr>
              <w:t>Estimated Useful</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Estimated Useful</w:t>
            </w:r>
          </w:p>
        </w:tc>
        <w:tc>
          <w:tcPr>
            <w:tcW w:w="0" w:type="dxa"/>
            <w:vAlign w:val="bottom"/>
          </w:tcPr>
          <w:p>
            <w:pPr>
              <w:spacing w:after="0"/>
              <w:rPr>
                <w:sz w:val="1"/>
                <w:szCs w:val="1"/>
                <w:color w:val="auto"/>
              </w:rPr>
            </w:pPr>
          </w:p>
        </w:tc>
      </w:tr>
      <w:tr>
        <w:trPr>
          <w:trHeight w:val="212"/>
        </w:trPr>
        <w:tc>
          <w:tcPr>
            <w:tcW w:w="526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10 years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 years</w:t>
            </w:r>
          </w:p>
        </w:tc>
        <w:tc>
          <w:tcPr>
            <w:tcW w:w="0" w:type="dxa"/>
            <w:vAlign w:val="bottom"/>
          </w:tcPr>
          <w:p>
            <w:pPr>
              <w:spacing w:after="0"/>
              <w:rPr>
                <w:sz w:val="1"/>
                <w:szCs w:val="1"/>
                <w:color w:val="auto"/>
              </w:rPr>
            </w:pPr>
          </w:p>
        </w:tc>
      </w:tr>
      <w:tr>
        <w:trPr>
          <w:trHeight w:val="22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8"/>
              </w:rPr>
              <w:t>2 years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 year</w:t>
            </w: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intangible assets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results of operations of Accurics and Alsid are included in our consolidated statements of operations from the acquisition date and were not material. Pro forma results of operations are not presented as they are not material to the consolidated statements of operations.</w:t>
      </w:r>
    </w:p>
    <w:p>
      <w:pPr>
        <w:spacing w:after="0" w:line="203" w:lineRule="exact"/>
        <w:rPr>
          <w:sz w:val="20"/>
          <w:szCs w:val="20"/>
          <w:color w:val="auto"/>
        </w:rPr>
      </w:pPr>
    </w:p>
    <w:p>
      <w:pPr>
        <w:jc w:val="both"/>
        <w:ind w:right="120" w:firstLine="318"/>
        <w:spacing w:after="0" w:line="248" w:lineRule="auto"/>
        <w:rPr>
          <w:sz w:val="20"/>
          <w:szCs w:val="20"/>
          <w:color w:val="auto"/>
        </w:rPr>
      </w:pPr>
      <w:r>
        <w:rPr>
          <w:rFonts w:ascii="Arial" w:cs="Arial" w:eastAsia="Arial" w:hAnsi="Arial"/>
          <w:sz w:val="18"/>
          <w:szCs w:val="18"/>
          <w:color w:val="auto"/>
        </w:rPr>
        <w:t>In 2021 and 2020, we recognized acquisition-related transaction costs, primarily in general and administrative expense, of $6.9 million and $0.3 million, respectively. In 2019, we recognized acquisition-related transaction costs of $4.0 million, including $2.1 million of expense related to the intercompany transfer of intellectual property.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54,414</w:t>
            </w:r>
          </w:p>
        </w:tc>
      </w:tr>
      <w:tr>
        <w:trPr>
          <w:trHeight w:val="225"/>
        </w:trPr>
        <w:tc>
          <w:tcPr>
            <w:tcW w:w="9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Acquired goodwill</w:t>
            </w:r>
          </w:p>
        </w:tc>
        <w:tc>
          <w:tcPr>
            <w:tcW w:w="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207,200</w:t>
            </w: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7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261,614</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440" w:firstLine="318"/>
        <w:spacing w:after="0" w:line="248"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these new capabilities from Accurics and Alsid to our customers. The acquired goodwill is not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2020</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5"/>
        </w:trPr>
        <w:tc>
          <w:tcPr>
            <w:tcW w:w="2360" w:type="dxa"/>
            <w:vAlign w:val="bottom"/>
          </w:tcPr>
          <w:p>
            <w:pPr>
              <w:spacing w:after="0"/>
              <w:rPr>
                <w:sz w:val="13"/>
                <w:szCs w:val="13"/>
                <w:color w:val="auto"/>
              </w:rPr>
            </w:pPr>
          </w:p>
        </w:tc>
        <w:tc>
          <w:tcPr>
            <w:tcW w:w="1360" w:type="dxa"/>
            <w:vAlign w:val="bottom"/>
            <w:gridSpan w:val="2"/>
          </w:tcPr>
          <w:p>
            <w:pPr>
              <w:jc w:val="right"/>
              <w:ind w:right="14"/>
              <w:spacing w:after="0" w:line="155"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right"/>
              <w:ind w:right="135"/>
              <w:spacing w:after="0" w:line="155"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3"/>
                <w:szCs w:val="13"/>
                <w:color w:val="auto"/>
              </w:rPr>
            </w:pPr>
          </w:p>
        </w:tc>
        <w:tc>
          <w:tcPr>
            <w:tcW w:w="1380" w:type="dxa"/>
            <w:vAlign w:val="bottom"/>
            <w:gridSpan w:val="2"/>
          </w:tcPr>
          <w:p>
            <w:pPr>
              <w:jc w:val="right"/>
              <w:ind w:right="34"/>
              <w:spacing w:after="0" w:line="155"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right"/>
              <w:ind w:right="135"/>
              <w:spacing w:after="0" w:line="155" w:lineRule="exact"/>
              <w:rPr>
                <w:sz w:val="20"/>
                <w:szCs w:val="20"/>
                <w:color w:val="auto"/>
              </w:rPr>
            </w:pPr>
            <w:r>
              <w:rPr>
                <w:rFonts w:ascii="Arial" w:cs="Arial" w:eastAsia="Arial" w:hAnsi="Arial"/>
                <w:sz w:val="16"/>
                <w:szCs w:val="16"/>
                <w:b w:val="1"/>
                <w:bCs w:val="1"/>
                <w:color w:val="auto"/>
              </w:rPr>
              <w:t>Net Carrying</w:t>
            </w:r>
          </w:p>
        </w:tc>
      </w:tr>
      <w:tr>
        <w:trPr>
          <w:trHeight w:val="212"/>
        </w:trPr>
        <w:tc>
          <w:tcPr>
            <w:tcW w:w="2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8"/>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Amount</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w:t>
            </w:r>
          </w:p>
        </w:tc>
      </w:tr>
      <w:tr>
        <w:trPr>
          <w:trHeight w:val="225"/>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38"/>
        </w:trPr>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440" w:firstLine="318"/>
        <w:spacing w:after="0" w:line="280" w:lineRule="auto"/>
        <w:rPr>
          <w:sz w:val="20"/>
          <w:szCs w:val="20"/>
          <w:color w:val="auto"/>
        </w:rPr>
      </w:pPr>
      <w:r>
        <w:rPr>
          <w:rFonts w:ascii="Arial" w:cs="Arial" w:eastAsia="Arial" w:hAnsi="Arial"/>
          <w:sz w:val="17"/>
          <w:szCs w:val="17"/>
          <w:color w:val="auto"/>
        </w:rPr>
        <w:t>Amortization of acquired intangible assets was $6.4 million, $2.3 million, and $0.6 million in 2021, 2020 and 2019, respectively. At December 31, 2021, our acquired intangible assets are expected to be amortized over an estimated weighted average period of 7.7 years.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estimated future amortization of intangible assets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2022</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9,907</w:t>
            </w:r>
          </w:p>
        </w:tc>
      </w:tr>
      <w:tr>
        <w:trPr>
          <w:trHeight w:val="226"/>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10,016</w:t>
            </w:r>
          </w:p>
        </w:tc>
      </w:tr>
      <w:tr>
        <w:trPr>
          <w:trHeight w:val="226"/>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9,831</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21,717</w:t>
            </w:r>
          </w:p>
        </w:tc>
      </w:tr>
      <w:tr>
        <w:trPr>
          <w:trHeight w:val="219"/>
        </w:trPr>
        <w:tc>
          <w:tcPr>
            <w:tcW w:w="9140" w:type="dxa"/>
            <w:vAlign w:val="bottom"/>
          </w:tcPr>
          <w:p>
            <w:pPr>
              <w:jc w:val="right"/>
              <w:ind w:right="8453"/>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71,536</w:t>
            </w: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7. Leases</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have operating leases for office facilities and finance leases for office equipment. Our leases have remaining terms of less than one year to just over ten years, some of which include one or more options to renew, with renewal terms up to five years and some of which include options to terminate the leases within the next one to four years. The ROU assets and liabilities at December 31, 2021 assume we exercise the option to early terminate one of our leases in 2025.</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2019</w:t>
            </w: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6760" w:type="dxa"/>
            <w:vAlign w:val="bottom"/>
          </w:tcPr>
          <w:p>
            <w:pPr>
              <w:ind w:left="220"/>
              <w:spacing w:after="0"/>
              <w:rPr>
                <w:sz w:val="20"/>
                <w:szCs w:val="20"/>
                <w:color w:val="auto"/>
              </w:rPr>
            </w:pPr>
            <w:r>
              <w:rPr>
                <w:rFonts w:ascii="Arial" w:cs="Arial" w:eastAsia="Arial" w:hAnsi="Arial"/>
                <w:sz w:val="18"/>
                <w:szCs w:val="18"/>
                <w:color w:val="auto"/>
              </w:rPr>
              <w:t>Amortization of ROU assets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5"/>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9"/>
        </w:trPr>
        <w:tc>
          <w:tcPr>
            <w:tcW w:w="676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for short-term leases in 2021, 2020 and 2019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December 31,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5"/>
              <w:spacing w:after="0"/>
              <w:rPr>
                <w:sz w:val="20"/>
                <w:szCs w:val="20"/>
                <w:color w:val="auto"/>
              </w:rPr>
            </w:pPr>
            <w:r>
              <w:rPr>
                <w:rFonts w:ascii="Arial" w:cs="Arial" w:eastAsia="Arial" w:hAnsi="Arial"/>
                <w:sz w:val="16"/>
                <w:szCs w:val="16"/>
                <w:b w:val="1"/>
                <w:bCs w:val="1"/>
                <w:color w:val="auto"/>
                <w:w w:val="97"/>
              </w:rPr>
              <w:t>December 31,</w:t>
            </w:r>
          </w:p>
        </w:tc>
      </w:tr>
      <w:tr>
        <w:trPr>
          <w:trHeight w:val="212"/>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5"/>
              </w:rPr>
              <w:t>2020</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76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9.2 years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5"/>
              <w:spacing w:after="0"/>
              <w:rPr>
                <w:sz w:val="20"/>
                <w:szCs w:val="20"/>
                <w:color w:val="auto"/>
              </w:rPr>
            </w:pPr>
            <w:r>
              <w:rPr>
                <w:rFonts w:ascii="Arial" w:cs="Arial" w:eastAsia="Arial" w:hAnsi="Arial"/>
                <w:sz w:val="18"/>
                <w:szCs w:val="18"/>
                <w:color w:val="auto"/>
                <w:w w:val="97"/>
              </w:rPr>
              <w:t>10.0 years</w:t>
            </w:r>
          </w:p>
        </w:tc>
      </w:tr>
      <w:tr>
        <w:trPr>
          <w:trHeight w:val="22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5.6%</w:t>
            </w:r>
          </w:p>
        </w:tc>
      </w:tr>
      <w:tr>
        <w:trPr>
          <w:trHeight w:val="525"/>
        </w:trPr>
        <w:tc>
          <w:tcPr>
            <w:tcW w:w="6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21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2019</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7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3,188</w:t>
            </w:r>
          </w:p>
        </w:tc>
        <w:tc>
          <w:tcPr>
            <w:tcW w:w="40" w:type="dxa"/>
            <w:vAlign w:val="bottom"/>
          </w:tcPr>
          <w:p>
            <w:pPr>
              <w:spacing w:after="0"/>
              <w:rPr>
                <w:sz w:val="19"/>
                <w:szCs w:val="19"/>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39,170</w:t>
            </w:r>
          </w:p>
        </w:tc>
      </w:tr>
      <w:tr>
        <w:trPr>
          <w:trHeight w:val="22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30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2020, we received proceeds from lease incentives of $14.2 million. The proceeds from lease incentives received are included with the change in the lease liabilities under the other current and noncurrent liabilities caption in the operating activities section of the statement of cash flows.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Maturities of operating lease liabilities at December 31, 2021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2022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8,396</w:t>
            </w:r>
          </w:p>
        </w:tc>
        <w:tc>
          <w:tcPr>
            <w:tcW w:w="0" w:type="dxa"/>
            <w:vAlign w:val="bottom"/>
          </w:tcPr>
          <w:p>
            <w:pPr>
              <w:spacing w:after="0"/>
              <w:rPr>
                <w:sz w:val="1"/>
                <w:szCs w:val="1"/>
                <w:color w:val="auto"/>
              </w:rPr>
            </w:pP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0" w:type="dxa"/>
            <w:vAlign w:val="bottom"/>
          </w:tcPr>
          <w:p>
            <w:pPr>
              <w:spacing w:after="0"/>
              <w:rPr>
                <w:sz w:val="1"/>
                <w:szCs w:val="1"/>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37,423</w:t>
            </w:r>
          </w:p>
        </w:tc>
        <w:tc>
          <w:tcPr>
            <w:tcW w:w="0" w:type="dxa"/>
            <w:vAlign w:val="bottom"/>
          </w:tcPr>
          <w:p>
            <w:pPr>
              <w:spacing w:after="0"/>
              <w:rPr>
                <w:sz w:val="1"/>
                <w:szCs w:val="1"/>
                <w:color w:val="auto"/>
              </w:rPr>
            </w:pPr>
          </w:p>
        </w:tc>
      </w:tr>
      <w:tr>
        <w:trPr>
          <w:trHeight w:val="218"/>
        </w:trPr>
        <w:tc>
          <w:tcPr>
            <w:tcW w:w="982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75,167</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(17,801)</w:t>
            </w:r>
          </w:p>
        </w:tc>
        <w:tc>
          <w:tcPr>
            <w:tcW w:w="0" w:type="dxa"/>
            <w:vAlign w:val="bottom"/>
          </w:tcPr>
          <w:p>
            <w:pPr>
              <w:spacing w:after="0"/>
              <w:rPr>
                <w:sz w:val="1"/>
                <w:szCs w:val="1"/>
                <w:color w:val="auto"/>
              </w:rPr>
            </w:pPr>
          </w:p>
        </w:tc>
      </w:tr>
      <w:tr>
        <w:trPr>
          <w:trHeight w:val="219"/>
        </w:trPr>
        <w:tc>
          <w:tcPr>
            <w:tcW w:w="982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57,366</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8. Debt</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9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Credit Agreement</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20" w:type="dxa"/>
            <w:vAlign w:val="bottom"/>
          </w:tcPr>
          <w:p>
            <w:pPr>
              <w:ind w:left="32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820" w:type="dxa"/>
            <w:vAlign w:val="bottom"/>
          </w:tcPr>
          <w:p>
            <w:pPr>
              <w:ind w:left="320"/>
              <w:spacing w:after="0"/>
              <w:rPr>
                <w:sz w:val="20"/>
                <w:szCs w:val="20"/>
                <w:color w:val="auto"/>
              </w:rPr>
            </w:pPr>
            <w:r>
              <w:rPr>
                <w:rFonts w:ascii="Arial" w:cs="Arial" w:eastAsia="Arial" w:hAnsi="Arial"/>
                <w:sz w:val="18"/>
                <w:szCs w:val="18"/>
                <w:color w:val="auto"/>
              </w:rPr>
              <w:t>•   a $375.0 million senior secured term loan facility ("Term Loan"); and</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820" w:type="dxa"/>
            <w:vAlign w:val="bottom"/>
          </w:tcPr>
          <w:p>
            <w:pPr>
              <w:ind w:left="320"/>
              <w:spacing w:after="0"/>
              <w:rPr>
                <w:sz w:val="20"/>
                <w:szCs w:val="20"/>
                <w:color w:val="auto"/>
              </w:rPr>
            </w:pPr>
            <w:r>
              <w:rPr>
                <w:rFonts w:ascii="Arial" w:cs="Arial" w:eastAsia="Arial" w:hAnsi="Arial"/>
                <w:sz w:val="18"/>
                <w:szCs w:val="18"/>
                <w:color w:val="auto"/>
              </w:rPr>
              <w:t>•   a $50.0 million senior secured revolving credit facility ("Revolving Credit Facility").</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9820" w:type="dxa"/>
            <w:vAlign w:val="bottom"/>
          </w:tcPr>
          <w:p>
            <w:pPr>
              <w:ind w:left="320"/>
              <w:spacing w:after="0"/>
              <w:rPr>
                <w:sz w:val="20"/>
                <w:szCs w:val="20"/>
                <w:color w:val="auto"/>
              </w:rPr>
            </w:pPr>
            <w:r>
              <w:rPr>
                <w:rFonts w:ascii="Arial" w:cs="Arial" w:eastAsia="Arial" w:hAnsi="Arial"/>
                <w:sz w:val="18"/>
                <w:szCs w:val="18"/>
                <w:color w:val="auto"/>
              </w:rPr>
              <w:t>The table below summarizes the carrying value of the Term Loan:</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367,384</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 xml:space="preserve">Less: Term loan, net, current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364,728</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4"/>
        <w:spacing w:after="0"/>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Term loan, net, current is included in other current liabilities on our consolidated balance sheets.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The Term Loan bears interest at a rate of 2.75% per annum over LIBOR, subject to a 0.50% floor. The Term Loan will amortize at 1% per annum in equal quarterly installments, starting in March 2022 until the final maturity date on July 7, 2028.</w:t>
      </w:r>
    </w:p>
    <w:p>
      <w:pPr>
        <w:spacing w:after="0" w:line="203" w:lineRule="exact"/>
        <w:rPr>
          <w:sz w:val="20"/>
          <w:szCs w:val="20"/>
          <w:color w:val="auto"/>
        </w:rPr>
      </w:pPr>
    </w:p>
    <w:p>
      <w:pPr>
        <w:jc w:val="both"/>
        <w:ind w:right="40" w:firstLine="318"/>
        <w:spacing w:after="0" w:line="248" w:lineRule="auto"/>
        <w:rPr>
          <w:sz w:val="20"/>
          <w:szCs w:val="20"/>
          <w:color w:val="auto"/>
        </w:rPr>
      </w:pPr>
      <w:r>
        <w:rPr>
          <w:rFonts w:ascii="Arial" w:cs="Arial" w:eastAsia="Arial" w:hAnsi="Arial"/>
          <w:sz w:val="18"/>
          <w:szCs w:val="18"/>
          <w:color w:val="auto"/>
        </w:rPr>
        <w:t>Our Term Loan is recorded at its carrying value. At December 31, 2021, the carrying value of our Term Loan approximated the fair value of our Term Loan as the terms and interest rate approximate market rates. In the fair value hierarchy, our Term Loan is classified as Level 2 as it is traded in less active markets.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maturities of the Term Loan at December 31, 2021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820" w:type="dxa"/>
            <w:vAlign w:val="bottom"/>
          </w:tcPr>
          <w:p>
            <w:pPr>
              <w:jc w:val="center"/>
              <w:ind w:right="8873"/>
              <w:spacing w:after="0"/>
              <w:rPr>
                <w:sz w:val="20"/>
                <w:szCs w:val="20"/>
                <w:color w:val="auto"/>
              </w:rPr>
            </w:pPr>
            <w:r>
              <w:rPr>
                <w:rFonts w:ascii="Arial" w:cs="Arial" w:eastAsia="Arial" w:hAnsi="Arial"/>
                <w:sz w:val="18"/>
                <w:szCs w:val="18"/>
                <w:color w:val="auto"/>
                <w:w w:val="94"/>
              </w:rPr>
              <w:t>2022</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6"/>
        </w:trPr>
        <w:tc>
          <w:tcPr>
            <w:tcW w:w="9820" w:type="dxa"/>
            <w:vAlign w:val="bottom"/>
            <w:shd w:val="clear" w:color="auto" w:fill="CCEEFF"/>
          </w:tcPr>
          <w:p>
            <w:pPr>
              <w:jc w:val="center"/>
              <w:ind w:right="8873"/>
              <w:spacing w:after="0"/>
              <w:rPr>
                <w:sz w:val="20"/>
                <w:szCs w:val="20"/>
                <w:color w:val="auto"/>
              </w:rPr>
            </w:pPr>
            <w:r>
              <w:rPr>
                <w:rFonts w:ascii="Arial" w:cs="Arial" w:eastAsia="Arial" w:hAnsi="Arial"/>
                <w:sz w:val="18"/>
                <w:szCs w:val="18"/>
                <w:color w:val="auto"/>
                <w:w w:val="94"/>
              </w:rPr>
              <w:t>2023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tcPr>
          <w:p>
            <w:pPr>
              <w:jc w:val="center"/>
              <w:ind w:right="8873"/>
              <w:spacing w:after="0"/>
              <w:rPr>
                <w:sz w:val="20"/>
                <w:szCs w:val="20"/>
                <w:color w:val="auto"/>
              </w:rPr>
            </w:pPr>
            <w:r>
              <w:rPr>
                <w:rFonts w:ascii="Arial" w:cs="Arial" w:eastAsia="Arial" w:hAnsi="Arial"/>
                <w:sz w:val="18"/>
                <w:szCs w:val="18"/>
                <w:color w:val="auto"/>
                <w:w w:val="94"/>
              </w:rPr>
              <w:t>2024</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6"/>
        </w:trPr>
        <w:tc>
          <w:tcPr>
            <w:tcW w:w="9820" w:type="dxa"/>
            <w:vAlign w:val="bottom"/>
            <w:shd w:val="clear" w:color="auto" w:fill="CCEEFF"/>
          </w:tcPr>
          <w:p>
            <w:pPr>
              <w:jc w:val="center"/>
              <w:ind w:right="8873"/>
              <w:spacing w:after="0"/>
              <w:rPr>
                <w:sz w:val="20"/>
                <w:szCs w:val="20"/>
                <w:color w:val="auto"/>
              </w:rPr>
            </w:pPr>
            <w:r>
              <w:rPr>
                <w:rFonts w:ascii="Arial" w:cs="Arial" w:eastAsia="Arial" w:hAnsi="Arial"/>
                <w:sz w:val="18"/>
                <w:szCs w:val="18"/>
                <w:color w:val="auto"/>
                <w:w w:val="94"/>
              </w:rPr>
              <w:t>2025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tcPr>
          <w:p>
            <w:pPr>
              <w:jc w:val="center"/>
              <w:ind w:right="8873"/>
              <w:spacing w:after="0"/>
              <w:rPr>
                <w:sz w:val="20"/>
                <w:szCs w:val="20"/>
                <w:color w:val="auto"/>
              </w:rPr>
            </w:pPr>
            <w:r>
              <w:rPr>
                <w:rFonts w:ascii="Arial" w:cs="Arial" w:eastAsia="Arial" w:hAnsi="Arial"/>
                <w:sz w:val="18"/>
                <w:szCs w:val="18"/>
                <w:color w:val="auto"/>
                <w:w w:val="94"/>
              </w:rPr>
              <w:t>2026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shd w:val="clear" w:color="auto" w:fill="CCEEFF"/>
          </w:tcPr>
          <w:p>
            <w:pPr>
              <w:jc w:val="center"/>
              <w:ind w:right="8873"/>
              <w:spacing w:after="0"/>
              <w:rPr>
                <w:sz w:val="20"/>
                <w:szCs w:val="20"/>
                <w:color w:val="auto"/>
              </w:rPr>
            </w:pPr>
            <w:r>
              <w:rPr>
                <w:rFonts w:ascii="Arial" w:cs="Arial" w:eastAsia="Arial" w:hAnsi="Arial"/>
                <w:sz w:val="18"/>
                <w:szCs w:val="18"/>
                <w:color w:val="auto"/>
                <w:w w:val="98"/>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356,250</w:t>
            </w:r>
          </w:p>
        </w:tc>
      </w:tr>
      <w:tr>
        <w:trPr>
          <w:trHeight w:val="219"/>
        </w:trPr>
        <w:tc>
          <w:tcPr>
            <w:tcW w:w="9820" w:type="dxa"/>
            <w:vAlign w:val="bottom"/>
          </w:tcPr>
          <w:p>
            <w:pPr>
              <w:jc w:val="center"/>
              <w:ind w:right="8913"/>
              <w:spacing w:after="0"/>
              <w:rPr>
                <w:sz w:val="20"/>
                <w:szCs w:val="20"/>
                <w:color w:val="auto"/>
              </w:rPr>
            </w:pPr>
            <w:r>
              <w:rPr>
                <w:rFonts w:ascii="Arial" w:cs="Arial" w:eastAsia="Arial" w:hAnsi="Arial"/>
                <w:sz w:val="18"/>
                <w:szCs w:val="18"/>
                <w:color w:val="auto"/>
                <w:w w:val="94"/>
              </w:rPr>
              <w:t>Total</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may be subject to mandatory Term Loan prepayments related to the excess cash flow provisions beginning in 2023.</w:t>
      </w:r>
    </w:p>
    <w:p>
      <w:pPr>
        <w:spacing w:after="0" w:line="217"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LIBOR and matures on July 7, 2026. Additionally, we will pay a commitment fee during the term ranging from 0.25% to 0.375% per annum of the average daily undrawn portion of the revolving commitments based on the first lien net leverage ratio. The Revolving Credit Facility contains a $15.0 million letter of credit sublimit.</w:t>
      </w:r>
    </w:p>
    <w:p>
      <w:pPr>
        <w:spacing w:after="0" w:line="208"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Credit Agreement contains certain customary events of default, which include failure to make payments when due, the material inaccuracy of representations or warranties, failure to observe or perform certain covenants, cross-defaults, bankruptcy and insolvency-related events, certain judgments, certain ERISA-related events, failure of any lien created under the Security Documents (as defined in the Credit Agreement) to be valid and perfected (subject to certain exceptions), failure of any material guarantee of the Loan Document Obligations (as defined in the Credit Agreement) to be in full force and effect and a Change of Control (as defined in the Credit Agreement).</w:t>
      </w:r>
    </w:p>
    <w:p>
      <w:pPr>
        <w:spacing w:after="0" w:line="207"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Credit Agreement is guaranteed by the Company and Tenable Public Sector LLC, a subsidiary of the Company, as guarantors, and is supported by a security interest in substantially all of the assets of Tenable, Inc. and the guarantors.</w:t>
      </w:r>
    </w:p>
    <w:p>
      <w:pPr>
        <w:spacing w:after="0" w:line="203" w:lineRule="exact"/>
        <w:rPr>
          <w:sz w:val="20"/>
          <w:szCs w:val="20"/>
          <w:color w:val="auto"/>
        </w:rPr>
      </w:pPr>
    </w:p>
    <w:p>
      <w:pPr>
        <w:jc w:val="both"/>
        <w:ind w:right="40" w:firstLine="318"/>
        <w:spacing w:after="0" w:line="264" w:lineRule="auto"/>
        <w:rPr>
          <w:sz w:val="20"/>
          <w:szCs w:val="20"/>
          <w:color w:val="auto"/>
        </w:rPr>
      </w:pPr>
      <w:r>
        <w:rPr>
          <w:rFonts w:ascii="Arial" w:cs="Arial" w:eastAsia="Arial" w:hAnsi="Arial"/>
          <w:sz w:val="17"/>
          <w:szCs w:val="17"/>
          <w:color w:val="auto"/>
        </w:rPr>
        <w:t>The Credit Agreement contains certain customary representations and warranties and affirmative and negative covenants, including certain restrictions on incurring additional indebtedness or guaranteeing indebtedness of others, creating liens on properties or assets, making certain investments, loans, advances and guarantees, selling assets, making certain restricted payments and entering into certain sale and leaseback transactions, affiliate transactions, restrictive agreements and asset and stock-based transactions. Additionally, if at least 35% of the Revolving Credit Facility is drawn on the last day of the quarter, the total net leverage ratio cannot be greater than 5.50 to 1.00. At December 31, 2021, we were in compliance with the covenants and there have been no amounts outstanding under the Revolving Credit Facility.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2020 Credit Facility</w:t>
      </w:r>
    </w:p>
    <w:p>
      <w:pPr>
        <w:spacing w:after="0" w:line="239" w:lineRule="exact"/>
        <w:rPr>
          <w:sz w:val="20"/>
          <w:szCs w:val="20"/>
          <w:color w:val="auto"/>
        </w:rPr>
      </w:pPr>
    </w:p>
    <w:p>
      <w:pPr>
        <w:ind w:right="260" w:firstLine="318"/>
        <w:spacing w:after="0" w:line="248" w:lineRule="auto"/>
        <w:rPr>
          <w:sz w:val="20"/>
          <w:szCs w:val="20"/>
          <w:color w:val="auto"/>
        </w:rPr>
      </w:pPr>
      <w:r>
        <w:rPr>
          <w:rFonts w:ascii="Arial" w:cs="Arial" w:eastAsia="Arial" w:hAnsi="Arial"/>
          <w:sz w:val="18"/>
          <w:szCs w:val="18"/>
          <w:color w:val="auto"/>
        </w:rPr>
        <w:t>In connection with the Credit Agreement, we terminated our $45.0 million senior secured credit facility ("2020 Credit Facility") with Silicon Valley Bank, including the release of all related guarantees and liens. Prior to its termination, there were no amounts outstanding under our 2020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Commitments and Contingencies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Commitments</w:t>
      </w:r>
    </w:p>
    <w:p>
      <w:pPr>
        <w:spacing w:after="0" w:line="239"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In July 2021, we entered into a contract with Amazon Web Services, Inc. ("AWS") for cloud services from August 2021 through July 2024. Under the terms of the contract, we committed to spend $43.7 million, $46.8 million and $50.1 million in contract years one, two and three, respectively, for a total of $140.6 million. If we do not meet the minimum purchase obligation during any of those years, we will be required to pay the difference. At December 31, 2021, we have spent $37.8 million under our contract with AWS.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39"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At December 31, 2021, we had $5.7 million of standby letters of credit related to our grant agreements with the State of Maryland and our operating leases. Collateral for our letters of credit was classified as restricted cash in cash and cash equivalents.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Stock-Based Compensation</w:t>
      </w:r>
    </w:p>
    <w:p>
      <w:pPr>
        <w:spacing w:after="0" w:line="239" w:lineRule="exact"/>
        <w:rPr>
          <w:sz w:val="20"/>
          <w:szCs w:val="20"/>
          <w:color w:val="auto"/>
        </w:rPr>
      </w:pPr>
    </w:p>
    <w:p>
      <w:pPr>
        <w:ind w:right="420" w:firstLine="318"/>
        <w:spacing w:after="0" w:line="248"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Under the evergreen provision in the 2018 Plan, in January 2021 we reserved an additional 5,185,762 shares of our common stock. At December 31, 2021, there were 19,828,070 shares available for grant.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16,032</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r>
      <w:tr>
        <w:trPr>
          <w:trHeight w:val="244"/>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At December 31, 2021, the unrecognized stock-based compensation expense related to unvested RSUs was $186.3 million, which is expected to be recognized over an estimated weighted average remaining period of 2.8 years.</w:t>
      </w:r>
    </w:p>
    <w:p>
      <w:pPr>
        <w:spacing w:after="0" w:line="203"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At December 31, 2021, the unrecognized stock-based compensation expense related to outstanding stock options was $2.5 million, which is expected to be recognized over an estimated remaining weighted average period of 0.5 years.</w:t>
      </w:r>
    </w:p>
    <w:p>
      <w:pPr>
        <w:spacing w:after="0" w:line="203"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At December 31, 2021, the unrecognized stock-based compensation expense related to our 2018 ESPP was $8.1 million, which is expected to be recognized over an estimated weighted average period of 0.9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and RSUs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restricted stock and RSU activity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Pr>
          <w:p>
            <w:pPr>
              <w:spacing w:after="0"/>
              <w:rPr>
                <w:sz w:val="18"/>
                <w:szCs w:val="18"/>
                <w:color w:val="auto"/>
              </w:rPr>
            </w:pPr>
          </w:p>
        </w:tc>
        <w:tc>
          <w:tcPr>
            <w:tcW w:w="3100" w:type="dxa"/>
            <w:vAlign w:val="bottom"/>
            <w:gridSpan w:val="5"/>
          </w:tcPr>
          <w:p>
            <w:pPr>
              <w:ind w:left="860"/>
              <w:spacing w:after="0"/>
              <w:rPr>
                <w:sz w:val="20"/>
                <w:szCs w:val="20"/>
                <w:color w:val="auto"/>
              </w:rPr>
            </w:pPr>
            <w:r>
              <w:rPr>
                <w:rFonts w:ascii="Arial" w:cs="Arial" w:eastAsia="Arial" w:hAnsi="Arial"/>
                <w:sz w:val="16"/>
                <w:szCs w:val="16"/>
                <w:b w:val="1"/>
                <w:bCs w:val="1"/>
                <w:color w:val="auto"/>
              </w:rPr>
              <w:t>Restricted Stock</w:t>
            </w:r>
          </w:p>
        </w:tc>
        <w:tc>
          <w:tcPr>
            <w:tcW w:w="2960" w:type="dxa"/>
            <w:vAlign w:val="bottom"/>
            <w:gridSpan w:val="4"/>
          </w:tcPr>
          <w:p>
            <w:pPr>
              <w:jc w:val="right"/>
              <w:ind w:right="1174"/>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34"/>
              <w:spacing w:after="0" w:line="155" w:lineRule="exact"/>
              <w:rPr>
                <w:sz w:val="20"/>
                <w:szCs w:val="20"/>
                <w:color w:val="auto"/>
              </w:rPr>
            </w:pPr>
            <w:r>
              <w:rPr>
                <w:rFonts w:ascii="Arial" w:cs="Arial" w:eastAsia="Arial" w:hAnsi="Arial"/>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4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rPr>
              <w:t>Average</w:t>
            </w:r>
          </w:p>
        </w:tc>
        <w:tc>
          <w:tcPr>
            <w:tcW w:w="142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5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w:t>
            </w: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rPr>
              <w:t>Grant Date Fair</w:t>
            </w: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34"/>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vMerge w:val="continue"/>
          </w:tcPr>
          <w:p>
            <w:pPr>
              <w:spacing w:after="0"/>
              <w:rPr>
                <w:sz w:val="18"/>
                <w:szCs w:val="18"/>
                <w:color w:val="auto"/>
              </w:rPr>
            </w:pP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at December 31, 2018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2,715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2019</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5"/>
        </w:trPr>
        <w:tc>
          <w:tcPr>
            <w:tcW w:w="51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26"/>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Unvested balance at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right="580" w:firstLine="318"/>
        <w:spacing w:after="0" w:line="251" w:lineRule="auto"/>
        <w:rPr>
          <w:sz w:val="20"/>
          <w:szCs w:val="20"/>
          <w:color w:val="auto"/>
        </w:rPr>
      </w:pPr>
      <w:r>
        <w:rPr>
          <w:rFonts w:ascii="Arial" w:cs="Arial" w:eastAsia="Arial" w:hAnsi="Arial"/>
          <w:sz w:val="18"/>
          <w:szCs w:val="18"/>
          <w:color w:val="auto"/>
        </w:rPr>
        <w:t>RSUs granted under our stock incentive plans generally vest over a period of two to four years. Our outstanding RSUs vest upon the satisfaction of a service-based vesting condition.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stock option activity is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Weighted-Average</w:t>
            </w: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 and</w:t>
            </w:r>
          </w:p>
        </w:tc>
        <w:tc>
          <w:tcPr>
            <w:tcW w:w="1740" w:type="dxa"/>
            <w:vAlign w:val="bottom"/>
            <w:vMerge w:val="restart"/>
          </w:tcPr>
          <w:p>
            <w:pPr>
              <w:jc w:val="right"/>
              <w:ind w:right="47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8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rPr>
              <w:t>Remaining</w:t>
            </w:r>
          </w:p>
        </w:tc>
        <w:tc>
          <w:tcPr>
            <w:tcW w:w="140" w:type="dxa"/>
            <w:vAlign w:val="bottom"/>
          </w:tcPr>
          <w:p>
            <w:pPr>
              <w:spacing w:after="0"/>
              <w:rPr>
                <w:sz w:val="13"/>
                <w:szCs w:val="13"/>
                <w:color w:val="auto"/>
              </w:rPr>
            </w:pPr>
          </w:p>
        </w:tc>
        <w:tc>
          <w:tcPr>
            <w:tcW w:w="162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w w:val="98"/>
              </w:rPr>
              <w:t>Aggregate Intrinsic</w:t>
            </w:r>
          </w:p>
        </w:tc>
        <w:tc>
          <w:tcPr>
            <w:tcW w:w="0" w:type="dxa"/>
            <w:vAlign w:val="bottom"/>
          </w:tcPr>
          <w:p>
            <w:pPr>
              <w:spacing w:after="0"/>
              <w:rPr>
                <w:sz w:val="1"/>
                <w:szCs w:val="1"/>
                <w:color w:val="auto"/>
              </w:rPr>
            </w:pPr>
          </w:p>
        </w:tc>
      </w:tr>
      <w:tr>
        <w:trPr>
          <w:trHeight w:val="159"/>
        </w:trPr>
        <w:tc>
          <w:tcPr>
            <w:tcW w:w="384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center"/>
              <w:ind w:right="380"/>
              <w:spacing w:after="0" w:line="159" w:lineRule="exact"/>
              <w:rPr>
                <w:sz w:val="20"/>
                <w:szCs w:val="20"/>
                <w:color w:val="auto"/>
              </w:rPr>
            </w:pPr>
            <w:r>
              <w:rPr>
                <w:rFonts w:ascii="Arial" w:cs="Arial" w:eastAsia="Arial" w:hAnsi="Arial"/>
                <w:sz w:val="16"/>
                <w:szCs w:val="16"/>
                <w:b w:val="1"/>
                <w:bCs w:val="1"/>
                <w:color w:val="auto"/>
                <w:w w:val="98"/>
              </w:rPr>
              <w:t>Average</w:t>
            </w:r>
          </w:p>
        </w:tc>
        <w:tc>
          <w:tcPr>
            <w:tcW w:w="18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Contractual Term (in</w:t>
            </w:r>
          </w:p>
        </w:tc>
        <w:tc>
          <w:tcPr>
            <w:tcW w:w="14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years)</w:t>
            </w:r>
          </w:p>
        </w:tc>
        <w:tc>
          <w:tcPr>
            <w:tcW w:w="17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98"/>
              </w:rPr>
              <w:t>Exercise Price</w:t>
            </w: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277,114</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98,378</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73,277</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412,547</w:t>
            </w:r>
          </w:p>
        </w:tc>
        <w:tc>
          <w:tcPr>
            <w:tcW w:w="0" w:type="dxa"/>
            <w:vAlign w:val="bottom"/>
          </w:tcPr>
          <w:p>
            <w:pPr>
              <w:spacing w:after="0"/>
              <w:rPr>
                <w:sz w:val="1"/>
                <w:szCs w:val="1"/>
                <w:color w:val="auto"/>
              </w:rPr>
            </w:pPr>
          </w:p>
        </w:tc>
      </w:tr>
      <w:tr>
        <w:trPr>
          <w:trHeight w:val="225"/>
        </w:trPr>
        <w:tc>
          <w:tcPr>
            <w:tcW w:w="38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111,256</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Forfeited/canceled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308,677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273,642</w:t>
            </w:r>
          </w:p>
        </w:tc>
        <w:tc>
          <w:tcPr>
            <w:tcW w:w="0" w:type="dxa"/>
            <w:vAlign w:val="bottom"/>
          </w:tcPr>
          <w:p>
            <w:pPr>
              <w:spacing w:after="0" w:line="20" w:lineRule="exact"/>
              <w:rPr>
                <w:sz w:val="1"/>
                <w:szCs w:val="1"/>
                <w:color w:val="auto"/>
              </w:rPr>
            </w:pPr>
          </w:p>
        </w:tc>
      </w:tr>
      <w:tr>
        <w:trPr>
          <w:trHeight w:val="198"/>
        </w:trPr>
        <w:tc>
          <w:tcPr>
            <w:tcW w:w="3840" w:type="dxa"/>
            <w:vAlign w:val="bottom"/>
          </w:tcPr>
          <w:p>
            <w:pPr>
              <w:ind w:left="180"/>
              <w:spacing w:after="0" w:line="198" w:lineRule="exact"/>
              <w:rPr>
                <w:sz w:val="20"/>
                <w:szCs w:val="20"/>
                <w:color w:val="auto"/>
              </w:rPr>
            </w:pPr>
            <w:r>
              <w:rPr>
                <w:rFonts w:ascii="Arial" w:cs="Arial" w:eastAsia="Arial" w:hAnsi="Arial"/>
                <w:sz w:val="18"/>
                <w:szCs w:val="18"/>
                <w:color w:val="auto"/>
              </w:rPr>
              <w:t>Exercisable at December 31, 2021</w:t>
            </w:r>
          </w:p>
        </w:tc>
        <w:tc>
          <w:tcPr>
            <w:tcW w:w="17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5,851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line="198" w:lineRule="exact"/>
              <w:rPr>
                <w:sz w:val="20"/>
                <w:szCs w:val="20"/>
                <w:color w:val="auto"/>
              </w:rPr>
            </w:pPr>
            <w:r>
              <w:rPr>
                <w:rFonts w:ascii="Arial" w:cs="Arial" w:eastAsia="Arial" w:hAnsi="Arial"/>
                <w:sz w:val="18"/>
                <w:szCs w:val="18"/>
                <w:color w:val="auto"/>
              </w:rPr>
              <w:t>8.30</w:t>
            </w:r>
          </w:p>
        </w:tc>
        <w:tc>
          <w:tcPr>
            <w:tcW w:w="140" w:type="dxa"/>
            <w:vAlign w:val="bottom"/>
          </w:tcPr>
          <w:p>
            <w:pPr>
              <w:spacing w:after="0"/>
              <w:rPr>
                <w:sz w:val="17"/>
                <w:szCs w:val="17"/>
                <w:color w:val="auto"/>
              </w:rPr>
            </w:pPr>
          </w:p>
        </w:tc>
        <w:tc>
          <w:tcPr>
            <w:tcW w:w="1760" w:type="dxa"/>
            <w:vAlign w:val="bottom"/>
          </w:tcPr>
          <w:p>
            <w:pPr>
              <w:jc w:val="center"/>
              <w:spacing w:after="0" w:line="198"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there were 6.7 million stock options outstanding that were vested and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60" w:firstLine="318"/>
        <w:spacing w:after="0" w:line="251" w:lineRule="auto"/>
        <w:rPr>
          <w:sz w:val="20"/>
          <w:szCs w:val="20"/>
          <w:color w:val="auto"/>
        </w:rPr>
      </w:pPr>
      <w:r>
        <w:rPr>
          <w:rFonts w:ascii="Arial" w:cs="Arial" w:eastAsia="Arial" w:hAnsi="Arial"/>
          <w:sz w:val="18"/>
          <w:szCs w:val="18"/>
          <w:color w:val="auto"/>
        </w:rPr>
        <w:t>Stock options granted under our stock incentive plans have a maximum term of ten years, generally vest over a period of three to four years, and the exercise price cannot be less than the fair market value on the date of grant.</w:t>
      </w:r>
    </w:p>
    <w:p>
      <w:pPr>
        <w:spacing w:after="0" w:line="203" w:lineRule="exact"/>
        <w:rPr>
          <w:sz w:val="20"/>
          <w:szCs w:val="20"/>
          <w:color w:val="auto"/>
        </w:rPr>
      </w:pPr>
    </w:p>
    <w:p>
      <w:pPr>
        <w:ind w:right="60" w:firstLine="318"/>
        <w:spacing w:after="0" w:line="251" w:lineRule="auto"/>
        <w:rPr>
          <w:sz w:val="20"/>
          <w:szCs w:val="20"/>
          <w:color w:val="auto"/>
        </w:rPr>
      </w:pPr>
      <w:r>
        <w:rPr>
          <w:rFonts w:ascii="Arial" w:cs="Arial" w:eastAsia="Arial" w:hAnsi="Arial"/>
          <w:sz w:val="18"/>
          <w:szCs w:val="18"/>
          <w:color w:val="auto"/>
        </w:rPr>
        <w:t>Estimating the fair value of stock options and ESPP purchase rights using the Black-Scholes option-pricing model requires assumptions as to the fair value of common stock, expected term, expected volatility, the risk-free interest rate and the expected dividend yield.</w:t>
      </w:r>
    </w:p>
    <w:p>
      <w:pPr>
        <w:spacing w:after="0" w:line="185"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Following our IPO, we use the market price of our common stock at the date of grant. Prior to our IPO,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lack of an active public market for our common stock required an estimate of the fair value of the common stock for granting stock options and restricted shares, and for determining stock-based compensation expense. Contemporaneous third-party valuations were obtained to assist in determining the fair value of our common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p>
    <w:p>
      <w:pPr>
        <w:spacing w:after="0" w:line="185" w:lineRule="exact"/>
        <w:rPr>
          <w:sz w:val="20"/>
          <w:szCs w:val="20"/>
          <w:color w:val="auto"/>
        </w:rPr>
      </w:pPr>
    </w:p>
    <w:p>
      <w:pPr>
        <w:ind w:right="20" w:firstLine="318"/>
        <w:spacing w:after="0" w:line="272"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This is the period of time that the options granted are expected to remain unexercised. We employ the simplified method to</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 the average expected term.</w:t>
      </w:r>
    </w:p>
    <w:p>
      <w:pPr>
        <w:spacing w:after="0" w:line="167" w:lineRule="exact"/>
        <w:rPr>
          <w:sz w:val="20"/>
          <w:szCs w:val="20"/>
          <w:color w:val="auto"/>
        </w:rPr>
      </w:pPr>
    </w:p>
    <w:p>
      <w:pPr>
        <w:ind w:right="40" w:firstLine="318"/>
        <w:spacing w:after="0" w:line="25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39" w:lineRule="exact"/>
        <w:rPr>
          <w:sz w:val="20"/>
          <w:szCs w:val="20"/>
          <w:color w:val="auto"/>
        </w:rPr>
      </w:pPr>
    </w:p>
    <w:p>
      <w:pPr>
        <w:jc w:val="both"/>
        <w:ind w:right="140" w:firstLine="318"/>
        <w:spacing w:after="0" w:line="248" w:lineRule="auto"/>
        <w:rPr>
          <w:sz w:val="20"/>
          <w:szCs w:val="20"/>
          <w:color w:val="auto"/>
        </w:rPr>
      </w:pPr>
      <w:r>
        <w:rPr>
          <w:rFonts w:ascii="Arial" w:cs="Arial" w:eastAsia="Arial" w:hAnsi="Arial"/>
          <w:sz w:val="18"/>
          <w:szCs w:val="18"/>
          <w:color w:val="auto"/>
        </w:rPr>
        <w:t>In 2018, our board of directors adopted, and our stockholders approved, our 2018 ESPP. Under the evergreen provision, in January 2021 we reserved an additional 1,555,728 shares of our common stock for issuance. At December 31, 2021, there were 6,316,370 shares reserved for issuance under the 2018 ESPP.</w:t>
      </w:r>
    </w:p>
    <w:p>
      <w:pPr>
        <w:spacing w:after="0" w:line="206" w:lineRule="exact"/>
        <w:rPr>
          <w:sz w:val="20"/>
          <w:szCs w:val="20"/>
          <w:color w:val="auto"/>
        </w:rPr>
      </w:pPr>
    </w:p>
    <w:p>
      <w:pPr>
        <w:jc w:val="both"/>
        <w:ind w:right="20" w:firstLine="318"/>
        <w:spacing w:after="0" w:line="260" w:lineRule="auto"/>
        <w:rPr>
          <w:sz w:val="20"/>
          <w:szCs w:val="20"/>
          <w:color w:val="auto"/>
        </w:rPr>
      </w:pPr>
      <w:r>
        <w:rPr>
          <w:rFonts w:ascii="Arial" w:cs="Arial" w:eastAsia="Arial" w:hAnsi="Arial"/>
          <w:sz w:val="17"/>
          <w:szCs w:val="17"/>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and purchase periods every six months.</w:t>
      </w:r>
    </w:p>
    <w:p>
      <w:pPr>
        <w:spacing w:after="0" w:line="188"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In 2021, employees purchased 670,534 shares of our common stock at a weighted average price of $20.48 per share, resulting in $13.7 million of cash proceeds.</w:t>
      </w:r>
    </w:p>
    <w:p>
      <w:pPr>
        <w:spacing w:after="0" w:line="203"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In 2020, employees purchased 667,719 shares of our common stock at a weighted average price of $19.53 per share resulting in $13.0 million of cash proceeds.</w:t>
      </w:r>
    </w:p>
    <w:p>
      <w:pPr>
        <w:spacing w:after="0" w:line="203"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In 2019, employees purchased 776,809 shares of our common stock at a weighted average price of $19.48 per share resulting in $15.1 million of cash proceeds.</w:t>
      </w:r>
    </w:p>
    <w:p>
      <w:pPr>
        <w:spacing w:after="0" w:line="203"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At December 31, 2021 and 2020 there was $6.0 million and $6.5 million, respectively, of employee contributions to the 2018 ESPP included in accrued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06"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2021</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center"/>
              <w:ind w:left="254"/>
              <w:spacing w:after="0"/>
              <w:rPr>
                <w:sz w:val="20"/>
                <w:szCs w:val="20"/>
                <w:color w:val="auto"/>
              </w:rPr>
            </w:pPr>
            <w:r>
              <w:rPr>
                <w:rFonts w:ascii="Arial" w:cs="Arial" w:eastAsia="Arial" w:hAnsi="Arial"/>
                <w:sz w:val="16"/>
                <w:szCs w:val="16"/>
                <w:b w:val="1"/>
                <w:bCs w:val="1"/>
                <w:color w:val="auto"/>
                <w:w w:val="95"/>
              </w:rPr>
              <w:t>2020</w:t>
            </w: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6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8"/>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0.5 — 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left="254"/>
              <w:spacing w:after="0"/>
              <w:rPr>
                <w:sz w:val="20"/>
                <w:szCs w:val="20"/>
                <w:color w:val="auto"/>
              </w:rPr>
            </w:pPr>
            <w:r>
              <w:rPr>
                <w:rFonts w:ascii="Arial" w:cs="Arial" w:eastAsia="Arial" w:hAnsi="Arial"/>
                <w:sz w:val="18"/>
                <w:szCs w:val="18"/>
                <w:color w:val="auto"/>
                <w:w w:val="99"/>
              </w:rPr>
              <w:t>0.5 — 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53"/>
              <w:spacing w:after="0"/>
              <w:rPr>
                <w:sz w:val="20"/>
                <w:szCs w:val="20"/>
                <w:color w:val="auto"/>
              </w:rPr>
            </w:pPr>
            <w:r>
              <w:rPr>
                <w:rFonts w:ascii="Arial" w:cs="Arial" w:eastAsia="Arial" w:hAnsi="Arial"/>
                <w:sz w:val="18"/>
                <w:szCs w:val="18"/>
                <w:color w:val="auto"/>
                <w:w w:val="97"/>
              </w:rPr>
              <w:t>0.5 — 2.0</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37.2% — 59.4%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center"/>
              <w:ind w:left="234"/>
              <w:spacing w:after="0"/>
              <w:rPr>
                <w:sz w:val="20"/>
                <w:szCs w:val="20"/>
                <w:color w:val="auto"/>
              </w:rPr>
            </w:pPr>
            <w:r>
              <w:rPr>
                <w:rFonts w:ascii="Arial" w:cs="Arial" w:eastAsia="Arial" w:hAnsi="Arial"/>
                <w:sz w:val="18"/>
                <w:szCs w:val="18"/>
                <w:color w:val="auto"/>
                <w:w w:val="98"/>
              </w:rPr>
              <w:t>41.6% — 60.1%</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5"/>
            <w:shd w:val="clear" w:color="auto" w:fill="CCEEFF"/>
          </w:tcPr>
          <w:p>
            <w:pPr>
              <w:jc w:val="right"/>
              <w:ind w:right="233"/>
              <w:spacing w:after="0"/>
              <w:rPr>
                <w:sz w:val="20"/>
                <w:szCs w:val="20"/>
                <w:color w:val="auto"/>
              </w:rPr>
            </w:pPr>
            <w:r>
              <w:rPr>
                <w:rFonts w:ascii="Arial" w:cs="Arial" w:eastAsia="Arial" w:hAnsi="Arial"/>
                <w:sz w:val="18"/>
                <w:szCs w:val="18"/>
                <w:color w:val="auto"/>
              </w:rPr>
              <w:t>34.4% — 44.6%</w:t>
            </w: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0.1% — 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center"/>
              <w:ind w:left="234"/>
              <w:spacing w:after="0"/>
              <w:rPr>
                <w:sz w:val="20"/>
                <w:szCs w:val="20"/>
                <w:color w:val="auto"/>
              </w:rPr>
            </w:pPr>
            <w:r>
              <w:rPr>
                <w:rFonts w:ascii="Arial" w:cs="Arial" w:eastAsia="Arial" w:hAnsi="Arial"/>
                <w:sz w:val="18"/>
                <w:szCs w:val="18"/>
                <w:color w:val="auto"/>
                <w:w w:val="98"/>
              </w:rPr>
              <w:t>0.1% — 0.9%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4"/>
          </w:tcPr>
          <w:p>
            <w:pPr>
              <w:jc w:val="right"/>
              <w:ind w:right="333"/>
              <w:spacing w:after="0"/>
              <w:rPr>
                <w:sz w:val="20"/>
                <w:szCs w:val="20"/>
                <w:color w:val="auto"/>
              </w:rPr>
            </w:pPr>
            <w:r>
              <w:rPr>
                <w:rFonts w:ascii="Arial" w:cs="Arial" w:eastAsia="Arial" w:hAnsi="Arial"/>
                <w:sz w:val="18"/>
                <w:szCs w:val="18"/>
                <w:color w:val="auto"/>
                <w:w w:val="96"/>
              </w:rPr>
              <w:t>1.5% — 2.5%</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75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6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03"/>
        </w:trPr>
        <w:tc>
          <w:tcPr>
            <w:tcW w:w="5560" w:type="dxa"/>
            <w:vAlign w:val="bottom"/>
            <w:gridSpan w:val="2"/>
          </w:tcPr>
          <w:p>
            <w:pPr>
              <w:ind w:left="320"/>
              <w:spacing w:after="0"/>
              <w:rPr>
                <w:sz w:val="20"/>
                <w:szCs w:val="20"/>
                <w:color w:val="auto"/>
              </w:rPr>
            </w:pPr>
            <w:r>
              <w:rPr>
                <w:rFonts w:ascii="Arial" w:cs="Arial" w:eastAsia="Arial" w:hAnsi="Arial"/>
                <w:sz w:val="18"/>
                <w:szCs w:val="18"/>
                <w:b w:val="1"/>
                <w:bCs w:val="1"/>
                <w:color w:val="auto"/>
              </w:rPr>
              <w:t>11. Income Taxes</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and foreign components of the loss before income taxes were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left="714"/>
              <w:spacing w:after="0"/>
              <w:rPr>
                <w:sz w:val="20"/>
                <w:szCs w:val="20"/>
                <w:color w:val="auto"/>
              </w:rPr>
            </w:pPr>
            <w:r>
              <w:rPr>
                <w:rFonts w:ascii="Arial" w:cs="Arial" w:eastAsia="Arial" w:hAnsi="Arial"/>
                <w:sz w:val="16"/>
                <w:szCs w:val="16"/>
                <w:b w:val="1"/>
                <w:bCs w:val="1"/>
                <w:color w:val="auto"/>
                <w:w w:val="98"/>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5"/>
              </w:rPr>
              <w:t>2020</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loss</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loss</w:t>
            </w: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(30,355)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(64,005)</w:t>
            </w:r>
          </w:p>
        </w:tc>
        <w:tc>
          <w:tcPr>
            <w:tcW w:w="0" w:type="dxa"/>
            <w:vAlign w:val="bottom"/>
          </w:tcPr>
          <w:p>
            <w:pPr>
              <w:spacing w:after="0"/>
              <w:rPr>
                <w:sz w:val="1"/>
                <w:szCs w:val="1"/>
                <w:color w:val="auto"/>
              </w:rPr>
            </w:pPr>
          </w:p>
        </w:tc>
      </w:tr>
      <w:tr>
        <w:trPr>
          <w:trHeight w:val="23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w w:val="98"/>
              </w:rPr>
              <w:t>The components of the provision for income taxes were as follows:</w:t>
            </w: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5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left="714"/>
              <w:spacing w:after="0"/>
              <w:rPr>
                <w:sz w:val="20"/>
                <w:szCs w:val="20"/>
                <w:color w:val="auto"/>
              </w:rPr>
            </w:pPr>
            <w:r>
              <w:rPr>
                <w:rFonts w:ascii="Arial" w:cs="Arial" w:eastAsia="Arial" w:hAnsi="Arial"/>
                <w:sz w:val="16"/>
                <w:szCs w:val="16"/>
                <w:b w:val="1"/>
                <w:bCs w:val="1"/>
                <w:color w:val="auto"/>
                <w:w w:val="98"/>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5"/>
              </w:rPr>
              <w:t>2020</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5"/>
        </w:trPr>
        <w:tc>
          <w:tcPr>
            <w:tcW w:w="556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Current</w:t>
            </w: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34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5,476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19"/>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tax (benefit) expense</w:t>
            </w: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3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(benefit) provision for income taxes</w:t>
            </w: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440" w:firstLine="318"/>
        <w:spacing w:after="0" w:line="248" w:lineRule="auto"/>
        <w:rPr>
          <w:sz w:val="20"/>
          <w:szCs w:val="20"/>
          <w:color w:val="auto"/>
        </w:rPr>
      </w:pPr>
      <w:r>
        <w:rPr>
          <w:rFonts w:ascii="Arial" w:cs="Arial" w:eastAsia="Arial" w:hAnsi="Arial"/>
          <w:sz w:val="18"/>
          <w:szCs w:val="18"/>
          <w:color w:val="auto"/>
        </w:rPr>
        <w:t>In connection with the 2021 acquisition of Accurics, we elected to first offset our existing deferred tax assets with acquired deferred tax liabilities. This resulted in releasing $7.9 million of the federal and state valuation allowance, which was recorded as a component of our deferred tax benefit.</w:t>
      </w:r>
    </w:p>
    <w:p>
      <w:pPr>
        <w:spacing w:after="0" w:line="206"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In December 2019, we sold acquired intellectual property through an intercompany transaction, which resulted in $6.3 million of current tax expense and $4.2 million of deferred tax expense in Israel. In January 2021, we restructured the research and development operations in Israel through an intercompany transaction, which resulted in $2.8 million of current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0" w:type="dxa"/>
            <w:vAlign w:val="bottom"/>
          </w:tcPr>
          <w:p>
            <w:pPr>
              <w:spacing w:after="0"/>
              <w:rPr>
                <w:sz w:val="18"/>
                <w:szCs w:val="18"/>
                <w:color w:val="auto"/>
              </w:rPr>
            </w:pPr>
          </w:p>
        </w:tc>
        <w:tc>
          <w:tcPr>
            <w:tcW w:w="350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08"/>
        </w:trPr>
        <w:tc>
          <w:tcPr>
            <w:tcW w:w="66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State and local taxes</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4.8</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19.0</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14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(7.9)</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4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(40.8)</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Gain on intercompany sale</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(12.3)</w:t>
            </w: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withholding tax</w:t>
            </w:r>
          </w:p>
        </w:tc>
        <w:tc>
          <w:tcPr>
            <w:tcW w:w="14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r>
      <w:tr>
        <w:trPr>
          <w:trHeight w:val="225"/>
        </w:trPr>
        <w:tc>
          <w:tcPr>
            <w:tcW w:w="660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r>
      <w:tr>
        <w:trPr>
          <w:trHeight w:val="219"/>
        </w:trPr>
        <w:tc>
          <w:tcPr>
            <w:tcW w:w="6600" w:type="dxa"/>
            <w:vAlign w:val="bottom"/>
          </w:tcPr>
          <w:p>
            <w:pPr>
              <w:ind w:left="120"/>
              <w:spacing w:after="0"/>
              <w:rPr>
                <w:sz w:val="20"/>
                <w:szCs w:val="20"/>
                <w:color w:val="auto"/>
              </w:rPr>
            </w:pPr>
            <w:r>
              <w:rPr>
                <w:rFonts w:ascii="Arial" w:cs="Arial" w:eastAsia="Arial" w:hAnsi="Arial"/>
                <w:sz w:val="18"/>
                <w:szCs w:val="18"/>
                <w:color w:val="auto"/>
              </w:rPr>
              <w:t>Effective tax rate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We maintain a valuation allowance on U.S. federal, state and foreign net deferred tax assets as the realization of our deferred tax assets is dependent upon future earnings, if any, the timing and amount of which are uncertain.</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1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2020</w:t>
            </w: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134,503</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89,053</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11,846</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11,565</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15,238</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142,806</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(112,363)</w:t>
            </w:r>
          </w:p>
        </w:tc>
      </w:tr>
      <w:tr>
        <w:trPr>
          <w:trHeight w:val="218"/>
        </w:trPr>
        <w:tc>
          <w:tcPr>
            <w:tcW w:w="83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30,443</w:t>
            </w:r>
          </w:p>
        </w:tc>
      </w:tr>
      <w:tr>
        <w:trPr>
          <w:trHeight w:val="213"/>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(15,987)</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(30,604)</w:t>
            </w: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we had net operating loss (“NOL”) carryforwards for federal, state and foreign tax purposes of $398.5 million,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$226.1 million, and $289.9 million, respectively, which will begin to expire in 2030, as well as $17.9 million of federal, state and foreign research</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tax credits, foreign tax credits, minimum tax credits and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states’ job creation tax credits. The federal research and development and foreign tax credits will begin to expire in 2032 and the state job creation tax credits will begin to expire in 2022.</w:t>
      </w:r>
    </w:p>
    <w:p>
      <w:pPr>
        <w:spacing w:after="0" w:line="203"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193"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At December 31, 2021 and 2020, the total amount of gross unrecognized tax benefits was $7.6 million and $7.1 million, respectively, which, if recognized, would impact our effective tax rate by less than $0.1 million in each year. Interest and penalties associated with uncertain tax positions recognized as a component of income tax expense were immaterial in 2021, 2020 and 2019.</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period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Additions for tax positions in the current year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prior year positions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Decrease in prior year positions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9"/>
        </w:trPr>
        <w:tc>
          <w:tcPr>
            <w:tcW w:w="6900" w:type="dxa"/>
            <w:vAlign w:val="bottom"/>
          </w:tcPr>
          <w:p>
            <w:pPr>
              <w:ind w:left="120"/>
              <w:spacing w:after="0"/>
              <w:rPr>
                <w:sz w:val="20"/>
                <w:szCs w:val="20"/>
                <w:color w:val="auto"/>
              </w:rPr>
            </w:pPr>
            <w:r>
              <w:rPr>
                <w:rFonts w:ascii="Arial" w:cs="Arial" w:eastAsia="Arial" w:hAnsi="Arial"/>
                <w:sz w:val="18"/>
                <w:szCs w:val="18"/>
                <w:color w:val="auto"/>
              </w:rPr>
              <w:t>Unrecognized tax benefits at the end of the period</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7,163</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520" w:firstLine="318"/>
        <w:spacing w:after="0" w:line="247"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2021, we were not under examination for income tax audits by the Internal Revenue Service or any state or foreign tax jurisdiction.</w:t>
      </w:r>
    </w:p>
    <w:p>
      <w:pPr>
        <w:spacing w:after="0" w:line="208" w:lineRule="exact"/>
        <w:rPr>
          <w:sz w:val="20"/>
          <w:szCs w:val="20"/>
          <w:color w:val="auto"/>
        </w:rPr>
      </w:pPr>
    </w:p>
    <w:p>
      <w:pPr>
        <w:ind w:right="380" w:firstLine="318"/>
        <w:spacing w:after="0" w:line="247"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foreign earnings.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Net Loss Per Share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96,014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0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(1.03)</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2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2019</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2,894</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44"/>
        </w:trPr>
        <w:tc>
          <w:tcPr>
            <w:tcW w:w="69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13. Geographic Information</w:t>
      </w:r>
    </w:p>
    <w:p>
      <w:pPr>
        <w:spacing w:after="0" w:line="23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243,616</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77,676</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33,294</w:t>
            </w:r>
          </w:p>
        </w:tc>
      </w:tr>
      <w:tr>
        <w:trPr>
          <w:trHeight w:val="219"/>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354,586</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560" w:firstLine="318"/>
        <w:spacing w:after="0" w:line="251" w:lineRule="auto"/>
        <w:rPr>
          <w:sz w:val="20"/>
          <w:szCs w:val="20"/>
          <w:color w:val="auto"/>
        </w:rPr>
      </w:pPr>
      <w:r>
        <w:rPr>
          <w:rFonts w:ascii="Arial" w:cs="Arial" w:eastAsia="Arial" w:hAnsi="Arial"/>
          <w:sz w:val="18"/>
          <w:szCs w:val="18"/>
          <w:color w:val="auto"/>
        </w:rPr>
        <w:t>Customers located in the United States accounted for 58%, 61% and 63% of revenue in 2021, 2020 and 2019, respectively. No other country accounted for 10% or more of revenue in the periods presented.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35,406</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r>
      <w:tr>
        <w:trPr>
          <w:trHeight w:val="244"/>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14. Benefit Plans</w:t>
      </w:r>
    </w:p>
    <w:p>
      <w:pPr>
        <w:spacing w:after="0" w:line="23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maintain a contributory defined contribution 401(k) plan for our U.S. employees, where company-matched contributions are fully vested. Additional contributory plans are in effect internationally, including in the U.K. and Ireland. Our contribution expense for such plans was $7.6 million, $6.5 million and $6.2 million in 2021, 2020 and 2019, respectively.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15. Subsequent Events</w:t>
      </w:r>
    </w:p>
    <w:p>
      <w:pPr>
        <w:spacing w:after="0" w:line="23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In February 2022, we acquired Cymptom, a platform that proactively measures, maps and prioritizes probable attack paths. When added to our products, this acquisition will enable security teams to preemptively focus response ahead of and during breaches. We acquired Cymptom for a total purchase price of approximately $23 million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right="2680" w:hanging="317"/>
        <w:spacing w:after="0" w:line="491"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2021,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39"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and concluded that our internal control over financial reporting was effective at December 31, 2021. We completed our acquisition of Accurics on October 1, 2021. Since we have not yet fully incorporated the internal controls and procedures of Accurics into our internal control over financial reporting, management excluded Accurics from its assessment of the effectiveness of our internal controls at December 31, 2021. Accurics represented approximately 3% of our total assets at December 31, 2021 and less than 1% of our revenue and operating expenses in 2021.</w:t>
      </w:r>
    </w:p>
    <w:p>
      <w:pPr>
        <w:spacing w:after="0" w:line="197" w:lineRule="exact"/>
        <w:rPr>
          <w:sz w:val="20"/>
          <w:szCs w:val="20"/>
          <w:color w:val="auto"/>
        </w:rPr>
      </w:pPr>
    </w:p>
    <w:p>
      <w:pPr>
        <w:ind w:right="460" w:firstLine="318"/>
        <w:spacing w:after="0" w:line="280" w:lineRule="auto"/>
        <w:rPr>
          <w:sz w:val="20"/>
          <w:szCs w:val="20"/>
          <w:color w:val="auto"/>
        </w:rPr>
      </w:pPr>
      <w:r>
        <w:rPr>
          <w:rFonts w:ascii="Arial" w:cs="Arial" w:eastAsia="Arial" w:hAnsi="Arial"/>
          <w:sz w:val="17"/>
          <w:szCs w:val="17"/>
          <w:color w:val="auto"/>
        </w:rPr>
        <w:t>Our independent registered public accounting firm, Ernst &amp; Young LLP (PCAOB ID: 42), has issued an audit report with respect to our internal control over financial reporting as of December 31, 2021, which is included in Part II, Item 8 of this Annual Report on Form 10-K.</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2021 that materially affected, or are reasonably likely to materially affect, our internal control over financial reporting.</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3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00"/>
          </w:cols>
          <w:pgMar w:left="320" w:top="140" w:right="57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Officers and Directors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2022 annual meeting of stockholders, or the Proxy Statement, which is expected to be filed not later than 120 days after the end of our fiscal year ended December 31, 2021, under the captions "Information Regarding the Board of Directors and Corporate Governance," "Election of Directors" and "Executive Officers" and is incorporated in this report by reference.</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39"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the Proxy Statement under the captions "Executive Compensation" and "Director Compensation" and is incorporated herein by reference.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39" w:lineRule="exact"/>
        <w:rPr>
          <w:sz w:val="20"/>
          <w:szCs w:val="20"/>
          <w:color w:val="auto"/>
        </w:rPr>
      </w:pPr>
    </w:p>
    <w:p>
      <w:pPr>
        <w:ind w:firstLine="318"/>
        <w:spacing w:after="0" w:line="280" w:lineRule="auto"/>
        <w:rPr>
          <w:sz w:val="20"/>
          <w:szCs w:val="20"/>
          <w:color w:val="auto"/>
        </w:rPr>
      </w:pPr>
      <w:r>
        <w:rPr>
          <w:rFonts w:ascii="Arial" w:cs="Arial" w:eastAsia="Arial" w:hAnsi="Arial"/>
          <w:sz w:val="17"/>
          <w:szCs w:val="17"/>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39"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39"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(a)(1) Financial Statements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Index to Consolidated Financial Statements in Item 8 of this Annual Report on Form 10-K.</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(a)(2) Financial Statement Schedules</w:t>
      </w: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SUPPLEMENTARY CONSOLIDATED FINANCIAL STATEMENT SCHEDULE</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VALUATION AND QUALIFYING ACCOUNTS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at Beginning of</w:t>
            </w:r>
          </w:p>
        </w:tc>
        <w:tc>
          <w:tcPr>
            <w:tcW w:w="12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Additions Charged to</w:t>
            </w:r>
          </w:p>
        </w:tc>
        <w:tc>
          <w:tcPr>
            <w:tcW w:w="280" w:type="dxa"/>
            <w:vAlign w:val="bottom"/>
          </w:tcPr>
          <w:p>
            <w:pPr>
              <w:spacing w:after="0"/>
              <w:rPr>
                <w:sz w:val="16"/>
                <w:szCs w:val="16"/>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0"/>
                <w:szCs w:val="20"/>
                <w:b w:val="1"/>
                <w:bCs w:val="1"/>
                <w:color w:val="auto"/>
                <w:vertAlign w:val="superscript"/>
              </w:rPr>
              <w:t>(1)</w:t>
            </w:r>
          </w:p>
        </w:tc>
        <w:tc>
          <w:tcPr>
            <w:tcW w:w="300" w:type="dxa"/>
            <w:vAlign w:val="bottom"/>
          </w:tcPr>
          <w:p>
            <w:pPr>
              <w:spacing w:after="0"/>
              <w:rPr>
                <w:sz w:val="16"/>
                <w:szCs w:val="16"/>
                <w:color w:val="auto"/>
              </w:rPr>
            </w:pPr>
          </w:p>
        </w:tc>
        <w:tc>
          <w:tcPr>
            <w:tcW w:w="1560" w:type="dxa"/>
            <w:vAlign w:val="bottom"/>
          </w:tcPr>
          <w:p>
            <w:pPr>
              <w:jc w:val="right"/>
              <w:ind w:right="435"/>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Costs and Expenses</w:t>
            </w:r>
          </w:p>
        </w:tc>
        <w:tc>
          <w:tcPr>
            <w:tcW w:w="2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ind w:right="395"/>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Allowance for Doubtful Accounts</w:t>
            </w: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2021</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Year Ended December 31, 2020</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2019</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4"/>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Consists of write-offs of uncollectible accounts, net of recoveries.</w:t>
      </w:r>
    </w:p>
    <w:p>
      <w:pPr>
        <w:spacing w:after="0" w:line="237"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included in the financial statements or the notes to the financial statements.</w:t>
      </w:r>
    </w:p>
    <w:p>
      <w:pPr>
        <w:sectPr>
          <w:pgSz w:w="11900" w:h="16838" w:orient="portrait"/>
          <w:cols w:equalWidth="0" w:num="1">
            <w:col w:w="11280"/>
          </w:cols>
          <w:pgMar w:left="320" w:top="140" w:right="299" w:bottom="1440" w:gutter="0" w:footer="0" w:header="0"/>
        </w:sect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(a)(3) Exhibits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18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2300" w:type="dxa"/>
            <w:vAlign w:val="bottom"/>
            <w:vMerge w:val="restart"/>
          </w:tcPr>
          <w:p>
            <w:pPr>
              <w:ind w:left="1440"/>
              <w:spacing w:after="0"/>
              <w:rPr>
                <w:sz w:val="20"/>
                <w:szCs w:val="20"/>
                <w:color w:val="auto"/>
              </w:rPr>
            </w:pPr>
            <w:r>
              <w:rPr>
                <w:rFonts w:ascii="Arial" w:cs="Arial" w:eastAsia="Arial" w:hAnsi="Arial"/>
                <w:sz w:val="16"/>
                <w:szCs w:val="16"/>
                <w:b w:val="1"/>
                <w:bCs w:val="1"/>
                <w:color w:val="auto"/>
                <w:w w:val="95"/>
              </w:rPr>
              <w:t>Description</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0</wp:posOffset>
            </wp:positionV>
            <wp:extent cx="44926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pacing w:after="0" w:line="48" w:lineRule="exact"/>
        <w:rPr>
          <w:sz w:val="20"/>
          <w:szCs w:val="20"/>
          <w:color w:val="auto"/>
        </w:rPr>
      </w:pPr>
    </w:p>
    <w:p>
      <w:pPr>
        <w:ind w:left="1320" w:right="160" w:hanging="348"/>
        <w:spacing w:after="0" w:line="218"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2.1</w:t>
      </w:r>
      <w:r>
        <w:rPr>
          <w:sz w:val="20"/>
          <w:szCs w:val="20"/>
          <w:color w:val="auto"/>
        </w:rPr>
        <w:tab/>
      </w:r>
      <w:hyperlink r:id="rId109">
        <w:r>
          <w:rPr>
            <w:rFonts w:ascii="Arial" w:cs="Arial" w:eastAsia="Arial" w:hAnsi="Arial"/>
            <w:sz w:val="16"/>
            <w:szCs w:val="16"/>
            <w:u w:val="single" w:color="auto"/>
            <w:color w:val="0000FF"/>
          </w:rPr>
          <w:t>Share Purchase Agreement, dated as of December 2, 2019, by and between</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Tenable, Inc., Indegy Ltd., the shareholders of Indegy set forth on Schedule I to the</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Purchase Agreement and Shareholder Representative Services LLC, as the</w:t>
        </w:r>
      </w:hyperlink>
      <w:r>
        <w:rPr>
          <w:rFonts w:ascii="Arial" w:cs="Arial" w:eastAsia="Arial" w:hAnsi="Arial"/>
          <w:sz w:val="16"/>
          <w:szCs w:val="16"/>
          <w:u w:val="single" w:color="auto"/>
          <w:color w:val="0000FF"/>
        </w:rPr>
        <w:t xml:space="preserve"> </w:t>
      </w:r>
      <w:hyperlink r:id="rId109">
        <w:r>
          <w:rPr>
            <w:rFonts w:ascii="Arial" w:cs="Arial" w:eastAsia="Arial" w:hAnsi="Arial"/>
            <w:sz w:val="16"/>
            <w:szCs w:val="16"/>
            <w:u w:val="single" w:color="auto"/>
            <w:color w:val="0000FF"/>
          </w:rPr>
          <w:t>representative of Indegy’s shareholders and optionholders thereunder.</w:t>
        </w:r>
      </w:hyperlink>
    </w:p>
    <w:p>
      <w:pPr>
        <w:spacing w:after="0" w:line="21" w:lineRule="exact"/>
        <w:rPr>
          <w:rFonts w:ascii="Arial" w:cs="Arial" w:eastAsia="Arial" w:hAnsi="Arial"/>
          <w:sz w:val="16"/>
          <w:szCs w:val="16"/>
          <w:u w:val="single" w:color="auto"/>
          <w:color w:val="0000FF"/>
        </w:rPr>
      </w:pPr>
    </w:p>
    <w:p>
      <w:pPr>
        <w:ind w:left="980"/>
        <w:spacing w:after="0"/>
        <w:tabs>
          <w:tab w:leader="none" w:pos="1620" w:val="left"/>
        </w:tabs>
        <w:rPr>
          <w:rFonts w:ascii="Arial" w:cs="Arial" w:eastAsia="Arial" w:hAnsi="Arial"/>
          <w:sz w:val="15"/>
          <w:szCs w:val="15"/>
          <w:u w:val="single" w:color="auto"/>
          <w:color w:val="0000FF"/>
        </w:rPr>
      </w:pPr>
      <w:r>
        <w:rPr>
          <w:rFonts w:ascii="Arial" w:cs="Arial" w:eastAsia="Arial" w:hAnsi="Arial"/>
          <w:sz w:val="16"/>
          <w:szCs w:val="16"/>
          <w:color w:val="auto"/>
        </w:rPr>
        <w:t>3.1</w:t>
      </w:r>
      <w:r>
        <w:rPr>
          <w:sz w:val="20"/>
          <w:szCs w:val="20"/>
          <w:color w:val="auto"/>
        </w:rPr>
        <w:tab/>
      </w:r>
      <w:hyperlink r:id="rId110">
        <w:r>
          <w:rPr>
            <w:rFonts w:ascii="Arial" w:cs="Arial" w:eastAsia="Arial" w:hAnsi="Arial"/>
            <w:sz w:val="15"/>
            <w:szCs w:val="15"/>
            <w:u w:val="single" w:color="auto"/>
            <w:color w:val="0000FF"/>
          </w:rPr>
          <w:t>Amended and Restated Certificate of Incorporation of Tenable Holdings, Inc.</w:t>
        </w:r>
      </w:hyperlink>
    </w:p>
    <w:p>
      <w:pPr>
        <w:spacing w:after="0" w:line="346" w:lineRule="exact"/>
        <w:rPr>
          <w:rFonts w:ascii="Arial" w:cs="Arial" w:eastAsia="Arial" w:hAnsi="Arial"/>
          <w:sz w:val="16"/>
          <w:szCs w:val="16"/>
          <w:u w:val="single" w:color="auto"/>
          <w:color w:val="0000FF"/>
        </w:rPr>
      </w:pPr>
    </w:p>
    <w:p>
      <w:pPr>
        <w:ind w:left="980"/>
        <w:spacing w:after="0"/>
        <w:tabs>
          <w:tab w:leader="none" w:pos="1620" w:val="left"/>
        </w:tabs>
        <w:rPr>
          <w:rFonts w:ascii="Arial" w:cs="Arial" w:eastAsia="Arial" w:hAnsi="Arial"/>
          <w:sz w:val="15"/>
          <w:szCs w:val="15"/>
          <w:u w:val="single" w:color="auto"/>
          <w:color w:val="0000FF"/>
        </w:rPr>
      </w:pPr>
      <w:r>
        <w:rPr>
          <w:rFonts w:ascii="Arial" w:cs="Arial" w:eastAsia="Arial" w:hAnsi="Arial"/>
          <w:sz w:val="16"/>
          <w:szCs w:val="16"/>
          <w:color w:val="auto"/>
        </w:rPr>
        <w:t>3.2</w:t>
      </w:r>
      <w:r>
        <w:rPr>
          <w:sz w:val="20"/>
          <w:szCs w:val="20"/>
          <w:color w:val="auto"/>
        </w:rPr>
        <w:tab/>
      </w:r>
      <w:hyperlink r:id="rId111">
        <w:r>
          <w:rPr>
            <w:rFonts w:ascii="Arial" w:cs="Arial" w:eastAsia="Arial" w:hAnsi="Arial"/>
            <w:sz w:val="15"/>
            <w:szCs w:val="15"/>
            <w:u w:val="single" w:color="auto"/>
            <w:color w:val="0000FF"/>
          </w:rPr>
          <w:t>Amended and Restated Bylaws of Tenable Holdings, Inc.</w:t>
        </w:r>
      </w:hyperlink>
    </w:p>
    <w:p>
      <w:pPr>
        <w:spacing w:after="0" w:line="346" w:lineRule="exact"/>
        <w:rPr>
          <w:rFonts w:ascii="Arial" w:cs="Arial" w:eastAsia="Arial" w:hAnsi="Arial"/>
          <w:sz w:val="16"/>
          <w:szCs w:val="16"/>
          <w:u w:val="single" w:color="auto"/>
          <w:color w:val="0000FF"/>
        </w:rPr>
      </w:pPr>
    </w:p>
    <w:p>
      <w:pPr>
        <w:ind w:left="980"/>
        <w:spacing w:after="0"/>
        <w:tabs>
          <w:tab w:leader="none" w:pos="1620" w:val="left"/>
        </w:tabs>
        <w:rPr>
          <w:rFonts w:ascii="Arial" w:cs="Arial" w:eastAsia="Arial" w:hAnsi="Arial"/>
          <w:sz w:val="15"/>
          <w:szCs w:val="15"/>
          <w:u w:val="single" w:color="auto"/>
          <w:color w:val="0000FF"/>
        </w:rPr>
      </w:pPr>
      <w:r>
        <w:rPr>
          <w:rFonts w:ascii="Arial" w:cs="Arial" w:eastAsia="Arial" w:hAnsi="Arial"/>
          <w:sz w:val="16"/>
          <w:szCs w:val="16"/>
          <w:color w:val="auto"/>
        </w:rPr>
        <w:t>4.1</w:t>
      </w:r>
      <w:r>
        <w:rPr>
          <w:sz w:val="20"/>
          <w:szCs w:val="20"/>
          <w:color w:val="auto"/>
        </w:rPr>
        <w:tab/>
      </w:r>
      <w:hyperlink r:id="rId112">
        <w:r>
          <w:rPr>
            <w:rFonts w:ascii="Arial" w:cs="Arial" w:eastAsia="Arial" w:hAnsi="Arial"/>
            <w:sz w:val="15"/>
            <w:szCs w:val="15"/>
            <w:u w:val="single" w:color="auto"/>
            <w:color w:val="0000FF"/>
          </w:rPr>
          <w:t>Common Stock Certificate of Tenable Holdings, Inc.</w:t>
        </w:r>
      </w:hyperlink>
    </w:p>
    <w:p>
      <w:pPr>
        <w:spacing w:after="0" w:line="346" w:lineRule="exact"/>
        <w:rPr>
          <w:rFonts w:ascii="Arial" w:cs="Arial" w:eastAsia="Arial" w:hAnsi="Arial"/>
          <w:sz w:val="16"/>
          <w:szCs w:val="16"/>
          <w:u w:val="single" w:color="auto"/>
          <w:color w:val="0000FF"/>
        </w:rPr>
      </w:pPr>
    </w:p>
    <w:p>
      <w:pPr>
        <w:ind w:left="1320" w:hanging="348"/>
        <w:spacing w:after="0" w:line="228"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13">
        <w:r>
          <w:rPr>
            <w:rFonts w:ascii="Arial" w:cs="Arial" w:eastAsia="Arial" w:hAnsi="Arial"/>
            <w:sz w:val="16"/>
            <w:szCs w:val="16"/>
            <w:u w:val="single" w:color="auto"/>
            <w:color w:val="0000FF"/>
          </w:rPr>
          <w:t>Investors' Rights Agreement by and among Tenable Holdings, Inc. and certain of</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its stockholders, dated December 18, 2015</w:t>
        </w:r>
      </w:hyperlink>
    </w:p>
    <w:p>
      <w:pPr>
        <w:spacing w:after="0" w:line="180" w:lineRule="exact"/>
        <w:rPr>
          <w:sz w:val="20"/>
          <w:szCs w:val="20"/>
          <w:color w:val="auto"/>
        </w:rPr>
      </w:pPr>
    </w:p>
    <w:p>
      <w:pPr>
        <w:ind w:left="980"/>
        <w:spacing w:after="0"/>
        <w:tabs>
          <w:tab w:leader="none" w:pos="1620" w:val="left"/>
        </w:tabs>
        <w:rPr>
          <w:rFonts w:ascii="Arial" w:cs="Arial" w:eastAsia="Arial" w:hAnsi="Arial"/>
          <w:sz w:val="15"/>
          <w:szCs w:val="15"/>
          <w:u w:val="single" w:color="auto"/>
          <w:color w:val="0000FF"/>
        </w:rPr>
      </w:pPr>
      <w:r>
        <w:rPr>
          <w:rFonts w:ascii="Arial" w:cs="Arial" w:eastAsia="Arial" w:hAnsi="Arial"/>
          <w:sz w:val="16"/>
          <w:szCs w:val="16"/>
          <w:color w:val="auto"/>
        </w:rPr>
        <w:t>4.3</w:t>
      </w:r>
      <w:r>
        <w:rPr>
          <w:sz w:val="20"/>
          <w:szCs w:val="20"/>
          <w:color w:val="auto"/>
        </w:rPr>
        <w:tab/>
      </w:r>
      <w:hyperlink r:id="rId114">
        <w:r>
          <w:rPr>
            <w:rFonts w:ascii="Arial" w:cs="Arial" w:eastAsia="Arial" w:hAnsi="Arial"/>
            <w:sz w:val="15"/>
            <w:szCs w:val="15"/>
            <w:u w:val="single" w:color="auto"/>
            <w:color w:val="0000FF"/>
          </w:rPr>
          <w:t>Description of Common Stock of Tenable Holdings, Inc.</w:t>
        </w:r>
      </w:hyperlink>
    </w:p>
    <w:p>
      <w:pPr>
        <w:spacing w:after="0" w:line="346" w:lineRule="exact"/>
        <w:rPr>
          <w:sz w:val="20"/>
          <w:szCs w:val="20"/>
          <w:color w:val="auto"/>
        </w:rPr>
      </w:pPr>
    </w:p>
    <w:p>
      <w:pPr>
        <w:jc w:val="both"/>
        <w:ind w:left="1320" w:right="340" w:hanging="529"/>
        <w:spacing w:after="0" w:line="221"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15">
        <w:r>
          <w:rPr>
            <w:rFonts w:ascii="Arial" w:cs="Arial" w:eastAsia="Arial" w:hAnsi="Arial"/>
            <w:sz w:val="16"/>
            <w:szCs w:val="16"/>
            <w:u w:val="single" w:color="auto"/>
            <w:color w:val="0000FF"/>
          </w:rPr>
          <w:t>2016 Stock Incentive Plan and Irish Supplement and Forms of Option Grant</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Notice and Agreement and Exercise Notice and Form of Restricted Stock Grant</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Notice and Agreement thereunder, as amended to date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20" w:lineRule="exact"/>
        <w:rPr>
          <w:rFonts w:ascii="Arial" w:cs="Arial" w:eastAsia="Arial" w:hAnsi="Arial"/>
          <w:sz w:val="16"/>
          <w:szCs w:val="16"/>
          <w:u w:val="single" w:color="auto"/>
          <w:color w:val="0000FF"/>
        </w:rPr>
      </w:pPr>
    </w:p>
    <w:p>
      <w:pPr>
        <w:ind w:left="1820"/>
        <w:spacing w:after="0"/>
        <w:rPr>
          <w:sz w:val="20"/>
          <w:szCs w:val="20"/>
          <w:color w:val="auto"/>
        </w:rPr>
      </w:pPr>
      <w:r>
        <w:rPr>
          <w:rFonts w:ascii="Arial" w:cs="Arial" w:eastAsia="Arial" w:hAnsi="Arial"/>
          <w:sz w:val="16"/>
          <w:szCs w:val="16"/>
          <w:b w:val="1"/>
          <w:bCs w:val="1"/>
          <w:color w:val="auto"/>
        </w:rPr>
        <w:t>Location</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435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2435225" cy="8255"/>
                    </a:xfrm>
                    <a:prstGeom prst="rect">
                      <a:avLst/>
                    </a:prstGeom>
                    <a:noFill/>
                  </pic:spPr>
                </pic:pic>
              </a:graphicData>
            </a:graphic>
          </wp:anchor>
        </w:drawing>
      </w:r>
    </w:p>
    <w:p>
      <w:pPr>
        <w:spacing w:after="0" w:line="81" w:lineRule="exact"/>
        <w:rPr>
          <w:rFonts w:ascii="Arial" w:cs="Arial" w:eastAsia="Arial" w:hAnsi="Arial"/>
          <w:sz w:val="16"/>
          <w:szCs w:val="16"/>
          <w:u w:val="single" w:color="auto"/>
          <w:color w:val="0000FF"/>
        </w:rPr>
      </w:pPr>
    </w:p>
    <w:p>
      <w:pPr>
        <w:jc w:val="both"/>
        <w:ind w:firstLine="318"/>
        <w:spacing w:after="0" w:line="221" w:lineRule="auto"/>
        <w:rPr>
          <w:sz w:val="20"/>
          <w:szCs w:val="20"/>
          <w:color w:val="auto"/>
        </w:rPr>
      </w:pPr>
      <w:r>
        <w:rPr>
          <w:rFonts w:ascii="Arial" w:cs="Arial" w:eastAsia="Arial" w:hAnsi="Arial"/>
          <w:sz w:val="16"/>
          <w:szCs w:val="16"/>
          <w:color w:val="auto"/>
        </w:rPr>
        <w:t>Previously filed as Exhibit 10.1 to the Company's Current Report on Form 8-K (File No. 001-38600) on December 2, 2019</w:t>
      </w:r>
    </w:p>
    <w:p>
      <w:pPr>
        <w:spacing w:after="0" w:line="181" w:lineRule="exact"/>
        <w:rPr>
          <w:rFonts w:ascii="Arial" w:cs="Arial" w:eastAsia="Arial" w:hAnsi="Arial"/>
          <w:sz w:val="16"/>
          <w:szCs w:val="16"/>
          <w:u w:val="single" w:color="auto"/>
          <w:color w:val="0000FF"/>
        </w:rPr>
      </w:pPr>
    </w:p>
    <w:p>
      <w:pPr>
        <w:jc w:val="both"/>
        <w:ind w:right="60" w:firstLine="318"/>
        <w:spacing w:after="0" w:line="221"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22" w:lineRule="exact"/>
        <w:rPr>
          <w:rFonts w:ascii="Arial" w:cs="Arial" w:eastAsia="Arial" w:hAnsi="Arial"/>
          <w:sz w:val="16"/>
          <w:szCs w:val="16"/>
          <w:u w:val="single" w:color="auto"/>
          <w:color w:val="0000FF"/>
        </w:rPr>
      </w:pPr>
    </w:p>
    <w:p>
      <w:pPr>
        <w:ind w:right="100" w:firstLine="318"/>
        <w:spacing w:after="0" w:line="221"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22" w:lineRule="exact"/>
        <w:rPr>
          <w:rFonts w:ascii="Arial" w:cs="Arial" w:eastAsia="Arial" w:hAnsi="Arial"/>
          <w:sz w:val="16"/>
          <w:szCs w:val="16"/>
          <w:u w:val="single" w:color="auto"/>
          <w:color w:val="0000FF"/>
        </w:rPr>
      </w:pPr>
    </w:p>
    <w:p>
      <w:pPr>
        <w:ind w:right="100" w:firstLine="318"/>
        <w:spacing w:after="0" w:line="221"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22" w:lineRule="exact"/>
        <w:rPr>
          <w:rFonts w:ascii="Arial" w:cs="Arial" w:eastAsia="Arial" w:hAnsi="Arial"/>
          <w:sz w:val="16"/>
          <w:szCs w:val="16"/>
          <w:u w:val="single" w:color="auto"/>
          <w:color w:val="0000FF"/>
        </w:rPr>
      </w:pPr>
    </w:p>
    <w:p>
      <w:pPr>
        <w:ind w:right="100" w:firstLine="318"/>
        <w:spacing w:after="0" w:line="221" w:lineRule="auto"/>
        <w:rPr>
          <w:sz w:val="20"/>
          <w:szCs w:val="20"/>
          <w:color w:val="auto"/>
        </w:rPr>
      </w:pPr>
      <w:r>
        <w:rPr>
          <w:rFonts w:ascii="Arial" w:cs="Arial" w:eastAsia="Arial" w:hAnsi="Arial"/>
          <w:sz w:val="16"/>
          <w:szCs w:val="16"/>
          <w:color w:val="auto"/>
        </w:rPr>
        <w:t>Previously filed as Exhibit 4.2 to the Company's Registration Statement on Form S-1 (File No. 333-226002) on July 16, 2018</w:t>
      </w:r>
    </w:p>
    <w:p>
      <w:pPr>
        <w:spacing w:after="0" w:line="22" w:lineRule="exact"/>
        <w:rPr>
          <w:rFonts w:ascii="Arial" w:cs="Arial" w:eastAsia="Arial" w:hAnsi="Arial"/>
          <w:sz w:val="16"/>
          <w:szCs w:val="16"/>
          <w:u w:val="single" w:color="auto"/>
          <w:color w:val="0000FF"/>
        </w:rPr>
      </w:pPr>
    </w:p>
    <w:p>
      <w:pPr>
        <w:ind w:firstLine="318"/>
        <w:spacing w:after="0" w:line="221" w:lineRule="auto"/>
        <w:rPr>
          <w:sz w:val="20"/>
          <w:szCs w:val="20"/>
          <w:color w:val="auto"/>
        </w:rPr>
      </w:pPr>
      <w:r>
        <w:rPr>
          <w:rFonts w:ascii="Arial" w:cs="Arial" w:eastAsia="Arial" w:hAnsi="Arial"/>
          <w:sz w:val="16"/>
          <w:szCs w:val="16"/>
          <w:color w:val="auto"/>
        </w:rPr>
        <w:t>Previously filed as Exhibit 4.3 to the Company's Annual Report on Form 10-K (File No. 001-38600) on February 28, 2020</w:t>
      </w:r>
    </w:p>
    <w:p>
      <w:pPr>
        <w:spacing w:after="0" w:line="22" w:lineRule="exact"/>
        <w:rPr>
          <w:rFonts w:ascii="Arial" w:cs="Arial" w:eastAsia="Arial" w:hAnsi="Arial"/>
          <w:sz w:val="16"/>
          <w:szCs w:val="16"/>
          <w:u w:val="single" w:color="auto"/>
          <w:color w:val="0000FF"/>
        </w:rPr>
      </w:pPr>
    </w:p>
    <w:p>
      <w:pPr>
        <w:ind w:firstLine="318"/>
        <w:spacing w:after="0" w:line="221"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7300" w:space="220"/>
            <w:col w:w="3760"/>
          </w:cols>
          <w:pgMar w:left="320" w:top="140" w:right="29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7" w:lineRule="exact"/>
        <w:rPr>
          <w:rFonts w:ascii="Arial" w:cs="Arial" w:eastAsia="Arial" w:hAnsi="Arial"/>
          <w:sz w:val="16"/>
          <w:szCs w:val="16"/>
          <w:u w:val="single" w:color="auto"/>
          <w:color w:val="0000FF"/>
        </w:rPr>
      </w:pPr>
    </w:p>
    <w:p>
      <w:pPr>
        <w:jc w:val="center"/>
        <w:ind w:right="-299"/>
        <w:spacing w:after="0"/>
        <w:rPr>
          <w:sz w:val="20"/>
          <w:szCs w:val="20"/>
          <w:color w:val="auto"/>
        </w:rPr>
      </w:pPr>
      <w:r>
        <w:rPr>
          <w:rFonts w:ascii="Arial" w:cs="Arial" w:eastAsia="Arial" w:hAnsi="Arial"/>
          <w:sz w:val="17"/>
          <w:szCs w:val="17"/>
          <w:color w:val="auto"/>
        </w:rPr>
        <w:t>101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140" w:right="29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40" w:right="60" w:hanging="529"/>
        <w:spacing w:after="0" w:line="221"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18">
        <w:r>
          <w:rPr>
            <w:rFonts w:ascii="Arial" w:cs="Arial" w:eastAsia="Arial" w:hAnsi="Arial"/>
            <w:sz w:val="16"/>
            <w:szCs w:val="16"/>
            <w:u w:val="single" w:color="auto"/>
            <w:color w:val="0000FF"/>
          </w:rPr>
          <w:t>2012 Stock Incentive Plan and Form of Notice of Stock Option Grant and Form</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of Stock Option Agreement and Notice of Exercise and Common Stock Purchase</w:t>
        </w:r>
      </w:hyperlink>
      <w:r>
        <w:rPr>
          <w:rFonts w:ascii="Arial" w:cs="Arial" w:eastAsia="Arial" w:hAnsi="Arial"/>
          <w:sz w:val="16"/>
          <w:szCs w:val="16"/>
          <w:u w:val="single" w:color="auto"/>
          <w:color w:val="0000FF"/>
        </w:rPr>
        <w:t xml:space="preserve"> </w:t>
      </w:r>
      <w:hyperlink r:id="rId118">
        <w:r>
          <w:rPr>
            <w:rFonts w:ascii="Arial" w:cs="Arial" w:eastAsia="Arial" w:hAnsi="Arial"/>
            <w:sz w:val="16"/>
            <w:szCs w:val="16"/>
            <w:u w:val="single" w:color="auto"/>
            <w:color w:val="0000FF"/>
          </w:rPr>
          <w:t>Agreement thereunder, as amended to date</w:t>
        </w:r>
      </w:hyperlink>
    </w:p>
    <w:p>
      <w:pPr>
        <w:spacing w:after="0" w:line="22" w:lineRule="exact"/>
        <w:rPr>
          <w:rFonts w:ascii="Arial" w:cs="Arial" w:eastAsia="Arial" w:hAnsi="Arial"/>
          <w:sz w:val="16"/>
          <w:szCs w:val="16"/>
          <w:u w:val="single" w:color="auto"/>
          <w:color w:val="0000FF"/>
        </w:rPr>
      </w:pPr>
    </w:p>
    <w:p>
      <w:pPr>
        <w:ind w:left="1440" w:right="100" w:hanging="529"/>
        <w:spacing w:after="0" w:line="221"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10.3+</w:t>
      </w:r>
      <w:r>
        <w:rPr>
          <w:sz w:val="20"/>
          <w:szCs w:val="20"/>
          <w:color w:val="auto"/>
        </w:rPr>
        <w:tab/>
      </w:r>
      <w:hyperlink r:id="rId119">
        <w:r>
          <w:rPr>
            <w:rFonts w:ascii="Arial" w:cs="Arial" w:eastAsia="Arial" w:hAnsi="Arial"/>
            <w:sz w:val="16"/>
            <w:szCs w:val="16"/>
            <w:u w:val="single" w:color="auto"/>
            <w:color w:val="0000FF"/>
          </w:rPr>
          <w:t>2002 Stock Incentive Plan and Form of Notice of Option Grant and Form of</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Stock Option Agreement and Form of Notice of Stock Option Exercise and Form of</w:t>
        </w:r>
      </w:hyperlink>
      <w:r>
        <w:rPr>
          <w:rFonts w:ascii="Arial" w:cs="Arial" w:eastAsia="Arial" w:hAnsi="Arial"/>
          <w:sz w:val="16"/>
          <w:szCs w:val="16"/>
          <w:u w:val="single" w:color="auto"/>
          <w:color w:val="0000FF"/>
        </w:rPr>
        <w:t xml:space="preserve"> </w:t>
      </w:r>
      <w:hyperlink r:id="rId119">
        <w:r>
          <w:rPr>
            <w:rFonts w:ascii="Arial" w:cs="Arial" w:eastAsia="Arial" w:hAnsi="Arial"/>
            <w:sz w:val="16"/>
            <w:szCs w:val="16"/>
            <w:u w:val="single" w:color="auto"/>
            <w:color w:val="0000FF"/>
          </w:rPr>
          <w:t>Stock Award Agreement thereunder, as amended to date</w:t>
        </w:r>
      </w:hyperlink>
    </w:p>
    <w:p>
      <w:pPr>
        <w:spacing w:after="0" w:line="22" w:lineRule="exact"/>
        <w:rPr>
          <w:rFonts w:ascii="Arial" w:cs="Arial" w:eastAsia="Arial" w:hAnsi="Arial"/>
          <w:sz w:val="16"/>
          <w:szCs w:val="16"/>
          <w:u w:val="single" w:color="auto"/>
          <w:color w:val="0000FF"/>
        </w:rPr>
      </w:pPr>
    </w:p>
    <w:p>
      <w:pPr>
        <w:ind w:left="1440" w:right="420" w:hanging="529"/>
        <w:spacing w:after="0" w:line="248" w:lineRule="auto"/>
        <w:tabs>
          <w:tab w:leader="none" w:pos="1420" w:val="left"/>
        </w:tabs>
        <w:rPr>
          <w:rFonts w:ascii="Arial" w:cs="Arial" w:eastAsia="Arial" w:hAnsi="Arial"/>
          <w:sz w:val="15"/>
          <w:szCs w:val="15"/>
          <w:u w:val="single" w:color="auto"/>
          <w:color w:val="0000FF"/>
        </w:rPr>
      </w:pPr>
      <w:r>
        <w:rPr>
          <w:rFonts w:ascii="Arial" w:cs="Arial" w:eastAsia="Arial" w:hAnsi="Arial"/>
          <w:sz w:val="16"/>
          <w:szCs w:val="16"/>
          <w:color w:val="auto"/>
        </w:rPr>
        <w:t>10.4+</w:t>
      </w:r>
      <w:r>
        <w:rPr>
          <w:sz w:val="20"/>
          <w:szCs w:val="20"/>
          <w:color w:val="auto"/>
        </w:rPr>
        <w:tab/>
      </w:r>
      <w:hyperlink r:id="rId120">
        <w:r>
          <w:rPr>
            <w:rFonts w:ascii="Arial" w:cs="Arial" w:eastAsia="Arial" w:hAnsi="Arial"/>
            <w:sz w:val="15"/>
            <w:szCs w:val="15"/>
            <w:u w:val="single" w:color="auto"/>
            <w:color w:val="0000FF"/>
          </w:rPr>
          <w:t>2018 Equity Incentive Plan and Forms of Stock Option Grant Notice and</w:t>
        </w:r>
      </w:hyperlink>
      <w:r>
        <w:rPr>
          <w:rFonts w:ascii="Arial" w:cs="Arial" w:eastAsia="Arial" w:hAnsi="Arial"/>
          <w:sz w:val="15"/>
          <w:szCs w:val="15"/>
          <w:u w:val="single" w:color="auto"/>
          <w:color w:val="0000FF"/>
        </w:rPr>
        <w:t xml:space="preserve"> </w:t>
      </w:r>
      <w:hyperlink r:id="rId120">
        <w:r>
          <w:rPr>
            <w:rFonts w:ascii="Arial" w:cs="Arial" w:eastAsia="Arial" w:hAnsi="Arial"/>
            <w:sz w:val="15"/>
            <w:szCs w:val="15"/>
            <w:u w:val="single" w:color="auto"/>
            <w:color w:val="0000FF"/>
          </w:rPr>
          <w:t>Agreement and Restricted Stock Unit Grant Notice and Agreement thereunder</w:t>
        </w:r>
      </w:hyperlink>
    </w:p>
    <w:p>
      <w:pPr>
        <w:spacing w:after="0" w:line="174" w:lineRule="exact"/>
        <w:rPr>
          <w:sz w:val="20"/>
          <w:szCs w:val="20"/>
          <w:color w:val="auto"/>
        </w:rPr>
      </w:pPr>
    </w:p>
    <w:p>
      <w:pPr>
        <w:ind w:left="92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10.5+</w:t>
      </w:r>
      <w:r>
        <w:rPr>
          <w:sz w:val="20"/>
          <w:szCs w:val="20"/>
          <w:color w:val="auto"/>
        </w:rPr>
        <w:tab/>
      </w:r>
      <w:hyperlink r:id="rId121">
        <w:r>
          <w:rPr>
            <w:rFonts w:ascii="Arial" w:cs="Arial" w:eastAsia="Arial" w:hAnsi="Arial"/>
            <w:sz w:val="15"/>
            <w:szCs w:val="15"/>
            <w:u w:val="single" w:color="auto"/>
            <w:color w:val="0000FF"/>
          </w:rPr>
          <w:t>2018 Employee Stock Purchase Plan</w:t>
        </w:r>
      </w:hyperlink>
    </w:p>
    <w:p>
      <w:pPr>
        <w:spacing w:after="0" w:line="346" w:lineRule="exact"/>
        <w:rPr>
          <w:sz w:val="20"/>
          <w:szCs w:val="20"/>
          <w:color w:val="auto"/>
        </w:rPr>
      </w:pPr>
    </w:p>
    <w:p>
      <w:pPr>
        <w:ind w:left="1440" w:right="40" w:hanging="529"/>
        <w:spacing w:after="0" w:line="228"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22">
        <w:r>
          <w:rPr>
            <w:rFonts w:ascii="Arial" w:cs="Arial" w:eastAsia="Arial" w:hAnsi="Arial"/>
            <w:sz w:val="16"/>
            <w:szCs w:val="16"/>
            <w:u w:val="single" w:color="auto"/>
            <w:color w:val="0000FF"/>
          </w:rPr>
          <w:t>Form of Indemnification Agreement by and between Tenable Holdings, Inc. and</w:t>
        </w:r>
      </w:hyperlink>
      <w:r>
        <w:rPr>
          <w:rFonts w:ascii="Arial" w:cs="Arial" w:eastAsia="Arial" w:hAnsi="Arial"/>
          <w:sz w:val="16"/>
          <w:szCs w:val="16"/>
          <w:u w:val="single" w:color="auto"/>
          <w:color w:val="0000FF"/>
        </w:rPr>
        <w:t xml:space="preserve"> </w:t>
      </w:r>
      <w:hyperlink r:id="rId122">
        <w:r>
          <w:rPr>
            <w:rFonts w:ascii="Arial" w:cs="Arial" w:eastAsia="Arial" w:hAnsi="Arial"/>
            <w:sz w:val="16"/>
            <w:szCs w:val="16"/>
            <w:u w:val="single" w:color="auto"/>
            <w:color w:val="0000FF"/>
          </w:rPr>
          <w:t>each of its directors and executive officers</w:t>
        </w:r>
      </w:hyperlink>
    </w:p>
    <w:p>
      <w:pPr>
        <w:spacing w:after="0" w:line="155" w:lineRule="exact"/>
        <w:rPr>
          <w:sz w:val="20"/>
          <w:szCs w:val="20"/>
          <w:color w:val="auto"/>
        </w:rPr>
      </w:pPr>
    </w:p>
    <w:p>
      <w:pPr>
        <w:ind w:left="92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10.7+</w:t>
      </w:r>
      <w:r>
        <w:rPr>
          <w:sz w:val="20"/>
          <w:szCs w:val="20"/>
          <w:color w:val="auto"/>
        </w:rPr>
        <w:tab/>
      </w:r>
      <w:hyperlink r:id="rId123">
        <w:r>
          <w:rPr>
            <w:rFonts w:ascii="Arial" w:cs="Arial" w:eastAsia="Arial" w:hAnsi="Arial"/>
            <w:sz w:val="15"/>
            <w:szCs w:val="15"/>
            <w:u w:val="single" w:color="auto"/>
            <w:color w:val="0000FF"/>
          </w:rPr>
          <w:t>Amended and Restated Employment Agreement, dated as of February 20,</w:t>
        </w:r>
      </w:hyperlink>
    </w:p>
    <w:p>
      <w:pPr>
        <w:ind w:left="1440"/>
        <w:spacing w:after="0"/>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2019, by and between Tenable, Inc. and Amit Yoran</w:t>
        </w:r>
      </w:hyperlink>
    </w:p>
    <w:p>
      <w:pPr>
        <w:spacing w:after="0" w:line="162" w:lineRule="exact"/>
        <w:rPr>
          <w:sz w:val="20"/>
          <w:szCs w:val="20"/>
          <w:color w:val="auto"/>
        </w:rPr>
      </w:pPr>
    </w:p>
    <w:p>
      <w:pPr>
        <w:ind w:left="92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10.8+</w:t>
      </w:r>
      <w:r>
        <w:rPr>
          <w:sz w:val="20"/>
          <w:szCs w:val="20"/>
          <w:color w:val="auto"/>
        </w:rPr>
        <w:tab/>
      </w:r>
      <w:hyperlink r:id="rId124">
        <w:r>
          <w:rPr>
            <w:rFonts w:ascii="Arial" w:cs="Arial" w:eastAsia="Arial" w:hAnsi="Arial"/>
            <w:sz w:val="15"/>
            <w:szCs w:val="15"/>
            <w:u w:val="single" w:color="auto"/>
            <w:color w:val="0000FF"/>
          </w:rPr>
          <w:t>Amended and Restated Employment Agreement, dated as of February 20,</w:t>
        </w:r>
      </w:hyperlink>
    </w:p>
    <w:p>
      <w:pPr>
        <w:ind w:left="1440"/>
        <w:spacing w:after="0"/>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2019, by and between Tenable, Inc. and Stephen A. Vintz</w:t>
        </w:r>
      </w:hyperlink>
    </w:p>
    <w:p>
      <w:pPr>
        <w:spacing w:after="0" w:line="162" w:lineRule="exact"/>
        <w:rPr>
          <w:sz w:val="20"/>
          <w:szCs w:val="20"/>
          <w:color w:val="auto"/>
        </w:rPr>
      </w:pPr>
    </w:p>
    <w:p>
      <w:pPr>
        <w:ind w:left="92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10.9+</w:t>
      </w:r>
      <w:r>
        <w:rPr>
          <w:sz w:val="20"/>
          <w:szCs w:val="20"/>
          <w:color w:val="auto"/>
        </w:rPr>
        <w:tab/>
      </w:r>
      <w:hyperlink r:id="rId125">
        <w:r>
          <w:rPr>
            <w:rFonts w:ascii="Arial" w:cs="Arial" w:eastAsia="Arial" w:hAnsi="Arial"/>
            <w:sz w:val="15"/>
            <w:szCs w:val="15"/>
            <w:u w:val="single" w:color="auto"/>
            <w:color w:val="0000FF"/>
          </w:rPr>
          <w:t>Amended and Restated Employment Agreement, dated as of February 20,</w:t>
        </w:r>
      </w:hyperlink>
    </w:p>
    <w:p>
      <w:pPr>
        <w:ind w:left="1440"/>
        <w:spacing w:after="0"/>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2019, by and between Tenable, Inc. and Stephen A. Riddick</w:t>
        </w:r>
      </w:hyperlink>
    </w:p>
    <w:p>
      <w:pPr>
        <w:spacing w:after="0" w:line="187" w:lineRule="exact"/>
        <w:rPr>
          <w:sz w:val="20"/>
          <w:szCs w:val="20"/>
          <w:color w:val="auto"/>
        </w:rPr>
      </w:pPr>
    </w:p>
    <w:p>
      <w:pPr>
        <w:ind w:left="1440" w:right="500" w:hanging="525"/>
        <w:spacing w:after="0" w:line="228"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10.10</w:t>
      </w:r>
      <w:r>
        <w:rPr>
          <w:sz w:val="20"/>
          <w:szCs w:val="20"/>
          <w:color w:val="auto"/>
        </w:rPr>
        <w:tab/>
      </w:r>
      <w:hyperlink r:id="rId126">
        <w:r>
          <w:rPr>
            <w:rFonts w:ascii="Arial" w:cs="Arial" w:eastAsia="Arial" w:hAnsi="Arial"/>
            <w:sz w:val="16"/>
            <w:szCs w:val="16"/>
            <w:u w:val="single" w:color="auto"/>
            <w:color w:val="0000FF"/>
          </w:rPr>
          <w:t>Loan and Security Agreement, dated as of May 4, 2017, by and between</w:t>
        </w:r>
      </w:hyperlink>
      <w:r>
        <w:rPr>
          <w:rFonts w:ascii="Arial" w:cs="Arial" w:eastAsia="Arial" w:hAnsi="Arial"/>
          <w:sz w:val="16"/>
          <w:szCs w:val="16"/>
          <w:u w:val="single" w:color="auto"/>
          <w:color w:val="0000FF"/>
        </w:rPr>
        <w:t xml:space="preserve"> </w:t>
      </w:r>
      <w:hyperlink r:id="rId126">
        <w:r>
          <w:rPr>
            <w:rFonts w:ascii="Arial" w:cs="Arial" w:eastAsia="Arial" w:hAnsi="Arial"/>
            <w:sz w:val="16"/>
            <w:szCs w:val="16"/>
            <w:u w:val="single" w:color="auto"/>
            <w:color w:val="0000FF"/>
          </w:rPr>
          <w:t>Tenable Network Security, Inc. and Silicon Valley Bank</w:t>
        </w:r>
      </w:hyperlink>
    </w:p>
    <w:p>
      <w:pPr>
        <w:spacing w:after="0" w:line="180" w:lineRule="exact"/>
        <w:rPr>
          <w:sz w:val="20"/>
          <w:szCs w:val="20"/>
          <w:color w:val="auto"/>
        </w:rPr>
      </w:pPr>
    </w:p>
    <w:p>
      <w:pPr>
        <w:ind w:left="1440" w:right="420" w:hanging="613"/>
        <w:spacing w:after="0" w:line="228"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10.11#</w:t>
      </w:r>
      <w:r>
        <w:rPr>
          <w:sz w:val="20"/>
          <w:szCs w:val="20"/>
          <w:color w:val="auto"/>
        </w:rPr>
        <w:tab/>
      </w:r>
      <w:hyperlink r:id="rId127">
        <w:r>
          <w:rPr>
            <w:rFonts w:ascii="Arial" w:cs="Arial" w:eastAsia="Arial" w:hAnsi="Arial"/>
            <w:sz w:val="16"/>
            <w:szCs w:val="16"/>
            <w:u w:val="single" w:color="auto"/>
            <w:color w:val="0000FF"/>
          </w:rPr>
          <w:t>Distribution Agreement, dated as of September 10, 2012, by and between</w:t>
        </w:r>
      </w:hyperlink>
      <w:r>
        <w:rPr>
          <w:rFonts w:ascii="Arial" w:cs="Arial" w:eastAsia="Arial" w:hAnsi="Arial"/>
          <w:sz w:val="16"/>
          <w:szCs w:val="16"/>
          <w:u w:val="single" w:color="auto"/>
          <w:color w:val="0000FF"/>
        </w:rPr>
        <w:t xml:space="preserve"> </w:t>
      </w:r>
      <w:hyperlink r:id="rId127">
        <w:r>
          <w:rPr>
            <w:rFonts w:ascii="Arial" w:cs="Arial" w:eastAsia="Arial" w:hAnsi="Arial"/>
            <w:sz w:val="16"/>
            <w:szCs w:val="16"/>
            <w:u w:val="single" w:color="auto"/>
            <w:color w:val="0000FF"/>
          </w:rPr>
          <w:t>Tenable Network Security, Inc. and Ingram Micro, Inc.</w:t>
        </w:r>
      </w:hyperlink>
    </w:p>
    <w:p>
      <w:pPr>
        <w:spacing w:after="0" w:line="180" w:lineRule="exact"/>
        <w:rPr>
          <w:sz w:val="20"/>
          <w:szCs w:val="20"/>
          <w:color w:val="auto"/>
        </w:rPr>
      </w:pPr>
    </w:p>
    <w:p>
      <w:pPr>
        <w:ind w:left="1440" w:right="40" w:hanging="525"/>
        <w:spacing w:after="0" w:line="233"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28">
        <w:r>
          <w:rPr>
            <w:rFonts w:ascii="Arial" w:cs="Arial" w:eastAsia="Arial" w:hAnsi="Arial"/>
            <w:sz w:val="16"/>
            <w:szCs w:val="16"/>
            <w:u w:val="single" w:color="auto"/>
            <w:color w:val="0000FF"/>
          </w:rPr>
          <w:t>Credit Agreement, dated as of July 7, 2021, by and among Tenable, Inc., the</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lenders party thereto and JPMorgan Chase Bank, N.A., as administrative agent and</w:t>
        </w:r>
      </w:hyperlink>
      <w:r>
        <w:rPr>
          <w:rFonts w:ascii="Arial" w:cs="Arial" w:eastAsia="Arial" w:hAnsi="Arial"/>
          <w:sz w:val="16"/>
          <w:szCs w:val="16"/>
          <w:u w:val="single" w:color="auto"/>
          <w:color w:val="0000FF"/>
        </w:rPr>
        <w:t xml:space="preserve"> </w:t>
      </w:r>
      <w:hyperlink r:id="rId128">
        <w:r>
          <w:rPr>
            <w:rFonts w:ascii="Arial" w:cs="Arial" w:eastAsia="Arial" w:hAnsi="Arial"/>
            <w:sz w:val="16"/>
            <w:szCs w:val="16"/>
            <w:u w:val="single" w:color="auto"/>
            <w:color w:val="0000FF"/>
          </w:rPr>
          <w:t>collateral agent.</w:t>
        </w:r>
      </w:hyperlink>
    </w:p>
    <w:p>
      <w:pPr>
        <w:spacing w:after="0" w:line="34" w:lineRule="exact"/>
        <w:rPr>
          <w:rFonts w:ascii="Arial" w:cs="Arial" w:eastAsia="Arial" w:hAnsi="Arial"/>
          <w:sz w:val="16"/>
          <w:szCs w:val="16"/>
          <w:u w:val="single" w:color="auto"/>
          <w:color w:val="0000FF"/>
        </w:rPr>
      </w:pPr>
    </w:p>
    <w:p>
      <w:pPr>
        <w:ind w:left="1440" w:right="60" w:hanging="525"/>
        <w:spacing w:after="0" w:line="215"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29">
        <w:r>
          <w:rPr>
            <w:rFonts w:ascii="Arial" w:cs="Arial" w:eastAsia="Arial" w:hAnsi="Arial"/>
            <w:sz w:val="16"/>
            <w:szCs w:val="16"/>
            <w:u w:val="single" w:color="auto"/>
            <w:color w:val="0000FF"/>
          </w:rPr>
          <w:t>Share Purchase Agreement, dated as of September 13, 2021, by and among</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Tenable, Inc., Accurics, Inc., the shareholders of Accurics identified in the Purchase</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Agreement or joined to the Purchase Agreement pursuant to a joinder agreement,</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and Shareholder Representative Services LLC, as the representative of Accurics'</w:t>
        </w:r>
      </w:hyperlink>
      <w:r>
        <w:rPr>
          <w:rFonts w:ascii="Arial" w:cs="Arial" w:eastAsia="Arial" w:hAnsi="Arial"/>
          <w:sz w:val="16"/>
          <w:szCs w:val="16"/>
          <w:u w:val="single" w:color="auto"/>
          <w:color w:val="0000FF"/>
        </w:rPr>
        <w:t xml:space="preserve"> </w:t>
      </w:r>
      <w:hyperlink r:id="rId129">
        <w:r>
          <w:rPr>
            <w:rFonts w:ascii="Arial" w:cs="Arial" w:eastAsia="Arial" w:hAnsi="Arial"/>
            <w:sz w:val="16"/>
            <w:szCs w:val="16"/>
            <w:u w:val="single" w:color="auto"/>
            <w:color w:val="0000FF"/>
          </w:rPr>
          <w:t>shareholders thereunder.</w:t>
        </w:r>
      </w:hyperlink>
    </w:p>
    <w:p>
      <w:pPr>
        <w:spacing w:after="0" w:line="24" w:lineRule="exact"/>
        <w:rPr>
          <w:rFonts w:ascii="Arial" w:cs="Arial" w:eastAsia="Arial" w:hAnsi="Arial"/>
          <w:sz w:val="16"/>
          <w:szCs w:val="16"/>
          <w:u w:val="single" w:color="auto"/>
          <w:color w:val="0000FF"/>
        </w:rPr>
      </w:pPr>
    </w:p>
    <w:p>
      <w:pPr>
        <w:ind w:left="100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21.1</w:t>
      </w:r>
      <w:r>
        <w:rPr>
          <w:sz w:val="20"/>
          <w:szCs w:val="20"/>
          <w:color w:val="auto"/>
        </w:rPr>
        <w:tab/>
      </w:r>
      <w:hyperlink w:anchor="page106">
        <w:r>
          <w:rPr>
            <w:rFonts w:ascii="Arial" w:cs="Arial" w:eastAsia="Arial" w:hAnsi="Arial"/>
            <w:sz w:val="15"/>
            <w:szCs w:val="15"/>
            <w:u w:val="single" w:color="auto"/>
            <w:color w:val="0000FF"/>
          </w:rPr>
          <w:t>Subsidiaries of Tenable Holdings, Inc.</w:t>
        </w:r>
      </w:hyperlink>
    </w:p>
    <w:p>
      <w:pPr>
        <w:spacing w:after="0" w:line="28" w:lineRule="exact"/>
        <w:rPr>
          <w:rFonts w:ascii="Arial" w:cs="Arial" w:eastAsia="Arial" w:hAnsi="Arial"/>
          <w:sz w:val="16"/>
          <w:szCs w:val="16"/>
          <w:u w:val="single" w:color="auto"/>
          <w:color w:val="0000FF"/>
        </w:rPr>
      </w:pPr>
    </w:p>
    <w:p>
      <w:pPr>
        <w:ind w:left="100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23.1</w:t>
      </w:r>
      <w:r>
        <w:rPr>
          <w:sz w:val="20"/>
          <w:szCs w:val="20"/>
          <w:color w:val="auto"/>
        </w:rPr>
        <w:tab/>
      </w:r>
      <w:hyperlink w:anchor="page107">
        <w:r>
          <w:rPr>
            <w:rFonts w:ascii="Arial" w:cs="Arial" w:eastAsia="Arial" w:hAnsi="Arial"/>
            <w:sz w:val="15"/>
            <w:szCs w:val="15"/>
            <w:u w:val="single" w:color="auto"/>
            <w:color w:val="0000FF"/>
          </w:rPr>
          <w:t>Consent of Ernst &amp; Young LLP, independent registered public accounting firm</w:t>
        </w:r>
      </w:hyperlink>
    </w:p>
    <w:p>
      <w:pPr>
        <w:spacing w:after="0" w:line="28" w:lineRule="exact"/>
        <w:rPr>
          <w:rFonts w:ascii="Arial" w:cs="Arial" w:eastAsia="Arial" w:hAnsi="Arial"/>
          <w:sz w:val="16"/>
          <w:szCs w:val="16"/>
          <w:u w:val="single" w:color="auto"/>
          <w:color w:val="0000FF"/>
        </w:rPr>
      </w:pPr>
    </w:p>
    <w:p>
      <w:pPr>
        <w:ind w:left="1000"/>
        <w:spacing w:after="0"/>
        <w:tabs>
          <w:tab w:leader="none" w:pos="1740" w:val="left"/>
        </w:tabs>
        <w:rPr>
          <w:rFonts w:ascii="Arial" w:cs="Arial" w:eastAsia="Arial" w:hAnsi="Arial"/>
          <w:sz w:val="15"/>
          <w:szCs w:val="15"/>
          <w:u w:val="single" w:color="auto"/>
          <w:color w:val="0000FF"/>
        </w:rPr>
      </w:pPr>
      <w:r>
        <w:rPr>
          <w:rFonts w:ascii="Arial" w:cs="Arial" w:eastAsia="Arial" w:hAnsi="Arial"/>
          <w:sz w:val="16"/>
          <w:szCs w:val="16"/>
          <w:color w:val="auto"/>
        </w:rPr>
        <w:t>24.1</w:t>
      </w:r>
      <w:r>
        <w:rPr>
          <w:sz w:val="20"/>
          <w:szCs w:val="20"/>
          <w:color w:val="auto"/>
        </w:rPr>
        <w:tab/>
      </w:r>
      <w:hyperlink w:anchor="page104">
        <w:r>
          <w:rPr>
            <w:rFonts w:ascii="Arial" w:cs="Arial" w:eastAsia="Arial" w:hAnsi="Arial"/>
            <w:sz w:val="15"/>
            <w:szCs w:val="15"/>
            <w:u w:val="single" w:color="auto"/>
            <w:color w:val="0000FF"/>
          </w:rPr>
          <w:t>Power of Attorney</w:t>
        </w:r>
      </w:hyperlink>
    </w:p>
    <w:p>
      <w:pPr>
        <w:spacing w:after="0" w:line="28" w:lineRule="exact"/>
        <w:rPr>
          <w:rFonts w:ascii="Arial" w:cs="Arial" w:eastAsia="Arial" w:hAnsi="Arial"/>
          <w:sz w:val="16"/>
          <w:szCs w:val="16"/>
          <w:u w:val="single" w:color="auto"/>
          <w:color w:val="0000FF"/>
        </w:rPr>
      </w:pPr>
    </w:p>
    <w:p>
      <w:pPr>
        <w:ind w:left="1440" w:right="80" w:hanging="436"/>
        <w:spacing w:after="0" w:line="221"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108">
        <w:r>
          <w:rPr>
            <w:rFonts w:ascii="Arial" w:cs="Arial" w:eastAsia="Arial" w:hAnsi="Arial"/>
            <w:sz w:val="16"/>
            <w:szCs w:val="16"/>
            <w:u w:val="single" w:color="auto"/>
            <w:color w:val="0000FF"/>
          </w:rPr>
          <w:t>Certification of the Principal Executive Officer pursuant to Rules 13a-14(a) and</w:t>
        </w:r>
      </w:hyperlink>
      <w:r>
        <w:rPr>
          <w:rFonts w:ascii="Arial" w:cs="Arial" w:eastAsia="Arial" w:hAnsi="Arial"/>
          <w:sz w:val="16"/>
          <w:szCs w:val="16"/>
          <w:u w:val="single" w:color="auto"/>
          <w:color w:val="0000FF"/>
        </w:rPr>
        <w:t xml:space="preserve"> </w:t>
      </w:r>
      <w:hyperlink w:anchor="page108">
        <w:r>
          <w:rPr>
            <w:rFonts w:ascii="Arial" w:cs="Arial" w:eastAsia="Arial" w:hAnsi="Arial"/>
            <w:sz w:val="16"/>
            <w:szCs w:val="16"/>
            <w:u w:val="single" w:color="auto"/>
            <w:color w:val="0000FF"/>
          </w:rPr>
          <w:t>15d-14(a) under the Exchange Act, as adopted pursuant to Section 302 of the</w:t>
        </w:r>
      </w:hyperlink>
      <w:r>
        <w:rPr>
          <w:rFonts w:ascii="Arial" w:cs="Arial" w:eastAsia="Arial" w:hAnsi="Arial"/>
          <w:sz w:val="16"/>
          <w:szCs w:val="16"/>
          <w:u w:val="single" w:color="auto"/>
          <w:color w:val="0000FF"/>
        </w:rPr>
        <w:t xml:space="preserve"> </w:t>
      </w:r>
      <w:hyperlink w:anchor="page108">
        <w:r>
          <w:rPr>
            <w:rFonts w:ascii="Arial" w:cs="Arial" w:eastAsia="Arial" w:hAnsi="Arial"/>
            <w:sz w:val="16"/>
            <w:szCs w:val="16"/>
            <w:u w:val="single" w:color="auto"/>
            <w:color w:val="0000FF"/>
          </w:rPr>
          <w:t>Sarbanes-Oxley Act of 2002</w:t>
        </w:r>
      </w:hyperlink>
    </w:p>
    <w:p>
      <w:pPr>
        <w:spacing w:after="0" w:line="22" w:lineRule="exact"/>
        <w:rPr>
          <w:rFonts w:ascii="Arial" w:cs="Arial" w:eastAsia="Arial" w:hAnsi="Arial"/>
          <w:sz w:val="16"/>
          <w:szCs w:val="16"/>
          <w:u w:val="single" w:color="auto"/>
          <w:color w:val="0000FF"/>
        </w:rPr>
      </w:pPr>
    </w:p>
    <w:p>
      <w:pPr>
        <w:ind w:left="1440" w:right="140" w:hanging="436"/>
        <w:spacing w:after="0" w:line="221"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109">
        <w:r>
          <w:rPr>
            <w:rFonts w:ascii="Arial" w:cs="Arial" w:eastAsia="Arial" w:hAnsi="Arial"/>
            <w:sz w:val="16"/>
            <w:szCs w:val="16"/>
            <w:u w:val="single" w:color="auto"/>
            <w:color w:val="0000FF"/>
          </w:rPr>
          <w:t>Certification of the Principal Financial Officer pursuant to Rules 13a-14(a) and</w:t>
        </w:r>
      </w:hyperlink>
      <w:r>
        <w:rPr>
          <w:rFonts w:ascii="Arial" w:cs="Arial" w:eastAsia="Arial" w:hAnsi="Arial"/>
          <w:sz w:val="16"/>
          <w:szCs w:val="16"/>
          <w:u w:val="single" w:color="auto"/>
          <w:color w:val="0000FF"/>
        </w:rPr>
        <w:t xml:space="preserve"> </w:t>
      </w:r>
      <w:hyperlink w:anchor="page109">
        <w:r>
          <w:rPr>
            <w:rFonts w:ascii="Arial" w:cs="Arial" w:eastAsia="Arial" w:hAnsi="Arial"/>
            <w:sz w:val="16"/>
            <w:szCs w:val="16"/>
            <w:u w:val="single" w:color="auto"/>
            <w:color w:val="0000FF"/>
          </w:rPr>
          <w:t>15d-14(a) under the Exchange Act, as adopted pursuant to Section 302 of the</w:t>
        </w:r>
      </w:hyperlink>
      <w:r>
        <w:rPr>
          <w:rFonts w:ascii="Arial" w:cs="Arial" w:eastAsia="Arial" w:hAnsi="Arial"/>
          <w:sz w:val="16"/>
          <w:szCs w:val="16"/>
          <w:u w:val="single" w:color="auto"/>
          <w:color w:val="0000FF"/>
        </w:rPr>
        <w:t xml:space="preserve"> </w:t>
      </w:r>
      <w:hyperlink w:anchor="page109">
        <w:r>
          <w:rPr>
            <w:rFonts w:ascii="Arial" w:cs="Arial" w:eastAsia="Arial" w:hAnsi="Arial"/>
            <w:sz w:val="16"/>
            <w:szCs w:val="16"/>
            <w:u w:val="single" w:color="auto"/>
            <w:color w:val="0000FF"/>
          </w:rPr>
          <w:t>Sarbanes-Oxley Act of 2002</w:t>
        </w:r>
      </w:hyperlink>
    </w:p>
    <w:p>
      <w:pPr>
        <w:spacing w:after="0" w:line="22" w:lineRule="exact"/>
        <w:rPr>
          <w:rFonts w:ascii="Arial" w:cs="Arial" w:eastAsia="Arial" w:hAnsi="Arial"/>
          <w:sz w:val="16"/>
          <w:szCs w:val="16"/>
          <w:u w:val="single" w:color="auto"/>
          <w:color w:val="0000FF"/>
        </w:rPr>
      </w:pPr>
    </w:p>
    <w:p>
      <w:pPr>
        <w:ind w:left="1440" w:hanging="498"/>
        <w:spacing w:after="0" w:line="221" w:lineRule="auto"/>
        <w:tabs>
          <w:tab w:leader="none" w:pos="142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110">
        <w:r>
          <w:rPr>
            <w:rFonts w:ascii="Arial" w:cs="Arial" w:eastAsia="Arial" w:hAnsi="Arial"/>
            <w:sz w:val="16"/>
            <w:szCs w:val="16"/>
            <w:u w:val="single" w:color="auto"/>
            <w:color w:val="0000FF"/>
          </w:rPr>
          <w:t>Certification of the Principal Executive Officer and the Principal Financial Officer</w:t>
        </w:r>
      </w:hyperlink>
      <w:r>
        <w:rPr>
          <w:rFonts w:ascii="Arial" w:cs="Arial" w:eastAsia="Arial" w:hAnsi="Arial"/>
          <w:sz w:val="16"/>
          <w:szCs w:val="16"/>
          <w:u w:val="single" w:color="auto"/>
          <w:color w:val="0000FF"/>
        </w:rPr>
        <w:t xml:space="preserve"> </w:t>
      </w:r>
      <w:hyperlink w:anchor="page110">
        <w:r>
          <w:rPr>
            <w:rFonts w:ascii="Arial" w:cs="Arial" w:eastAsia="Arial" w:hAnsi="Arial"/>
            <w:sz w:val="16"/>
            <w:szCs w:val="16"/>
            <w:u w:val="single" w:color="auto"/>
            <w:color w:val="0000FF"/>
          </w:rPr>
          <w:t>pursuant to 18 U.S.C. Section 1350, as adopted pursuant to Section 906 of the</w:t>
        </w:r>
      </w:hyperlink>
      <w:r>
        <w:rPr>
          <w:rFonts w:ascii="Arial" w:cs="Arial" w:eastAsia="Arial" w:hAnsi="Arial"/>
          <w:sz w:val="16"/>
          <w:szCs w:val="16"/>
          <w:u w:val="single" w:color="auto"/>
          <w:color w:val="0000FF"/>
        </w:rPr>
        <w:t xml:space="preserve"> </w:t>
      </w:r>
      <w:hyperlink w:anchor="page110">
        <w:r>
          <w:rPr>
            <w:rFonts w:ascii="Arial" w:cs="Arial" w:eastAsia="Arial" w:hAnsi="Arial"/>
            <w:sz w:val="16"/>
            <w:szCs w:val="16"/>
            <w:u w:val="single" w:color="auto"/>
            <w:color w:val="0000FF"/>
          </w:rPr>
          <w:t>Sarbanes-Oxley Act of 2002</w:t>
        </w:r>
      </w:hyperlink>
    </w:p>
    <w:p>
      <w:pPr>
        <w:spacing w:after="0" w:line="22" w:lineRule="exact"/>
        <w:rPr>
          <w:rFonts w:ascii="Arial" w:cs="Arial" w:eastAsia="Arial" w:hAnsi="Arial"/>
          <w:sz w:val="16"/>
          <w:szCs w:val="16"/>
          <w:u w:val="single" w:color="auto"/>
          <w:color w:val="0000FF"/>
        </w:rPr>
      </w:pPr>
    </w:p>
    <w:tbl>
      <w:tblPr>
        <w:tblLayout w:type="fixed"/>
        <w:tblInd w:w="660" w:type="dxa"/>
        <w:tblCellMar>
          <w:top w:w="0" w:type="dxa"/>
          <w:left w:w="0" w:type="dxa"/>
          <w:bottom w:w="0" w:type="dxa"/>
          <w:right w:w="0" w:type="dxa"/>
        </w:tblCellMar>
      </w:tblPr>
      <w:tr>
        <w:trPr>
          <w:trHeight w:val="192"/>
        </w:trPr>
        <w:tc>
          <w:tcPr>
            <w:tcW w:w="880" w:type="dxa"/>
            <w:vAlign w:val="bottom"/>
          </w:tcPr>
          <w:p>
            <w:pPr>
              <w:jc w:val="right"/>
              <w:ind w:right="141"/>
              <w:spacing w:after="0"/>
              <w:rPr>
                <w:sz w:val="20"/>
                <w:szCs w:val="20"/>
                <w:color w:val="auto"/>
              </w:rPr>
            </w:pPr>
            <w:r>
              <w:rPr>
                <w:rFonts w:ascii="Arial" w:cs="Arial" w:eastAsia="Arial" w:hAnsi="Arial"/>
                <w:sz w:val="16"/>
                <w:szCs w:val="16"/>
                <w:color w:val="auto"/>
                <w:w w:val="98"/>
              </w:rPr>
              <w:t>101.SCH</w:t>
            </w:r>
          </w:p>
        </w:tc>
        <w:tc>
          <w:tcPr>
            <w:tcW w:w="4860" w:type="dxa"/>
            <w:vAlign w:val="bottom"/>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2"/>
        </w:trPr>
        <w:tc>
          <w:tcPr>
            <w:tcW w:w="880" w:type="dxa"/>
            <w:vAlign w:val="bottom"/>
          </w:tcPr>
          <w:p>
            <w:pPr>
              <w:jc w:val="right"/>
              <w:ind w:right="141"/>
              <w:spacing w:after="0"/>
              <w:rPr>
                <w:sz w:val="20"/>
                <w:szCs w:val="20"/>
                <w:color w:val="auto"/>
              </w:rPr>
            </w:pPr>
            <w:r>
              <w:rPr>
                <w:rFonts w:ascii="Arial" w:cs="Arial" w:eastAsia="Arial" w:hAnsi="Arial"/>
                <w:sz w:val="16"/>
                <w:szCs w:val="16"/>
                <w:color w:val="auto"/>
              </w:rPr>
              <w:t>101.CAL</w:t>
            </w:r>
          </w:p>
        </w:tc>
        <w:tc>
          <w:tcPr>
            <w:tcW w:w="4860" w:type="dxa"/>
            <w:vAlign w:val="bottom"/>
          </w:tcPr>
          <w:p>
            <w:pPr>
              <w:ind w:left="220"/>
              <w:spacing w:after="0"/>
              <w:rPr>
                <w:sz w:val="20"/>
                <w:szCs w:val="20"/>
                <w:color w:val="auto"/>
              </w:rPr>
            </w:pPr>
            <w:r>
              <w:rPr>
                <w:rFonts w:ascii="Arial" w:cs="Arial" w:eastAsia="Arial" w:hAnsi="Arial"/>
                <w:sz w:val="16"/>
                <w:szCs w:val="16"/>
                <w:color w:val="auto"/>
                <w:w w:val="98"/>
              </w:rPr>
              <w:t>Inline XBRL Taxonomy Extension Calculation Linkbase Document</w:t>
            </w:r>
          </w:p>
        </w:tc>
      </w:tr>
      <w:tr>
        <w:trPr>
          <w:trHeight w:val="212"/>
        </w:trPr>
        <w:tc>
          <w:tcPr>
            <w:tcW w:w="880" w:type="dxa"/>
            <w:vAlign w:val="bottom"/>
          </w:tcPr>
          <w:p>
            <w:pPr>
              <w:jc w:val="right"/>
              <w:ind w:right="141"/>
              <w:spacing w:after="0"/>
              <w:rPr>
                <w:sz w:val="20"/>
                <w:szCs w:val="20"/>
                <w:color w:val="auto"/>
              </w:rPr>
            </w:pPr>
            <w:r>
              <w:rPr>
                <w:rFonts w:ascii="Arial" w:cs="Arial" w:eastAsia="Arial" w:hAnsi="Arial"/>
                <w:sz w:val="16"/>
                <w:szCs w:val="16"/>
                <w:color w:val="auto"/>
              </w:rPr>
              <w:t>101.DEF</w:t>
            </w:r>
          </w:p>
        </w:tc>
        <w:tc>
          <w:tcPr>
            <w:tcW w:w="4860" w:type="dxa"/>
            <w:vAlign w:val="bottom"/>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2"/>
        </w:trPr>
        <w:tc>
          <w:tcPr>
            <w:tcW w:w="880" w:type="dxa"/>
            <w:vAlign w:val="bottom"/>
          </w:tcPr>
          <w:p>
            <w:pPr>
              <w:jc w:val="right"/>
              <w:ind w:right="141"/>
              <w:spacing w:after="0"/>
              <w:rPr>
                <w:sz w:val="20"/>
                <w:szCs w:val="20"/>
                <w:color w:val="auto"/>
              </w:rPr>
            </w:pPr>
            <w:r>
              <w:rPr>
                <w:rFonts w:ascii="Arial" w:cs="Arial" w:eastAsia="Arial" w:hAnsi="Arial"/>
                <w:sz w:val="16"/>
                <w:szCs w:val="16"/>
                <w:color w:val="auto"/>
              </w:rPr>
              <w:t>101.LAB</w:t>
            </w:r>
          </w:p>
        </w:tc>
        <w:tc>
          <w:tcPr>
            <w:tcW w:w="4860" w:type="dxa"/>
            <w:vAlign w:val="bottom"/>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bl>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88" w:lineRule="exact"/>
        <w:rPr>
          <w:rFonts w:ascii="Arial" w:cs="Arial" w:eastAsia="Arial" w:hAnsi="Arial"/>
          <w:sz w:val="16"/>
          <w:szCs w:val="16"/>
          <w:u w:val="single" w:color="auto"/>
          <w:color w:val="0000FF"/>
        </w:rPr>
      </w:pPr>
    </w:p>
    <w:p>
      <w:pPr>
        <w:ind w:right="20" w:firstLine="318"/>
        <w:spacing w:after="0" w:line="221"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22" w:lineRule="exact"/>
        <w:rPr>
          <w:rFonts w:ascii="Arial" w:cs="Arial" w:eastAsia="Arial" w:hAnsi="Arial"/>
          <w:sz w:val="16"/>
          <w:szCs w:val="16"/>
          <w:u w:val="single" w:color="auto"/>
          <w:color w:val="0000FF"/>
        </w:rPr>
      </w:pPr>
    </w:p>
    <w:p>
      <w:pPr>
        <w:ind w:right="20" w:firstLine="318"/>
        <w:spacing w:after="0" w:line="221" w:lineRule="auto"/>
        <w:rPr>
          <w:sz w:val="20"/>
          <w:szCs w:val="20"/>
          <w:color w:val="auto"/>
        </w:rPr>
      </w:pPr>
      <w:r>
        <w:rPr>
          <w:rFonts w:ascii="Arial" w:cs="Arial" w:eastAsia="Arial" w:hAnsi="Arial"/>
          <w:sz w:val="16"/>
          <w:szCs w:val="16"/>
          <w:color w:val="auto"/>
        </w:rPr>
        <w:t>Previously filed as Exhibit 10.3 to the Company's Registration Statement on Form S-8 (File No. 333-226347) on July 26, 2018</w:t>
      </w:r>
    </w:p>
    <w:p>
      <w:pPr>
        <w:spacing w:after="0" w:line="22" w:lineRule="exact"/>
        <w:rPr>
          <w:rFonts w:ascii="Arial" w:cs="Arial" w:eastAsia="Arial" w:hAnsi="Arial"/>
          <w:sz w:val="16"/>
          <w:szCs w:val="16"/>
          <w:u w:val="single" w:color="auto"/>
          <w:color w:val="0000FF"/>
        </w:rPr>
      </w:pPr>
    </w:p>
    <w:p>
      <w:pPr>
        <w:ind w:right="20" w:firstLine="318"/>
        <w:spacing w:after="0" w:line="221"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22" w:lineRule="exact"/>
        <w:rPr>
          <w:rFonts w:ascii="Arial" w:cs="Arial" w:eastAsia="Arial" w:hAnsi="Arial"/>
          <w:sz w:val="16"/>
          <w:szCs w:val="16"/>
          <w:u w:val="single" w:color="auto"/>
          <w:color w:val="0000FF"/>
        </w:rPr>
      </w:pPr>
    </w:p>
    <w:p>
      <w:pPr>
        <w:ind w:right="20" w:firstLine="318"/>
        <w:spacing w:after="0" w:line="221"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22" w:lineRule="exact"/>
        <w:rPr>
          <w:rFonts w:ascii="Arial" w:cs="Arial" w:eastAsia="Arial" w:hAnsi="Arial"/>
          <w:sz w:val="16"/>
          <w:szCs w:val="16"/>
          <w:u w:val="single" w:color="auto"/>
          <w:color w:val="0000FF"/>
        </w:rPr>
      </w:pPr>
    </w:p>
    <w:p>
      <w:pPr>
        <w:ind w:right="20" w:firstLine="318"/>
        <w:spacing w:after="0" w:line="221"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22" w:lineRule="exact"/>
        <w:rPr>
          <w:rFonts w:ascii="Arial" w:cs="Arial" w:eastAsia="Arial" w:hAnsi="Arial"/>
          <w:sz w:val="16"/>
          <w:szCs w:val="16"/>
          <w:u w:val="single" w:color="auto"/>
          <w:color w:val="0000FF"/>
        </w:rPr>
      </w:pPr>
    </w:p>
    <w:p>
      <w:pPr>
        <w:jc w:val="both"/>
        <w:ind w:right="20" w:firstLine="318"/>
        <w:spacing w:after="0" w:line="221"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22" w:lineRule="exact"/>
        <w:rPr>
          <w:rFonts w:ascii="Arial" w:cs="Arial" w:eastAsia="Arial" w:hAnsi="Arial"/>
          <w:sz w:val="16"/>
          <w:szCs w:val="16"/>
          <w:u w:val="single" w:color="auto"/>
          <w:color w:val="0000FF"/>
        </w:rPr>
      </w:pPr>
    </w:p>
    <w:p>
      <w:pPr>
        <w:jc w:val="both"/>
        <w:ind w:right="20" w:firstLine="318"/>
        <w:spacing w:after="0" w:line="221"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22" w:lineRule="exact"/>
        <w:rPr>
          <w:rFonts w:ascii="Arial" w:cs="Arial" w:eastAsia="Arial" w:hAnsi="Arial"/>
          <w:sz w:val="16"/>
          <w:szCs w:val="16"/>
          <w:u w:val="single" w:color="auto"/>
          <w:color w:val="0000FF"/>
        </w:rPr>
      </w:pPr>
    </w:p>
    <w:p>
      <w:pPr>
        <w:jc w:val="both"/>
        <w:ind w:right="20" w:firstLine="318"/>
        <w:spacing w:after="0" w:line="221" w:lineRule="auto"/>
        <w:rPr>
          <w:sz w:val="20"/>
          <w:szCs w:val="20"/>
          <w:color w:val="auto"/>
        </w:rPr>
      </w:pPr>
      <w:r>
        <w:rPr>
          <w:rFonts w:ascii="Arial" w:cs="Arial" w:eastAsia="Arial" w:hAnsi="Arial"/>
          <w:sz w:val="16"/>
          <w:szCs w:val="16"/>
          <w:color w:val="auto"/>
        </w:rPr>
        <w:t>Previously filed as Exhibit 10.3 to the Company's Current Report on Form 8-K (File No. 001-38600) on February 22, 2019</w:t>
      </w:r>
    </w:p>
    <w:p>
      <w:pPr>
        <w:spacing w:after="0" w:line="22" w:lineRule="exact"/>
        <w:rPr>
          <w:rFonts w:ascii="Arial" w:cs="Arial" w:eastAsia="Arial" w:hAnsi="Arial"/>
          <w:sz w:val="16"/>
          <w:szCs w:val="16"/>
          <w:u w:val="single" w:color="auto"/>
          <w:color w:val="0000FF"/>
        </w:rPr>
      </w:pPr>
    </w:p>
    <w:p>
      <w:pPr>
        <w:ind w:firstLine="318"/>
        <w:spacing w:after="0" w:line="221" w:lineRule="auto"/>
        <w:rPr>
          <w:sz w:val="20"/>
          <w:szCs w:val="20"/>
          <w:color w:val="auto"/>
        </w:rPr>
      </w:pPr>
      <w:r>
        <w:rPr>
          <w:rFonts w:ascii="Arial" w:cs="Arial" w:eastAsia="Arial" w:hAnsi="Arial"/>
          <w:sz w:val="16"/>
          <w:szCs w:val="16"/>
          <w:color w:val="auto"/>
        </w:rPr>
        <w:t>Previously filed as Exhibit 10.11 to the Company' Registration Statement on Form S-1 (File No. 333-226002) on July 16, 2018</w:t>
      </w:r>
    </w:p>
    <w:p>
      <w:pPr>
        <w:spacing w:after="0" w:line="22" w:lineRule="exact"/>
        <w:rPr>
          <w:rFonts w:ascii="Arial" w:cs="Arial" w:eastAsia="Arial" w:hAnsi="Arial"/>
          <w:sz w:val="16"/>
          <w:szCs w:val="16"/>
          <w:u w:val="single" w:color="auto"/>
          <w:color w:val="0000FF"/>
        </w:rPr>
      </w:pPr>
    </w:p>
    <w:p>
      <w:pPr>
        <w:ind w:firstLine="318"/>
        <w:spacing w:after="0" w:line="221" w:lineRule="auto"/>
        <w:rPr>
          <w:sz w:val="20"/>
          <w:szCs w:val="20"/>
          <w:color w:val="auto"/>
        </w:rPr>
      </w:pPr>
      <w:r>
        <w:rPr>
          <w:rFonts w:ascii="Arial" w:cs="Arial" w:eastAsia="Arial" w:hAnsi="Arial"/>
          <w:sz w:val="16"/>
          <w:szCs w:val="16"/>
          <w:color w:val="auto"/>
        </w:rPr>
        <w:t>Previously filed as Exhibit 10.12 to the Company' Registration Statement on Form S-1 (File No. 333-226002) on July 16, 2018</w:t>
      </w:r>
    </w:p>
    <w:p>
      <w:pPr>
        <w:spacing w:after="0" w:line="22" w:lineRule="exact"/>
        <w:rPr>
          <w:rFonts w:ascii="Arial" w:cs="Arial" w:eastAsia="Arial" w:hAnsi="Arial"/>
          <w:sz w:val="16"/>
          <w:szCs w:val="16"/>
          <w:u w:val="single" w:color="auto"/>
          <w:color w:val="0000FF"/>
        </w:rPr>
      </w:pPr>
    </w:p>
    <w:p>
      <w:pPr>
        <w:jc w:val="both"/>
        <w:ind w:right="20" w:firstLine="318"/>
        <w:spacing w:after="0" w:line="248" w:lineRule="auto"/>
        <w:rPr>
          <w:sz w:val="20"/>
          <w:szCs w:val="20"/>
          <w:color w:val="auto"/>
        </w:rPr>
      </w:pPr>
      <w:r>
        <w:rPr>
          <w:rFonts w:ascii="Arial" w:cs="Arial" w:eastAsia="Arial" w:hAnsi="Arial"/>
          <w:sz w:val="15"/>
          <w:szCs w:val="15"/>
          <w:color w:val="auto"/>
        </w:rPr>
        <w:t>Previously filed as Exhibit 10.2 to the Company's Form 10-Q (File No. 001-38600) on August 2, 2021</w:t>
      </w:r>
    </w:p>
    <w:p>
      <w:pPr>
        <w:spacing w:after="0" w:line="213" w:lineRule="exact"/>
        <w:rPr>
          <w:rFonts w:ascii="Arial" w:cs="Arial" w:eastAsia="Arial" w:hAnsi="Arial"/>
          <w:sz w:val="16"/>
          <w:szCs w:val="16"/>
          <w:u w:val="single" w:color="auto"/>
          <w:color w:val="0000FF"/>
        </w:rPr>
      </w:pPr>
    </w:p>
    <w:p>
      <w:pPr>
        <w:jc w:val="both"/>
        <w:ind w:right="20" w:firstLine="318"/>
        <w:spacing w:after="0" w:line="221" w:lineRule="auto"/>
        <w:rPr>
          <w:sz w:val="20"/>
          <w:szCs w:val="20"/>
          <w:color w:val="auto"/>
        </w:rPr>
      </w:pPr>
      <w:r>
        <w:rPr>
          <w:rFonts w:ascii="Arial" w:cs="Arial" w:eastAsia="Arial" w:hAnsi="Arial"/>
          <w:sz w:val="16"/>
          <w:szCs w:val="16"/>
          <w:color w:val="auto"/>
        </w:rPr>
        <w:t>Previously filed as Exhibit 10.1 to the Company's Current Report on Form 8-K (File No. 001-38600) on September 13, 2021</w:t>
      </w:r>
    </w:p>
    <w:p>
      <w:pPr>
        <w:spacing w:after="0" w:line="340"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6"/>
          <w:szCs w:val="16"/>
          <w:color w:val="auto"/>
        </w:rPr>
        <w:t>Filed herewith</w:t>
      </w:r>
    </w:p>
    <w:p>
      <w:pPr>
        <w:spacing w:after="0" w:line="28"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6"/>
          <w:szCs w:val="16"/>
          <w:color w:val="auto"/>
        </w:rPr>
        <w:t>Filed herewith</w:t>
      </w:r>
    </w:p>
    <w:p>
      <w:pPr>
        <w:spacing w:after="0" w:line="346"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6"/>
          <w:szCs w:val="16"/>
          <w:color w:val="auto"/>
        </w:rPr>
        <w:t>Filed herewith</w:t>
      </w:r>
    </w:p>
    <w:p>
      <w:pPr>
        <w:spacing w:after="0" w:line="346" w:lineRule="exact"/>
        <w:rPr>
          <w:rFonts w:ascii="Arial" w:cs="Arial" w:eastAsia="Arial" w:hAnsi="Arial"/>
          <w:sz w:val="16"/>
          <w:szCs w:val="16"/>
          <w:u w:val="single" w:color="auto"/>
          <w:color w:val="0000FF"/>
        </w:rPr>
      </w:pPr>
    </w:p>
    <w:p>
      <w:pPr>
        <w:ind w:left="320"/>
        <w:spacing w:after="0"/>
        <w:rPr>
          <w:sz w:val="20"/>
          <w:szCs w:val="20"/>
          <w:color w:val="auto"/>
        </w:rPr>
      </w:pPr>
      <w:r>
        <w:rPr>
          <w:rFonts w:ascii="Arial" w:cs="Arial" w:eastAsia="Arial" w:hAnsi="Arial"/>
          <w:sz w:val="16"/>
          <w:szCs w:val="16"/>
          <w:color w:val="auto"/>
        </w:rPr>
        <w:t>Furnished herewith</w:t>
      </w:r>
    </w:p>
    <w:p>
      <w:pPr>
        <w:spacing w:after="0" w:line="1373" w:lineRule="exact"/>
        <w:rPr>
          <w:rFonts w:ascii="Arial" w:cs="Arial" w:eastAsia="Arial" w:hAnsi="Arial"/>
          <w:sz w:val="16"/>
          <w:szCs w:val="16"/>
          <w:u w:val="single" w:color="auto"/>
          <w:color w:val="0000FF"/>
        </w:rPr>
      </w:pPr>
    </w:p>
    <w:p>
      <w:pPr>
        <w:sectPr>
          <w:pgSz w:w="11900" w:h="16838" w:orient="portrait"/>
          <w:cols w:equalWidth="0" w:num="2">
            <w:col w:w="7360" w:space="220"/>
            <w:col w:w="3760"/>
          </w:cols>
          <w:pgMar w:left="320" w:top="140" w:right="239" w:bottom="1440" w:gutter="0" w:footer="0" w:header="0"/>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5" w:lineRule="exact"/>
        <w:rPr>
          <w:rFonts w:ascii="Arial" w:cs="Arial" w:eastAsia="Arial" w:hAnsi="Arial"/>
          <w:sz w:val="16"/>
          <w:szCs w:val="16"/>
          <w:u w:val="single" w:color="auto"/>
          <w:color w:val="0000FF"/>
        </w:rPr>
      </w:pPr>
    </w:p>
    <w:p>
      <w:pPr>
        <w:jc w:val="center"/>
        <w:ind w:right="-239"/>
        <w:spacing w:after="0"/>
        <w:rPr>
          <w:sz w:val="20"/>
          <w:szCs w:val="20"/>
          <w:color w:val="auto"/>
        </w:rPr>
      </w:pPr>
      <w:r>
        <w:rPr>
          <w:rFonts w:ascii="Arial" w:cs="Arial" w:eastAsia="Arial" w:hAnsi="Arial"/>
          <w:sz w:val="17"/>
          <w:szCs w:val="17"/>
          <w:color w:val="auto"/>
        </w:rPr>
        <w:t>102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5"/>
          <w:szCs w:val="15"/>
          <w:color w:val="auto"/>
        </w:rPr>
        <w:t>Inline XBRL Taxonomy Extension Presentation Linkbase Document</w:t>
      </w:r>
    </w:p>
    <w:p>
      <w:pPr>
        <w:spacing w:after="0" w:line="3" w:lineRule="exact"/>
        <w:rPr>
          <w:sz w:val="20"/>
          <w:szCs w:val="20"/>
          <w:color w:val="auto"/>
        </w:rPr>
      </w:pPr>
    </w:p>
    <w:p>
      <w:pPr>
        <w:ind w:left="1740" w:hanging="705"/>
        <w:spacing w:after="0"/>
        <w:tabs>
          <w:tab w:leader="none" w:pos="1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w:t>
      </w:r>
    </w:p>
    <w:p>
      <w:pPr>
        <w:ind w:left="1420" w:right="3840"/>
        <w:spacing w:after="0" w:line="228" w:lineRule="auto"/>
        <w:rPr>
          <w:rFonts w:ascii="Arial" w:cs="Arial" w:eastAsia="Arial" w:hAnsi="Arial"/>
          <w:sz w:val="16"/>
          <w:szCs w:val="16"/>
          <w:color w:val="auto"/>
        </w:rPr>
      </w:pPr>
      <w:r>
        <w:rPr>
          <w:rFonts w:ascii="Arial" w:cs="Arial" w:eastAsia="Arial" w:hAnsi="Arial"/>
          <w:sz w:val="16"/>
          <w:szCs w:val="16"/>
          <w:color w:val="auto"/>
        </w:rPr>
        <w:t>taxonomy extension information contained in Exhibits 101.SCH, 101.CAL, 101.DEF, 101.LAB and 101.PRE)</w:t>
      </w: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1" w:lineRule="exact"/>
        <w:rPr>
          <w:sz w:val="20"/>
          <w:szCs w:val="20"/>
          <w:color w:val="auto"/>
        </w:rPr>
      </w:pPr>
    </w:p>
    <w:p>
      <w:pPr>
        <w:ind w:firstLine="6"/>
        <w:spacing w:after="0" w:line="247" w:lineRule="auto"/>
        <w:tabs>
          <w:tab w:leader="none" w:pos="34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94" w:lineRule="exact"/>
        <w:rPr>
          <w:sz w:val="20"/>
          <w:szCs w:val="20"/>
          <w:color w:val="auto"/>
        </w:rPr>
      </w:pPr>
    </w:p>
    <w:p>
      <w:pPr>
        <w:ind w:left="380" w:hanging="374"/>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08" w:lineRule="exact"/>
        <w:rPr>
          <w:sz w:val="20"/>
          <w:szCs w:val="20"/>
          <w:color w:val="auto"/>
        </w:rPr>
      </w:pPr>
    </w:p>
    <w:p>
      <w:pPr>
        <w:ind w:right="340" w:firstLine="6"/>
        <w:spacing w:after="0" w:line="252" w:lineRule="auto"/>
        <w:tabs>
          <w:tab w:leader="none" w:pos="371"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000" w:type="dxa"/>
            <w:vAlign w:val="bottom"/>
            <w:gridSpan w:val="2"/>
          </w:tcPr>
          <w:p>
            <w:pPr>
              <w:ind w:left="960"/>
              <w:spacing w:after="0"/>
              <w:rPr>
                <w:sz w:val="20"/>
                <w:szCs w:val="20"/>
                <w:color w:val="auto"/>
              </w:rPr>
            </w:pPr>
            <w:r>
              <w:rPr>
                <w:rFonts w:ascii="Arial" w:cs="Arial" w:eastAsia="Arial" w:hAnsi="Arial"/>
                <w:sz w:val="18"/>
                <w:szCs w:val="18"/>
                <w:b w:val="1"/>
                <w:bCs w:val="1"/>
                <w:color w:val="auto"/>
              </w:rPr>
              <w:t>TENABLE HOLDINGS, INC.</w:t>
            </w:r>
          </w:p>
        </w:tc>
      </w:tr>
      <w:tr>
        <w:trPr>
          <w:trHeight w:val="531"/>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180"/>
              <w:spacing w:after="0"/>
              <w:rPr>
                <w:sz w:val="20"/>
                <w:szCs w:val="20"/>
                <w:color w:val="auto"/>
              </w:rPr>
            </w:pPr>
            <w:r>
              <w:rPr>
                <w:rFonts w:ascii="Arial" w:cs="Arial" w:eastAsia="Arial" w:hAnsi="Arial"/>
                <w:sz w:val="18"/>
                <w:szCs w:val="18"/>
                <w:color w:val="auto"/>
              </w:rPr>
              <w:t>February 25, 2022</w:t>
            </w:r>
          </w:p>
        </w:tc>
        <w:tc>
          <w:tcPr>
            <w:tcW w:w="1240" w:type="dxa"/>
            <w:vAlign w:val="bottom"/>
          </w:tcPr>
          <w:p>
            <w:pPr>
              <w:ind w:left="960"/>
              <w:spacing w:after="0"/>
              <w:rPr>
                <w:sz w:val="20"/>
                <w:szCs w:val="20"/>
                <w:color w:val="auto"/>
              </w:rPr>
            </w:pPr>
            <w:r>
              <w:rPr>
                <w:rFonts w:ascii="Arial" w:cs="Arial" w:eastAsia="Arial" w:hAnsi="Arial"/>
                <w:sz w:val="18"/>
                <w:szCs w:val="18"/>
                <w:color w:val="auto"/>
                <w:w w:val="99"/>
              </w:rPr>
              <w:t>By:</w:t>
            </w: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Amit Yoran</w:t>
            </w:r>
          </w:p>
        </w:tc>
      </w:tr>
      <w:tr>
        <w:trPr>
          <w:trHeight w:val="244"/>
        </w:trPr>
        <w:tc>
          <w:tcPr>
            <w:tcW w:w="6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Amit Yoran</w:t>
            </w:r>
          </w:p>
        </w:tc>
      </w:tr>
      <w:tr>
        <w:trPr>
          <w:trHeight w:val="265"/>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Chairman and Chief Executive Officer</w:t>
            </w:r>
          </w:p>
        </w:tc>
      </w:tr>
      <w:tr>
        <w:trPr>
          <w:trHeight w:val="531"/>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00" w:type="dxa"/>
            <w:vAlign w:val="bottom"/>
          </w:tcPr>
          <w:p>
            <w:pPr>
              <w:ind w:left="180"/>
              <w:spacing w:after="0"/>
              <w:rPr>
                <w:sz w:val="20"/>
                <w:szCs w:val="20"/>
                <w:color w:val="auto"/>
              </w:rPr>
            </w:pPr>
            <w:r>
              <w:rPr>
                <w:rFonts w:ascii="Arial" w:cs="Arial" w:eastAsia="Arial" w:hAnsi="Arial"/>
                <w:sz w:val="18"/>
                <w:szCs w:val="18"/>
                <w:color w:val="auto"/>
              </w:rPr>
              <w:t>February 25, 2022</w:t>
            </w:r>
          </w:p>
        </w:tc>
        <w:tc>
          <w:tcPr>
            <w:tcW w:w="1240" w:type="dxa"/>
            <w:vAlign w:val="bottom"/>
          </w:tcPr>
          <w:p>
            <w:pPr>
              <w:ind w:left="960"/>
              <w:spacing w:after="0"/>
              <w:rPr>
                <w:sz w:val="20"/>
                <w:szCs w:val="20"/>
                <w:color w:val="auto"/>
              </w:rPr>
            </w:pPr>
            <w:r>
              <w:rPr>
                <w:rFonts w:ascii="Arial" w:cs="Arial" w:eastAsia="Arial" w:hAnsi="Arial"/>
                <w:sz w:val="18"/>
                <w:szCs w:val="18"/>
                <w:color w:val="auto"/>
                <w:w w:val="99"/>
              </w:rPr>
              <w:t>By:</w:t>
            </w: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 Stephen A. Vintz</w:t>
            </w:r>
          </w:p>
        </w:tc>
      </w:tr>
      <w:tr>
        <w:trPr>
          <w:trHeight w:val="244"/>
        </w:trPr>
        <w:tc>
          <w:tcPr>
            <w:tcW w:w="6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Stephen A. Vintz</w:t>
            </w:r>
          </w:p>
        </w:tc>
      </w:tr>
      <w:tr>
        <w:trPr>
          <w:trHeight w:val="265"/>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Amit Yoran, Stephen A. Vintz and Stephen A. Riddick,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0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Date</w:t>
            </w:r>
          </w:p>
        </w:tc>
      </w:tr>
      <w:tr>
        <w:trPr>
          <w:trHeight w:val="470"/>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Amit Yoran</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Chairman and Chief Executive Officer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9"/>
        </w:trPr>
        <w:tc>
          <w:tcPr>
            <w:tcW w:w="3400" w:type="dxa"/>
            <w:vAlign w:val="bottom"/>
          </w:tcPr>
          <w:p>
            <w:pPr>
              <w:ind w:left="340"/>
              <w:spacing w:after="0"/>
              <w:rPr>
                <w:sz w:val="20"/>
                <w:szCs w:val="20"/>
                <w:color w:val="auto"/>
              </w:rPr>
            </w:pPr>
            <w:r>
              <w:rPr>
                <w:rFonts w:ascii="Arial" w:cs="Arial" w:eastAsia="Arial" w:hAnsi="Arial"/>
                <w:sz w:val="18"/>
                <w:szCs w:val="18"/>
                <w:color w:val="auto"/>
              </w:rPr>
              <w:t>Amit Yoran</w:t>
            </w:r>
          </w:p>
        </w:tc>
        <w:tc>
          <w:tcPr>
            <w:tcW w:w="1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19"/>
                <w:szCs w:val="19"/>
                <w:color w:val="auto"/>
              </w:rPr>
            </w:pPr>
          </w:p>
        </w:tc>
      </w:tr>
      <w:tr>
        <w:trPr>
          <w:trHeight w:val="490"/>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19"/>
                <w:szCs w:val="19"/>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800" w:type="dxa"/>
            <w:vAlign w:val="bottom"/>
          </w:tcPr>
          <w:p>
            <w:pPr>
              <w:spacing w:after="0"/>
              <w:rPr>
                <w:sz w:val="19"/>
                <w:szCs w:val="19"/>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Kimberly L. Hammonds</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Kimberly L. Hammonds</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Linda Zecher Higgins</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Linda Zecher Higgins</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Niloofar Razi Howe</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Niloofar Razi Howe</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Jerry M. Kennelly</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Jerry M. Kennelly</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Raymond Vicks, Jr.</w:t>
            </w:r>
          </w:p>
        </w:tc>
        <w:tc>
          <w:tcPr>
            <w:tcW w:w="120" w:type="dxa"/>
            <w:vAlign w:val="bottom"/>
          </w:tcPr>
          <w:p>
            <w:pPr>
              <w:spacing w:after="0"/>
              <w:rPr>
                <w:sz w:val="24"/>
                <w:szCs w:val="24"/>
                <w:color w:val="auto"/>
              </w:rPr>
            </w:pPr>
          </w:p>
        </w:tc>
        <w:tc>
          <w:tcPr>
            <w:tcW w:w="570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320"/>
              <w:spacing w:after="0"/>
              <w:rPr>
                <w:sz w:val="20"/>
                <w:szCs w:val="20"/>
                <w:color w:val="auto"/>
              </w:rPr>
            </w:pPr>
            <w:r>
              <w:rPr>
                <w:rFonts w:ascii="Arial" w:cs="Arial" w:eastAsia="Arial" w:hAnsi="Arial"/>
                <w:sz w:val="18"/>
                <w:szCs w:val="18"/>
                <w:color w:val="auto"/>
                <w:w w:val="99"/>
              </w:rPr>
              <w:t>February 25, 2022</w:t>
            </w:r>
          </w:p>
        </w:tc>
      </w:tr>
      <w:tr>
        <w:trPr>
          <w:trHeight w:val="218"/>
        </w:trPr>
        <w:tc>
          <w:tcPr>
            <w:tcW w:w="3400" w:type="dxa"/>
            <w:vAlign w:val="bottom"/>
          </w:tcPr>
          <w:p>
            <w:pPr>
              <w:ind w:left="340"/>
              <w:spacing w:after="0"/>
              <w:rPr>
                <w:sz w:val="20"/>
                <w:szCs w:val="20"/>
                <w:color w:val="auto"/>
              </w:rPr>
            </w:pPr>
            <w:r>
              <w:rPr>
                <w:rFonts w:ascii="Arial" w:cs="Arial" w:eastAsia="Arial" w:hAnsi="Arial"/>
                <w:sz w:val="18"/>
                <w:szCs w:val="18"/>
                <w:color w:val="auto"/>
              </w:rPr>
              <w:t>Raymond Vicks, Jr.</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40"/>
          </w:cols>
          <w:pgMar w:left="320" w:top="14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TENABLE HOLDINGS, INC.</w:t>
      </w:r>
    </w:p>
    <w:p>
      <w:pPr>
        <w:sectPr>
          <w:pgSz w:w="11900" w:h="16838" w:orient="portrait"/>
          <w:cols w:equalWidth="0" w:num="1">
            <w:col w:w="11220"/>
          </w:cols>
          <w:pgMar w:left="340" w:top="118"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Tenable,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Accurics,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Tenable Network Security Ireland Limited</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Alsid, SAS</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Tenable Israel Ltd.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Tenable Public Sector LLC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00"/>
          </w:cols>
          <w:pgMar w:left="340" w:top="118" w:right="3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151" w:lineRule="exact"/>
        <w:rPr>
          <w:sz w:val="20"/>
          <w:szCs w:val="20"/>
          <w:color w:val="auto"/>
        </w:rPr>
      </w:pPr>
    </w:p>
    <w:p>
      <w:pPr>
        <w:ind w:left="760" w:hanging="373"/>
        <w:spacing w:after="0"/>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333333"/>
        </w:rPr>
        <w:t>Registration Statement (Form S-3 No. 333-240164) of Tenable Holdings, Inc.,</w:t>
      </w:r>
    </w:p>
    <w:p>
      <w:pPr>
        <w:spacing w:after="0" w:line="270" w:lineRule="exact"/>
        <w:rPr>
          <w:rFonts w:ascii="Arial" w:cs="Arial" w:eastAsia="Arial" w:hAnsi="Arial"/>
          <w:sz w:val="18"/>
          <w:szCs w:val="18"/>
          <w:color w:val="auto"/>
        </w:rPr>
      </w:pPr>
    </w:p>
    <w:p>
      <w:pPr>
        <w:ind w:left="760" w:right="540" w:hanging="373"/>
        <w:spacing w:after="0" w:line="251"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333333"/>
        </w:rPr>
        <w:t>Registration Statement (Form S-8 No. 333-236759) pertaining to the Tenable Holdings, Inc. 2018 Equity Incentive Plan, and the Tenable Holdings, Inc. 2018 Employee Stock Purchase Plan,</w:t>
      </w:r>
    </w:p>
    <w:p>
      <w:pPr>
        <w:spacing w:after="0" w:line="256" w:lineRule="exact"/>
        <w:rPr>
          <w:rFonts w:ascii="Arial" w:cs="Arial" w:eastAsia="Arial" w:hAnsi="Arial"/>
          <w:sz w:val="18"/>
          <w:szCs w:val="18"/>
          <w:color w:val="auto"/>
        </w:rPr>
      </w:pPr>
    </w:p>
    <w:p>
      <w:pPr>
        <w:ind w:left="760" w:right="100" w:hanging="373"/>
        <w:spacing w:after="0" w:line="24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333333"/>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 and</w:t>
      </w:r>
    </w:p>
    <w:p>
      <w:pPr>
        <w:spacing w:after="0" w:line="260" w:lineRule="exact"/>
        <w:rPr>
          <w:rFonts w:ascii="Arial" w:cs="Arial" w:eastAsia="Arial" w:hAnsi="Arial"/>
          <w:sz w:val="18"/>
          <w:szCs w:val="18"/>
          <w:color w:val="auto"/>
        </w:rPr>
      </w:pPr>
    </w:p>
    <w:p>
      <w:pPr>
        <w:ind w:left="760" w:right="600" w:hanging="373"/>
        <w:spacing w:after="0" w:line="251"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333333"/>
        </w:rPr>
        <w:t>Registration Statement (Form S-8 No. 333-230040) pertaining to the Tenable Holdings, Inc. 2018 Equity Incentive Plan and the Tenable Holdings, Inc. 2018 Employee Stock Purchase Plan;</w:t>
      </w:r>
    </w:p>
    <w:p>
      <w:pPr>
        <w:spacing w:after="0" w:line="23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333333"/>
        </w:rPr>
        <w:t xml:space="preserve">of our reports dated February 25, 2022, with respect to the consolidated financial statements and schedule of Tenable Holdings, Inc. and the effectiveness of internal control over financial reporting of Tenable Holdings, Inc. included in this Annual Report (Form 10-K) for the year ended December 31, </w:t>
      </w:r>
      <w:r>
        <w:rPr>
          <w:rFonts w:ascii="Arial" w:cs="Arial" w:eastAsia="Arial" w:hAnsi="Arial"/>
          <w:sz w:val="18"/>
          <w:szCs w:val="18"/>
          <w:color w:val="000000"/>
        </w:rPr>
        <w:t>2021</w:t>
      </w:r>
      <w:r>
        <w:rPr>
          <w:rFonts w:ascii="Arial" w:cs="Arial" w:eastAsia="Arial" w:hAnsi="Arial"/>
          <w:sz w:val="18"/>
          <w:szCs w:val="18"/>
          <w:color w:val="333333"/>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118" w:right="339" w:bottom="1440" w:gutter="0" w:footer="0" w:header="0"/>
        </w:sectPr>
      </w:pPr>
    </w:p>
    <w:bookmarkStart w:id="107" w:name="page108"/>
    <w:bookmarkEnd w:id="107"/>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line="261"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11"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120" w:hanging="316"/>
        <w:spacing w:after="0" w:line="248"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40" w:right="160" w:hanging="316"/>
        <w:spacing w:after="0" w:line="280" w:lineRule="auto"/>
        <w:tabs>
          <w:tab w:leader="none" w:pos="628"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7"/>
          <w:szCs w:val="17"/>
          <w:color w:val="auto"/>
        </w:rPr>
      </w:pPr>
    </w:p>
    <w:p>
      <w:pPr>
        <w:ind w:left="640" w:right="240" w:hanging="316"/>
        <w:spacing w:after="0" w:line="25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97" w:lineRule="exact"/>
        <w:rPr>
          <w:rFonts w:ascii="Arial" w:cs="Arial" w:eastAsia="Arial" w:hAnsi="Arial"/>
          <w:sz w:val="18"/>
          <w:szCs w:val="18"/>
          <w:color w:val="auto"/>
        </w:rPr>
      </w:pPr>
    </w:p>
    <w:p>
      <w:pPr>
        <w:ind w:left="1280" w:right="320" w:hanging="320"/>
        <w:spacing w:after="0" w:line="248"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right="260" w:hanging="320"/>
        <w:spacing w:after="0" w:line="248"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280" w:right="380" w:hanging="320"/>
        <w:spacing w:after="0" w:line="248" w:lineRule="auto"/>
        <w:tabs>
          <w:tab w:leader="none" w:pos="12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40" w:right="140" w:hanging="316"/>
        <w:spacing w:after="0" w:line="248"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1280" w:right="240" w:hanging="320"/>
        <w:spacing w:after="0" w:line="248"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8"/>
          <w:szCs w:val="18"/>
          <w:color w:val="auto"/>
        </w:rPr>
      </w:pPr>
    </w:p>
    <w:p>
      <w:pPr>
        <w:ind w:left="1280" w:right="180" w:hanging="320"/>
        <w:spacing w:after="0" w:line="251"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7"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February 25, 2022</w:t>
            </w:r>
          </w:p>
        </w:tc>
        <w:tc>
          <w:tcPr>
            <w:tcW w:w="2000" w:type="dxa"/>
            <w:vAlign w:val="bottom"/>
          </w:tcPr>
          <w:p>
            <w:pPr>
              <w:ind w:left="1740"/>
              <w:spacing w:after="0"/>
              <w:rPr>
                <w:sz w:val="20"/>
                <w:szCs w:val="20"/>
                <w:color w:val="auto"/>
              </w:rPr>
            </w:pPr>
            <w:r>
              <w:rPr>
                <w:rFonts w:ascii="Arial" w:cs="Arial" w:eastAsia="Arial" w:hAnsi="Arial"/>
                <w:sz w:val="18"/>
                <w:szCs w:val="18"/>
                <w:color w:val="auto"/>
                <w:w w:val="92"/>
              </w:rPr>
              <w:t>By:</w:t>
            </w:r>
          </w:p>
        </w:tc>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Amit Yoran</w:t>
            </w:r>
          </w:p>
        </w:tc>
      </w:tr>
      <w:tr>
        <w:trPr>
          <w:trHeight w:val="218"/>
        </w:trPr>
        <w:tc>
          <w:tcPr>
            <w:tcW w:w="6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Amit Yoran</w:t>
            </w:r>
          </w:p>
        </w:tc>
      </w:tr>
      <w:tr>
        <w:trPr>
          <w:trHeight w:val="221"/>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340"/>
          </w:cols>
          <w:pgMar w:left="320" w:top="118" w:right="239" w:bottom="1440" w:gutter="0" w:footer="0" w:header="0"/>
        </w:sectPr>
      </w:pPr>
    </w:p>
    <w:bookmarkStart w:id="108" w:name="page109"/>
    <w:bookmarkEnd w:id="108"/>
    <w:p>
      <w:pPr>
        <w:jc w:val="right"/>
        <w:ind w:right="10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line="261"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11"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120" w:hanging="316"/>
        <w:spacing w:after="0" w:line="248"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40" w:right="160" w:hanging="316"/>
        <w:spacing w:after="0" w:line="280" w:lineRule="auto"/>
        <w:tabs>
          <w:tab w:leader="none" w:pos="628"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7"/>
          <w:szCs w:val="17"/>
          <w:color w:val="auto"/>
        </w:rPr>
      </w:pPr>
    </w:p>
    <w:p>
      <w:pPr>
        <w:ind w:left="640" w:right="240" w:hanging="316"/>
        <w:spacing w:after="0" w:line="25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97" w:lineRule="exact"/>
        <w:rPr>
          <w:rFonts w:ascii="Arial" w:cs="Arial" w:eastAsia="Arial" w:hAnsi="Arial"/>
          <w:sz w:val="18"/>
          <w:szCs w:val="18"/>
          <w:color w:val="auto"/>
        </w:rPr>
      </w:pPr>
    </w:p>
    <w:p>
      <w:pPr>
        <w:ind w:left="1280" w:right="320" w:hanging="320"/>
        <w:spacing w:after="0" w:line="248"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right="260" w:hanging="320"/>
        <w:spacing w:after="0" w:line="248"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280" w:right="380" w:hanging="320"/>
        <w:spacing w:after="0" w:line="248" w:lineRule="auto"/>
        <w:tabs>
          <w:tab w:leader="none" w:pos="12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40" w:right="140" w:hanging="316"/>
        <w:spacing w:after="0" w:line="248"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1280" w:right="240" w:hanging="320"/>
        <w:spacing w:after="0" w:line="248"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8"/>
          <w:szCs w:val="18"/>
          <w:color w:val="auto"/>
        </w:rPr>
      </w:pPr>
    </w:p>
    <w:p>
      <w:pPr>
        <w:ind w:left="1280" w:right="180" w:hanging="320"/>
        <w:spacing w:after="0" w:line="251"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February 25, 2022</w:t>
            </w:r>
          </w:p>
        </w:tc>
        <w:tc>
          <w:tcPr>
            <w:tcW w:w="2000" w:type="dxa"/>
            <w:vAlign w:val="bottom"/>
          </w:tcPr>
          <w:p>
            <w:pPr>
              <w:ind w:left="1740"/>
              <w:spacing w:after="0"/>
              <w:rPr>
                <w:sz w:val="20"/>
                <w:szCs w:val="20"/>
                <w:color w:val="auto"/>
              </w:rPr>
            </w:pPr>
            <w:r>
              <w:rPr>
                <w:rFonts w:ascii="Arial" w:cs="Arial" w:eastAsia="Arial" w:hAnsi="Arial"/>
                <w:sz w:val="18"/>
                <w:szCs w:val="18"/>
                <w:color w:val="auto"/>
                <w:w w:val="92"/>
              </w:rPr>
              <w:t>By:</w:t>
            </w:r>
          </w:p>
        </w:tc>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Stephen A. Vintz</w:t>
            </w:r>
          </w:p>
        </w:tc>
      </w:tr>
      <w:tr>
        <w:trPr>
          <w:trHeight w:val="218"/>
        </w:trPr>
        <w:tc>
          <w:tcPr>
            <w:tcW w:w="6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Stephen A. Vintz</w:t>
            </w:r>
          </w:p>
        </w:tc>
      </w:tr>
      <w:tr>
        <w:trPr>
          <w:trHeight w:val="221"/>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178"/>
        </w:trPr>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340"/>
              <w:spacing w:after="0" w:line="178" w:lineRule="exact"/>
              <w:rPr>
                <w:sz w:val="20"/>
                <w:szCs w:val="20"/>
                <w:color w:val="auto"/>
              </w:rPr>
            </w:pPr>
            <w:r>
              <w:rPr>
                <w:rFonts w:ascii="Arial" w:cs="Arial" w:eastAsia="Arial" w:hAnsi="Arial"/>
                <w:sz w:val="18"/>
                <w:szCs w:val="18"/>
                <w:i w:val="1"/>
                <w:iCs w:val="1"/>
                <w:color w:val="auto"/>
              </w:rPr>
              <w:t>(Principal Financial Officer and Principal Accounting</w:t>
            </w:r>
          </w:p>
        </w:tc>
      </w:tr>
      <w:tr>
        <w:trPr>
          <w:trHeight w:val="230"/>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bl>
    <w:p>
      <w:pPr>
        <w:sectPr>
          <w:pgSz w:w="11900" w:h="16838" w:orient="portrait"/>
          <w:cols w:equalWidth="0" w:num="1">
            <w:col w:w="11340"/>
          </w:cols>
          <w:pgMar w:left="320" w:top="118" w:right="239" w:bottom="1440" w:gutter="0" w:footer="0" w:header="0"/>
        </w:sectPr>
      </w:pPr>
    </w:p>
    <w:bookmarkStart w:id="109" w:name="page110"/>
    <w:bookmarkEnd w:id="109"/>
    <w:p>
      <w:pPr>
        <w:ind w:left="102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Annual Report on Form 10-K of Tenable Holdings, Inc. for the fiscal year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February 25, 2022</w:t>
            </w:r>
          </w:p>
        </w:tc>
        <w:tc>
          <w:tcPr>
            <w:tcW w:w="2000" w:type="dxa"/>
            <w:vAlign w:val="bottom"/>
          </w:tcPr>
          <w:p>
            <w:pPr>
              <w:ind w:left="1740"/>
              <w:spacing w:after="0"/>
              <w:rPr>
                <w:sz w:val="20"/>
                <w:szCs w:val="20"/>
                <w:color w:val="auto"/>
              </w:rPr>
            </w:pPr>
            <w:r>
              <w:rPr>
                <w:rFonts w:ascii="Arial" w:cs="Arial" w:eastAsia="Arial" w:hAnsi="Arial"/>
                <w:sz w:val="18"/>
                <w:szCs w:val="18"/>
                <w:color w:val="auto"/>
                <w:w w:val="92"/>
              </w:rPr>
              <w:t>By:</w:t>
            </w:r>
          </w:p>
        </w:tc>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Amit Yoran</w:t>
            </w:r>
          </w:p>
        </w:tc>
      </w:tr>
      <w:tr>
        <w:trPr>
          <w:trHeight w:val="218"/>
        </w:trPr>
        <w:tc>
          <w:tcPr>
            <w:tcW w:w="6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Amit Yoran</w:t>
            </w:r>
          </w:p>
        </w:tc>
      </w:tr>
      <w:tr>
        <w:trPr>
          <w:trHeight w:val="221"/>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i w:val="1"/>
                <w:iCs w:val="1"/>
                <w:color w:val="auto"/>
              </w:rPr>
              <w:t>(Principal Executive Officer)</w:t>
            </w:r>
          </w:p>
        </w:tc>
      </w:tr>
      <w:tr>
        <w:trPr>
          <w:trHeight w:val="491"/>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80"/>
              <w:spacing w:after="0"/>
              <w:rPr>
                <w:sz w:val="20"/>
                <w:szCs w:val="20"/>
                <w:color w:val="auto"/>
              </w:rPr>
            </w:pPr>
            <w:r>
              <w:rPr>
                <w:rFonts w:ascii="Arial" w:cs="Arial" w:eastAsia="Arial" w:hAnsi="Arial"/>
                <w:sz w:val="18"/>
                <w:szCs w:val="18"/>
                <w:color w:val="auto"/>
              </w:rPr>
              <w:t>February 25, 2022</w:t>
            </w:r>
          </w:p>
        </w:tc>
        <w:tc>
          <w:tcPr>
            <w:tcW w:w="2000" w:type="dxa"/>
            <w:vAlign w:val="bottom"/>
          </w:tcPr>
          <w:p>
            <w:pPr>
              <w:ind w:left="1740"/>
              <w:spacing w:after="0"/>
              <w:rPr>
                <w:sz w:val="20"/>
                <w:szCs w:val="20"/>
                <w:color w:val="auto"/>
              </w:rPr>
            </w:pPr>
            <w:r>
              <w:rPr>
                <w:rFonts w:ascii="Arial" w:cs="Arial" w:eastAsia="Arial" w:hAnsi="Arial"/>
                <w:sz w:val="18"/>
                <w:szCs w:val="18"/>
                <w:color w:val="auto"/>
                <w:w w:val="92"/>
              </w:rPr>
              <w:t>By:</w:t>
            </w:r>
          </w:p>
        </w:tc>
        <w:tc>
          <w:tcPr>
            <w:tcW w:w="4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Stephen A. Vintz</w:t>
            </w:r>
          </w:p>
        </w:tc>
      </w:tr>
      <w:tr>
        <w:trPr>
          <w:trHeight w:val="218"/>
        </w:trPr>
        <w:tc>
          <w:tcPr>
            <w:tcW w:w="6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Stephen A. Vintz</w:t>
            </w:r>
          </w:p>
        </w:tc>
      </w:tr>
      <w:tr>
        <w:trPr>
          <w:trHeight w:val="221"/>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Chief Financial Officer</w:t>
            </w:r>
          </w:p>
        </w:tc>
      </w:tr>
      <w:tr>
        <w:trPr>
          <w:trHeight w:val="178"/>
        </w:trPr>
        <w:tc>
          <w:tcPr>
            <w:tcW w:w="6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720" w:type="dxa"/>
            <w:vAlign w:val="bottom"/>
          </w:tcPr>
          <w:p>
            <w:pPr>
              <w:ind w:left="340"/>
              <w:spacing w:after="0" w:line="178" w:lineRule="exact"/>
              <w:rPr>
                <w:sz w:val="20"/>
                <w:szCs w:val="20"/>
                <w:color w:val="auto"/>
              </w:rPr>
            </w:pPr>
            <w:r>
              <w:rPr>
                <w:rFonts w:ascii="Arial" w:cs="Arial" w:eastAsia="Arial" w:hAnsi="Arial"/>
                <w:sz w:val="18"/>
                <w:szCs w:val="18"/>
                <w:i w:val="1"/>
                <w:iCs w:val="1"/>
                <w:color w:val="auto"/>
              </w:rPr>
              <w:t>(Principal Financial Officer and Principal Accounting</w:t>
            </w:r>
          </w:p>
        </w:tc>
      </w:tr>
      <w:tr>
        <w:trPr>
          <w:trHeight w:val="230"/>
        </w:trPr>
        <w:tc>
          <w:tcPr>
            <w:tcW w:w="6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bl>
    <w:p>
      <w:pPr>
        <w:spacing w:after="0" w:line="1" w:lineRule="exact"/>
        <w:rPr>
          <w:sz w:val="20"/>
          <w:szCs w:val="20"/>
          <w:color w:val="auto"/>
        </w:rPr>
      </w:pPr>
    </w:p>
    <w:sectPr>
      <w:pgSz w:w="11900" w:h="16838" w:orient="portrait"/>
      <w:cols w:equalWidth="0" w:num="1">
        <w:col w:w="11340"/>
      </w:cols>
      <w:pgMar w:left="32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lvl w:ilvl="1">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2"/>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04"/>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09" Type="http://schemas.openxmlformats.org/officeDocument/2006/relationships/hyperlink" Target="http://www.sec.gov/Archives/edgar/data/1660280/000166028019000038/ex101.htm" TargetMode="External"/><Relationship Id="rId110" Type="http://schemas.openxmlformats.org/officeDocument/2006/relationships/hyperlink" Target="http://www.sec.gov/Archives/edgar/data/1660280/000119312518231446/d562353dex31.htm" TargetMode="External"/><Relationship Id="rId111" Type="http://schemas.openxmlformats.org/officeDocument/2006/relationships/hyperlink" Target="http://www.sec.gov/Archives/edgar/data/1660280/000119312518209705/d548092dex34.htm" TargetMode="External"/><Relationship Id="rId112" Type="http://schemas.openxmlformats.org/officeDocument/2006/relationships/hyperlink" Target="http://www.sec.gov/Archives/edgar/data/1660280/000119312518218215/d548092dex41.htm" TargetMode="External"/><Relationship Id="rId113" Type="http://schemas.openxmlformats.org/officeDocument/2006/relationships/hyperlink" Target="http://www.sec.gov/Archives/edgar/data/0001660280/000119312518209705/d548092dex42.htm" TargetMode="External"/><Relationship Id="rId114" Type="http://schemas.openxmlformats.org/officeDocument/2006/relationships/hyperlink" Target="http://www.sec.gov/Archives/edgar/data/1660280/000166028020000012/ex41descriptionoftenab.htm" TargetMode="External"/><Relationship Id="rId115" Type="http://schemas.openxmlformats.org/officeDocument/2006/relationships/hyperlink" Target="http://www.sec.gov/Archives/edgar/data/1660280/000119312518226924/d494510dex101.htm" TargetMode="External"/><Relationship Id="rId118" Type="http://schemas.openxmlformats.org/officeDocument/2006/relationships/hyperlink" Target="http://www.sec.gov/Archives/edgar/data/1660280/000119312518226924/d494510dex102.htm" TargetMode="External"/><Relationship Id="rId119" Type="http://schemas.openxmlformats.org/officeDocument/2006/relationships/hyperlink" Target="http://www.sec.gov/Archives/edgar/data/1660280/000119312518226924/d494510dex103.htm" TargetMode="External"/><Relationship Id="rId120" Type="http://schemas.openxmlformats.org/officeDocument/2006/relationships/hyperlink" Target="http://www.sec.gov/Archives/edgar/data/1660280/000119312518226924/d494510dex104.htm" TargetMode="External"/><Relationship Id="rId121" Type="http://schemas.openxmlformats.org/officeDocument/2006/relationships/hyperlink" Target="http://www.sec.gov/Archives/edgar/data/1660280/000119312518226924/d494510dex105.htm" TargetMode="External"/><Relationship Id="rId122" Type="http://schemas.openxmlformats.org/officeDocument/2006/relationships/hyperlink" Target="http://www.sec.gov/Archives/edgar/data/0001660280/000119312518209705/d548092dex106.htm" TargetMode="External"/><Relationship Id="rId123" Type="http://schemas.openxmlformats.org/officeDocument/2006/relationships/hyperlink" Target="http://www.sec.gov/Archives/edgar/data/1660280/000166028019000005/yoranamendedandrestatedemp.htm" TargetMode="External"/><Relationship Id="rId124" Type="http://schemas.openxmlformats.org/officeDocument/2006/relationships/hyperlink" Target="http://www.sec.gov/Archives/edgar/data/1660280/000166028019000005/vintz-amendedandrestatedem.htm" TargetMode="External"/><Relationship Id="rId125" Type="http://schemas.openxmlformats.org/officeDocument/2006/relationships/hyperlink" Target="http://www.sec.gov/Archives/edgar/data/1660280/000166028019000005/riddick-amendedandrestated.htm" TargetMode="External"/><Relationship Id="rId126" Type="http://schemas.openxmlformats.org/officeDocument/2006/relationships/hyperlink" Target="http://www.sec.gov/Archives/edgar/data/0001660280/000119312518209705/d548092dex1011.htm" TargetMode="External"/><Relationship Id="rId127" Type="http://schemas.openxmlformats.org/officeDocument/2006/relationships/hyperlink" Target="http://www.sec.gov/Archives/edgar/data/0001660280/000119312518209705/d548092dex1012.htm" TargetMode="External"/><Relationship Id="rId128" Type="http://schemas.openxmlformats.org/officeDocument/2006/relationships/hyperlink" Target="http://www.sec.gov/Archives/edgar/data/1660280/000166028021000127/tenable-creditagreement.htm" TargetMode="External"/><Relationship Id="rId129" Type="http://schemas.openxmlformats.org/officeDocument/2006/relationships/hyperlink" Target="https://www.sec.gov/Archives/edgar/data/1660280/00016602802100015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2022-02-25T16:13:24Z</dcterms:created>
  <dcterms:modified xsi:type="dcterms:W3CDTF">2022-02-25T16:13:24Z</dcterms:modified>
</cp:coreProperties>
</file>