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76" w:lineRule="exact"/>
        <w:rPr>
          <w:sz w:val="24"/>
          <w:szCs w:val="24"/>
          <w:color w:val="auto"/>
        </w:rPr>
      </w:pPr>
    </w:p>
    <w:p>
      <w:pPr>
        <w:ind w:left="580" w:hanging="545"/>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Arial" w:cs="Arial" w:eastAsia="Arial" w:hAnsi="Arial"/>
          <w:sz w:val="18"/>
          <w:szCs w:val="18"/>
          <w:color w:val="auto"/>
        </w:rPr>
      </w:pPr>
    </w:p>
    <w:p>
      <w:pPr>
        <w:ind w:left="3980"/>
        <w:spacing w:after="0"/>
        <w:rPr>
          <w:rFonts w:ascii="Arial" w:cs="Arial" w:eastAsia="Arial" w:hAnsi="Arial"/>
          <w:sz w:val="18"/>
          <w:szCs w:val="18"/>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7" w:right="319" w:bottom="1440" w:gutter="0" w:footer="0" w:header="0"/>
        </w:sectPr>
      </w:pPr>
    </w:p>
    <w:p>
      <w:pPr>
        <w:spacing w:after="0" w:line="154" w:lineRule="exact"/>
        <w:rPr>
          <w:sz w:val="24"/>
          <w:szCs w:val="24"/>
          <w:color w:val="auto"/>
        </w:rPr>
      </w:pPr>
    </w:p>
    <w:p>
      <w:pPr>
        <w:ind w:left="20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122" w:lineRule="exact"/>
        <w:rPr>
          <w:sz w:val="24"/>
          <w:szCs w:val="24"/>
          <w:color w:val="auto"/>
        </w:rPr>
      </w:pPr>
    </w:p>
    <w:p>
      <w:pPr>
        <w:sectPr>
          <w:pgSz w:w="11900" w:h="16838" w:orient="portrait"/>
          <w:cols w:equalWidth="0" w:num="2">
            <w:col w:w="7880" w:space="720"/>
            <w:col w:w="2740"/>
          </w:cols>
          <w:pgMar w:left="240" w:top="247"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7060" w:space="720"/>
            <w:col w:w="3560"/>
          </w:cols>
          <w:pgMar w:left="240" w:top="247" w:right="319" w:bottom="1440" w:gutter="0" w:footer="0" w:header="0"/>
          <w:type w:val="continuous"/>
        </w:sectPr>
      </w:pP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5"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jc w:val="center"/>
              <w:ind w:left="1019"/>
              <w:spacing w:after="0"/>
              <w:rPr>
                <w:sz w:val="20"/>
                <w:szCs w:val="20"/>
                <w:color w:val="auto"/>
              </w:rPr>
            </w:pPr>
            <w:r>
              <w:rPr>
                <w:rFonts w:ascii="Arial" w:cs="Arial" w:eastAsia="Arial" w:hAnsi="Arial"/>
                <w:sz w:val="16"/>
                <w:szCs w:val="16"/>
                <w:color w:val="auto"/>
                <w:w w:val="89"/>
              </w:rPr>
              <w:t>o</w:t>
            </w:r>
          </w:p>
        </w:tc>
        <w:tc>
          <w:tcPr>
            <w:tcW w:w="488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r>
      <w:tr>
        <w:trPr>
          <w:trHeight w:val="275"/>
        </w:trPr>
        <w:tc>
          <w:tcPr>
            <w:tcW w:w="34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jc w:val="center"/>
              <w:ind w:left="1039"/>
              <w:spacing w:after="0" w:line="161" w:lineRule="exact"/>
              <w:rPr>
                <w:sz w:val="20"/>
                <w:szCs w:val="20"/>
                <w:color w:val="auto"/>
              </w:rPr>
            </w:pPr>
            <w:r>
              <w:rPr>
                <w:rFonts w:ascii="MS PGothic" w:cs="MS PGothic" w:eastAsia="MS PGothic" w:hAnsi="MS PGothic"/>
                <w:sz w:val="16"/>
                <w:szCs w:val="16"/>
                <w:color w:val="auto"/>
                <w:w w:val="87"/>
              </w:rPr>
              <w:t>☒</w:t>
            </w:r>
          </w:p>
        </w:tc>
        <w:tc>
          <w:tcPr>
            <w:tcW w:w="4880" w:type="dxa"/>
            <w:vAlign w:val="bottom"/>
          </w:tcPr>
          <w:p>
            <w:pPr>
              <w:ind w:left="1120"/>
              <w:spacing w:after="0"/>
              <w:rPr>
                <w:sz w:val="20"/>
                <w:szCs w:val="20"/>
                <w:color w:val="auto"/>
              </w:rPr>
            </w:pPr>
            <w:r>
              <w:rPr>
                <w:rFonts w:ascii="Arial" w:cs="Arial" w:eastAsia="Arial" w:hAnsi="Arial"/>
                <w:sz w:val="16"/>
                <w:szCs w:val="16"/>
                <w:color w:val="auto"/>
              </w:rPr>
              <w:t>(Do not check if a smaller reporting company)</w:t>
            </w:r>
          </w:p>
        </w:tc>
        <w:tc>
          <w:tcPr>
            <w:tcW w:w="580" w:type="dxa"/>
            <w:vAlign w:val="bottom"/>
          </w:tcPr>
          <w:p>
            <w:pPr>
              <w:spacing w:after="0"/>
              <w:rPr>
                <w:sz w:val="23"/>
                <w:szCs w:val="23"/>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40" w:type="dxa"/>
            <w:vAlign w:val="bottom"/>
          </w:tcPr>
          <w:p>
            <w:pPr>
              <w:jc w:val="center"/>
              <w:ind w:left="1039"/>
              <w:spacing w:after="0" w:line="161" w:lineRule="exact"/>
              <w:rPr>
                <w:sz w:val="20"/>
                <w:szCs w:val="20"/>
                <w:color w:val="auto"/>
              </w:rPr>
            </w:pPr>
            <w:r>
              <w:rPr>
                <w:rFonts w:ascii="MS PGothic" w:cs="MS PGothic" w:eastAsia="MS PGothic" w:hAnsi="MS PGothic"/>
                <w:sz w:val="16"/>
                <w:szCs w:val="16"/>
                <w:color w:val="auto"/>
                <w:w w:val="87"/>
              </w:rPr>
              <w:t>☒</w:t>
            </w:r>
          </w:p>
        </w:tc>
        <w:tc>
          <w:tcPr>
            <w:tcW w:w="488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r>
    </w:tbl>
    <w:p>
      <w:pPr>
        <w:spacing w:after="0" w:line="57" w:lineRule="exact"/>
        <w:rPr>
          <w:sz w:val="24"/>
          <w:szCs w:val="24"/>
          <w:color w:val="auto"/>
        </w:rPr>
      </w:pPr>
    </w:p>
    <w:p>
      <w:pPr>
        <w:jc w:val="both"/>
        <w:ind w:left="40" w:right="2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1" w:lineRule="exact"/>
        <w:rPr>
          <w:sz w:val="24"/>
          <w:szCs w:val="24"/>
          <w:color w:val="auto"/>
        </w:rPr>
      </w:pPr>
    </w:p>
    <w:p>
      <w:pPr>
        <w:spacing w:after="0" w:line="184" w:lineRule="exact"/>
        <w:tabs>
          <w:tab w:leader="none" w:pos="8260" w:val="left"/>
          <w:tab w:leader="none" w:pos="8700" w:val="left"/>
          <w:tab w:leader="none" w:pos="9100" w:val="left"/>
          <w:tab w:leader="none" w:pos="9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31, 2018 was 93,033,759.</w:t>
      </w:r>
    </w:p>
    <w:p>
      <w:pPr>
        <w:sectPr>
          <w:pgSz w:w="11900" w:h="16838" w:orient="portrait"/>
          <w:cols w:equalWidth="0" w:num="1">
            <w:col w:w="11340"/>
          </w:cols>
          <w:pgMar w:left="240" w:top="247" w:right="31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00" w:type="dxa"/>
            <w:vAlign w:val="bottom"/>
            <w:gridSpan w:val="15"/>
          </w:tcPr>
          <w:p>
            <w:pPr>
              <w:jc w:val="center"/>
              <w:ind w:right="34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10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0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12"/>
          </w:tcPr>
          <w:p>
            <w:pPr>
              <w:spacing w:after="0"/>
              <w:rPr>
                <w:sz w:val="21"/>
                <w:szCs w:val="21"/>
                <w:color w:val="auto"/>
              </w:rPr>
            </w:pPr>
          </w:p>
        </w:tc>
        <w:tc>
          <w:tcPr>
            <w:tcW w:w="34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40" w:type="dxa"/>
            <w:vAlign w:val="bottom"/>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Consolidated Balance Sheets</w:t>
              </w:r>
            </w:hyperlink>
          </w:p>
        </w:tc>
        <w:tc>
          <w:tcPr>
            <w:tcW w:w="7200" w:type="dxa"/>
            <w:vAlign w:val="bottom"/>
            <w:gridSpan w:val="18"/>
          </w:tcPr>
          <w:p>
            <w:pPr>
              <w:spacing w:after="0"/>
              <w:rPr>
                <w:sz w:val="21"/>
                <w:szCs w:val="21"/>
                <w:color w:val="auto"/>
              </w:rPr>
            </w:pPr>
          </w:p>
        </w:tc>
        <w:tc>
          <w:tcPr>
            <w:tcW w:w="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4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and Comprehensive Loss</w:t>
              </w:r>
            </w:hyperlink>
          </w:p>
        </w:tc>
        <w:tc>
          <w:tcPr>
            <w:tcW w:w="2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580" w:type="dxa"/>
            <w:vAlign w:val="bottom"/>
            <w:gridSpan w:val="2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Redeemable Convertible Preferred Stock and Stockholders' Deficit</w:t>
              </w:r>
            </w:hyperlink>
          </w:p>
        </w:tc>
        <w:tc>
          <w:tcPr>
            <w:tcW w:w="1960" w:type="dxa"/>
            <w:vAlign w:val="bottom"/>
          </w:tcPr>
          <w:p>
            <w:pPr>
              <w:spacing w:after="0"/>
              <w:rPr>
                <w:sz w:val="21"/>
                <w:szCs w:val="21"/>
                <w:color w:val="auto"/>
              </w:rPr>
            </w:pPr>
          </w:p>
        </w:tc>
        <w:tc>
          <w:tcPr>
            <w:tcW w:w="20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gridSpan w:val="16"/>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4360" w:type="dxa"/>
            <w:vAlign w:val="bottom"/>
            <w:gridSpan w:val="12"/>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20" w:type="dxa"/>
            <w:vAlign w:val="bottom"/>
            <w:gridSpan w:val="1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6020" w:type="dxa"/>
            <w:vAlign w:val="bottom"/>
            <w:gridSpan w:val="11"/>
          </w:tcPr>
          <w:p>
            <w:pPr>
              <w:spacing w:after="0"/>
              <w:rPr>
                <w:sz w:val="21"/>
                <w:szCs w:val="21"/>
                <w:color w:val="auto"/>
              </w:rPr>
            </w:pPr>
          </w:p>
        </w:tc>
        <w:tc>
          <w:tcPr>
            <w:tcW w:w="20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1.</w:t>
              </w:r>
            </w:hyperlink>
          </w:p>
        </w:tc>
        <w:tc>
          <w:tcPr>
            <w:tcW w:w="9120" w:type="dxa"/>
            <w:vAlign w:val="bottom"/>
            <w:gridSpan w:val="27"/>
          </w:tcPr>
          <w:p>
            <w:pPr>
              <w:ind w:left="40"/>
              <w:spacing w:after="0"/>
              <w:rPr>
                <w:rFonts w:ascii="Arial" w:cs="Arial" w:eastAsia="Arial" w:hAnsi="Arial"/>
                <w:sz w:val="18"/>
                <w:szCs w:val="18"/>
                <w:color w:val="0000EE"/>
              </w:rPr>
            </w:pPr>
            <w:hyperlink w:anchor="page7">
              <w:r>
                <w:rPr>
                  <w:rFonts w:ascii="Arial" w:cs="Arial" w:eastAsia="Arial" w:hAnsi="Arial"/>
                  <w:sz w:val="18"/>
                  <w:szCs w:val="18"/>
                  <w:color w:val="0000EE"/>
                </w:rPr>
                <w:t>Business and Summary of Significant Accounting Policies</w:t>
              </w:r>
            </w:hyperlink>
          </w:p>
        </w:tc>
        <w:tc>
          <w:tcPr>
            <w:tcW w:w="20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9120" w:type="dxa"/>
            <w:vAlign w:val="bottom"/>
            <w:gridSpan w:val="27"/>
          </w:tcPr>
          <w:p>
            <w:pPr>
              <w:ind w:left="40"/>
              <w:spacing w:after="0"/>
              <w:rPr>
                <w:rFonts w:ascii="Arial" w:cs="Arial" w:eastAsia="Arial" w:hAnsi="Arial"/>
                <w:sz w:val="18"/>
                <w:szCs w:val="18"/>
                <w:color w:val="0000EE"/>
              </w:rPr>
            </w:pPr>
            <w:hyperlink w:anchor="page11">
              <w:r>
                <w:rPr>
                  <w:rFonts w:ascii="Arial" w:cs="Arial" w:eastAsia="Arial" w:hAnsi="Arial"/>
                  <w:sz w:val="18"/>
                  <w:szCs w:val="18"/>
                  <w:color w:val="0000EE"/>
                </w:rPr>
                <w:t>Property and Equipment, Net</w:t>
              </w:r>
            </w:hyperlink>
          </w:p>
        </w:tc>
        <w:tc>
          <w:tcPr>
            <w:tcW w:w="4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9120" w:type="dxa"/>
            <w:vAlign w:val="bottom"/>
            <w:gridSpan w:val="27"/>
          </w:tcPr>
          <w:p>
            <w:pPr>
              <w:ind w:left="40"/>
              <w:spacing w:after="0"/>
              <w:rPr>
                <w:rFonts w:ascii="Arial" w:cs="Arial" w:eastAsia="Arial" w:hAnsi="Arial"/>
                <w:sz w:val="18"/>
                <w:szCs w:val="18"/>
                <w:color w:val="0000EE"/>
              </w:rPr>
            </w:pPr>
            <w:hyperlink w:anchor="page11">
              <w:r>
                <w:rPr>
                  <w:rFonts w:ascii="Arial" w:cs="Arial" w:eastAsia="Arial" w:hAnsi="Arial"/>
                  <w:sz w:val="18"/>
                  <w:szCs w:val="18"/>
                  <w:color w:val="0000EE"/>
                </w:rPr>
                <w:t>Debt</w:t>
              </w:r>
            </w:hyperlink>
          </w:p>
        </w:tc>
        <w:tc>
          <w:tcPr>
            <w:tcW w:w="4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4.</w:t>
              </w:r>
            </w:hyperlink>
          </w:p>
        </w:tc>
        <w:tc>
          <w:tcPr>
            <w:tcW w:w="9120" w:type="dxa"/>
            <w:vAlign w:val="bottom"/>
            <w:gridSpan w:val="27"/>
          </w:tcPr>
          <w:p>
            <w:pPr>
              <w:ind w:left="40"/>
              <w:spacing w:after="0"/>
              <w:rPr>
                <w:rFonts w:ascii="Arial" w:cs="Arial" w:eastAsia="Arial" w:hAnsi="Arial"/>
                <w:sz w:val="18"/>
                <w:szCs w:val="18"/>
                <w:color w:val="0000EE"/>
              </w:rPr>
            </w:pPr>
            <w:hyperlink w:anchor="page11">
              <w:r>
                <w:rPr>
                  <w:rFonts w:ascii="Arial" w:cs="Arial" w:eastAsia="Arial" w:hAnsi="Arial"/>
                  <w:sz w:val="18"/>
                  <w:szCs w:val="18"/>
                  <w:color w:val="0000EE"/>
                </w:rPr>
                <w:t>Commitments and Contingencies</w:t>
              </w:r>
            </w:hyperlink>
          </w:p>
        </w:tc>
        <w:tc>
          <w:tcPr>
            <w:tcW w:w="4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5.</w:t>
              </w:r>
            </w:hyperlink>
          </w:p>
        </w:tc>
        <w:tc>
          <w:tcPr>
            <w:tcW w:w="9120" w:type="dxa"/>
            <w:vAlign w:val="bottom"/>
            <w:gridSpan w:val="27"/>
          </w:tcPr>
          <w:p>
            <w:pPr>
              <w:ind w:left="40"/>
              <w:spacing w:after="0"/>
              <w:rPr>
                <w:rFonts w:ascii="Arial" w:cs="Arial" w:eastAsia="Arial" w:hAnsi="Arial"/>
                <w:sz w:val="18"/>
                <w:szCs w:val="18"/>
                <w:color w:val="0000EE"/>
              </w:rPr>
            </w:pPr>
            <w:hyperlink w:anchor="page12">
              <w:r>
                <w:rPr>
                  <w:rFonts w:ascii="Arial" w:cs="Arial" w:eastAsia="Arial" w:hAnsi="Arial"/>
                  <w:sz w:val="18"/>
                  <w:szCs w:val="18"/>
                  <w:color w:val="0000EE"/>
                </w:rPr>
                <w:t>Redeemable Convertible Preferred Stock and Common Stock</w:t>
              </w:r>
            </w:hyperlink>
          </w:p>
        </w:tc>
        <w:tc>
          <w:tcPr>
            <w:tcW w:w="4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6.</w:t>
              </w:r>
            </w:hyperlink>
          </w:p>
        </w:tc>
        <w:tc>
          <w:tcPr>
            <w:tcW w:w="9120" w:type="dxa"/>
            <w:vAlign w:val="bottom"/>
            <w:gridSpan w:val="27"/>
          </w:tcPr>
          <w:p>
            <w:pPr>
              <w:ind w:left="40"/>
              <w:spacing w:after="0"/>
              <w:rPr>
                <w:rFonts w:ascii="Arial" w:cs="Arial" w:eastAsia="Arial" w:hAnsi="Arial"/>
                <w:sz w:val="18"/>
                <w:szCs w:val="18"/>
                <w:color w:val="0000EE"/>
              </w:rPr>
            </w:pPr>
            <w:hyperlink w:anchor="page13">
              <w:r>
                <w:rPr>
                  <w:rFonts w:ascii="Arial" w:cs="Arial" w:eastAsia="Arial" w:hAnsi="Arial"/>
                  <w:sz w:val="18"/>
                  <w:szCs w:val="18"/>
                  <w:color w:val="0000EE"/>
                </w:rPr>
                <w:t>Stock-Based Compensation</w:t>
              </w:r>
            </w:hyperlink>
          </w:p>
        </w:tc>
        <w:tc>
          <w:tcPr>
            <w:tcW w:w="4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7.</w:t>
              </w:r>
            </w:hyperlink>
          </w:p>
        </w:tc>
        <w:tc>
          <w:tcPr>
            <w:tcW w:w="9120" w:type="dxa"/>
            <w:vAlign w:val="bottom"/>
            <w:gridSpan w:val="27"/>
          </w:tcPr>
          <w:p>
            <w:pPr>
              <w:ind w:left="40"/>
              <w:spacing w:after="0"/>
              <w:rPr>
                <w:rFonts w:ascii="Arial" w:cs="Arial" w:eastAsia="Arial" w:hAnsi="Arial"/>
                <w:sz w:val="18"/>
                <w:szCs w:val="18"/>
                <w:color w:val="0000EE"/>
              </w:rPr>
            </w:pPr>
            <w:hyperlink w:anchor="page14">
              <w:r>
                <w:rPr>
                  <w:rFonts w:ascii="Arial" w:cs="Arial" w:eastAsia="Arial" w:hAnsi="Arial"/>
                  <w:sz w:val="18"/>
                  <w:szCs w:val="18"/>
                  <w:color w:val="0000EE"/>
                </w:rPr>
                <w:t>Net Loss Per Share Attributable to Common Stockholders</w:t>
              </w:r>
            </w:hyperlink>
          </w:p>
        </w:tc>
        <w:tc>
          <w:tcPr>
            <w:tcW w:w="4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8.</w:t>
              </w:r>
            </w:hyperlink>
          </w:p>
        </w:tc>
        <w:tc>
          <w:tcPr>
            <w:tcW w:w="9120" w:type="dxa"/>
            <w:vAlign w:val="bottom"/>
            <w:gridSpan w:val="27"/>
          </w:tcPr>
          <w:p>
            <w:pPr>
              <w:ind w:left="40"/>
              <w:spacing w:after="0"/>
              <w:rPr>
                <w:rFonts w:ascii="Arial" w:cs="Arial" w:eastAsia="Arial" w:hAnsi="Arial"/>
                <w:sz w:val="18"/>
                <w:szCs w:val="18"/>
                <w:color w:val="0000EE"/>
              </w:rPr>
            </w:pPr>
            <w:hyperlink w:anchor="page15">
              <w:r>
                <w:rPr>
                  <w:rFonts w:ascii="Arial" w:cs="Arial" w:eastAsia="Arial" w:hAnsi="Arial"/>
                  <w:sz w:val="18"/>
                  <w:szCs w:val="18"/>
                  <w:color w:val="0000EE"/>
                </w:rPr>
                <w:t>Income Taxes</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ind w:left="26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9.</w:t>
              </w:r>
            </w:hyperlink>
          </w:p>
        </w:tc>
        <w:tc>
          <w:tcPr>
            <w:tcW w:w="9120" w:type="dxa"/>
            <w:vAlign w:val="bottom"/>
            <w:gridSpan w:val="27"/>
          </w:tcPr>
          <w:p>
            <w:pPr>
              <w:ind w:left="40"/>
              <w:spacing w:after="0"/>
              <w:rPr>
                <w:rFonts w:ascii="Arial" w:cs="Arial" w:eastAsia="Arial" w:hAnsi="Arial"/>
                <w:sz w:val="18"/>
                <w:szCs w:val="18"/>
                <w:color w:val="0000EE"/>
              </w:rPr>
            </w:pPr>
            <w:hyperlink w:anchor="page15">
              <w:r>
                <w:rPr>
                  <w:rFonts w:ascii="Arial" w:cs="Arial" w:eastAsia="Arial" w:hAnsi="Arial"/>
                  <w:sz w:val="18"/>
                  <w:szCs w:val="18"/>
                  <w:color w:val="0000EE"/>
                </w:rPr>
                <w:t>Geographic Information</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9"/>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10. Subsequent Events</w:t>
              </w:r>
            </w:hyperlink>
          </w:p>
        </w:tc>
        <w:tc>
          <w:tcPr>
            <w:tcW w:w="220" w:type="dxa"/>
            <w:vAlign w:val="bottom"/>
          </w:tcPr>
          <w:p>
            <w:pPr>
              <w:spacing w:after="0"/>
              <w:rPr>
                <w:sz w:val="21"/>
                <w:szCs w:val="21"/>
                <w:color w:val="auto"/>
              </w:rPr>
            </w:pPr>
          </w:p>
        </w:tc>
        <w:tc>
          <w:tcPr>
            <w:tcW w:w="7200" w:type="dxa"/>
            <w:vAlign w:val="bottom"/>
            <w:gridSpan w:val="18"/>
          </w:tcPr>
          <w:p>
            <w:pPr>
              <w:spacing w:after="0"/>
              <w:rPr>
                <w:sz w:val="21"/>
                <w:szCs w:val="21"/>
                <w:color w:val="auto"/>
              </w:rPr>
            </w:pPr>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61"/>
        </w:trPr>
        <w:tc>
          <w:tcPr>
            <w:tcW w:w="100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9540" w:type="dxa"/>
            <w:vAlign w:val="bottom"/>
            <w:gridSpan w:val="2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54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4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54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37"/>
        </w:trPr>
        <w:tc>
          <w:tcPr>
            <w:tcW w:w="5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80" w:type="dxa"/>
            <w:vAlign w:val="bottom"/>
            <w:gridSpan w:val="1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100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32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760" w:type="dxa"/>
            <w:vAlign w:val="bottom"/>
            <w:tcBorders>
              <w:top w:val="single" w:sz="8" w:color="0000EE"/>
            </w:tcBorders>
            <w:gridSpan w:val="8"/>
          </w:tcPr>
          <w:p>
            <w:pPr>
              <w:spacing w:after="0"/>
              <w:rPr>
                <w:sz w:val="20"/>
                <w:szCs w:val="20"/>
                <w:color w:val="auto"/>
              </w:rPr>
            </w:pPr>
          </w:p>
        </w:tc>
        <w:tc>
          <w:tcPr>
            <w:tcW w:w="3520" w:type="dxa"/>
            <w:vAlign w:val="bottom"/>
            <w:gridSpan w:val="4"/>
          </w:tcPr>
          <w:p>
            <w:pPr>
              <w:spacing w:after="0"/>
              <w:rPr>
                <w:sz w:val="20"/>
                <w:szCs w:val="20"/>
                <w:color w:val="auto"/>
              </w:rPr>
            </w:pPr>
          </w:p>
        </w:tc>
        <w:tc>
          <w:tcPr>
            <w:tcW w:w="4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954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4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60" w:type="dxa"/>
            <w:vAlign w:val="bottom"/>
            <w:gridSpan w:val="14"/>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2.</w:t>
              </w:r>
            </w:hyperlink>
          </w:p>
        </w:tc>
        <w:tc>
          <w:tcPr>
            <w:tcW w:w="340" w:type="dxa"/>
            <w:vAlign w:val="bottom"/>
          </w:tcPr>
          <w:p>
            <w:pPr>
              <w:spacing w:after="0"/>
              <w:rPr>
                <w:sz w:val="20"/>
                <w:szCs w:val="20"/>
                <w:color w:val="auto"/>
              </w:rPr>
            </w:pPr>
          </w:p>
        </w:tc>
        <w:tc>
          <w:tcPr>
            <w:tcW w:w="9540" w:type="dxa"/>
            <w:vAlign w:val="bottom"/>
            <w:gridSpan w:val="2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420" w:type="dxa"/>
            <w:vAlign w:val="bottom"/>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0" w:type="dxa"/>
            <w:vAlign w:val="bottom"/>
            <w:gridSpan w:val="15"/>
            <w:shd w:val="clear" w:color="auto" w:fill="0000EE"/>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9540" w:type="dxa"/>
            <w:vAlign w:val="bottom"/>
            <w:gridSpan w:val="2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80" w:type="dxa"/>
            <w:vAlign w:val="bottom"/>
            <w:gridSpan w:val="2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4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42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70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gridSpan w:val="3"/>
          </w:tcPr>
          <w:p>
            <w:pPr>
              <w:spacing w:after="0"/>
              <w:rPr>
                <w:sz w:val="24"/>
                <w:szCs w:val="24"/>
                <w:color w:val="auto"/>
              </w:rPr>
            </w:pPr>
          </w:p>
        </w:tc>
        <w:tc>
          <w:tcPr>
            <w:tcW w:w="3860" w:type="dxa"/>
            <w:vAlign w:val="bottom"/>
            <w:gridSpan w:val="14"/>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960"/>
          </w:cols>
          <w:pgMar w:left="380" w:top="360" w:right="5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0"/>
        </w:trPr>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90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1"/>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0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TENABLE HOLDINGS, INC.</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9"/>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0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3"/>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71"/>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60"/>
        </w:trPr>
        <w:tc>
          <w:tcPr>
            <w:tcW w:w="856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0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27,210</w:t>
            </w:r>
          </w:p>
        </w:tc>
      </w:tr>
      <w:tr>
        <w:trPr>
          <w:trHeight w:val="229"/>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Accounts receivable (net of allowance for doubtful accounts of $261 and $160 at June 30, 2018 and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December 31, 2017, respectively)</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50,881</w:t>
            </w: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Deferred commissions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17,170</w:t>
            </w:r>
          </w:p>
        </w:tc>
      </w:tr>
      <w:tr>
        <w:trPr>
          <w:trHeight w:val="264"/>
        </w:trPr>
        <w:tc>
          <w:tcPr>
            <w:tcW w:w="856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15,994</w:t>
            </w:r>
          </w:p>
        </w:tc>
      </w:tr>
      <w:tr>
        <w:trPr>
          <w:trHeight w:val="25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105,987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111,255</w:t>
            </w: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10,754</w:t>
            </w:r>
          </w:p>
        </w:tc>
      </w:tr>
      <w:tr>
        <w:trPr>
          <w:trHeight w:val="27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2,252</w:t>
            </w: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31,727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33,006</w:t>
            </w:r>
          </w:p>
        </w:tc>
      </w:tr>
      <w:tr>
        <w:trPr>
          <w:trHeight w:val="27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r>
      <w:tr>
        <w:trPr>
          <w:trHeight w:val="263"/>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265</w:t>
            </w:r>
          </w:p>
        </w:tc>
      </w:tr>
      <w:tr>
        <w:trPr>
          <w:trHeight w:val="270"/>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5,774</w:t>
            </w:r>
          </w:p>
        </w:tc>
      </w:tr>
      <w:tr>
        <w:trPr>
          <w:trHeight w:val="297"/>
        </w:trPr>
        <w:tc>
          <w:tcPr>
            <w:tcW w:w="85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169,358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164,337</w:t>
            </w:r>
          </w:p>
        </w:tc>
      </w:tr>
      <w:tr>
        <w:trPr>
          <w:trHeight w:val="251"/>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4,878</w:t>
            </w:r>
          </w:p>
        </w:tc>
      </w:tr>
      <w:tr>
        <w:trPr>
          <w:trHeight w:val="277"/>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18,482</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174,277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154,898</w:t>
            </w:r>
          </w:p>
        </w:tc>
      </w:tr>
      <w:tr>
        <w:trPr>
          <w:trHeight w:val="270"/>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50"/>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200,990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180,346</w:t>
            </w:r>
          </w:p>
        </w:tc>
      </w:tr>
      <w:tr>
        <w:trPr>
          <w:trHeight w:val="27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72,860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70,920</w:t>
            </w: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Financing obligation</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11,803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1,802</w:t>
            </w:r>
          </w:p>
        </w:tc>
      </w:tr>
      <w:tr>
        <w:trPr>
          <w:trHeight w:val="270"/>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5,199</w:t>
            </w:r>
          </w:p>
        </w:tc>
      </w:tr>
      <w:tr>
        <w:trPr>
          <w:trHeight w:val="250"/>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289,968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258,267</w:t>
            </w:r>
          </w:p>
        </w:tc>
      </w:tr>
      <w:tr>
        <w:trPr>
          <w:trHeight w:val="277"/>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4)</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29"/>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Redeemable convertible Series A preferred stock (par value: $0.01; 15,848 shares authorized, issued, and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8560" w:type="dxa"/>
            <w:vAlign w:val="bottom"/>
            <w:gridSpan w:val="4"/>
          </w:tcPr>
          <w:p>
            <w:pPr>
              <w:ind w:left="120"/>
              <w:spacing w:after="0"/>
              <w:rPr>
                <w:sz w:val="20"/>
                <w:szCs w:val="20"/>
                <w:color w:val="auto"/>
              </w:rPr>
            </w:pPr>
            <w:r>
              <w:rPr>
                <w:rFonts w:ascii="Arial" w:cs="Arial" w:eastAsia="Arial" w:hAnsi="Arial"/>
                <w:sz w:val="18"/>
                <w:szCs w:val="18"/>
                <w:color w:val="auto"/>
              </w:rPr>
              <w:t>outstanding with liquidation preference of $50,000 at June 30, 2018 and December 31, 2017)</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49,935</w:t>
            </w:r>
          </w:p>
        </w:tc>
      </w:tr>
      <w:tr>
        <w:trPr>
          <w:trHeight w:val="235"/>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Redeemable convertible Series B preferred stock (par value: $0.01; 42,000 shares authorized, 39,538</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03"/>
        </w:trPr>
        <w:tc>
          <w:tcPr>
            <w:tcW w:w="856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issued and outstanding with liquidation preference of $230,008 at June 30, 2018 and December 31,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80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228,168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227,800</w:t>
            </w:r>
          </w:p>
        </w:tc>
      </w:tr>
      <w:tr>
        <w:trPr>
          <w:trHeight w:val="26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5"/>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Common stock (par value: $0.01; 93,848 and 93,855 shares authorized at June 30, 2018 and</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03"/>
        </w:trPr>
        <w:tc>
          <w:tcPr>
            <w:tcW w:w="260" w:type="dxa"/>
            <w:vAlign w:val="bottom"/>
            <w:shd w:val="clear" w:color="auto" w:fill="CCEEFF"/>
          </w:tcPr>
          <w:p>
            <w:pPr>
              <w:spacing w:after="0"/>
              <w:rPr>
                <w:sz w:val="17"/>
                <w:szCs w:val="17"/>
                <w:color w:val="auto"/>
              </w:rPr>
            </w:pPr>
          </w:p>
        </w:tc>
        <w:tc>
          <w:tcPr>
            <w:tcW w:w="8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December 31, 2017; 24,951 and 24,472 shares issued and outstanding at June 30, 2018 and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260" w:type="dxa"/>
            <w:vAlign w:val="bottom"/>
            <w:shd w:val="clear" w:color="auto" w:fill="CCEEFF"/>
          </w:tcPr>
          <w:p>
            <w:pPr>
              <w:spacing w:after="0"/>
              <w:rPr>
                <w:sz w:val="20"/>
                <w:szCs w:val="20"/>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63"/>
        </w:trPr>
        <w:tc>
          <w:tcPr>
            <w:tcW w:w="8560" w:type="dxa"/>
            <w:vAlign w:val="bottom"/>
            <w:gridSpan w:val="4"/>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26,651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20,676</w:t>
            </w:r>
          </w:p>
        </w:tc>
      </w:tr>
      <w:tr>
        <w:trPr>
          <w:trHeight w:val="270"/>
        </w:trPr>
        <w:tc>
          <w:tcPr>
            <w:tcW w:w="8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(425,625)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(392,587)</w:t>
            </w:r>
          </w:p>
        </w:tc>
      </w:tr>
      <w:tr>
        <w:trPr>
          <w:trHeight w:val="250"/>
        </w:trPr>
        <w:tc>
          <w:tcPr>
            <w:tcW w:w="85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(371,665)</w:t>
            </w:r>
          </w:p>
        </w:tc>
      </w:tr>
      <w:tr>
        <w:trPr>
          <w:trHeight w:val="257"/>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8890</wp:posOffset>
            </wp:positionV>
            <wp:extent cx="18180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122,699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84,630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9,879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5,348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53,713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104,092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74,844</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81,414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53,941</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17,791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34,976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26,171</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10,541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6,544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19,596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70,158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48,030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135,986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92,819</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ind w:right="11"/>
              <w:spacing w:after="0"/>
              <w:rPr>
                <w:sz w:val="20"/>
                <w:szCs w:val="20"/>
                <w:color w:val="auto"/>
              </w:rPr>
            </w:pPr>
            <w:r>
              <w:rPr>
                <w:rFonts w:ascii="Arial" w:cs="Arial" w:eastAsia="Arial" w:hAnsi="Arial"/>
                <w:sz w:val="18"/>
                <w:szCs w:val="18"/>
                <w:color w:val="auto"/>
              </w:rPr>
              <w:t>23,750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22,060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23,623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17"/>
        </w:trPr>
        <w:tc>
          <w:tcPr>
            <w:tcW w:w="5580" w:type="dxa"/>
            <w:vAlign w:val="bottom"/>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520" w:type="dxa"/>
            <w:vAlign w:val="bottom"/>
          </w:tcPr>
          <w:p>
            <w:pPr>
              <w:spacing w:after="0"/>
              <w:rPr>
                <w:sz w:val="22"/>
                <w:szCs w:val="22"/>
                <w:color w:val="auto"/>
              </w:rPr>
            </w:pPr>
          </w:p>
        </w:tc>
        <w:tc>
          <w:tcPr>
            <w:tcW w:w="3780" w:type="dxa"/>
            <w:vAlign w:val="bottom"/>
            <w:tcBorders>
              <w:right w:val="single" w:sz="8" w:color="auto"/>
            </w:tcBorders>
            <w:gridSpan w:val="10"/>
          </w:tcPr>
          <w:p>
            <w:pPr>
              <w:ind w:left="600"/>
              <w:spacing w:after="0"/>
              <w:rPr>
                <w:sz w:val="20"/>
                <w:szCs w:val="20"/>
                <w:color w:val="auto"/>
              </w:rPr>
            </w:pPr>
            <w:r>
              <w:rPr>
                <w:rFonts w:ascii="Arial" w:cs="Arial" w:eastAsia="Arial" w:hAnsi="Arial"/>
                <w:sz w:val="13"/>
                <w:szCs w:val="13"/>
                <w:b w:val="1"/>
                <w:bCs w:val="1"/>
                <w:color w:val="auto"/>
              </w:rPr>
              <w:t>Redeemable Convertible Preferred Stock</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Total</w:t>
            </w:r>
          </w:p>
        </w:tc>
      </w:tr>
      <w:tr>
        <w:trPr>
          <w:trHeight w:val="280"/>
        </w:trPr>
        <w:tc>
          <w:tcPr>
            <w:tcW w:w="252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3"/>
                <w:szCs w:val="13"/>
                <w:b w:val="1"/>
                <w:bCs w:val="1"/>
                <w:color w:val="auto"/>
              </w:rPr>
              <w:t>Series A</w:t>
            </w:r>
          </w:p>
        </w:tc>
        <w:tc>
          <w:tcPr>
            <w:tcW w:w="12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3"/>
                <w:szCs w:val="13"/>
                <w:b w:val="1"/>
                <w:bCs w:val="1"/>
                <w:color w:val="auto"/>
              </w:rPr>
              <w:t>Series B</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24"/>
                <w:szCs w:val="24"/>
                <w:color w:val="auto"/>
              </w:rPr>
            </w:pPr>
          </w:p>
        </w:tc>
        <w:tc>
          <w:tcPr>
            <w:tcW w:w="1000" w:type="dxa"/>
            <w:vAlign w:val="bottom"/>
          </w:tcPr>
          <w:p>
            <w:pPr>
              <w:jc w:val="center"/>
              <w:ind w:right="51"/>
              <w:spacing w:after="0"/>
              <w:rPr>
                <w:sz w:val="20"/>
                <w:szCs w:val="20"/>
                <w:color w:val="auto"/>
              </w:rPr>
            </w:pPr>
            <w:r>
              <w:rPr>
                <w:rFonts w:ascii="Arial" w:cs="Arial" w:eastAsia="Arial" w:hAnsi="Arial"/>
                <w:sz w:val="13"/>
                <w:szCs w:val="13"/>
                <w:b w:val="1"/>
                <w:bCs w:val="1"/>
                <w:color w:val="auto"/>
                <w:w w:val="97"/>
              </w:rPr>
              <w:t>Stockholders’</w:t>
            </w:r>
          </w:p>
        </w:tc>
      </w:tr>
      <w:tr>
        <w:trPr>
          <w:trHeight w:val="264"/>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(in thousands)</w:t>
            </w: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22"/>
                <w:szCs w:val="22"/>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22"/>
                <w:szCs w:val="22"/>
                <w:color w:val="auto"/>
              </w:rPr>
            </w:pPr>
          </w:p>
        </w:tc>
        <w:tc>
          <w:tcPr>
            <w:tcW w:w="1000" w:type="dxa"/>
            <w:vAlign w:val="bottom"/>
          </w:tcPr>
          <w:p>
            <w:pPr>
              <w:jc w:val="center"/>
              <w:ind w:right="51"/>
              <w:spacing w:after="0"/>
              <w:rPr>
                <w:sz w:val="20"/>
                <w:szCs w:val="20"/>
                <w:color w:val="auto"/>
              </w:rPr>
            </w:pPr>
            <w:r>
              <w:rPr>
                <w:rFonts w:ascii="Arial" w:cs="Arial" w:eastAsia="Arial" w:hAnsi="Arial"/>
                <w:sz w:val="13"/>
                <w:szCs w:val="13"/>
                <w:b w:val="1"/>
                <w:bCs w:val="1"/>
                <w:color w:val="auto"/>
              </w:rPr>
              <w:t>Deficit</w:t>
            </w:r>
          </w:p>
        </w:tc>
      </w:tr>
      <w:tr>
        <w:trPr>
          <w:trHeight w:val="251"/>
        </w:trPr>
        <w:tc>
          <w:tcPr>
            <w:tcW w:w="252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49,935</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227,800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24,472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20,676</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(392,587)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(371,665)</w:t>
            </w:r>
          </w:p>
        </w:tc>
      </w:tr>
      <w:tr>
        <w:trPr>
          <w:trHeight w:val="20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of Series A and B</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redeemable convertible preferred</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368</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1,010</w:t>
            </w: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5,423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5,423</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(33,038)</w:t>
            </w:r>
          </w:p>
        </w:tc>
      </w:tr>
      <w:tr>
        <w:trPr>
          <w:trHeight w:val="243"/>
        </w:trPr>
        <w:tc>
          <w:tcPr>
            <w:tcW w:w="2520" w:type="dxa"/>
            <w:vAlign w:val="bottom"/>
          </w:tcPr>
          <w:p>
            <w:pPr>
              <w:ind w:left="40"/>
              <w:spacing w:after="0"/>
              <w:rPr>
                <w:sz w:val="20"/>
                <w:szCs w:val="20"/>
                <w:color w:val="auto"/>
              </w:rPr>
            </w:pPr>
            <w:r>
              <w:rPr>
                <w:rFonts w:ascii="Arial" w:cs="Arial" w:eastAsia="Arial" w:hAnsi="Arial"/>
                <w:sz w:val="14"/>
                <w:szCs w:val="14"/>
                <w:color w:val="auto"/>
              </w:rPr>
              <w:t>Balance at June 30, 2018</w:t>
            </w:r>
          </w:p>
        </w:tc>
        <w:tc>
          <w:tcPr>
            <w:tcW w:w="8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49,946</w:t>
            </w: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228,168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24,951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26,651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(425,625)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(398,724)</w:t>
            </w: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(33,038)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(18,040)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2,121</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3,475</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commissions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1,846</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19,468</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50"/>
        </w:trPr>
        <w:tc>
          <w:tcPr>
            <w:tcW w:w="83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90"/>
        </w:trPr>
        <w:tc>
          <w:tcPr>
            <w:tcW w:w="8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50"/>
        </w:trPr>
        <w:tc>
          <w:tcPr>
            <w:tcW w:w="834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90"/>
        </w:trPr>
        <w:tc>
          <w:tcPr>
            <w:tcW w:w="8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payments under capital lease obligations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Credit facility issuance costs</w:t>
            </w:r>
          </w:p>
        </w:tc>
        <w:tc>
          <w:tcPr>
            <w:tcW w:w="3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of deferred offering costs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50"/>
        </w:trPr>
        <w:tc>
          <w:tcPr>
            <w:tcW w:w="8340" w:type="dxa"/>
            <w:vAlign w:val="bottom"/>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27,472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34,470</w:t>
            </w:r>
          </w:p>
        </w:tc>
      </w:tr>
      <w:tr>
        <w:trPr>
          <w:trHeight w:val="29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23,917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35,756</w:t>
            </w:r>
          </w:p>
        </w:tc>
      </w:tr>
      <w:tr>
        <w:trPr>
          <w:trHeight w:val="264"/>
        </w:trPr>
        <w:tc>
          <w:tcPr>
            <w:tcW w:w="8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and measuring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All intercompany accounts and transactions have been eliminated in consolidation.</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final prospectus for our initial public offering ("IPO") dated as of July 25, 2018 and filed with the Securities and Exchange Commission pursuant to Rule 424(b)(4) under the Securities Act of 1933, as amended, on July 26, 2018 ("Prospectus").</w:t>
      </w:r>
    </w:p>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consolidated financial statements have been prepared on a basis consistent with the audited annual consolidated financial statements included in the Prospectus and, in the opinion of management, include all adjustments of a normal recurring nature necessary to fairly state our financial position, our results of operations, and cash flows.</w:t>
      </w:r>
    </w:p>
    <w:p>
      <w:pPr>
        <w:spacing w:after="0" w:line="202"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The results for the six months ended June 30, 2018 are not necessarily indicative of the operating results expected for the year ended December 31, 2018.</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IPO closed on July 30, 2018, after quarter end. As a result, our consolidated financial statements as of June 30, 2018 and for the periods then ended do not reflect the sale of 12,535,000 shares of common stock at the IPO price of $23.00 for net proceeds of $265 million, after underwriting discounts and commissions and offering expenses, or the conversion of all outstanding shares of our redeemable convertible preferred stock into an aggregate of 55,385,854 shares of common stock.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and the valuation of deferred tax assets. We base these estimates on historical experience and on various other assumptions that we believe to be reasonable. Actual results could differ significantly from these estimates.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 xml:space="preserve">We early adopted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on January 1, 2017 using the modified retrospective method and applying the guidance to all contracts as of January 1, 2017. The most significant impact of adopting ASC 606 was the deferral of perpetual license revenue over an estimated economic life, including estimated maintenance renewal periods, whereas under the previous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0" w:right="279" w:bottom="1440" w:gutter="0" w:footer="0" w:header="0"/>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guidance we recognized perpetual license revenue upon delivery of the perpetual license. Additionally, the incremental costs of obtaining a contract with a customer are deferred, and will be amortized over a longer estimated period of benefit, whereas under previous guidance we amortized such costs over the contract term.</w:t>
      </w:r>
    </w:p>
    <w:p>
      <w:pPr>
        <w:spacing w:after="0" w:line="20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core principle of ASC 606 is that revenue should be recognized to depict the transfer of promised goods or services to customers in an amount that reflects the consideration to which the entity expects to be entitled in exchange for those goods or services. To achieve the core principle of ASC 606, we apply the following steps:</w:t>
      </w:r>
    </w:p>
    <w:p>
      <w:pPr>
        <w:spacing w:after="0" w:line="229"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39"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2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48,725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30,844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93,057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58,546</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24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13,412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26,889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24,272</w:t>
            </w: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1,812</w:t>
            </w:r>
          </w:p>
        </w:tc>
      </w:tr>
      <w:tr>
        <w:trPr>
          <w:trHeight w:val="257"/>
        </w:trPr>
        <w:tc>
          <w:tcPr>
            <w:tcW w:w="5480" w:type="dxa"/>
            <w:vAlign w:val="bottom"/>
          </w:tcPr>
          <w:p>
            <w:pPr>
              <w:ind w:left="2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63,592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44,149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122,699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84,630</w:t>
            </w: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believe that the estimates we have made are reasonable and appropriate, different assumptions and estimates could materially impact our reported financial results.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w:t>
      </w:r>
    </w:p>
    <w:p>
      <w:pPr>
        <w:spacing w:after="0" w:line="24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sell our products and services through a channel network of distributors and resellers, along with our own sales teams. We derived 87% of revenue through our channel network in each of the three and six months ended June 30, 2018, and 82% and 81% of revenue in the three and six months ended June 30, 2017, respectively. One of our distributors accounted for 46% of revenue in each of the three and six months ended June 30, 2018, compared with 42% of revenue in each of the three and six months ended June 30, 2017. That same distributor accounted for 48% of accounts receivable at June 30, 2018.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and six months ended June 30, 2018 and 2017, we recognized revenue of $51.7 million, $99.2 million, $39.6 million and $68.3 million, respectively, that was included in the deferred revenue balance at the beginning of each of the respective periods.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At June 30, 2018, the future estimated revenue related to unsatisfied performance obligations was $252.0 million, with 71% expected to be recognized as revenue over the succeeding twelve months, and the remainder expected to be recognized over the four years thereafter.</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0" w:right="25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 in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50,451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50,176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30,118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9,847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12,162</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50,805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36,252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50,805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36,252</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60" w:firstLine="324"/>
        <w:spacing w:after="0" w:line="262" w:lineRule="auto"/>
        <w:rPr>
          <w:sz w:val="20"/>
          <w:szCs w:val="20"/>
          <w:color w:val="auto"/>
        </w:rPr>
      </w:pPr>
      <w:r>
        <w:rPr>
          <w:rFonts w:ascii="Arial" w:cs="Arial" w:eastAsia="Arial" w:hAnsi="Arial"/>
          <w:sz w:val="18"/>
          <w:szCs w:val="18"/>
          <w:color w:val="auto"/>
        </w:rPr>
        <w:t>Amortization of deferred contract acquisition costs is included in sales and marketing expense in the consolidated statements of operations and comprehensive loss.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Construction in Progress</w:t>
      </w:r>
    </w:p>
    <w:p>
      <w:pPr>
        <w:spacing w:after="0" w:line="247"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In October 2017, we entered into a lease for our new corporate headquarters, which is currently being constructed in Columbia, Maryland. The lease has an anticipated start date in the third quarter of 2019 with a 12-year initial term and $68.2 million of lease payments. Under current accounting guidance for build-to-suit lease arrangements, we concluded that we are the deemed owner of the building during the construction period. Accordingly, we recorded a construction-in-progress asset of $ 12.3 million and $2.3 million, for which there is a corresponding construction financing obligation of $11.8 million and $1.8 million, in each case net of a $0.5 million deposit, recorded in the consolidated balance sheets at June 30, 2018 and December 31, 2017, respectively. We will continue to increase the construction-in-progress asset and corresponding long-term liability as additional building costs are incurred by the landlord during the construction period. Upon completion of the construction, we will evaluate whether or not this arrangement meets the criteria for sale-leaseback accounting treatment.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deferred offering costs consist of legal, accounting and other fees incurred in connection with our IPO. These costs have been deferred and are included in "Other assets" in the consolidated balance sheet and will be offset against the IPO proceeds. We deferred $2.7 million of offering costs as of June 30, 2018. No amounts were deferred as of December 31, 2017.</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will require, among other items, lessees to recognize a right-of-use asset and a lease liability for most leases. ASU 2016-02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be effective for us beginning January 1, 2019, with early adoption permitted. In July 2018, the FASB issued ASU 2018-11, Leases (Topic 842), </w:t>
      </w:r>
      <w:r>
        <w:rPr>
          <w:rFonts w:ascii="Arial" w:cs="Arial" w:eastAsia="Arial" w:hAnsi="Arial"/>
          <w:sz w:val="18"/>
          <w:szCs w:val="18"/>
          <w:i w:val="1"/>
          <w:iCs w:val="1"/>
          <w:color w:val="auto"/>
        </w:rPr>
        <w:t>Targeted Improvements</w:t>
      </w:r>
      <w:r>
        <w:rPr>
          <w:rFonts w:ascii="Arial" w:cs="Arial" w:eastAsia="Arial" w:hAnsi="Arial"/>
          <w:sz w:val="18"/>
          <w:szCs w:val="18"/>
          <w:color w:val="auto"/>
        </w:rPr>
        <w:t>, which provides an adoption method that would allow companies to apply the new guidance to the financial statements in the period of adoption and thereafter, and not apply the new guidance to comparative periods presented. We are evaluating the impact of this standard, including the adoption methodology, to determine the impact on our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8440" w:type="dxa"/>
            <w:vAlign w:val="bottom"/>
          </w:tcPr>
          <w:p>
            <w:pPr>
              <w:ind w:left="8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19"/>
                <w:szCs w:val="19"/>
                <w:color w:val="auto"/>
              </w:rPr>
            </w:pPr>
          </w:p>
        </w:tc>
        <w:tc>
          <w:tcPr>
            <w:tcW w:w="12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r>
      <w:tr>
        <w:trPr>
          <w:trHeight w:val="257"/>
        </w:trPr>
        <w:tc>
          <w:tcPr>
            <w:tcW w:w="8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Computer software and equipment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11,051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9,089</w:t>
            </w:r>
          </w:p>
        </w:tc>
      </w:tr>
      <w:tr>
        <w:trPr>
          <w:trHeight w:val="263"/>
        </w:trPr>
        <w:tc>
          <w:tcPr>
            <w:tcW w:w="844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2,102</w:t>
            </w:r>
          </w:p>
        </w:tc>
      </w:tr>
      <w:tr>
        <w:trPr>
          <w:trHeight w:val="277"/>
        </w:trPr>
        <w:tc>
          <w:tcPr>
            <w:tcW w:w="8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6,452</w:t>
            </w: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Equipment under capital leases</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1,839</w:t>
            </w:r>
          </w:p>
        </w:tc>
      </w:tr>
      <w:tr>
        <w:trPr>
          <w:trHeight w:val="257"/>
        </w:trPr>
        <w:tc>
          <w:tcPr>
            <w:tcW w:w="8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19,482</w:t>
            </w: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w:t>
            </w:r>
          </w:p>
        </w:tc>
      </w:tr>
      <w:tr>
        <w:trPr>
          <w:trHeight w:val="257"/>
        </w:trPr>
        <w:tc>
          <w:tcPr>
            <w:tcW w:w="8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10,754</w:t>
            </w: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related to property and equipment was $1.4 million, $2.7 million, $0.9 million and $1.8 million in the three and six months ended June 30,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May 4, 2017, we entered into a $25.0 million revolving credit facility (“Credit Facility”) with Silicon Valley Bank, which is available for use until May 4, 2020. The Credit Facility is intended to be used to fund working capital and to provide increased liquidity and financial flexibility and bears interest at either LIBOR plus 2%, or the lender's prime rate plus 1%. In addition, we pay quarterly in arrears 0.25% of the average unused portion. The Credit Facility is secured by a first priority security interest in all of our assets, with a negative pledge on our Intellectual Property, as defined in the credit agreement.</w:t>
      </w:r>
    </w:p>
    <w:p>
      <w:pPr>
        <w:spacing w:after="0" w:line="206"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Credit Facility contains certain restrictive covenants customary for facilities of this type including restrictions on indebtedness, liens, acquisitions and investments, restricted payments and dispositions. If, as of the last day of any quarter, the outstanding balance of the Credit Facility exceeds $5.0 million, there are financial covenants that require us to maintain a minimum level of earnings before income taxes, interest, depreciation and amortization (“EBITDA”) adjusted to add changes in deferred revenue in the period, and a minimum current ratio level. There were no borrowings under the Credit Facility during the six months ended June 30, 2018 or in 2017.</w:t>
      </w:r>
    </w:p>
    <w:p>
      <w:pPr>
        <w:spacing w:after="0" w:line="184" w:lineRule="exact"/>
        <w:rPr>
          <w:sz w:val="20"/>
          <w:szCs w:val="20"/>
          <w:color w:val="auto"/>
        </w:rPr>
      </w:pPr>
    </w:p>
    <w:p>
      <w:pPr>
        <w:ind w:left="340" w:right="8360" w:hanging="332"/>
        <w:spacing w:after="0" w:line="544" w:lineRule="auto"/>
        <w:tabs>
          <w:tab w:leader="none" w:pos="21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and Capital Leases</w:t>
      </w:r>
    </w:p>
    <w:p>
      <w:pPr>
        <w:ind w:right="40" w:firstLine="324"/>
        <w:spacing w:after="0" w:line="256" w:lineRule="auto"/>
        <w:rPr>
          <w:sz w:val="20"/>
          <w:szCs w:val="20"/>
          <w:color w:val="auto"/>
        </w:rPr>
      </w:pPr>
      <w:r>
        <w:rPr>
          <w:rFonts w:ascii="Arial" w:cs="Arial" w:eastAsia="Arial" w:hAnsi="Arial"/>
          <w:sz w:val="18"/>
          <w:szCs w:val="18"/>
          <w:color w:val="auto"/>
        </w:rPr>
        <w:t>We have entered into various non-cancelable operating leases, primarily related to office real estate, that expire through 2022 and generally contain renewal options for up to five years. Rent expense was $1.3 million, $2.4 million, $0.9 million and $1.6 million in the three and six months ended June 30, 2018 and 2017, respectively.</w:t>
      </w:r>
    </w:p>
    <w:p>
      <w:pPr>
        <w:spacing w:after="0" w:line="202"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We also lease computer and office equipment under non-cancelable capital leases that expire through 2022. The total obligations for capital lease arrangements were $1.2 million and $1.5 million at June 30, 2018 and December 31, 2017, respectively.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non-cancelable lease payments for operating and capital leases at June 30, 2018 were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9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Years ending December 31:</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9880" w:type="dxa"/>
            <w:vAlign w:val="bottom"/>
          </w:tcPr>
          <w:p>
            <w:pPr>
              <w:ind w:left="220"/>
              <w:spacing w:after="0"/>
              <w:rPr>
                <w:sz w:val="20"/>
                <w:szCs w:val="20"/>
                <w:color w:val="auto"/>
              </w:rPr>
            </w:pPr>
            <w:r>
              <w:rPr>
                <w:rFonts w:ascii="Arial" w:cs="Arial" w:eastAsia="Arial" w:hAnsi="Arial"/>
                <w:sz w:val="18"/>
                <w:szCs w:val="18"/>
                <w:color w:val="auto"/>
              </w:rPr>
              <w:t>2018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2,914</w:t>
            </w:r>
          </w:p>
        </w:tc>
      </w:tr>
      <w:tr>
        <w:trPr>
          <w:trHeight w:val="263"/>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5,035</w:t>
            </w:r>
          </w:p>
        </w:tc>
      </w:tr>
      <w:tr>
        <w:trPr>
          <w:trHeight w:val="250"/>
        </w:trPr>
        <w:tc>
          <w:tcPr>
            <w:tcW w:w="9880" w:type="dxa"/>
            <w:vAlign w:val="bottom"/>
          </w:tcPr>
          <w:p>
            <w:pPr>
              <w:ind w:left="22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3,909</w:t>
            </w:r>
          </w:p>
        </w:tc>
      </w:tr>
      <w:tr>
        <w:trPr>
          <w:trHeight w:val="263"/>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r>
      <w:tr>
        <w:trPr>
          <w:trHeight w:val="250"/>
        </w:trPr>
        <w:tc>
          <w:tcPr>
            <w:tcW w:w="9880" w:type="dxa"/>
            <w:vAlign w:val="bottom"/>
          </w:tcPr>
          <w:p>
            <w:pPr>
              <w:ind w:left="2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6,187</w:t>
            </w:r>
          </w:p>
        </w:tc>
      </w:tr>
      <w:tr>
        <w:trPr>
          <w:trHeight w:val="257"/>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58,301</w:t>
            </w:r>
          </w:p>
        </w:tc>
      </w:tr>
      <w:tr>
        <w:trPr>
          <w:trHeight w:val="257"/>
        </w:trPr>
        <w:tc>
          <w:tcPr>
            <w:tcW w:w="988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83,786</w:t>
            </w:r>
          </w:p>
        </w:tc>
      </w:tr>
      <w:tr>
        <w:trPr>
          <w:trHeight w:val="20"/>
        </w:trPr>
        <w:tc>
          <w:tcPr>
            <w:tcW w:w="9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Total future minimum lease payments at June 30, 2018 includes $68.2 million of future lease payments related to the lease of our new headquarters, which is currently being constructed in Columbia, Maryland. These lease payments are expected to commence in the first quarter of 2021.</w:t>
      </w:r>
    </w:p>
    <w:p>
      <w:pPr>
        <w:spacing w:after="0" w:line="180" w:lineRule="exact"/>
        <w:rPr>
          <w:sz w:val="20"/>
          <w:szCs w:val="20"/>
          <w:color w:val="auto"/>
        </w:rPr>
      </w:pPr>
    </w:p>
    <w:p>
      <w:pPr>
        <w:ind w:left="340" w:right="5980" w:hanging="332"/>
        <w:spacing w:after="0" w:line="513" w:lineRule="auto"/>
        <w:tabs>
          <w:tab w:leader="none" w:pos="21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Common Stock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October 2012, Tenable, Inc. (now a wholly owned subsidiary of Tenable Holdings, Inc.) issued 15,847,500 shares of Series A redeemable convertible preferred stock at a price of $3.155067 per share, for an aggregate purchase price of $50 million, less $0.1 million in transaction costs. In December 2015, we issued 15,847,500 shares, par value of $0.01, of Series A redeemable convertible preferred stock (“Series A”) in exchange for Series A Convertible Preferred Stock of Tenable, Inc., in connection with a recapitalization. This exchange was made on a one for one basis. In addition, we authorized 42,000,000 shares and issued 39,538,354 shares, par value of $0.01, of Series B Convertible Preferred Stock (“Series B”) to certain investors at a price of $5.81735 per share. The gross purchase price was $230.0 million and we incurred transaction costs of $3.7 million. These proceeds were used to repurchase 39,387,322 shares of Tenable, Inc.’s common stock from its former stockholders in connection with the recapitalization.</w:t>
      </w:r>
    </w:p>
    <w:p>
      <w:pPr>
        <w:spacing w:after="0" w:line="20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Series A and Series B (together, the “Redeemable Convertible Preferred Stock”) automatically convert into common stock at the then applicable conversion rate in the event of the closing of a qualifying firm commitment underwritten public offering, which is defined as an offering of our common stock to the public at a price of at least $17.45 per share, that results in gross proceeds of at least $75 million. In addition, each share of a series of Redeemable Convertible Preferred Stock will automatically convert into common stock at the then applicable conversion rate for such series upon the vote or written consent of holders of at least 60% of such series. See Note 10 to our consolidated financial statements for details regarding the automatic conversion of the Redeemable Convertible Preferred Stock in connection with our IPO in July 2018.</w:t>
      </w:r>
    </w:p>
    <w:p>
      <w:pPr>
        <w:spacing w:after="0" w:line="20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preferential rights of preferred stockholders.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various stock incentive plans under which we have issued stock-based awards. Stock options granted under our stock incentive plans have a maximum term of ten years, generally vest over a period of three to four years, and the exercise price cannot be less than the fair market value on the date of grant. In February 2018 and June 2018, the Board of Directors approved increases of 3.0 million and 4.0 million shares available for grant under the 2016 Stock Incentive Plan ("2016 Plan"), respectively. There were 1,118,311 shares available for grant at June 30, 2018.</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and comprehensive loss was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28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628</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1,897</w:t>
            </w:r>
          </w:p>
        </w:tc>
      </w:tr>
      <w:tr>
        <w:trPr>
          <w:trHeight w:val="257"/>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3,475</w:t>
            </w: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At June 30, 2018, the total unrecognized stock-based compensation expense related to outstanding stock options was $55.7 million, which is expected to be recognized over an estimated remaining weighted average period of 3.5 years.</w:t>
      </w:r>
    </w:p>
    <w:p>
      <w:pPr>
        <w:spacing w:after="0" w:line="196"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At June 30, 2018, the unrecognized stock-based compensation expense related to unvested awards of restricted stock was $4.2 million, which is expected to be recognized over an estimated remaining period of 2.5 years.</w:t>
      </w:r>
    </w:p>
    <w:p>
      <w:pPr>
        <w:spacing w:after="0" w:line="196"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At June 30, 2018, the unrecognized stock-based compensation expense related to unvested restricted stock units was $15.8 million, which is expected to be recognized over an estimated remaining period of 2.1 years.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Weighted-Average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Arial" w:cs="Arial" w:eastAsia="Arial" w:hAnsi="Arial"/>
                <w:sz w:val="16"/>
                <w:szCs w:val="16"/>
                <w:b w:val="1"/>
                <w:bCs w:val="1"/>
                <w:color w:val="auto"/>
              </w:rPr>
              <w:t>Weighted</w:t>
            </w: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jc w:val="right"/>
              <w:ind w:right="352"/>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Arial" w:cs="Arial" w:eastAsia="Arial" w:hAnsi="Arial"/>
                <w:sz w:val="16"/>
                <w:szCs w:val="16"/>
                <w:b w:val="1"/>
                <w:bCs w:val="1"/>
                <w:color w:val="auto"/>
                <w:w w:val="98"/>
              </w:rPr>
              <w:t>Average</w:t>
            </w: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228"/>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480" w:type="dxa"/>
            <w:vAlign w:val="bottom"/>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260" w:type="dxa"/>
            <w:vAlign w:val="bottom"/>
          </w:tcPr>
          <w:p>
            <w:pPr>
              <w:spacing w:after="0"/>
              <w:rPr>
                <w:sz w:val="19"/>
                <w:szCs w:val="19"/>
                <w:color w:val="auto"/>
              </w:rPr>
            </w:pPr>
          </w:p>
        </w:tc>
        <w:tc>
          <w:tcPr>
            <w:tcW w:w="1340" w:type="dxa"/>
            <w:vAlign w:val="bottom"/>
          </w:tcPr>
          <w:p>
            <w:pPr>
              <w:jc w:val="center"/>
              <w:ind w:right="73"/>
              <w:spacing w:after="0"/>
              <w:rPr>
                <w:sz w:val="20"/>
                <w:szCs w:val="20"/>
                <w:color w:val="auto"/>
              </w:rPr>
            </w:pPr>
            <w:r>
              <w:rPr>
                <w:rFonts w:ascii="Arial" w:cs="Arial" w:eastAsia="Arial" w:hAnsi="Arial"/>
                <w:sz w:val="16"/>
                <w:szCs w:val="16"/>
                <w:b w:val="1"/>
                <w:bCs w:val="1"/>
                <w:color w:val="auto"/>
              </w:rPr>
              <w:t>Exercise Price</w:t>
            </w: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years)</w:t>
            </w:r>
          </w:p>
        </w:tc>
        <w:tc>
          <w:tcPr>
            <w:tcW w:w="380" w:type="dxa"/>
            <w:vAlign w:val="bottom"/>
          </w:tcPr>
          <w:p>
            <w:pPr>
              <w:spacing w:after="0"/>
              <w:rPr>
                <w:sz w:val="19"/>
                <w:szCs w:val="19"/>
                <w:color w:val="auto"/>
              </w:rPr>
            </w:pPr>
          </w:p>
        </w:tc>
        <w:tc>
          <w:tcPr>
            <w:tcW w:w="1160" w:type="dxa"/>
            <w:vAlign w:val="bottom"/>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70"/>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158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77,020</w:t>
            </w:r>
          </w:p>
        </w:tc>
        <w:tc>
          <w:tcPr>
            <w:tcW w:w="0" w:type="dxa"/>
            <w:vAlign w:val="bottom"/>
          </w:tcPr>
          <w:p>
            <w:pPr>
              <w:spacing w:after="0"/>
              <w:rPr>
                <w:sz w:val="1"/>
                <w:szCs w:val="1"/>
                <w:color w:val="auto"/>
              </w:rPr>
            </w:pPr>
          </w:p>
        </w:tc>
      </w:tr>
      <w:tr>
        <w:trPr>
          <w:trHeight w:val="290"/>
        </w:trPr>
        <w:tc>
          <w:tcPr>
            <w:tcW w:w="5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5,914</w:t>
            </w:r>
          </w:p>
        </w:tc>
        <w:tc>
          <w:tcPr>
            <w:tcW w:w="260" w:type="dxa"/>
            <w:vAlign w:val="bottom"/>
          </w:tcPr>
          <w:p>
            <w:pPr>
              <w:spacing w:after="0"/>
              <w:rPr>
                <w:sz w:val="24"/>
                <w:szCs w:val="24"/>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14.91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6.23</w:t>
            </w:r>
          </w:p>
        </w:tc>
        <w:tc>
          <w:tcPr>
            <w:tcW w:w="1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7.58</w:t>
            </w:r>
          </w:p>
        </w:tc>
        <w:tc>
          <w:tcPr>
            <w:tcW w:w="158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168,503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70,069</w:t>
            </w:r>
          </w:p>
        </w:tc>
        <w:tc>
          <w:tcPr>
            <w:tcW w:w="0" w:type="dxa"/>
            <w:vAlign w:val="bottom"/>
          </w:tcPr>
          <w:p>
            <w:pPr>
              <w:spacing w:after="0" w:line="20" w:lineRule="exact"/>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Exercisable at June 30,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3.38</w:t>
            </w:r>
          </w:p>
        </w:tc>
        <w:tc>
          <w:tcPr>
            <w:tcW w:w="1580" w:type="dxa"/>
            <w:vAlign w:val="bottom"/>
          </w:tcPr>
          <w:p>
            <w:pPr>
              <w:jc w:val="right"/>
              <w:ind w:right="51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At June 30, 2018, there were 19.5 million stock options that were vested and expected to vest, with a weighted average exercise price of $7.58 per share, a weighted average remaining contractual term of 8.5 years and an aggregate intrinsic value of $168.5 million.</w:t>
      </w:r>
    </w:p>
    <w:p>
      <w:pPr>
        <w:spacing w:after="0" w:line="19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the six months ended June 30, 2018, we granted stock options to employees that vest over three to four years and had a weighted average grant date fair value of $6.73 per share. Estimating the fair value of stock options using the Black-Scholes option-pricing model require assumptions as to the fair value of our underlying common stock,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estimated term of the option, the risk free interest rate, the expected volatility of the price of our common stock, and the expected dividend yield. The fair value of each stock option was estimated on the grant date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0" w:type="dxa"/>
            <w:vAlign w:val="bottom"/>
          </w:tcPr>
          <w:p>
            <w:pPr>
              <w:spacing w:after="0"/>
              <w:rPr>
                <w:sz w:val="19"/>
                <w:szCs w:val="19"/>
                <w:color w:val="auto"/>
              </w:rPr>
            </w:pPr>
          </w:p>
        </w:tc>
        <w:tc>
          <w:tcPr>
            <w:tcW w:w="3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Six Months Ended June 30, 2018</w:t>
            </w:r>
          </w:p>
        </w:tc>
      </w:tr>
      <w:tr>
        <w:trPr>
          <w:trHeight w:val="250"/>
        </w:trPr>
        <w:tc>
          <w:tcPr>
            <w:tcW w:w="82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460" w:type="dxa"/>
            <w:vAlign w:val="bottom"/>
          </w:tcPr>
          <w:p>
            <w:pPr>
              <w:spacing w:after="0"/>
              <w:rPr>
                <w:sz w:val="21"/>
                <w:szCs w:val="21"/>
                <w:color w:val="auto"/>
              </w:rPr>
            </w:pPr>
          </w:p>
        </w:tc>
        <w:tc>
          <w:tcPr>
            <w:tcW w:w="1740" w:type="dxa"/>
            <w:vAlign w:val="bottom"/>
          </w:tcPr>
          <w:p>
            <w:pPr>
              <w:jc w:val="right"/>
              <w:ind w:right="1390"/>
              <w:spacing w:after="0"/>
              <w:rPr>
                <w:sz w:val="20"/>
                <w:szCs w:val="20"/>
                <w:color w:val="auto"/>
              </w:rPr>
            </w:pPr>
            <w:r>
              <w:rPr>
                <w:rFonts w:ascii="Arial" w:cs="Arial" w:eastAsia="Arial" w:hAnsi="Arial"/>
                <w:sz w:val="18"/>
                <w:szCs w:val="18"/>
                <w:color w:val="auto"/>
                <w:w w:val="95"/>
              </w:rPr>
              <w:t>6.3</w:t>
            </w:r>
          </w:p>
        </w:tc>
      </w:tr>
      <w:tr>
        <w:trPr>
          <w:trHeight w:val="26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43.3%</w:t>
            </w:r>
          </w:p>
        </w:tc>
      </w:tr>
      <w:tr>
        <w:trPr>
          <w:trHeight w:val="250"/>
        </w:trPr>
        <w:tc>
          <w:tcPr>
            <w:tcW w:w="82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1740" w:type="dxa"/>
            <w:vAlign w:val="bottom"/>
          </w:tcPr>
          <w:p>
            <w:pPr>
              <w:ind w:left="40"/>
              <w:spacing w:after="0"/>
              <w:rPr>
                <w:sz w:val="20"/>
                <w:szCs w:val="20"/>
                <w:color w:val="auto"/>
              </w:rPr>
            </w:pPr>
            <w:r>
              <w:rPr>
                <w:rFonts w:ascii="Arial" w:cs="Arial" w:eastAsia="Arial" w:hAnsi="Arial"/>
                <w:sz w:val="18"/>
                <w:szCs w:val="18"/>
                <w:color w:val="auto"/>
              </w:rPr>
              <w:t>— 2.9%</w:t>
            </w:r>
          </w:p>
        </w:tc>
      </w:tr>
      <w:tr>
        <w:trPr>
          <w:trHeight w:val="26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460" w:type="dxa"/>
            <w:vAlign w:val="bottom"/>
            <w:shd w:val="clear" w:color="auto" w:fill="CCEEFF"/>
          </w:tcPr>
          <w:p>
            <w:pPr>
              <w:spacing w:after="0"/>
              <w:rPr>
                <w:sz w:val="22"/>
                <w:szCs w:val="22"/>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grant any restricted stock awards in the six months ended June 30, 2018.</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the six months ended June 30, 2018, we granted 1.0 million restricted stock units ("RSUs") with a weighted average grant date fair value of $16.21 per share. The grant date fair value was based on the estimated fair value of our common stock on the date of grant. Compensation expense for the RSUs is recognized on a straight-line basis over the requisite service period as long as the performance condition in the form of a specified liquidity event is probable. As of June 30, 2018, the liquidity event was not probable, and no expense was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22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23,750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22,060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22"/>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76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6"/>
                <w:szCs w:val="16"/>
                <w:b w:val="1"/>
                <w:bCs w:val="1"/>
                <w:color w:val="auto"/>
              </w:rPr>
              <w:t>Three and Six Months Ended June 30,</w:t>
            </w:r>
          </w:p>
        </w:tc>
        <w:tc>
          <w:tcPr>
            <w:tcW w:w="0" w:type="dxa"/>
            <w:vAlign w:val="bottom"/>
          </w:tcPr>
          <w:p>
            <w:pPr>
              <w:spacing w:after="0"/>
              <w:rPr>
                <w:sz w:val="1"/>
                <w:szCs w:val="1"/>
                <w:color w:val="auto"/>
              </w:rPr>
            </w:pPr>
          </w:p>
        </w:tc>
      </w:tr>
      <w:tr>
        <w:trPr>
          <w:trHeight w:val="264"/>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240" w:type="dxa"/>
            <w:vAlign w:val="bottom"/>
          </w:tcPr>
          <w:p>
            <w:pPr>
              <w:spacing w:after="0"/>
              <w:rPr>
                <w:sz w:val="22"/>
                <w:szCs w:val="22"/>
                <w:color w:val="auto"/>
              </w:rPr>
            </w:pPr>
          </w:p>
        </w:tc>
        <w:tc>
          <w:tcPr>
            <w:tcW w:w="18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442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5080" w:type="dxa"/>
            <w:vAlign w:val="bottom"/>
            <w:gridSpan w:val="2"/>
          </w:tcPr>
          <w:p>
            <w:pPr>
              <w:jc w:val="right"/>
              <w:ind w:right="36"/>
              <w:spacing w:after="0"/>
              <w:rPr>
                <w:sz w:val="20"/>
                <w:szCs w:val="20"/>
                <w:color w:val="auto"/>
              </w:rPr>
            </w:pPr>
            <w:r>
              <w:rPr>
                <w:rFonts w:ascii="Arial" w:cs="Arial" w:eastAsia="Arial" w:hAnsi="Arial"/>
                <w:sz w:val="18"/>
                <w:szCs w:val="18"/>
                <w:color w:val="auto"/>
              </w:rPr>
              <w:t>55,386</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50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19,521</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5080" w:type="dxa"/>
            <w:vAlign w:val="bottom"/>
            <w:gridSpan w:val="2"/>
          </w:tcPr>
          <w:p>
            <w:pPr>
              <w:jc w:val="right"/>
              <w:ind w:right="36"/>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2"/>
                <w:szCs w:val="22"/>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240" w:type="dxa"/>
            <w:vAlign w:val="bottom"/>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20" w:type="dxa"/>
            <w:vAlign w:val="bottom"/>
          </w:tcPr>
          <w:p>
            <w:pPr>
              <w:ind w:left="280"/>
              <w:spacing w:after="0"/>
              <w:rPr>
                <w:sz w:val="20"/>
                <w:szCs w:val="20"/>
                <w:color w:val="auto"/>
              </w:rPr>
            </w:pPr>
            <w:r>
              <w:rPr>
                <w:rFonts w:ascii="Arial" w:cs="Arial" w:eastAsia="Arial" w:hAnsi="Arial"/>
                <w:sz w:val="18"/>
                <w:szCs w:val="18"/>
                <w:color w:val="auto"/>
              </w:rPr>
              <w:t>Total</w:t>
            </w:r>
          </w:p>
        </w:tc>
        <w:tc>
          <w:tcPr>
            <w:tcW w:w="5080" w:type="dxa"/>
            <w:vAlign w:val="bottom"/>
            <w:gridSpan w:val="2"/>
          </w:tcPr>
          <w:p>
            <w:pPr>
              <w:jc w:val="right"/>
              <w:ind w:right="36"/>
              <w:spacing w:after="0"/>
              <w:rPr>
                <w:sz w:val="20"/>
                <w:szCs w:val="20"/>
                <w:color w:val="auto"/>
              </w:rPr>
            </w:pPr>
            <w:r>
              <w:rPr>
                <w:rFonts w:ascii="Arial" w:cs="Arial" w:eastAsia="Arial" w:hAnsi="Arial"/>
                <w:sz w:val="18"/>
                <w:szCs w:val="18"/>
                <w:color w:val="auto"/>
              </w:rPr>
              <w:t>76,966</w:t>
            </w:r>
          </w:p>
        </w:tc>
        <w:tc>
          <w:tcPr>
            <w:tcW w:w="120" w:type="dxa"/>
            <w:vAlign w:val="bottom"/>
          </w:tcPr>
          <w:p>
            <w:pPr>
              <w:spacing w:after="0"/>
              <w:rPr>
                <w:sz w:val="22"/>
                <w:szCs w:val="22"/>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70,908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40" w:type="dxa"/>
            <w:vAlign w:val="bottom"/>
            <w:vMerge w:val="restart"/>
          </w:tcPr>
          <w:p>
            <w:pPr>
              <w:jc w:val="right"/>
              <w:ind w:right="1750"/>
              <w:spacing w:after="0"/>
              <w:rPr>
                <w:sz w:val="20"/>
                <w:szCs w:val="20"/>
                <w:color w:val="auto"/>
              </w:rPr>
            </w:pPr>
            <w:r>
              <w:rPr>
                <w:rFonts w:ascii="Arial" w:cs="Arial" w:eastAsia="Arial" w:hAnsi="Arial"/>
                <w:sz w:val="18"/>
                <w:szCs w:val="18"/>
                <w:color w:val="auto"/>
              </w:rPr>
              <w:t>14</w:t>
            </w: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47"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On December 22, 2017, the Tax Cuts and Jobs Act was enacted into law, which contains several significant changes, including reducing the corporate income tax rate from 35% to 21% effective January 1, 2018, imposing a one-time repatriation tax on accumulated foreign earnings (“transition tax”) and instituting the global intangible low taxed income (“GILTI”) regime and the base erosion anti-abuse tax.</w:t>
      </w:r>
    </w:p>
    <w:p>
      <w:pPr>
        <w:spacing w:after="0" w:line="18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are following the guidance in Securities and Exchange Commission Staff Accounting Bulletin 118, which provides a company with the ability to record provisional amounts based on reasonable estimates that are subject to a measurement period of up to one year. At December 31, 2017, we made a reasonable estimate of the effects on existing deferred tax balances and the one-time transition tax. In the six months ended June 30, 2018, no changes were made to these provisional amounts. We will continue to evaluate the transition tax obligation and application of GILTI and have not yet made an election with regard to GILTI. Subsequent adjustments resulting from additional analysis may be recorded when our analysis is completed, which is expected to be in the second half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 Information</w:t>
      </w:r>
    </w:p>
    <w:p>
      <w:pPr>
        <w:spacing w:after="0" w:line="24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45,715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88,477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63,566</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12,550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7,798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14,830</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5,327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10,006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6,234</w:t>
            </w:r>
          </w:p>
        </w:tc>
      </w:tr>
      <w:tr>
        <w:trPr>
          <w:trHeight w:val="257"/>
        </w:trPr>
        <w:tc>
          <w:tcPr>
            <w:tcW w:w="5580" w:type="dxa"/>
            <w:vAlign w:val="bottom"/>
          </w:tcPr>
          <w:p>
            <w:pPr>
              <w:ind w:left="28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63,592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44,149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122,699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84,630</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Customers located in the United States accounted for 67%, 67%, 70% and 71% of revenue in the three and six months ended June 30, 2018 and 2017, respectively. No other country accounted for 10% or more of revenue in the periods presented.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4"/>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9"/>
                <w:szCs w:val="19"/>
                <w:color w:val="auto"/>
              </w:rPr>
            </w:pPr>
          </w:p>
        </w:tc>
        <w:tc>
          <w:tcPr>
            <w:tcW w:w="12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2017</w:t>
            </w:r>
          </w:p>
        </w:tc>
      </w:tr>
      <w:tr>
        <w:trPr>
          <w:trHeight w:val="257"/>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6,581</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4,290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4,173</w:t>
            </w: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10,754</w:t>
            </w: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right="9280" w:hanging="332"/>
        <w:spacing w:after="0" w:line="544" w:lineRule="auto"/>
        <w:tabs>
          <w:tab w:leader="none" w:pos="31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Initial Public Offering</w:t>
      </w:r>
    </w:p>
    <w:p>
      <w:pPr>
        <w:ind w:left="34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from the full exercise of their over-allotment option. None of our existing stockholders sold shares at the time of our IPO. We received net proceeds of $265 million after deducting underwriting discounts and commissions and other offering expenses.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Upon the completion of our IPO, all 15,847,500 shares of our Series A and 39,538,354 shares of our Series B automatically converted into an aggregate of 55,385,854 shares of our common stock. Our newly-adopted Amended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Restated Certificate of Incorporation authorizes a total of 500,000,000 shares of common stock and 10,000,000 shares of preferred stock.</w:t>
      </w:r>
    </w:p>
    <w:p>
      <w:pPr>
        <w:spacing w:after="0" w:line="225"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auto"/>
        </w:rPr>
        <w:t>The unaudited pro forma condensed consolidated balance sheet below is presented as if our IPO was completed on June 30, 2018. It reflects (1) the issuance of 12,535,000 shares of common stock for estimated net proceeds of $265 million and (2) the conversion of all our Series A and Series B into 55,385,854 shares of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June 30, 2018</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Pro Forma</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Adjustments</w:t>
            </w:r>
          </w:p>
        </w:tc>
        <w:tc>
          <w:tcPr>
            <w:tcW w:w="20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105,987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266,515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372,502</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60,688</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169,358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263,832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433,190</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redeemable convertible preferred stock and stockholders' (deficit) equity</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289,968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288,800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Series A preferred stock</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Redeemable convertible Series B preferred stock</w:t>
            </w:r>
          </w:p>
        </w:tc>
        <w:tc>
          <w:tcPr>
            <w:tcW w:w="28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228,168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(228,168)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(deficit) equity</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542,435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569,086</w:t>
            </w:r>
          </w:p>
        </w:tc>
        <w:tc>
          <w:tcPr>
            <w:tcW w:w="0" w:type="dxa"/>
            <w:vAlign w:val="bottom"/>
          </w:tcPr>
          <w:p>
            <w:pPr>
              <w:spacing w:after="0"/>
              <w:rPr>
                <w:sz w:val="1"/>
                <w:szCs w:val="1"/>
                <w:color w:val="auto"/>
              </w:rPr>
            </w:pPr>
          </w:p>
        </w:tc>
      </w:tr>
      <w:tr>
        <w:trPr>
          <w:trHeight w:val="264"/>
        </w:trPr>
        <w:tc>
          <w:tcPr>
            <w:tcW w:w="7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(425,625)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(425,625)</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543,114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09"/>
        </w:trPr>
        <w:tc>
          <w:tcPr>
            <w:tcW w:w="7080" w:type="dxa"/>
            <w:vAlign w:val="bottom"/>
          </w:tcPr>
          <w:p>
            <w:pPr>
              <w:ind w:left="28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169,358</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263,832</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433,190</w:t>
            </w:r>
          </w:p>
        </w:tc>
        <w:tc>
          <w:tcPr>
            <w:tcW w:w="0" w:type="dxa"/>
            <w:vAlign w:val="bottom"/>
          </w:tcPr>
          <w:p>
            <w:pPr>
              <w:spacing w:after="0"/>
              <w:rPr>
                <w:sz w:val="1"/>
                <w:szCs w:val="1"/>
                <w:color w:val="auto"/>
              </w:rPr>
            </w:pPr>
          </w:p>
        </w:tc>
      </w:tr>
      <w:tr>
        <w:trPr>
          <w:trHeight w:val="222"/>
        </w:trPr>
        <w:tc>
          <w:tcPr>
            <w:tcW w:w="7080" w:type="dxa"/>
            <w:vAlign w:val="bottom"/>
          </w:tcPr>
          <w:p>
            <w:pPr>
              <w:ind w:left="28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Compensation expense for our RSUs is recognized on a straight-line basis over the requisite service period as long as the performance condition in the form of a specified liquidity event is deemed probable. In July 2018, in connection with the completion of our IPO, we determined that the performance condition was probable and we recorded cumulative stock-based compensation expense of $0.7 million. The remaining unrecognized stock-based compensation expense of $15.1 million related to the RSUs will be recorded over the remaining requisite service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June 2018 our board of directors adopted, and in July 2018 our stockholders approved, our 2018 Equity Incentive Plan ("2018 Plan"), which reserves 9.9 million shares of our common stock that may be issued as stock-based awards. The 2018 Plan became effective upon the execution of the underwriting agreement related to our IPO, at which point no further grants were made under our 2016 Plan. Any shares subject to stock options or other stock awards granted under our 2016 Plan, 2012 Stock Incentive Plan or 2002 Stock Incentive Plan that would have otherwise returned to such plan (such as upon the expiration or termination of a stock award prior to vesting) were added to, and are available for issuance under, our 2018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June 2018 our board of directors adopted, and in July 2018 our stockholders approved, our 2018 Employee Stock Purchase Plan ("2018 ESPP"), which reserves 4.0 million shares of our common stock for issuance under the 2018 ESPP. The 2018 ESPP became effective upon the execution of the underwriting agreement related to our IPO.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final prospectus for our initial public offering, or IPO, dated as of July 25, 2018 and filed with the Securities and Exchange Commission pursuant to Rule 424(b)(4) of the Securities Act of 1933, as amended, or the Securities Act, on July 26, 2018, or the Prospectus.</w:t>
      </w:r>
    </w:p>
    <w:p>
      <w:pPr>
        <w:spacing w:after="0" w:line="18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i w:val="1"/>
          <w:iCs w:val="1"/>
          <w:color w:val="auto"/>
        </w:rPr>
        <w:t>This Form 10-Q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the first and only provider of solutions for a new category of cybersecurity that we call Cyber Exposure. Cyber Exposure is a discipline for managing and measuring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31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enterprise platform offerings include Tenable.io and SecurityCenter. Tenable.io is our software as a service, or SaaS, offering that manages and measures cyber exposure across a range of traditional and modern IT assets. SecurityCenter was built to manage and measure cyber exposure across traditional IT assets and can be run on-premises, in the customer’s cloud or in a hybrid environment. We plan to release Tenable.io Lumin, an application that will provide enhanced risk-based prioritization of issues and benchmarking against industry peers and best-in-class performers.</w:t>
      </w:r>
    </w:p>
    <w:p>
      <w:pPr>
        <w:spacing w:after="0" w:line="31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terms ranging from one to three years, primarily one year. These offerings are typically prepaid in advance. To a lesser extent, we generate ratably recognizable revenue from perpetual licenses and from the related ongoing maintenance.</w:t>
      </w:r>
    </w:p>
    <w:p>
      <w:pPr>
        <w:spacing w:after="0" w:line="3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Home, allows for vulnerability assessment over a limited number of IP addresses. We believe many of our Nessus customers begin with Nessus Home and subsequently upgrade to Nessus Professional, the paid version of Nessus; however, we expect many users to continue to use Nessus Home.</w:t>
      </w:r>
    </w:p>
    <w:p>
      <w:pPr>
        <w:spacing w:after="0" w:line="31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experienced rapid growth in recent years. Revenue in the three months ended June 30, 2018 and 2017 and the six months ended June 30, 2018 and 2017 was $63.6 million, $44.1 million, $122.7 million and $84.6 million, respectively, representing year-over-year growth of 44% and 45% in the quarterly and year-to-date periods, respectively. Our net loss in the three months ended June 30, 2018 and 2017 and the six months ended June 30, 2018 and 2017 was $17.2 million, $9.2 million, $33.0 million and $18.0 million, respectively, as we continue to invest in our business and market opportunity.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IPO closed on July 30, 2018. As a result, our condensed consolidated financial statements as of June 30, 2018 and for the periods then ended do not reflect the sale of 12,535,000 shares of common stock at the IPO price of $23.00 for net proceeds to us of $ 265 million, after underwriting discounts and commissions and offering expenses, or the conversion of all outstanding shares of our redeemable convertible preferred stock into an aggregate of 55,385,854 shares of common stock.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 for the three and six months ended June 30,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6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63,592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122,699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84,630</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(17,975)</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r>
      <w:tr>
        <w:trPr>
          <w:trHeight w:val="229"/>
        </w:trPr>
        <w:tc>
          <w:tcPr>
            <w:tcW w:w="546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54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offer the first and only Cyber Exposure platform to provide visibility into the broadest range of traditional and modern IT assets across cloud and on-premises environments. We are intensely focused on continued innovation that empowers organizations to understand and reduce their cyber exposure. This includes ongoing development of our enterprise platform offerings. In February 2017, we released Tenable.io, our SaaS offering that is designed to provide broad visibility and insights across a broad range of traditional and modern IT assets and cloud environments. Throughout 2017, we introduced new features to Tenable.io, including web application scanning and container security.</w:t>
      </w:r>
    </w:p>
    <w:p>
      <w:pPr>
        <w:spacing w:after="0" w:line="209"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continue to expand the capabilities of our enterprise platform offerings, as well as our Nessus products, specifically as it relates to the ability to scan for and detect the rapidly expanding volume of vulnerabilities.</w:t>
      </w:r>
    </w:p>
    <w:p>
      <w:pPr>
        <w:spacing w:after="0" w:line="19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our enterprise platform customers will increase future opportunities for renewals and follow-on sales. We believe that we have significant room to capture additional market share.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significantly in our partner network and sales and marketing capability in order to grow domestically and internationally.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internet of things, or IoT, and operational technology, or OT, they often increase the scope of their subscriptions and/or add additional perpetual licenses to our enterprise platforms.</w:t>
      </w:r>
    </w:p>
    <w:p>
      <w:pPr>
        <w:spacing w:after="0" w:line="2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customers are typically organizations or independent security consultants that use Nessus for a single vulnerability assessment at a point in time. We seek to convert our Nessus Professional users to customers of our enterprise platform offerings, which provide continuous visibility and insights into their attack surface.</w:t>
      </w:r>
    </w:p>
    <w:p>
      <w:pPr>
        <w:spacing w:after="0" w:line="204" w:lineRule="exact"/>
        <w:rPr>
          <w:sz w:val="20"/>
          <w:szCs w:val="20"/>
          <w:color w:val="auto"/>
        </w:rPr>
      </w:pPr>
    </w:p>
    <w:p>
      <w:pPr>
        <w:jc w:val="both"/>
        <w:ind w:right="280" w:firstLine="324"/>
        <w:spacing w:after="0" w:line="254" w:lineRule="auto"/>
        <w:rPr>
          <w:sz w:val="20"/>
          <w:szCs w:val="20"/>
          <w:color w:val="auto"/>
        </w:rPr>
      </w:pPr>
      <w:r>
        <w:rPr>
          <w:rFonts w:ascii="Arial" w:cs="Arial" w:eastAsia="Arial" w:hAnsi="Arial"/>
          <w:sz w:val="18"/>
          <w:szCs w:val="18"/>
          <w:color w:val="auto"/>
        </w:rPr>
        <w:t>Further, we plan to expand existing platform capabilities and launch new products, such as Tenable.io Lumin,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w:t>
      </w:r>
    </w:p>
    <w:p>
      <w:pPr>
        <w:spacing w:after="0" w:line="204"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Our ability to increase sales to existing customers will depend on a number of factors, including satisfaction or dissatisfaction with our products and services, competition, pricing, economic conditions or overall changes in our spending levels.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These investment activities could increase our net losses over the short term if our revenue growth does not increase at higher rates. However, we expect that these investments will benefit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 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122,699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84,630</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Deferred revenue (current), end of period</w:t>
            </w:r>
          </w:p>
        </w:tc>
        <w:tc>
          <w:tcPr>
            <w:tcW w:w="22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174,277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122,190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174,277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122,190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(160,503)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(107,006)</w:t>
            </w:r>
          </w:p>
        </w:tc>
        <w:tc>
          <w:tcPr>
            <w:tcW w:w="0" w:type="dxa"/>
            <w:vAlign w:val="bottom"/>
          </w:tcPr>
          <w:p>
            <w:pPr>
              <w:spacing w:after="0"/>
              <w:rPr>
                <w:sz w:val="1"/>
                <w:szCs w:val="1"/>
                <w:color w:val="auto"/>
              </w:rPr>
            </w:pPr>
          </w:p>
        </w:tc>
      </w:tr>
      <w:tr>
        <w:trPr>
          <w:trHeight w:val="250"/>
        </w:trPr>
        <w:tc>
          <w:tcPr>
            <w:tcW w:w="558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77,366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55,734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142,078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99,814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firstLine="332"/>
        <w:spacing w:after="0" w:line="260" w:lineRule="auto"/>
        <w:tabs>
          <w:tab w:leader="none" w:pos="70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adopting ASC 606, we recorded $19.0 million of current deferred revenue on January 1, 2017, related to perpetual license revenue recognized in prior periods.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used in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our GAAP financial measures.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The following table summarizes our cash flows for the periods presented and presents a reconciliation of net cash provided by operating activities, the most directly comparable financial measure calculated in accordance with GAAP, to free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r>
      <w:tr>
        <w:trPr>
          <w:trHeight w:val="264"/>
        </w:trPr>
        <w:tc>
          <w:tcPr>
            <w:tcW w:w="72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57"/>
        </w:trPr>
        <w:tc>
          <w:tcPr>
            <w:tcW w:w="7200" w:type="dxa"/>
            <w:vAlign w:val="bottom"/>
            <w:shd w:val="clear" w:color="auto" w:fill="CCEEFF"/>
          </w:tcPr>
          <w:p>
            <w:pPr>
              <w:jc w:val="right"/>
              <w:ind w:right="202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940" w:type="dxa"/>
            <w:vAlign w:val="bottom"/>
            <w:gridSpan w:val="3"/>
            <w:shd w:val="clear" w:color="auto" w:fill="CCEEFF"/>
          </w:tcPr>
          <w:p>
            <w:pPr>
              <w:jc w:val="right"/>
              <w:ind w:right="439"/>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30%</w:t>
            </w:r>
          </w:p>
        </w:tc>
      </w:tr>
      <w:tr>
        <w:trPr>
          <w:trHeight w:val="123"/>
        </w:trPr>
        <w:tc>
          <w:tcPr>
            <w:tcW w:w="7200" w:type="dxa"/>
            <w:vAlign w:val="bottom"/>
          </w:tcPr>
          <w:p>
            <w:pPr>
              <w:jc w:val="right"/>
              <w:ind w:right="6228"/>
              <w:spacing w:after="0" w:line="124" w:lineRule="exact"/>
              <w:rPr>
                <w:sz w:val="20"/>
                <w:szCs w:val="20"/>
                <w:color w:val="auto"/>
              </w:rPr>
            </w:pPr>
            <w:r>
              <w:rPr>
                <w:rFonts w:ascii="Arial" w:cs="Arial" w:eastAsia="Arial" w:hAnsi="Arial"/>
                <w:sz w:val="11"/>
                <w:szCs w:val="11"/>
                <w:color w:val="auto"/>
                <w:w w:val="95"/>
              </w:rPr>
              <w:t>_______________</w:t>
            </w: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ind w:left="660" w:right="200" w:hanging="652"/>
        <w:spacing w:after="0" w:line="25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SecurityCenter for an annual amount of $5,000 or greater. New enterprise platform customers represent new customer logos during the periods presented and do not include customer conversions from Nessus Professional to enterprise platforms.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At June 30,</w:t>
            </w:r>
          </w:p>
        </w:tc>
        <w:tc>
          <w:tcPr>
            <w:tcW w:w="1240" w:type="dxa"/>
            <w:vAlign w:val="bottom"/>
            <w:tcBorders>
              <w:bottom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 period</w:t>
            </w:r>
          </w:p>
        </w:tc>
        <w:tc>
          <w:tcPr>
            <w:tcW w:w="13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88%</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use non-GAAP loss from operations, which excludes the effect of stock-based compensation and amortization of intangible assets, as a key indicator of our financial performance, along with non -GAAP operating margin, which is calculated as non-GAAP loss from operations divided by our revenue in the period. 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276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(16,445)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(9,229)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(31,894)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(17,975)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2"/>
                <w:szCs w:val="22"/>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5,423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3,475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302</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loss from operations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(26,169)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(14,198)</w:t>
            </w:r>
          </w:p>
        </w:tc>
      </w:tr>
      <w:tr>
        <w:trPr>
          <w:trHeight w:val="305"/>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margin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67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Non-GAAP Net Loss Per Share and Pro Forma Non-GAAP Net Loss Per Share</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use non-GAAP net loss, which excludes the effect of the accretion of Series A and B redeemable convertible preferred stock, stock-based compensation and amortization of intangible assets, as well as the related tax impact, to calculate non-GAAP net loss per share and pro forma non-GAAP net loss per share. Pro forma non-GAAP net loss per share is calculated by giving effect to the conversion of our redeemable convertible preferred stock into common stock as though the conversion occurred at the beginning of each period presented. We believe that these non -GAAP measures provide important information to management and investors because they facilitate comparisons of our core operating results over multiple periods.</w:t>
      </w:r>
    </w:p>
    <w:p>
      <w:pPr>
        <w:spacing w:after="0" w:line="20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loss, non-GAAP net loss per share and pro forma non-GAAP net loss per share: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90"/>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(14,285)</w:t>
            </w:r>
          </w:p>
        </w:tc>
        <w:tc>
          <w:tcPr>
            <w:tcW w:w="0" w:type="dxa"/>
            <w:vAlign w:val="bottom"/>
          </w:tcPr>
          <w:p>
            <w:pPr>
              <w:spacing w:after="0"/>
              <w:rPr>
                <w:sz w:val="1"/>
                <w:szCs w:val="1"/>
                <w:color w:val="auto"/>
              </w:rPr>
            </w:pPr>
          </w:p>
        </w:tc>
      </w:tr>
      <w:tr>
        <w:trPr>
          <w:trHeight w:val="305"/>
        </w:trPr>
        <w:tc>
          <w:tcPr>
            <w:tcW w:w="5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attributable to common stockholders and non-GAAP net loss per</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basic and diluted</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22,060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Pro forma adjustment to reflect assumed conversion of our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convertible redeemable preferred stock as of the beginning of the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55,386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55,386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55,386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pro forma non-GAAP net</w:t>
            </w:r>
          </w:p>
        </w:tc>
        <w:tc>
          <w:tcPr>
            <w:tcW w:w="2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79,136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77,446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79,009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77,047</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per share,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non-GAAP net loss per share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20" w:firstLine="8"/>
        <w:spacing w:after="0" w:line="253"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tax impact of the adjustments to net loss attributable to common stockholders is based on the tax treatment for applicable tax jurisdictions. There was no tax impact related to the amortization of intangible assets as it was incurred in the United States in periods in which we had a net operating loss for which we maintained a full valuation allowance.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jc w:val="both"/>
        <w:ind w:right="580" w:firstLine="324"/>
        <w:spacing w:after="0" w:line="256"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Our recent growth and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hosting costs for Tenable.io, the costs related to professional services and training, depreciation and amortization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our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extent to which we expand our customer support team and the extent to which we can increase the efficiency of our technology and infrastructure through technological improvements.</w:t>
      </w:r>
    </w:p>
    <w:p>
      <w:pPr>
        <w:spacing w:after="0" w:line="196"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Sales and marketing expense consists of personnel costs, sales commissions that are recognized as expense over the period of benefit, marketing programs, travel and entertainment, expenses for conferences and events and allocated overhead costs.</w:t>
      </w:r>
    </w:p>
    <w:p>
      <w:pPr>
        <w:spacing w:after="0" w:line="19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intend to continue to make significant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although our sales and marketing expense may fluctuate as a percentage of our revenue from period to period due to the timing and extent of these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2" w:lineRule="exact"/>
        <w:rPr>
          <w:sz w:val="20"/>
          <w:szCs w:val="20"/>
          <w:color w:val="auto"/>
        </w:rPr>
      </w:pPr>
    </w:p>
    <w:p>
      <w:pPr>
        <w:jc w:val="both"/>
        <w:ind w:right="40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particularly in 2018,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and allocated overhead.</w:t>
      </w:r>
    </w:p>
    <w:p>
      <w:pPr>
        <w:spacing w:after="0" w:line="196"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in particular in 2018,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Other (expense) income, net consists primarily of net foreign currency remeasurement and transaction gains and losses, income earned on cash and cash equivalents and interest expense in connection with unused line of credit fees on our revolving credit facility.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6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122,699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84,630</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9,879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5,348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18,607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53,713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104,092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74,844</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81,414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53,941</w:t>
            </w:r>
          </w:p>
        </w:tc>
        <w:tc>
          <w:tcPr>
            <w:tcW w:w="0" w:type="dxa"/>
            <w:vAlign w:val="bottom"/>
          </w:tcPr>
          <w:p>
            <w:pPr>
              <w:spacing w:after="0"/>
              <w:rPr>
                <w:sz w:val="1"/>
                <w:szCs w:val="1"/>
                <w:color w:val="auto"/>
              </w:rPr>
            </w:pPr>
          </w:p>
        </w:tc>
      </w:tr>
      <w:tr>
        <w:trPr>
          <w:trHeight w:val="270"/>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17,791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34,976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26,171</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10,541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6,544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19,596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70,158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48,030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135,986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92,819</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628</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1,897</w:t>
            </w:r>
          </w:p>
        </w:tc>
      </w:tr>
      <w:tr>
        <w:trPr>
          <w:trHeight w:val="25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3,475</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63,592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44,149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19,443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15"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The increase in revenue of $19.4 million was comprised of increases in subscription revenue of $17.9 million, perpetual license and maintenance revenue of $1.1 million and professional services and other revenue of $0.4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 from existing customers comprised 44% of the increase, while the remaining increase was due to revenue from new customers since July 1, 2017. International revenue increased $7.9 million, or 61%.</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9,879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4,531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2"/>
                <w:szCs w:val="22"/>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53,713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38,801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14,912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$4.5 million was primarily due to:</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$2.0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$1.5 million increase in personnel costs primarily due to increased headcount;</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$0.6 million increase in allocated overhead costs driven by both the increase in headcount and the overall increase in such costs on a year-over-year basis; and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$0.2 million increase in depreciation and amortization.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41,826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27,773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$14.1 million was primarily due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$6.3 million increase in personnel costs largely associated with an increase in headcount;</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$4.4 million increase in sales commissions, including sales commission draws, due to increased sales and the amortization of deferred commissions;</w:t>
      </w:r>
    </w:p>
    <w:p>
      <w:pPr>
        <w:ind w:left="660" w:right="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$1.8 million increase in expenses for demand generation programs, including advertising, sponsorships and brand awareness efforts aimed at acquiring new customers;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$1.1 million increase in selling expenses, including travel and meeting costs and the costs of software subscriptions.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17,791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13,713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$4.1 million was primarily due to:</w:t>
      </w:r>
    </w:p>
    <w:p>
      <w:pPr>
        <w:spacing w:after="0" w:line="117" w:lineRule="exact"/>
        <w:rPr>
          <w:sz w:val="20"/>
          <w:szCs w:val="20"/>
          <w:color w:val="auto"/>
        </w:rPr>
      </w:pPr>
    </w:p>
    <w:p>
      <w:pPr>
        <w:ind w:left="660" w:right="2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$3.2 million increase in personnel costs largely associated with an increase in headcount, net of $0.4 million of development costs capitalized related to internal use software;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$0.3 million increase in third-party cloud infrastructure costs related to the development of new and future offerings;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$0.2 million increase in allocated overhead driven by both the increase in headcount and the overall increase in such costs on a year-over-year basis.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10,541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6,544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$4.0 million was primarily due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$2.3 million increase in personnel costs largely associated with an increase in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$1.1 million increase in professional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$0.2 million increase in software subscriptions.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122,699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84,630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38,069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1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increase in revenue of $38.1 million was comprised of increases in subscription revenue of $34.5 million, perpetual license and maintenance revenue of $2.6 million and professional services and other revenue of $1.0 million. Revenue from existing customers comprised 52% of the increase, while the remaining increase was due to revenue from new customers since July 1, 2017. International revenue increased $15.4 million, or 62%.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200" w:type="dxa"/>
            <w:vAlign w:val="bottom"/>
          </w:tcPr>
          <w:p>
            <w:pPr>
              <w:spacing w:after="0"/>
              <w:rPr>
                <w:sz w:val="19"/>
                <w:szCs w:val="19"/>
                <w:color w:val="auto"/>
              </w:rPr>
            </w:pPr>
          </w:p>
        </w:tc>
        <w:tc>
          <w:tcPr>
            <w:tcW w:w="1700" w:type="dxa"/>
            <w:vAlign w:val="bottom"/>
            <w:gridSpan w:val="3"/>
          </w:tcPr>
          <w:p>
            <w:pPr>
              <w:ind w:left="96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 ($)</w:t>
            </w:r>
          </w:p>
        </w:tc>
        <w:tc>
          <w:tcPr>
            <w:tcW w:w="98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18,607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9,786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8,821</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2"/>
                <w:szCs w:val="22"/>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104,092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74,844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29,248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$8.8 million was primarily due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$4.0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$2.8 million increase in personnel costs primarily due to increased headcount;</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$1.2 million increase in allocated overhead costs driven by both the increase in headcount and the overall increase in such costs on a year-over-year basis; and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$0.3 million increase in depreciation and amortization.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81,414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53,941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27,473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$27.5 million was primarily due to:</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$12.2 million increase in personnel costs largely associated with an increase in headcount;</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$7.1 million increase in sales commissions, including sales commission draws, due to increased sales and the amortization of deferred commissions;</w:t>
      </w:r>
    </w:p>
    <w:p>
      <w:pPr>
        <w:ind w:left="660" w:right="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$4.5 million increase in expenses for demand generation programs, including advertising, sponsorships and brand awareness efforts aimed at acquiring new customers;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$2.7 million increase in selling expenses, including travel and meeting costs and the costs of software subscriptions; and</w:t>
      </w:r>
    </w:p>
    <w:p>
      <w:pPr>
        <w:spacing w:after="0" w:line="9"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$0.7 million increase in allocated overhead costs,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4"/>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34,976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26,171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8,805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$8.8 million was primarily due to:</w:t>
      </w:r>
    </w:p>
    <w:p>
      <w:pPr>
        <w:spacing w:after="0" w:line="117" w:lineRule="exact"/>
        <w:rPr>
          <w:sz w:val="20"/>
          <w:szCs w:val="20"/>
          <w:color w:val="auto"/>
        </w:rPr>
      </w:pPr>
    </w:p>
    <w:p>
      <w:pPr>
        <w:ind w:left="660" w:right="2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$6.5 million increase in personnel costs largely associated with an increase in headcount, net of $0.9 million of development costs capitalized related to internal use software;</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$0.8 million increase in third-party cloud infrastructure costs related to the development of new and future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increase in event and travel costs, primarily for our inaugural user conference held in February 2017; and</w:t>
      </w:r>
    </w:p>
    <w:p>
      <w:pPr>
        <w:spacing w:after="0" w:line="9"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$0.3 million in allocated overhead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4"/>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19,596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$6.9 million was primarily due to:</w:t>
      </w:r>
    </w:p>
    <w:p>
      <w:pPr>
        <w:spacing w:after="0" w:line="6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$3.6 million increase in personnel costs largely associated with an increase in headcount;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million increase in professional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$0.4 million increase in software subscription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$0.2 million increase in travel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$0.2 million increase in depreciation and amortization.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At June 30, 2018, we had cash and cash equivalents, consisting of bank deposits and money market funds, of $23.7 million. Subsequent to quarter end, in July 2018 we received net proceeds of $265 million upon the completion of our IPO.</w:t>
      </w:r>
    </w:p>
    <w:p>
      <w:pPr>
        <w:spacing w:after="0" w:line="196"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prior to our IPO. The proceeds of our Series A and Series B redeemable convertible preferred stock financings were used to repurchase shares of capital stock from former stockholders. We have generated significant operating losses from our operations as reflected by our accumulated deficit of $425.6 million at June 30, 2018.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June 30, 2018, we had deferred revenue of $247.1 million, of which $174.3 million was recorded as a current liability and is expected to be recorded as revenue in the next 12 months, provided all other revenue recognition criteria are met.</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and investments in infrastructure. We expect to continue incurring operating losses and generating negative cash flows from operations in the near-term; however, we believe that our existing cash and cash equivalents, including cash proceeds from our IPO, together with amounts available under the revolving credit facility,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such as our new corporate headquarters, the expansion of sales and marketing and international operating activities, the timing of introduction of new product capabilities and enhancements of our platform and the continuing market acceptance of our platform.</w:t>
      </w:r>
    </w:p>
    <w:p>
      <w:pPr>
        <w:spacing w:after="0" w:line="21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with Silicon Valley Bank. Pursuant to the terms of the revolving credit facility, we may issue up to $5.0 million of letters of credit, which reduce the total amount available for borrowing under such facility. The revolving credit facility terminates on May 4, 2020. To date, we have not borrowed any amounts under the revolving credit facility.</w:t>
      </w:r>
    </w:p>
    <w:p>
      <w:pPr>
        <w:spacing w:after="0" w:line="20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We are required to pay a quarterly commitment fee that accrues at a rate of 0.25% per annum on the unused portion of the borrowing commitment.</w:t>
      </w:r>
    </w:p>
    <w:p>
      <w:pPr>
        <w:spacing w:after="0" w:line="202"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restrictions on indebtedness, liens, acquisitions and investments, restricted payments and dispositions. If, as of the last day of any quarter, the outstanding balance of the revolving credit facility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under the revolving credit facility at June 30, 2018.</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40" w:right="3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1,754</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the six months ended June 30, 2018, net cash provided by operating activities was $0.7 million, which primarily consisted of our $ 33.0 million loss, adjusted for stock-based compensation expense of $5.4 million and depreciation and amortization of $3.0 million, as well as a net cash inflow of $ 24.7 million from changes in operating assets and liabilities. The net inflow from changes in operating assets and liabilities was primarily due to a $21.3 million increase in deferred revenue primarily due to increased subscription sales as a majority of our customers are invoiced in advance.</w:t>
      </w:r>
    </w:p>
    <w:p>
      <w:pPr>
        <w:spacing w:after="0" w:line="20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the six months ended June 30, 2017, net cash provided by operating activities was $0.2 million, which primarily consisted of our $ 18.0 million loss, adjusted for stock-based compensation expense of $3.5 million and depreciation and amortization of $2.1 million, as well as a net cash inflow of $ 12.3 million from changes in operating assets and liabilities. The net inflow from changes in operating assets and liabilities was primarily due to a $19.5 million increase in deferred revenue from increased subscription sales, partially offset by a $6.1 million decrease in deferred commissions.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Net cash used in investing activities increased by $2.3 million, primarily due to additional internal use software development costs incurred in 2018, which are capitalized on our balance sheet.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Net cash provided by financing activities decreased by $2.6 million, primarily due to lower proceeds from the exercise of stock options and payments of deferred offering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there were no material changes in our contractual obligations and commitments from those disclosed in our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At June 30, 2018,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estimates are based on historical experience and various other assumptions that we believe to be reasonable under the circumstances. Our actual results could differ from these estimates.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 not yet adopted.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40" w:right="27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We had cash and cash equivalents of $23.7 million at June 30, 2018, consisting of cash deposits and money market funds. The primary objectives of our investment activities are the preservation of capital, the fulfillment of liquidity needs and the fiduciary control of cash and investments. We do not enter into investments for trading or speculative purposes. Due to the short-term nature of these instruments, we believe that we do not have any material exposure to changes in fair value as a result of changes in interest rates.</w:t>
      </w:r>
    </w:p>
    <w:p>
      <w:pPr>
        <w:spacing w:after="0" w:line="204"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20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A hypothetical 10% change in interest rates during any of the periods presented would not have had a material impact on our financial statements.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June 30, 2018, our disclosure controls and procedures were effective to provide reasonable assurance that the information required to be disclosed by us in this Form 10-Q was (a) reported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within the time periods specified by SEC rules and regulations, and (b) communicated to our management, including our Chief Executive Officer and Chief Financial Officer, to allow timely decisions regarding any required disclosure.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w:t>
      </w:r>
    </w:p>
    <w:p>
      <w:pPr>
        <w:spacing w:after="0" w:line="2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15d-15(d) of the Exchange Act during the period covered by this Quarterly Report on Form 10-Q that materially affected, or are reasonably likely to materially affect, our internal control over financial reporting.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40" w:right="27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have historically incurred net losses, including net losses of $37.2 million, $41.0 million and $33.0 million in 2016, 2017 and the six months ended June 30, 2018, respectively. As of June 30, 2018, we had an accumulated deficit of $425.6 million. Because the market for our offerings is highly competitive and rapidly evolving and these solutions have not yet reached widespread adoption, it is difficult for us to predict our future results of operations. 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20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From 2016 to 2017, our revenue grew from $ 124.4 million to $187.7 million, representing year-over-year growth of 51%. Our adoption of ASC 606 as of January 1, 2017 contributed three percentage points to that growth rate. From the six months ended June 30, 2017 to the six months ended June 30, 2018, our revenue grew from $84.6 million to $122.7 million.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20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0" w:lineRule="exact"/>
        <w:rPr>
          <w:sz w:val="20"/>
          <w:szCs w:val="20"/>
          <w:color w:val="auto"/>
        </w:rPr>
      </w:pPr>
    </w:p>
    <w:p>
      <w:pPr>
        <w:spacing w:after="0" w:line="218"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390" w:lineRule="exact"/>
        <w:rPr>
          <w:sz w:val="20"/>
          <w:szCs w:val="20"/>
          <w:color w:val="auto"/>
        </w:rPr>
      </w:pPr>
    </w:p>
    <w:p>
      <w:pPr>
        <w:ind w:left="340" w:right="220"/>
        <w:spacing w:after="0" w:line="269"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SecurityCenter,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such as HTTP/2,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00" w:lineRule="exact"/>
        <w:rPr>
          <w:sz w:val="20"/>
          <w:szCs w:val="20"/>
          <w:color w:val="auto"/>
        </w:rPr>
      </w:pPr>
    </w:p>
    <w:p>
      <w:pPr>
        <w:spacing w:after="0" w:line="22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400" w:lineRule="exact"/>
        <w:rPr>
          <w:sz w:val="20"/>
          <w:szCs w:val="20"/>
          <w:color w:val="auto"/>
        </w:rPr>
      </w:pPr>
    </w:p>
    <w:p>
      <w:pPr>
        <w:ind w:left="340" w:right="280"/>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to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0" w:lineRule="exact"/>
        <w:rPr>
          <w:sz w:val="20"/>
          <w:szCs w:val="20"/>
          <w:color w:val="auto"/>
        </w:rPr>
      </w:pPr>
    </w:p>
    <w:p>
      <w:pPr>
        <w:spacing w:after="0" w:line="222"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Any errors, defects, disruptions in service or other performance problems with our solutions may damage our customers’ business and could hurt our reputation. If our solutions or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00" w:lineRule="exact"/>
        <w:rPr>
          <w:sz w:val="20"/>
          <w:szCs w:val="20"/>
          <w:color w:val="auto"/>
        </w:rPr>
      </w:pPr>
    </w:p>
    <w:p>
      <w:pPr>
        <w:spacing w:after="0" w:line="22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396" w:lineRule="exact"/>
        <w:rPr>
          <w:sz w:val="20"/>
          <w:szCs w:val="20"/>
          <w:color w:val="auto"/>
        </w:rPr>
      </w:pPr>
    </w:p>
    <w:p>
      <w:pPr>
        <w:ind w:left="340" w:right="460"/>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19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40" w:right="239" w:bottom="1440" w:gutter="0" w:footer="0" w:header="0"/>
          <w:type w:val="continuous"/>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IT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effective tax rate; and</w:t>
      </w:r>
    </w:p>
    <w:p>
      <w:pPr>
        <w:spacing w:after="0" w:line="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9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0" w:lineRule="exact"/>
        <w:rPr>
          <w:sz w:val="20"/>
          <w:szCs w:val="20"/>
          <w:color w:val="auto"/>
        </w:rPr>
      </w:pPr>
    </w:p>
    <w:p>
      <w:pPr>
        <w:spacing w:after="0" w:line="22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and broader global distribution and presence. In addition, our industry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40" w:right="25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is evolving rapidly and is becoming increasingly competitive. Larger and more established companies may focus on cybersecurity and could directly compete with us. Smaller companies could also launch new products and services that we do not offer and that could gain market acceptance quickly.</w:t>
      </w:r>
    </w:p>
    <w:p>
      <w:pPr>
        <w:spacing w:after="0" w:line="200" w:lineRule="exact"/>
        <w:rPr>
          <w:sz w:val="20"/>
          <w:szCs w:val="20"/>
          <w:color w:val="auto"/>
        </w:rPr>
      </w:pPr>
    </w:p>
    <w:p>
      <w:pPr>
        <w:spacing w:after="0" w:line="21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public cloud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0" w:lineRule="exact"/>
        <w:rPr>
          <w:sz w:val="20"/>
          <w:szCs w:val="20"/>
          <w:color w:val="auto"/>
        </w:rPr>
      </w:pPr>
    </w:p>
    <w:p>
      <w:pPr>
        <w:spacing w:after="0" w:line="22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1" w:lineRule="exact"/>
        <w:rPr>
          <w:sz w:val="20"/>
          <w:szCs w:val="20"/>
          <w:color w:val="auto"/>
        </w:rPr>
      </w:pPr>
    </w:p>
    <w:p>
      <w:pPr>
        <w:ind w:left="340" w:right="520"/>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and there is no assurance that such activities will result in significant cost savings, revenue or other expected benefits. For example, we plan to release a new product, Tenable.io Lumin, and there can be no assurance that product will offer the benefits we expect or generate customer interest. We may also face delays or uncertainty in our release timing for Tenable.io Lumin that may be costly or reduce the benefits of Lumin.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200" w:lineRule="exact"/>
        <w:rPr>
          <w:sz w:val="20"/>
          <w:szCs w:val="20"/>
          <w:color w:val="auto"/>
        </w:rPr>
      </w:pPr>
    </w:p>
    <w:p>
      <w:pPr>
        <w:spacing w:after="0" w:line="206" w:lineRule="exact"/>
        <w:rPr>
          <w:sz w:val="20"/>
          <w:szCs w:val="20"/>
          <w:color w:val="auto"/>
        </w:rPr>
      </w:pPr>
    </w:p>
    <w:p>
      <w:pPr>
        <w:ind w:left="340" w:right="40"/>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Our subscription offerings are term-based and a majority of our subscription contracts entered into in 2017 and 2018 were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40" w:right="239" w:bottom="1440" w:gutter="0" w:footer="0" w:header="0"/>
          <w:type w:val="continuous"/>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00" w:lineRule="exact"/>
        <w:rPr>
          <w:sz w:val="20"/>
          <w:szCs w:val="20"/>
          <w:color w:val="auto"/>
        </w:rPr>
      </w:pPr>
    </w:p>
    <w:p>
      <w:pPr>
        <w:spacing w:after="0" w:line="22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while customers are typically invoiced in advance, including multi-year contracts, and our contracts generally do not provide for refunds during the subscription or maintenance period, a small number of customers could take the position that provisions in their customer agreements give them the right to terminate their agreement with us, or allege a material breach of their agreement with us, due to or in connection with the sale of our common stock. Early termination of these customer agreements for these reasons would generally only allow us to retain fees already paid by the customer for services rendered prior to the termination. Termination of these agreements, or allegations that we have breached one of these agreements with them, could decrease our customer revenue and increase legal and administrative costs.</w:t>
      </w:r>
    </w:p>
    <w:p>
      <w:pPr>
        <w:spacing w:after="0" w:line="200" w:lineRule="exact"/>
        <w:rPr>
          <w:sz w:val="20"/>
          <w:szCs w:val="20"/>
          <w:color w:val="auto"/>
        </w:rPr>
      </w:pPr>
    </w:p>
    <w:p>
      <w:pPr>
        <w:spacing w:after="0" w:line="203"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0" w:lineRule="exact"/>
        <w:rPr>
          <w:sz w:val="20"/>
          <w:szCs w:val="20"/>
          <w:color w:val="auto"/>
        </w:rPr>
      </w:pPr>
    </w:p>
    <w:p>
      <w:pPr>
        <w:spacing w:after="0" w:line="21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0" w:lineRule="exact"/>
        <w:rPr>
          <w:sz w:val="20"/>
          <w:szCs w:val="20"/>
          <w:color w:val="auto"/>
        </w:rPr>
      </w:pPr>
    </w:p>
    <w:p>
      <w:pPr>
        <w:spacing w:after="0" w:line="21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 cause us to issue credits to customers, subject us to potential liability and cause customers to not renew their purchases of our solutions.</w:t>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at any time, with no or limited notice. For example, our agreement with AWS allows AWS to terminate the agreement with 30 days’ written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0" w:lineRule="exact"/>
        <w:rPr>
          <w:sz w:val="20"/>
          <w:szCs w:val="20"/>
          <w:color w:val="auto"/>
        </w:rPr>
      </w:pPr>
    </w:p>
    <w:p>
      <w:pPr>
        <w:spacing w:after="0" w:line="225"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751 employees as of December 31, 2016 to 984 employees as of December 31, 2017 and to 1,152 employees as of June 30, 2018.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200" w:lineRule="exact"/>
        <w:rPr>
          <w:sz w:val="20"/>
          <w:szCs w:val="20"/>
          <w:color w:val="auto"/>
        </w:rPr>
      </w:pPr>
    </w:p>
    <w:p>
      <w:pPr>
        <w:spacing w:after="0" w:line="229" w:lineRule="exact"/>
        <w:rPr>
          <w:sz w:val="20"/>
          <w:szCs w:val="20"/>
          <w:color w:val="auto"/>
        </w:rPr>
      </w:pPr>
    </w:p>
    <w:p>
      <w:pPr>
        <w:jc w:val="both"/>
        <w:ind w:right="26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400" w:lineRule="exact"/>
        <w:rPr>
          <w:sz w:val="20"/>
          <w:szCs w:val="20"/>
          <w:color w:val="auto"/>
        </w:rPr>
      </w:pPr>
    </w:p>
    <w:p>
      <w:pPr>
        <w:ind w:left="340" w:right="60"/>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2016, 2017 and the six months ended June 30, 2017 and 2018, we derived 80%, 83%, 81% and 87%, respectively, of our revenue from subscriptions and perpetual licenses sold through channel partners, and the percentage of revenue derived from channel partners may increase in future periods. Ingram Micro, Inc., a distributor, accounted for 42%, 45% 42% and 46% of our revenue in 2016, 2017 and the six months ended June 30, 2017 and 2018, respectively, and 51% of our accounts receivable as of each of December 31, 2016 and 2017 and 48% as of June 30, 2018. At December 31, 2017, our channel partners accounted for over 20% of our new enterprise customer sales.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200" w:lineRule="exact"/>
        <w:rPr>
          <w:sz w:val="20"/>
          <w:szCs w:val="20"/>
          <w:color w:val="auto"/>
        </w:rPr>
      </w:pPr>
    </w:p>
    <w:p>
      <w:pPr>
        <w:spacing w:after="0" w:line="202" w:lineRule="exact"/>
        <w:rPr>
          <w:sz w:val="20"/>
          <w:szCs w:val="20"/>
          <w:color w:val="auto"/>
        </w:rPr>
      </w:pPr>
    </w:p>
    <w:p>
      <w:pPr>
        <w:ind w:left="340" w:right="100"/>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00" w:lineRule="exact"/>
        <w:rPr>
          <w:sz w:val="20"/>
          <w:szCs w:val="20"/>
          <w:color w:val="auto"/>
        </w:rPr>
      </w:pPr>
    </w:p>
    <w:p>
      <w:pPr>
        <w:spacing w:after="0" w:line="22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enterprise platform and to grow or maintain our customer base. In addition, engaging in sales activities to foreign governments introduces additional compliance risks, including risks specific to the U.S. Foreign Corrupt Practices Act of 1977, as amended, or the FCPA, the U.K. Bribery Act 2010 and other similar statutory requirements prohibiting bribery and corruption in the jurisdictions in which we operate.</w:t>
      </w:r>
    </w:p>
    <w:p>
      <w:pPr>
        <w:spacing w:after="0" w:line="200" w:lineRule="exact"/>
        <w:rPr>
          <w:sz w:val="20"/>
          <w:szCs w:val="20"/>
          <w:color w:val="auto"/>
        </w:rPr>
      </w:pPr>
    </w:p>
    <w:p>
      <w:pPr>
        <w:spacing w:after="0" w:line="21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0" w:lineRule="exact"/>
        <w:rPr>
          <w:sz w:val="20"/>
          <w:szCs w:val="20"/>
          <w:color w:val="auto"/>
        </w:rPr>
      </w:pPr>
    </w:p>
    <w:p>
      <w:pPr>
        <w:spacing w:after="0" w:line="218"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0" w:lineRule="exact"/>
        <w:rPr>
          <w:sz w:val="20"/>
          <w:szCs w:val="20"/>
          <w:color w:val="auto"/>
        </w:rPr>
      </w:pPr>
    </w:p>
    <w:p>
      <w:pPr>
        <w:spacing w:after="0" w:line="22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reduce our prices or change our pricing model to remain competitive.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that can be monitored, or the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200" w:lineRule="exact"/>
        <w:rPr>
          <w:sz w:val="20"/>
          <w:szCs w:val="20"/>
          <w:color w:val="auto"/>
        </w:rPr>
      </w:pPr>
    </w:p>
    <w:p>
      <w:pPr>
        <w:spacing w:after="0" w:line="201" w:lineRule="exact"/>
        <w:rPr>
          <w:sz w:val="20"/>
          <w:szCs w:val="20"/>
          <w:color w:val="auto"/>
        </w:rPr>
      </w:pPr>
    </w:p>
    <w:p>
      <w:pPr>
        <w:ind w:left="340" w:right="820"/>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w:t>
      </w:r>
    </w:p>
    <w:p>
      <w:pPr>
        <w:spacing w:after="0" w:line="17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enterprise platform offerings are generally priced based on the number of IT assets or IP addresses that a customer chooses to monitor. As the amount of IT assets or IP addresses within our customers’ organizations grows, we may face pressure from our customers regarding our pricing, which could adversely affect our revenue and operating margins.</w:t>
      </w:r>
    </w:p>
    <w:p>
      <w:pPr>
        <w:spacing w:after="0" w:line="200" w:lineRule="exact"/>
        <w:rPr>
          <w:sz w:val="20"/>
          <w:szCs w:val="20"/>
          <w:color w:val="auto"/>
        </w:rPr>
      </w:pPr>
    </w:p>
    <w:p>
      <w:pPr>
        <w:spacing w:after="0" w:line="21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400" w:lineRule="exact"/>
        <w:rPr>
          <w:sz w:val="20"/>
          <w:szCs w:val="20"/>
          <w:color w:val="auto"/>
        </w:rPr>
      </w:pPr>
    </w:p>
    <w:p>
      <w:pPr>
        <w:ind w:left="340" w:right="640"/>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Tenable.io</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140" w:right="259" w:bottom="1440" w:gutter="0" w:footer="0" w:header="0"/>
          <w:type w:val="continuous"/>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does not garner widespread market adoption and implementation, our operating results and competitive position could suffer.</w:t>
      </w:r>
    </w:p>
    <w:p>
      <w:pPr>
        <w:spacing w:after="0" w:line="200" w:lineRule="exact"/>
        <w:rPr>
          <w:sz w:val="20"/>
          <w:szCs w:val="20"/>
          <w:color w:val="auto"/>
        </w:rPr>
      </w:pPr>
    </w:p>
    <w:p>
      <w:pPr>
        <w:spacing w:after="0" w:line="241" w:lineRule="exact"/>
        <w:rPr>
          <w:sz w:val="20"/>
          <w:szCs w:val="20"/>
          <w:color w:val="auto"/>
        </w:rPr>
      </w:pPr>
    </w:p>
    <w:p>
      <w:pPr>
        <w:jc w:val="both"/>
        <w:ind w:right="260" w:firstLine="324"/>
        <w:spacing w:after="0" w:line="262" w:lineRule="auto"/>
        <w:rPr>
          <w:sz w:val="20"/>
          <w:szCs w:val="20"/>
          <w:color w:val="auto"/>
        </w:rPr>
      </w:pPr>
      <w:r>
        <w:rPr>
          <w:rFonts w:ascii="Arial" w:cs="Arial" w:eastAsia="Arial" w:hAnsi="Arial"/>
          <w:sz w:val="18"/>
          <w:szCs w:val="18"/>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200" w:lineRule="exact"/>
        <w:rPr>
          <w:sz w:val="20"/>
          <w:szCs w:val="20"/>
          <w:color w:val="auto"/>
        </w:rPr>
      </w:pPr>
    </w:p>
    <w:p>
      <w:pPr>
        <w:spacing w:after="0" w:line="212"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19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business conditions for our customers, causing them to delay IT purchases;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396" w:lineRule="exact"/>
        <w:rPr>
          <w:sz w:val="20"/>
          <w:szCs w:val="20"/>
          <w:color w:val="auto"/>
        </w:rPr>
      </w:pPr>
    </w:p>
    <w:p>
      <w:pPr>
        <w:ind w:left="340" w:right="80"/>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200" w:lineRule="exact"/>
        <w:rPr>
          <w:sz w:val="20"/>
          <w:szCs w:val="20"/>
          <w:color w:val="auto"/>
        </w:rPr>
      </w:pPr>
    </w:p>
    <w:p>
      <w:pPr>
        <w:spacing w:after="0" w:line="204" w:lineRule="exact"/>
        <w:rPr>
          <w:sz w:val="20"/>
          <w:szCs w:val="20"/>
          <w:color w:val="auto"/>
        </w:rPr>
      </w:pPr>
    </w:p>
    <w:p>
      <w:pPr>
        <w:ind w:left="340" w:right="460"/>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40" w:right="27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right="560"/>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31% and 33% of our revenue in 2017 and the six months ended June 30, 2018,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20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referendum in June 2016 in which voters approved an exit from the European Union, commonly referred to as “Brexit”;</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1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200" w:lineRule="exact"/>
        <w:rPr>
          <w:sz w:val="20"/>
          <w:szCs w:val="20"/>
          <w:color w:val="auto"/>
        </w:rPr>
      </w:pPr>
    </w:p>
    <w:p>
      <w:pPr>
        <w:spacing w:after="0" w:line="206" w:lineRule="exact"/>
        <w:rPr>
          <w:sz w:val="20"/>
          <w:szCs w:val="20"/>
          <w:color w:val="auto"/>
        </w:rPr>
      </w:pPr>
    </w:p>
    <w:p>
      <w:pPr>
        <w:ind w:left="340" w:right="760"/>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40" w:right="27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0" w:lineRule="exact"/>
        <w:rPr>
          <w:sz w:val="20"/>
          <w:szCs w:val="20"/>
          <w:color w:val="auto"/>
        </w:rPr>
      </w:pPr>
    </w:p>
    <w:p>
      <w:pPr>
        <w:spacing w:after="0" w:line="22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For example, we developed our Industrial Security solution in partnership with Siemens.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w:t>
      </w:r>
    </w:p>
    <w:p>
      <w:pPr>
        <w:spacing w:after="0" w:line="200" w:lineRule="exact"/>
        <w:rPr>
          <w:sz w:val="20"/>
          <w:szCs w:val="20"/>
          <w:color w:val="auto"/>
        </w:rPr>
      </w:pPr>
    </w:p>
    <w:p>
      <w:pPr>
        <w:spacing w:after="0" w:line="22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140" w:right="259" w:bottom="1440" w:gutter="0" w:footer="0" w:header="0"/>
          <w:type w:val="continuous"/>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have in the past acquired products and technologies from other parties, and we may choose to expand our current business by acquiring additional businesses or technologies in the future. Acquisitions involve many risks, including the following:</w:t>
      </w:r>
    </w:p>
    <w:p>
      <w:pPr>
        <w:spacing w:after="0" w:line="196" w:lineRule="exact"/>
        <w:rPr>
          <w:sz w:val="20"/>
          <w:szCs w:val="20"/>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400" w:lineRule="exact"/>
        <w:rPr>
          <w:sz w:val="20"/>
          <w:szCs w:val="20"/>
          <w:color w:val="auto"/>
        </w:rPr>
      </w:pPr>
    </w:p>
    <w:p>
      <w:pPr>
        <w:ind w:left="340" w:right="220"/>
        <w:spacing w:after="0" w:line="28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 all.</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right="500"/>
        <w:spacing w:after="0" w:line="269"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revenue recognition rules.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0" w:lineRule="exact"/>
        <w:rPr>
          <w:sz w:val="20"/>
          <w:szCs w:val="20"/>
          <w:color w:val="auto"/>
        </w:rPr>
      </w:pPr>
    </w:p>
    <w:p>
      <w:pPr>
        <w:ind w:right="480" w:firstLine="324"/>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or FASB,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0" w:lineRule="exact"/>
        <w:rPr>
          <w:sz w:val="20"/>
          <w:szCs w:val="20"/>
          <w:color w:val="auto"/>
        </w:rPr>
      </w:pPr>
    </w:p>
    <w:p>
      <w:pPr>
        <w:spacing w:after="0" w:line="2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For example, in May 2014, the FASB issued new accounting guidance on revenue recognition in the form of ASU No.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 (Topic 606)</w:t>
      </w:r>
      <w:r>
        <w:rPr>
          <w:rFonts w:ascii="Arial" w:cs="Arial" w:eastAsia="Arial" w:hAnsi="Arial"/>
          <w:sz w:val="18"/>
          <w:szCs w:val="18"/>
          <w:color w:val="auto"/>
        </w:rPr>
        <w:t>, or ASC 606. The core principle of ASC 606 is that an entity should recognize revenue to depict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promised goods or services to customers in an amount that reflects the consideration to which the entity expects to be entitled in exchange for those goods or services. We early adopted ASC 606 as of January 1, 2017. The most significant impact of adopting ASC 606 was the deferral of perpetual license revenue over an estimated economic life, including estimated maintenance renewal periods, whereas under previous guidance we recognized perpetual license revenue upon delivery of the perpetual license. The impact of the adoption of ASC 606 on our 2017 revenue was a net increase of $3.5 million after giving effect to the recognition of perpetual license revenue from prior year sales and the deferral of perpetual license revenue from 2017 sales. Additionally, the incremental costs of obtaining a contract with a customer are deferred and will be amortized over a longer estimated period of benefit, whereas under previous guidance such costs were recognized immediately or amortized over the contract term.</w:t>
      </w:r>
    </w:p>
    <w:p>
      <w:pPr>
        <w:spacing w:after="0" w:line="398" w:lineRule="exact"/>
        <w:rPr>
          <w:sz w:val="20"/>
          <w:szCs w:val="20"/>
          <w:color w:val="auto"/>
        </w:rPr>
      </w:pPr>
    </w:p>
    <w:p>
      <w:pPr>
        <w:ind w:left="340" w:right="8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estimated economic life of perpetual licenses for revenue recognition, the estimated period of benefit for deferred commissions, income taxes and the related valuation allowance and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00" w:lineRule="exact"/>
        <w:rPr>
          <w:sz w:val="20"/>
          <w:szCs w:val="20"/>
          <w:color w:val="auto"/>
        </w:rPr>
      </w:pPr>
    </w:p>
    <w:p>
      <w:pPr>
        <w:spacing w:after="0" w:line="22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200" w:lineRule="exact"/>
        <w:rPr>
          <w:sz w:val="20"/>
          <w:szCs w:val="20"/>
          <w:color w:val="auto"/>
        </w:rPr>
      </w:pPr>
    </w:p>
    <w:p>
      <w:pPr>
        <w:spacing w:after="0" w:line="203" w:lineRule="exact"/>
        <w:rPr>
          <w:sz w:val="20"/>
          <w:szCs w:val="20"/>
          <w:color w:val="auto"/>
        </w:rPr>
      </w:pPr>
    </w:p>
    <w:p>
      <w:pPr>
        <w:ind w:left="340" w:right="660"/>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40" w:right="27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As of December 31, 2017 we had federal, state and foreign net operating loss carryforwards, or NOLs, of $103.7 million, $38.6 million, and $18.4 million, respectively, available to offset future taxable income, which begin to expire in 2030. A lack of future taxable income would adversely affect our ability to utilize these NOLs before they expire.</w:t>
      </w:r>
    </w:p>
    <w:p>
      <w:pPr>
        <w:spacing w:after="0" w:line="200" w:lineRule="exact"/>
        <w:rPr>
          <w:sz w:val="20"/>
          <w:szCs w:val="20"/>
          <w:color w:val="auto"/>
        </w:rPr>
      </w:pPr>
    </w:p>
    <w:p>
      <w:pPr>
        <w:spacing w:after="0" w:line="21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 -50-percent ownership change over a three-year testing period. Based upon our analysis as of December 31, 2017, we have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200" w:lineRule="exact"/>
        <w:rPr>
          <w:sz w:val="20"/>
          <w:szCs w:val="20"/>
          <w:color w:val="auto"/>
        </w:rPr>
      </w:pPr>
    </w:p>
    <w:p>
      <w:pPr>
        <w:spacing w:after="0" w:line="201" w:lineRule="exact"/>
        <w:rPr>
          <w:sz w:val="20"/>
          <w:szCs w:val="20"/>
          <w:color w:val="auto"/>
        </w:rPr>
      </w:pPr>
    </w:p>
    <w:p>
      <w:pPr>
        <w:ind w:left="340" w:right="240"/>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00" w:lineRule="exact"/>
        <w:rPr>
          <w:sz w:val="20"/>
          <w:szCs w:val="20"/>
          <w:color w:val="auto"/>
        </w:rPr>
      </w:pP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December 22, 2017, U.S. Federal tax reform was enacted with the signing of the Tax Cuts and Jobs Act, or TCJA. Notable provisions of the TCJA include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w:t>
      </w:r>
    </w:p>
    <w:p>
      <w:pPr>
        <w:spacing w:after="0" w:line="200" w:lineRule="exact"/>
        <w:rPr>
          <w:sz w:val="20"/>
          <w:szCs w:val="20"/>
          <w:color w:val="auto"/>
        </w:rPr>
      </w:pPr>
    </w:p>
    <w:p>
      <w:pPr>
        <w:spacing w:after="0" w:line="22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While the changes from the TCJA are generally effective beginning in 2018, U.S. GAAP accounting for income taxes requires the effect of a change in tax laws or rates to be recognized in income from continuing operations for the period that includes the enactment date. Due to the complexities involved in accounting for the enactment of the TCJA, the Securities and Exchange Commission published Staff Accounting Bulletin No. 118, which allows us to record provisional amounts in earnings for the year ended December 31, 2017. Where reasonable estimates can be made, the provisional accounting should be based on such estimates. When no reasonable estimate can be made, the provisional accounting may be based on the tax law in effect before the TCJA. We are required to complete our tax accounting for the TCJA in the period when we have obtained, prepared, and analyzed the information to complete the income tax accounting, or by December 22, 2018, whichever date comes first.</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140" w:right="259" w:bottom="1440" w:gutter="0" w:footer="0" w:header="0"/>
          <w:type w:val="continuous"/>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not completed our accounting for the tax effects of enactment of the TCJA; however, as we describe in Note 8 to our consolidated financial statements appearing elsewhere in this Quarterly Report on Form 10-Q, we have made reasonable estimates of the effects of the TCJA in certain cases in our financial statements that are included as a component of income tax expense. The U.S. Department of Treasury has broad authority to issue regulations and interpretative guidance that may significantly impact how we will apply the law and impact our results of operations in the period issued. As additional regulatory guidance is issued by the applicable taxing authorities, as accounting treatment is clarified, as we perform additional analysis on the application of the law, and as we refine estimates in calculating the effect, our final analysis, which will be recorded in the period completed, may be different from our current provisional amounts, which could materially affect our tax obligations and effective tax rate.</w:t>
      </w:r>
    </w:p>
    <w:p>
      <w:pPr>
        <w:spacing w:after="0" w:line="400" w:lineRule="exact"/>
        <w:rPr>
          <w:sz w:val="20"/>
          <w:szCs w:val="20"/>
          <w:color w:val="auto"/>
        </w:rPr>
      </w:pPr>
    </w:p>
    <w:p>
      <w:pPr>
        <w:ind w:left="340" w:right="260"/>
        <w:spacing w:after="0" w:line="269"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sell directly and indirectly, via third-party representatives, to the U.S. and non-U.S. government sectors, and our employees and third-party representatives interact with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00" w:lineRule="exact"/>
        <w:rPr>
          <w:sz w:val="20"/>
          <w:szCs w:val="20"/>
          <w:color w:val="auto"/>
        </w:rPr>
      </w:pPr>
    </w:p>
    <w:p>
      <w:pPr>
        <w:spacing w:after="0" w:line="204" w:lineRule="exact"/>
        <w:rPr>
          <w:sz w:val="20"/>
          <w:szCs w:val="20"/>
          <w:color w:val="auto"/>
        </w:rPr>
      </w:pPr>
    </w:p>
    <w:p>
      <w:pPr>
        <w:ind w:left="340" w:right="360"/>
        <w:spacing w:after="0" w:line="269"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00" w:lineRule="exact"/>
        <w:rPr>
          <w:sz w:val="20"/>
          <w:szCs w:val="20"/>
          <w:color w:val="auto"/>
        </w:rPr>
      </w:pPr>
    </w:p>
    <w:p>
      <w:pPr>
        <w:spacing w:after="0" w:line="22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400" w:lineRule="exact"/>
        <w:rPr>
          <w:sz w:val="20"/>
          <w:szCs w:val="20"/>
          <w:color w:val="auto"/>
        </w:rPr>
      </w:pPr>
    </w:p>
    <w:p>
      <w:pPr>
        <w:ind w:left="340" w:right="520"/>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0" w:lineRule="exact"/>
        <w:rPr>
          <w:sz w:val="20"/>
          <w:szCs w:val="20"/>
          <w:color w:val="auto"/>
        </w:rPr>
      </w:pPr>
    </w:p>
    <w:p>
      <w:pPr>
        <w:spacing w:after="0" w:line="220"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As of June 30, 2018, we had 14 issued patents and three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and “Tenable.io”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0" w:lineRule="exact"/>
        <w:rPr>
          <w:sz w:val="20"/>
          <w:szCs w:val="20"/>
          <w:color w:val="auto"/>
        </w:rPr>
      </w:pP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400" w:lineRule="exact"/>
        <w:rPr>
          <w:sz w:val="20"/>
          <w:szCs w:val="20"/>
          <w:color w:val="auto"/>
        </w:rPr>
      </w:pPr>
    </w:p>
    <w:p>
      <w:pPr>
        <w:ind w:left="340" w:right="220"/>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0" w:lineRule="exact"/>
        <w:rPr>
          <w:sz w:val="20"/>
          <w:szCs w:val="20"/>
          <w:color w:val="auto"/>
        </w:rPr>
      </w:pPr>
    </w:p>
    <w:p>
      <w:pPr>
        <w:spacing w:after="0" w:line="22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200" w:lineRule="exact"/>
        <w:rPr>
          <w:sz w:val="20"/>
          <w:szCs w:val="20"/>
          <w:color w:val="auto"/>
        </w:rPr>
      </w:pPr>
    </w:p>
    <w:p>
      <w:pPr>
        <w:spacing w:after="0" w:line="207" w:lineRule="exact"/>
        <w:rPr>
          <w:sz w:val="20"/>
          <w:szCs w:val="20"/>
          <w:color w:val="auto"/>
        </w:rPr>
      </w:pPr>
    </w:p>
    <w:p>
      <w:pPr>
        <w:ind w:left="340" w:right="400"/>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00" w:lineRule="exact"/>
        <w:rPr>
          <w:sz w:val="20"/>
          <w:szCs w:val="20"/>
          <w:color w:val="auto"/>
        </w:rPr>
      </w:pPr>
    </w:p>
    <w:p>
      <w:pPr>
        <w:spacing w:after="0" w:line="228"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20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10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common stock by us or our stockholders;</w:t>
      </w:r>
    </w:p>
    <w:p>
      <w:pPr>
        <w:ind w:left="660" w:right="5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continue to develop or be sustained.</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400" w:lineRule="exact"/>
        <w:rPr>
          <w:sz w:val="20"/>
          <w:szCs w:val="20"/>
          <w:color w:val="auto"/>
        </w:rPr>
      </w:pPr>
    </w:p>
    <w:p>
      <w:pPr>
        <w:ind w:left="340" w:right="30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200" w:lineRule="exact"/>
        <w:rPr>
          <w:sz w:val="20"/>
          <w:szCs w:val="20"/>
          <w:color w:val="auto"/>
        </w:rPr>
      </w:pPr>
    </w:p>
    <w:p>
      <w:pPr>
        <w:spacing w:after="0" w:line="206" w:lineRule="exact"/>
        <w:rPr>
          <w:sz w:val="20"/>
          <w:szCs w:val="20"/>
          <w:color w:val="auto"/>
        </w:rPr>
      </w:pPr>
    </w:p>
    <w:p>
      <w:pPr>
        <w:ind w:left="340" w:right="240"/>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Shares of our common stock owned by our directors, executive officers and substantially all of</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0" w:right="25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stockholders are restricted as a result of securities laws, lock-up agreements or other contractual restrictions that restrict transfers for 180 days after the date of our IPO. Subject to certain limitations, 80,179,454 shares of our common stock will be eligible for sale upon the expiration of this 180-day lock-up period. The underwriters in our IPO may, in their sole discretion, permit our stockholders who are subject to these lock-up agreements to sell shares prior to the expiration of the lock-up agreements.</w:t>
      </w:r>
    </w:p>
    <w:p>
      <w:pPr>
        <w:spacing w:after="0" w:line="200" w:lineRule="exact"/>
        <w:rPr>
          <w:sz w:val="20"/>
          <w:szCs w:val="20"/>
          <w:color w:val="auto"/>
        </w:rPr>
      </w:pPr>
    </w:p>
    <w:p>
      <w:pPr>
        <w:spacing w:after="0" w:line="22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Additionally, stockholders holding 70,927,042 shares of our common stock outstanding, will, after the expiration of the lock-up periods specified above, have the right, subject to various conditions and limitations, to include their shares of our common stock in registration statements relating to our securities. If the offer and sale of these shares are registered, they will be freely tradable without restriction under the Securities Act. Shares of common stock sold under such registration statements can be freely sold in the public market. In the event such registration rights are exercised and a large number of shares of common stock are sold in the public market, such sales could reduce the trading price of our common stock.</w:t>
      </w:r>
    </w:p>
    <w:p>
      <w:pPr>
        <w:spacing w:after="0" w:line="200" w:lineRule="exact"/>
        <w:rPr>
          <w:sz w:val="20"/>
          <w:szCs w:val="20"/>
          <w:color w:val="auto"/>
        </w:rPr>
      </w:pPr>
    </w:p>
    <w:p>
      <w:pPr>
        <w:spacing w:after="0" w:line="225"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In addition, in the future we may issue common stock or other securities convertible into shares of our common stock from time to time in connection with a financing, acquisition, investment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398" w:lineRule="exact"/>
        <w:rPr>
          <w:sz w:val="20"/>
          <w:szCs w:val="20"/>
          <w:color w:val="auto"/>
        </w:rPr>
      </w:pPr>
    </w:p>
    <w:p>
      <w:pPr>
        <w:ind w:left="340" w:right="100"/>
        <w:spacing w:after="0" w:line="269"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398" w:lineRule="exact"/>
        <w:rPr>
          <w:sz w:val="20"/>
          <w:szCs w:val="20"/>
          <w:color w:val="auto"/>
        </w:rPr>
      </w:pPr>
    </w:p>
    <w:p>
      <w:pPr>
        <w:ind w:left="340" w:right="30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Stock Market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00" w:lineRule="exact"/>
        <w:rPr>
          <w:sz w:val="20"/>
          <w:szCs w:val="20"/>
          <w:color w:val="auto"/>
        </w:rPr>
      </w:pPr>
    </w:p>
    <w:p>
      <w:pPr>
        <w:spacing w:after="0" w:line="22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0" w:right="25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0" w:lineRule="exact"/>
        <w:rPr>
          <w:sz w:val="20"/>
          <w:szCs w:val="20"/>
          <w:color w:val="auto"/>
        </w:rPr>
      </w:pPr>
    </w:p>
    <w:p>
      <w:pPr>
        <w:spacing w:after="0" w:line="22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200" w:lineRule="exact"/>
        <w:rPr>
          <w:sz w:val="20"/>
          <w:szCs w:val="20"/>
          <w:color w:val="auto"/>
        </w:rPr>
      </w:pPr>
    </w:p>
    <w:p>
      <w:pPr>
        <w:spacing w:after="0" w:line="220"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390"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200" w:lineRule="exact"/>
        <w:rPr>
          <w:sz w:val="20"/>
          <w:szCs w:val="20"/>
          <w:color w:val="auto"/>
        </w:rPr>
      </w:pPr>
    </w:p>
    <w:p>
      <w:pPr>
        <w:spacing w:after="0" w:line="203" w:lineRule="exact"/>
        <w:rPr>
          <w:sz w:val="20"/>
          <w:szCs w:val="20"/>
          <w:color w:val="auto"/>
        </w:rPr>
      </w:pPr>
    </w:p>
    <w:p>
      <w:pPr>
        <w:ind w:left="340"/>
        <w:spacing w:after="0" w:line="26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for the year ending December 31, 2019.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will be required to disclose significant changes made in our internal control procedures on a quarterly basis.</w:t>
      </w:r>
    </w:p>
    <w:p>
      <w:pPr>
        <w:spacing w:after="0" w:line="200" w:lineRule="exact"/>
        <w:rPr>
          <w:sz w:val="20"/>
          <w:szCs w:val="20"/>
          <w:color w:val="auto"/>
        </w:rPr>
      </w:pPr>
    </w:p>
    <w:p>
      <w:pPr>
        <w:spacing w:after="0" w:line="22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0" w:lineRule="exact"/>
        <w:rPr>
          <w:sz w:val="20"/>
          <w:szCs w:val="20"/>
          <w:color w:val="auto"/>
        </w:rPr>
      </w:pP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140" w:right="239" w:bottom="1440" w:gutter="0" w:footer="0" w:header="0"/>
          <w:type w:val="continuous"/>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19" w:lineRule="exact"/>
        <w:rPr>
          <w:sz w:val="20"/>
          <w:szCs w:val="20"/>
          <w:color w:val="auto"/>
        </w:rPr>
      </w:pPr>
    </w:p>
    <w:p>
      <w:pPr>
        <w:jc w:val="both"/>
        <w:ind w:left="340" w:right="220"/>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4" w:lineRule="exact"/>
        <w:rPr>
          <w:sz w:val="20"/>
          <w:szCs w:val="20"/>
          <w:color w:val="auto"/>
        </w:rPr>
      </w:pPr>
    </w:p>
    <w:p>
      <w:pPr>
        <w:ind w:left="660" w:right="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3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right="2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jc w:val="both"/>
        <w:ind w:left="660" w:right="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390" w:lineRule="exact"/>
        <w:rPr>
          <w:sz w:val="20"/>
          <w:szCs w:val="20"/>
          <w:color w:val="auto"/>
        </w:rPr>
      </w:pPr>
    </w:p>
    <w:p>
      <w:pPr>
        <w:ind w:left="340" w:right="28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Our amended and restated certificate of incorporation further provides that the U.S. federal district courts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amended 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restated certificate of incorporation to be inapplicable or unenforceable in an action, we may incur additional costs associated with resolving such action in other jurisdictions, which could adversely affect our results of operations and financial condition.</w:t>
      </w:r>
    </w:p>
    <w:p>
      <w:pPr>
        <w:spacing w:after="0" w:line="390" w:lineRule="exact"/>
        <w:rPr>
          <w:sz w:val="20"/>
          <w:szCs w:val="20"/>
          <w:color w:val="auto"/>
        </w:rPr>
      </w:pPr>
    </w:p>
    <w:p>
      <w:pPr>
        <w:ind w:left="340" w:right="90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(1) the first fiscal year following the fifth anniversary of our IPO; (2) the first fiscal year after our annual gross revenue is $1.07 billion or more; (3) the date on which we have, during the previous three -year period, issued more than $1.0 billion in non-convertible debt securities; or (4) as of the end of any fiscal year in which the market value of our common stock held by non-affiliates exceeded $ 700.0 million as of the end of the second quarter of that fiscal year. We cannot predict if investors will find our common stock less attractive if we choose to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April 1, 2018 through June 30, 2018, we have granted under our 2016 Stock Incentive Plan options to purchase an aggregate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4,748,648 shares of our common stock to a total of 159 employees, consultants and directors, having exercise prices ranging from $14.06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 per share. In the same period, we granted 973,800 restricted stock units to a total of 932 employees with a weighted average 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$16.21 per share. We did not grant any restricted stock awards during the period.</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offers, sales and issuances of the securities described in this section were exempt from registration either under Rule 701 promulgated under the Securities Act, in that the transactions were under written compensatory benefit plans and contracts relating to compensation, or under Section 4(a)(2) of the Securities Act or Regulation D promulgated under the Securities Act in that the transactions did not involve any public offering within the meaning of Section 4(a)(2) or, in certain cases, were acquired by accredited investors. The recipients of such securities were our employees or directors and received the securities under our equity incentive plans. Appropriate legends were affixed to the securities issued in these transactions.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in the registration statement were sold.</w:t>
      </w:r>
    </w:p>
    <w:p>
      <w:pPr>
        <w:spacing w:after="0" w:line="204"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auto"/>
        </w:rPr>
        <w:t>We received net proceeds of $265 million after deducting underwriting discounts and commissions and offering expenses. No offering expenses were paid directly or indirectly to any of our directors, officers or persons owning ten percent or more of our capital stock (or their associates or affiliates).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0" w:right="25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material change in the planned use of the IPO proceeds as described in our Prospectus.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Repurchase of Shares of Equity Securities</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May 2018, we purchased 6,737 shares of common stock from an employee for $ 10.97 per share pursuant to a right of first offer under a right of first refusal agreement in effect prior to the IPO, which terminated in connection with the IPO. We purchased the shares from the employee at a price per share equal to fair market value as determined by a third-party valuation as of a recent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140" w:right="33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ectPr>
          <w:pgSz w:w="11900" w:h="16838" w:orient="portrait"/>
          <w:cols w:equalWidth="0" w:num="1">
            <w:col w:w="11360"/>
          </w:cols>
          <w:pgMar w:left="240" w:top="140" w:right="29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8"/>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gridSpan w:val="11"/>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311"/>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700" w:type="dxa"/>
            <w:vAlign w:val="bottom"/>
            <w:tcBorders>
              <w:top w:val="single" w:sz="8" w:color="auto"/>
            </w:tcBorders>
            <w:gridSpan w:val="15"/>
          </w:tcPr>
          <w:p>
            <w:pPr>
              <w:spacing w:after="0"/>
              <w:rPr>
                <w:rFonts w:ascii="Arial" w:cs="Arial" w:eastAsia="Arial" w:hAnsi="Arial"/>
                <w:sz w:val="16"/>
                <w:szCs w:val="16"/>
                <w:color w:val="0000FF"/>
              </w:rPr>
            </w:pPr>
            <w:hyperlink r:id="rId9">
              <w:r>
                <w:rPr>
                  <w:rFonts w:ascii="Arial" w:cs="Arial" w:eastAsia="Arial" w:hAnsi="Arial"/>
                  <w:sz w:val="16"/>
                  <w:szCs w:val="16"/>
                  <w:color w:val="0000FF"/>
                </w:rPr>
                <w:t>Amended and Restated Certificate of Incorporation of Tenable Holdings, Inc.</w:t>
              </w:r>
            </w:hyperlink>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r:id="rId10">
              <w:r>
                <w:rPr>
                  <w:rFonts w:ascii="Arial" w:cs="Arial" w:eastAsia="Arial" w:hAnsi="Arial"/>
                  <w:sz w:val="16"/>
                  <w:szCs w:val="16"/>
                  <w:color w:val="0000FF"/>
                </w:rPr>
                <w:t>Amended and Restated Bylaws of Tenable Holdings, Inc.</w:t>
              </w:r>
            </w:hyperlink>
          </w:p>
        </w:tc>
        <w:tc>
          <w:tcPr>
            <w:tcW w:w="1380" w:type="dxa"/>
            <w:vAlign w:val="bottom"/>
            <w:tcBorders>
              <w:top w:val="single" w:sz="8" w:color="0000FF"/>
            </w:tcBorders>
            <w:gridSpan w:val="2"/>
          </w:tcPr>
          <w:p>
            <w:pPr>
              <w:spacing w:after="0"/>
              <w:rPr>
                <w:sz w:val="24"/>
                <w:szCs w:val="24"/>
                <w:color w:val="auto"/>
              </w:rPr>
            </w:pPr>
          </w:p>
        </w:tc>
        <w:tc>
          <w:tcPr>
            <w:tcW w:w="1240" w:type="dxa"/>
            <w:vAlign w:val="bottom"/>
            <w:gridSpan w:val="7"/>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Borders>
              <w:bottom w:val="single" w:sz="8" w:color="0000FF"/>
            </w:tcBorders>
            <w:gridSpan w:val="5"/>
          </w:tcPr>
          <w:p>
            <w:pPr>
              <w:spacing w:after="0"/>
              <w:rPr>
                <w:rFonts w:ascii="Arial" w:cs="Arial" w:eastAsia="Arial" w:hAnsi="Arial"/>
                <w:sz w:val="16"/>
                <w:szCs w:val="16"/>
                <w:color w:val="0000FF"/>
              </w:rPr>
            </w:pPr>
            <w:hyperlink r:id="rId11">
              <w:r>
                <w:rPr>
                  <w:rFonts w:ascii="Arial" w:cs="Arial" w:eastAsia="Arial" w:hAnsi="Arial"/>
                  <w:sz w:val="16"/>
                  <w:szCs w:val="16"/>
                  <w:color w:val="0000FF"/>
                </w:rPr>
                <w:t>Common Stock Certificate of Tenable Holdings, Inc.</w:t>
              </w:r>
            </w:hyperlink>
          </w:p>
        </w:tc>
        <w:tc>
          <w:tcPr>
            <w:tcW w:w="3000" w:type="dxa"/>
            <w:vAlign w:val="bottom"/>
            <w:gridSpan w:val="10"/>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420" w:type="dxa"/>
            <w:vAlign w:val="bottom"/>
            <w:gridSpan w:val="2"/>
          </w:tcPr>
          <w:p>
            <w:pPr>
              <w:ind w:left="40"/>
              <w:spacing w:after="0"/>
              <w:rPr>
                <w:rFonts w:ascii="Arial" w:cs="Arial" w:eastAsia="Arial" w:hAnsi="Arial"/>
                <w:sz w:val="16"/>
                <w:szCs w:val="16"/>
                <w:color w:val="0000FF"/>
              </w:rPr>
            </w:pPr>
            <w:hyperlink r:id="rId12">
              <w:r>
                <w:rPr>
                  <w:rFonts w:ascii="Arial" w:cs="Arial" w:eastAsia="Arial" w:hAnsi="Arial"/>
                  <w:sz w:val="16"/>
                  <w:szCs w:val="16"/>
                  <w:color w:val="0000FF"/>
                </w:rPr>
                <w:t>2018</w:t>
              </w:r>
            </w:hyperlink>
          </w:p>
        </w:tc>
        <w:tc>
          <w:tcPr>
            <w:tcW w:w="6320" w:type="dxa"/>
            <w:vAlign w:val="bottom"/>
            <w:gridSpan w:val="14"/>
          </w:tcPr>
          <w:p>
            <w:pPr>
              <w:ind w:left="20"/>
              <w:spacing w:after="0"/>
              <w:rPr>
                <w:rFonts w:ascii="Arial" w:cs="Arial" w:eastAsia="Arial" w:hAnsi="Arial"/>
                <w:sz w:val="16"/>
                <w:szCs w:val="16"/>
                <w:color w:val="0000FF"/>
              </w:rPr>
            </w:pPr>
            <w:hyperlink r:id="rId12">
              <w:r>
                <w:rPr>
                  <w:rFonts w:ascii="Arial" w:cs="Arial" w:eastAsia="Arial" w:hAnsi="Arial"/>
                  <w:sz w:val="16"/>
                  <w:szCs w:val="16"/>
                  <w:color w:val="0000FF"/>
                </w:rPr>
                <w:t>Equity Incentive Plan and Forms of Stock Option Grant Notice and Agreement and</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0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12">
              <w:r>
                <w:rPr>
                  <w:rFonts w:ascii="Arial" w:cs="Arial" w:eastAsia="Arial" w:hAnsi="Arial"/>
                  <w:sz w:val="16"/>
                  <w:szCs w:val="16"/>
                  <w:color w:val="0000FF"/>
                </w:rPr>
                <w:t>Restricted Stock Unit Grant Notice and Agreement thereunder</w:t>
              </w:r>
            </w:hyperlink>
          </w:p>
        </w:tc>
        <w:tc>
          <w:tcPr>
            <w:tcW w:w="400" w:type="dxa"/>
            <w:vAlign w:val="bottom"/>
            <w:gridSpan w:val="4"/>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420" w:type="dxa"/>
            <w:vAlign w:val="bottom"/>
            <w:gridSpan w:val="2"/>
          </w:tcPr>
          <w:p>
            <w:pPr>
              <w:ind w:left="40"/>
              <w:spacing w:after="0"/>
              <w:rPr>
                <w:rFonts w:ascii="Arial" w:cs="Arial" w:eastAsia="Arial" w:hAnsi="Arial"/>
                <w:sz w:val="16"/>
                <w:szCs w:val="16"/>
                <w:color w:val="0000FF"/>
              </w:rPr>
            </w:pPr>
            <w:hyperlink r:id="rId13">
              <w:r>
                <w:rPr>
                  <w:rFonts w:ascii="Arial" w:cs="Arial" w:eastAsia="Arial" w:hAnsi="Arial"/>
                  <w:sz w:val="16"/>
                  <w:szCs w:val="16"/>
                  <w:color w:val="0000FF"/>
                </w:rPr>
                <w:t>2016</w:t>
              </w:r>
            </w:hyperlink>
          </w:p>
        </w:tc>
        <w:tc>
          <w:tcPr>
            <w:tcW w:w="6320" w:type="dxa"/>
            <w:vAlign w:val="bottom"/>
            <w:gridSpan w:val="14"/>
          </w:tcPr>
          <w:p>
            <w:pPr>
              <w:ind w:left="20"/>
              <w:spacing w:after="0"/>
              <w:rPr>
                <w:rFonts w:ascii="Arial" w:cs="Arial" w:eastAsia="Arial" w:hAnsi="Arial"/>
                <w:sz w:val="16"/>
                <w:szCs w:val="16"/>
                <w:color w:val="0000FF"/>
              </w:rPr>
            </w:pPr>
            <w:hyperlink r:id="rId13">
              <w:r>
                <w:rPr>
                  <w:rFonts w:ascii="Arial" w:cs="Arial" w:eastAsia="Arial" w:hAnsi="Arial"/>
                  <w:sz w:val="16"/>
                  <w:szCs w:val="16"/>
                  <w:color w:val="0000FF"/>
                </w:rPr>
                <w:t>Stock Incentive Plan and Irish Supplement and Forms of Option Grant Notice and</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4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13">
              <w:r>
                <w:rPr>
                  <w:rFonts w:ascii="Arial" w:cs="Arial" w:eastAsia="Arial" w:hAnsi="Arial"/>
                  <w:sz w:val="16"/>
                  <w:szCs w:val="16"/>
                  <w:color w:val="0000FF"/>
                </w:rPr>
                <w:t>Agreement and Exercise Notice and Form of Restricted Stock Grant Notice and Agreement</w:t>
              </w:r>
            </w:hyperlink>
          </w:p>
        </w:tc>
        <w:tc>
          <w:tcPr>
            <w:tcW w:w="160" w:type="dxa"/>
            <w:vAlign w:val="bottom"/>
            <w:gridSpan w:val="2"/>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13">
              <w:r>
                <w:rPr>
                  <w:rFonts w:ascii="Arial" w:cs="Arial" w:eastAsia="Arial" w:hAnsi="Arial"/>
                  <w:sz w:val="16"/>
                  <w:szCs w:val="16"/>
                  <w:color w:val="0000FF"/>
                </w:rPr>
                <w:t>thereunder, as amended to date</w:t>
              </w:r>
            </w:hyperlink>
          </w:p>
        </w:tc>
        <w:tc>
          <w:tcPr>
            <w:tcW w:w="4400" w:type="dxa"/>
            <w:vAlign w:val="bottom"/>
            <w:gridSpan w:val="12"/>
          </w:tcPr>
          <w:p>
            <w:pPr>
              <w:spacing w:after="0"/>
              <w:rPr>
                <w:sz w:val="14"/>
                <w:szCs w:val="14"/>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420" w:type="dxa"/>
            <w:vAlign w:val="bottom"/>
            <w:gridSpan w:val="2"/>
          </w:tcPr>
          <w:p>
            <w:pPr>
              <w:ind w:left="40"/>
              <w:spacing w:after="0"/>
              <w:rPr>
                <w:rFonts w:ascii="Arial" w:cs="Arial" w:eastAsia="Arial" w:hAnsi="Arial"/>
                <w:sz w:val="16"/>
                <w:szCs w:val="16"/>
                <w:color w:val="0000FF"/>
              </w:rPr>
            </w:pPr>
            <w:hyperlink r:id="rId14">
              <w:r>
                <w:rPr>
                  <w:rFonts w:ascii="Arial" w:cs="Arial" w:eastAsia="Arial" w:hAnsi="Arial"/>
                  <w:sz w:val="16"/>
                  <w:szCs w:val="16"/>
                  <w:color w:val="0000FF"/>
                </w:rPr>
                <w:t>2012</w:t>
              </w:r>
            </w:hyperlink>
          </w:p>
        </w:tc>
        <w:tc>
          <w:tcPr>
            <w:tcW w:w="6320" w:type="dxa"/>
            <w:vAlign w:val="bottom"/>
            <w:gridSpan w:val="14"/>
          </w:tcPr>
          <w:p>
            <w:pPr>
              <w:ind w:left="20"/>
              <w:spacing w:after="0"/>
              <w:rPr>
                <w:rFonts w:ascii="Arial" w:cs="Arial" w:eastAsia="Arial" w:hAnsi="Arial"/>
                <w:sz w:val="16"/>
                <w:szCs w:val="16"/>
                <w:color w:val="0000FF"/>
              </w:rPr>
            </w:pPr>
            <w:hyperlink r:id="rId14">
              <w:r>
                <w:rPr>
                  <w:rFonts w:ascii="Arial" w:cs="Arial" w:eastAsia="Arial" w:hAnsi="Arial"/>
                  <w:sz w:val="16"/>
                  <w:szCs w:val="16"/>
                  <w:color w:val="0000FF"/>
                </w:rPr>
                <w:t>Stock Incentive Plan and Form of Notice of Stock Option Grant, Form of Stock Option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2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14">
              <w:r>
                <w:rPr>
                  <w:rFonts w:ascii="Arial" w:cs="Arial" w:eastAsia="Arial" w:hAnsi="Arial"/>
                  <w:sz w:val="16"/>
                  <w:szCs w:val="16"/>
                  <w:color w:val="0000FF"/>
                </w:rPr>
                <w:t>Agreement, and Notice of Exercise and Common Stock Purchase Agreement thereunder, as</w:t>
              </w:r>
            </w:hyperlink>
          </w:p>
        </w:tc>
        <w:tc>
          <w:tcPr>
            <w:tcW w:w="8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Borders>
              <w:bottom w:val="single" w:sz="8" w:color="0000FF"/>
            </w:tcBorders>
            <w:gridSpan w:val="2"/>
          </w:tcPr>
          <w:p>
            <w:pPr>
              <w:spacing w:after="0" w:line="169" w:lineRule="exact"/>
              <w:rPr>
                <w:rFonts w:ascii="Arial" w:cs="Arial" w:eastAsia="Arial" w:hAnsi="Arial"/>
                <w:sz w:val="16"/>
                <w:szCs w:val="16"/>
                <w:color w:val="0000FF"/>
                <w:w w:val="99"/>
              </w:rPr>
            </w:pPr>
            <w:hyperlink r:id="rId14">
              <w:r>
                <w:rPr>
                  <w:rFonts w:ascii="Arial" w:cs="Arial" w:eastAsia="Arial" w:hAnsi="Arial"/>
                  <w:sz w:val="16"/>
                  <w:szCs w:val="16"/>
                  <w:color w:val="0000FF"/>
                  <w:w w:val="99"/>
                </w:rPr>
                <w:t>amended to date</w:t>
              </w:r>
            </w:hyperlink>
          </w:p>
        </w:tc>
        <w:tc>
          <w:tcPr>
            <w:tcW w:w="5480" w:type="dxa"/>
            <w:vAlign w:val="bottom"/>
            <w:gridSpan w:val="13"/>
          </w:tcPr>
          <w:p>
            <w:pPr>
              <w:spacing w:after="0"/>
              <w:rPr>
                <w:sz w:val="14"/>
                <w:szCs w:val="14"/>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9"/>
                <w:szCs w:val="19"/>
                <w:color w:val="auto"/>
              </w:rPr>
            </w:pPr>
          </w:p>
        </w:tc>
        <w:tc>
          <w:tcPr>
            <w:tcW w:w="420" w:type="dxa"/>
            <w:vAlign w:val="bottom"/>
            <w:gridSpan w:val="2"/>
          </w:tcPr>
          <w:p>
            <w:pPr>
              <w:ind w:left="40"/>
              <w:spacing w:after="0"/>
              <w:rPr>
                <w:rFonts w:ascii="Arial" w:cs="Arial" w:eastAsia="Arial" w:hAnsi="Arial"/>
                <w:sz w:val="16"/>
                <w:szCs w:val="16"/>
                <w:color w:val="0000FF"/>
              </w:rPr>
            </w:pPr>
            <w:hyperlink r:id="rId15">
              <w:r>
                <w:rPr>
                  <w:rFonts w:ascii="Arial" w:cs="Arial" w:eastAsia="Arial" w:hAnsi="Arial"/>
                  <w:sz w:val="16"/>
                  <w:szCs w:val="16"/>
                  <w:color w:val="0000FF"/>
                </w:rPr>
                <w:t>2002</w:t>
              </w:r>
            </w:hyperlink>
          </w:p>
        </w:tc>
        <w:tc>
          <w:tcPr>
            <w:tcW w:w="6320" w:type="dxa"/>
            <w:vAlign w:val="bottom"/>
            <w:gridSpan w:val="14"/>
          </w:tcPr>
          <w:p>
            <w:pPr>
              <w:ind w:left="20"/>
              <w:spacing w:after="0"/>
              <w:rPr>
                <w:rFonts w:ascii="Arial" w:cs="Arial" w:eastAsia="Arial" w:hAnsi="Arial"/>
                <w:sz w:val="16"/>
                <w:szCs w:val="16"/>
                <w:color w:val="0000FF"/>
              </w:rPr>
            </w:pPr>
            <w:hyperlink r:id="rId15">
              <w:r>
                <w:rPr>
                  <w:rFonts w:ascii="Arial" w:cs="Arial" w:eastAsia="Arial" w:hAnsi="Arial"/>
                  <w:sz w:val="16"/>
                  <w:szCs w:val="16"/>
                  <w:color w:val="0000FF"/>
                </w:rPr>
                <w:t>Stock Incentive Plan and Form of Notice of Option Grant, Form of Stock Option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700" w:type="dxa"/>
            <w:vAlign w:val="bottom"/>
            <w:gridSpan w:val="15"/>
          </w:tcPr>
          <w:p>
            <w:pPr>
              <w:spacing w:after="0" w:line="169" w:lineRule="exact"/>
              <w:rPr>
                <w:rFonts w:ascii="Arial" w:cs="Arial" w:eastAsia="Arial" w:hAnsi="Arial"/>
                <w:sz w:val="16"/>
                <w:szCs w:val="16"/>
                <w:color w:val="0000FF"/>
              </w:rPr>
            </w:pPr>
            <w:hyperlink r:id="rId15">
              <w:r>
                <w:rPr>
                  <w:rFonts w:ascii="Arial" w:cs="Arial" w:eastAsia="Arial" w:hAnsi="Arial"/>
                  <w:sz w:val="16"/>
                  <w:szCs w:val="16"/>
                  <w:color w:val="0000FF"/>
                </w:rPr>
                <w:t>Agreement, Form of Notice of Stock Option Exercise and Form of Stock Award Agreement</w:t>
              </w:r>
            </w:hyperlink>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15">
              <w:r>
                <w:rPr>
                  <w:rFonts w:ascii="Arial" w:cs="Arial" w:eastAsia="Arial" w:hAnsi="Arial"/>
                  <w:sz w:val="16"/>
                  <w:szCs w:val="16"/>
                  <w:color w:val="0000FF"/>
                </w:rPr>
                <w:t>thereunder, as amended to date</w:t>
              </w:r>
            </w:hyperlink>
          </w:p>
        </w:tc>
        <w:tc>
          <w:tcPr>
            <w:tcW w:w="4220" w:type="dxa"/>
            <w:vAlign w:val="bottom"/>
            <w:tcBorders>
              <w:top w:val="single" w:sz="8" w:color="0000FF"/>
            </w:tcBorders>
            <w:gridSpan w:val="9"/>
          </w:tcPr>
          <w:p>
            <w:pPr>
              <w:spacing w:after="0"/>
              <w:rPr>
                <w:sz w:val="14"/>
                <w:szCs w:val="14"/>
                <w:color w:val="auto"/>
              </w:rPr>
            </w:pPr>
          </w:p>
        </w:tc>
        <w:tc>
          <w:tcPr>
            <w:tcW w:w="180" w:type="dxa"/>
            <w:vAlign w:val="bottom"/>
            <w:gridSpan w:val="3"/>
          </w:tcPr>
          <w:p>
            <w:pPr>
              <w:spacing w:after="0"/>
              <w:rPr>
                <w:sz w:val="14"/>
                <w:szCs w:val="14"/>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420" w:type="dxa"/>
            <w:vAlign w:val="bottom"/>
            <w:gridSpan w:val="2"/>
          </w:tcPr>
          <w:p>
            <w:pPr>
              <w:ind w:left="40"/>
              <w:spacing w:after="0"/>
              <w:rPr>
                <w:rFonts w:ascii="Arial" w:cs="Arial" w:eastAsia="Arial" w:hAnsi="Arial"/>
                <w:sz w:val="16"/>
                <w:szCs w:val="16"/>
                <w:color w:val="0000FF"/>
              </w:rPr>
            </w:pPr>
            <w:hyperlink r:id="rId16">
              <w:r>
                <w:rPr>
                  <w:rFonts w:ascii="Arial" w:cs="Arial" w:eastAsia="Arial" w:hAnsi="Arial"/>
                  <w:sz w:val="16"/>
                  <w:szCs w:val="16"/>
                  <w:color w:val="0000FF"/>
                </w:rPr>
                <w:t>2018</w:t>
              </w:r>
            </w:hyperlink>
          </w:p>
        </w:tc>
        <w:tc>
          <w:tcPr>
            <w:tcW w:w="6320" w:type="dxa"/>
            <w:vAlign w:val="bottom"/>
            <w:gridSpan w:val="14"/>
          </w:tcPr>
          <w:p>
            <w:pPr>
              <w:ind w:left="20"/>
              <w:spacing w:after="0"/>
              <w:rPr>
                <w:rFonts w:ascii="Arial" w:cs="Arial" w:eastAsia="Arial" w:hAnsi="Arial"/>
                <w:sz w:val="16"/>
                <w:szCs w:val="16"/>
                <w:color w:val="0000FF"/>
              </w:rPr>
            </w:pPr>
            <w:hyperlink r:id="rId16">
              <w:r>
                <w:rPr>
                  <w:rFonts w:ascii="Arial" w:cs="Arial" w:eastAsia="Arial" w:hAnsi="Arial"/>
                  <w:sz w:val="16"/>
                  <w:szCs w:val="16"/>
                  <w:color w:val="0000FF"/>
                </w:rPr>
                <w:t>Employee Stock Purchase Plan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10.3 to the Company's Registration Statement on Form S-8 (File No. 333-226347) on July 26,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16" w:lineRule="exact"/>
        <w:rPr>
          <w:sz w:val="20"/>
          <w:szCs w:val="20"/>
          <w:color w:val="auto"/>
        </w:rPr>
      </w:pPr>
    </w:p>
    <w:p>
      <w:pPr>
        <w:sectPr>
          <w:pgSz w:w="11900" w:h="16838" w:orient="portrait"/>
          <w:cols w:equalWidth="0" w:num="2">
            <w:col w:w="7780" w:space="140"/>
            <w:col w:w="3440"/>
          </w:cols>
          <w:pgMar w:left="240" w:top="140" w:right="299" w:bottom="1440" w:gutter="0" w:footer="0" w:header="0"/>
          <w:type w:val="continuous"/>
        </w:sectPr>
      </w:pPr>
    </w:p>
    <w:tbl>
      <w:tblPr>
        <w:tblLayout w:type="fixed"/>
        <w:tblInd w:w="240" w:type="dxa"/>
        <w:tblCellMar>
          <w:top w:w="0" w:type="dxa"/>
          <w:left w:w="0" w:type="dxa"/>
          <w:bottom w:w="0" w:type="dxa"/>
          <w:right w:w="0" w:type="dxa"/>
        </w:tblCellMar>
      </w:tblPr>
      <w:tr>
        <w:trPr>
          <w:trHeight w:val="184"/>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31.1</w:t>
            </w:r>
          </w:p>
        </w:tc>
        <w:tc>
          <w:tcPr>
            <w:tcW w:w="6700" w:type="dxa"/>
            <w:vAlign w:val="bottom"/>
            <w:gridSpan w:val="6"/>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Certification of the Principal Executive Officer pursuant to Rules 13a-14(a) and 15d-14(a)</w:t>
              </w:r>
            </w:hyperlink>
          </w:p>
        </w:tc>
        <w:tc>
          <w:tcPr>
            <w:tcW w:w="1160" w:type="dxa"/>
            <w:vAlign w:val="bottom"/>
          </w:tcPr>
          <w:p>
            <w:pPr>
              <w:ind w:left="140"/>
              <w:spacing w:after="0"/>
              <w:rPr>
                <w:sz w:val="20"/>
                <w:szCs w:val="20"/>
                <w:color w:val="auto"/>
              </w:rPr>
            </w:pPr>
            <w:r>
              <w:rPr>
                <w:rFonts w:ascii="Arial" w:cs="Arial" w:eastAsia="Arial" w:hAnsi="Arial"/>
                <w:sz w:val="16"/>
                <w:szCs w:val="16"/>
                <w:color w:val="auto"/>
              </w:rPr>
              <w:t>Filed herewith</w:t>
            </w:r>
          </w:p>
        </w:tc>
      </w:tr>
      <w:tr>
        <w:trPr>
          <w:trHeight w:val="20"/>
        </w:trPr>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9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6700" w:type="dxa"/>
            <w:vAlign w:val="bottom"/>
            <w:gridSpan w:val="6"/>
          </w:tcPr>
          <w:p>
            <w:pPr>
              <w:spacing w:after="0" w:line="169" w:lineRule="exact"/>
              <w:rPr>
                <w:rFonts w:ascii="Arial" w:cs="Arial" w:eastAsia="Arial" w:hAnsi="Arial"/>
                <w:sz w:val="16"/>
                <w:szCs w:val="16"/>
                <w:color w:val="0000FF"/>
              </w:rPr>
            </w:pPr>
            <w:hyperlink w:anchor="page61">
              <w:r>
                <w:rPr>
                  <w:rFonts w:ascii="Arial" w:cs="Arial" w:eastAsia="Arial" w:hAnsi="Arial"/>
                  <w:sz w:val="16"/>
                  <w:szCs w:val="16"/>
                  <w:color w:val="0000FF"/>
                </w:rPr>
                <w:t>under the Exchange Act, as adopted pursuant to Section 302 of the Sarbanes-Oxley Act of</w:t>
              </w:r>
            </w:hyperlink>
          </w:p>
        </w:tc>
        <w:tc>
          <w:tcPr>
            <w:tcW w:w="116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w:anchor="page61">
              <w:r>
                <w:rPr>
                  <w:rFonts w:ascii="Arial" w:cs="Arial" w:eastAsia="Arial" w:hAnsi="Arial"/>
                  <w:sz w:val="16"/>
                  <w:szCs w:val="16"/>
                  <w:color w:val="0000FF"/>
                  <w:w w:val="95"/>
                </w:rPr>
                <w:t>2002</w:t>
              </w:r>
            </w:hyperlink>
          </w:p>
        </w:tc>
        <w:tc>
          <w:tcPr>
            <w:tcW w:w="59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31.2</w:t>
            </w:r>
          </w:p>
        </w:tc>
        <w:tc>
          <w:tcPr>
            <w:tcW w:w="6700" w:type="dxa"/>
            <w:vAlign w:val="bottom"/>
            <w:gridSpan w:val="6"/>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the Principal Financial Officer pursuant to Rules 13a-14(a) and 15d-14(a)</w:t>
              </w:r>
            </w:hyperlink>
          </w:p>
        </w:tc>
        <w:tc>
          <w:tcPr>
            <w:tcW w:w="1160" w:type="dxa"/>
            <w:vAlign w:val="bottom"/>
          </w:tcPr>
          <w:p>
            <w:pPr>
              <w:ind w:left="140"/>
              <w:spacing w:after="0"/>
              <w:rPr>
                <w:sz w:val="20"/>
                <w:szCs w:val="20"/>
                <w:color w:val="auto"/>
              </w:rPr>
            </w:pPr>
            <w:r>
              <w:rPr>
                <w:rFonts w:ascii="Arial" w:cs="Arial" w:eastAsia="Arial" w:hAnsi="Arial"/>
                <w:sz w:val="16"/>
                <w:szCs w:val="16"/>
                <w:color w:val="auto"/>
              </w:rPr>
              <w:t>Filed herewith</w:t>
            </w:r>
          </w:p>
        </w:tc>
      </w:tr>
      <w:tr>
        <w:trPr>
          <w:trHeight w:val="20"/>
        </w:trPr>
        <w:tc>
          <w:tcPr>
            <w:tcW w:w="840" w:type="dxa"/>
            <w:vAlign w:val="bottom"/>
          </w:tcPr>
          <w:p>
            <w:pPr>
              <w:spacing w:after="0" w:line="20" w:lineRule="exact"/>
              <w:rPr>
                <w:sz w:val="1"/>
                <w:szCs w:val="1"/>
                <w:color w:val="auto"/>
              </w:rPr>
            </w:pPr>
          </w:p>
        </w:tc>
        <w:tc>
          <w:tcPr>
            <w:tcW w:w="63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6700" w:type="dxa"/>
            <w:vAlign w:val="bottom"/>
            <w:gridSpan w:val="6"/>
          </w:tcPr>
          <w:p>
            <w:pPr>
              <w:spacing w:after="0" w:line="169" w:lineRule="exact"/>
              <w:rPr>
                <w:rFonts w:ascii="Arial" w:cs="Arial" w:eastAsia="Arial" w:hAnsi="Arial"/>
                <w:sz w:val="16"/>
                <w:szCs w:val="16"/>
                <w:color w:val="0000FF"/>
              </w:rPr>
            </w:pPr>
            <w:hyperlink w:anchor="page62">
              <w:r>
                <w:rPr>
                  <w:rFonts w:ascii="Arial" w:cs="Arial" w:eastAsia="Arial" w:hAnsi="Arial"/>
                  <w:sz w:val="16"/>
                  <w:szCs w:val="16"/>
                  <w:color w:val="0000FF"/>
                </w:rPr>
                <w:t>under the Exchange Act, as adopted pursuant to Section 302 of the Sarbanes-Oxley Act of</w:t>
              </w:r>
            </w:hyperlink>
          </w:p>
        </w:tc>
        <w:tc>
          <w:tcPr>
            <w:tcW w:w="116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w:anchor="page62">
              <w:r>
                <w:rPr>
                  <w:rFonts w:ascii="Arial" w:cs="Arial" w:eastAsia="Arial" w:hAnsi="Arial"/>
                  <w:sz w:val="16"/>
                  <w:szCs w:val="16"/>
                  <w:color w:val="0000FF"/>
                  <w:w w:val="95"/>
                </w:rPr>
                <w:t>2002</w:t>
              </w:r>
            </w:hyperlink>
          </w:p>
        </w:tc>
        <w:tc>
          <w:tcPr>
            <w:tcW w:w="59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32.1*</w:t>
            </w:r>
          </w:p>
        </w:tc>
        <w:tc>
          <w:tcPr>
            <w:tcW w:w="6560" w:type="dxa"/>
            <w:vAlign w:val="bottom"/>
            <w:tcBorders>
              <w:bottom w:val="single" w:sz="8" w:color="0000FF"/>
            </w:tcBorders>
            <w:gridSpan w:val="5"/>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Certification of the Principal Executive Officer and the Principal Financial Officer pursuant to</w:t>
              </w:r>
            </w:hyperlink>
          </w:p>
        </w:tc>
        <w:tc>
          <w:tcPr>
            <w:tcW w:w="140" w:type="dxa"/>
            <w:vAlign w:val="bottom"/>
          </w:tcPr>
          <w:p>
            <w:pPr>
              <w:spacing w:after="0"/>
              <w:rPr>
                <w:sz w:val="19"/>
                <w:szCs w:val="19"/>
                <w:color w:val="auto"/>
              </w:rPr>
            </w:pPr>
          </w:p>
        </w:tc>
        <w:tc>
          <w:tcPr>
            <w:tcW w:w="1160" w:type="dxa"/>
            <w:vAlign w:val="bottom"/>
          </w:tcPr>
          <w:p>
            <w:pPr>
              <w:ind w:left="140"/>
              <w:spacing w:after="0"/>
              <w:rPr>
                <w:sz w:val="20"/>
                <w:szCs w:val="20"/>
                <w:color w:val="auto"/>
              </w:rPr>
            </w:pPr>
            <w:r>
              <w:rPr>
                <w:rFonts w:ascii="Arial" w:cs="Arial" w:eastAsia="Arial" w:hAnsi="Arial"/>
                <w:sz w:val="16"/>
                <w:szCs w:val="16"/>
                <w:color w:val="auto"/>
              </w:rPr>
              <w:t>Filed herewith</w:t>
            </w:r>
          </w:p>
        </w:tc>
      </w:tr>
      <w:tr>
        <w:trPr>
          <w:trHeight w:val="169"/>
        </w:trPr>
        <w:tc>
          <w:tcPr>
            <w:tcW w:w="840" w:type="dxa"/>
            <w:vAlign w:val="bottom"/>
          </w:tcPr>
          <w:p>
            <w:pPr>
              <w:spacing w:after="0"/>
              <w:rPr>
                <w:sz w:val="14"/>
                <w:szCs w:val="14"/>
                <w:color w:val="auto"/>
              </w:rPr>
            </w:pPr>
          </w:p>
        </w:tc>
        <w:tc>
          <w:tcPr>
            <w:tcW w:w="6700" w:type="dxa"/>
            <w:vAlign w:val="bottom"/>
            <w:gridSpan w:val="6"/>
          </w:tcPr>
          <w:p>
            <w:pPr>
              <w:spacing w:after="0" w:line="169" w:lineRule="exact"/>
              <w:rPr>
                <w:rFonts w:ascii="Arial" w:cs="Arial" w:eastAsia="Arial" w:hAnsi="Arial"/>
                <w:sz w:val="16"/>
                <w:szCs w:val="16"/>
                <w:color w:val="0000FF"/>
              </w:rPr>
            </w:pPr>
            <w:hyperlink w:anchor="page63">
              <w:r>
                <w:rPr>
                  <w:rFonts w:ascii="Arial" w:cs="Arial" w:eastAsia="Arial" w:hAnsi="Arial"/>
                  <w:sz w:val="16"/>
                  <w:szCs w:val="16"/>
                  <w:color w:val="0000FF"/>
                </w:rPr>
                <w:t>18 U.S.C. Section 1350, as adopted pursuant to Section 906 of the Sarbanes-Oxley Act of</w:t>
              </w:r>
            </w:hyperlink>
          </w:p>
        </w:tc>
        <w:tc>
          <w:tcPr>
            <w:tcW w:w="116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w:anchor="page63">
              <w:r>
                <w:rPr>
                  <w:rFonts w:ascii="Arial" w:cs="Arial" w:eastAsia="Arial" w:hAnsi="Arial"/>
                  <w:sz w:val="16"/>
                  <w:szCs w:val="16"/>
                  <w:color w:val="0000FF"/>
                  <w:w w:val="95"/>
                </w:rPr>
                <w:t>2002</w:t>
              </w:r>
            </w:hyperlink>
          </w:p>
        </w:tc>
        <w:tc>
          <w:tcPr>
            <w:tcW w:w="59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85"/>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8"/>
              </w:rPr>
              <w:t>101.SCH</w:t>
            </w:r>
          </w:p>
        </w:tc>
        <w:tc>
          <w:tcPr>
            <w:tcW w:w="670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c>
          <w:tcPr>
            <w:tcW w:w="1160" w:type="dxa"/>
            <w:vAlign w:val="bottom"/>
          </w:tcPr>
          <w:p>
            <w:pPr>
              <w:spacing w:after="0"/>
              <w:rPr>
                <w:sz w:val="24"/>
                <w:szCs w:val="24"/>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101.CAL</w:t>
            </w:r>
          </w:p>
        </w:tc>
        <w:tc>
          <w:tcPr>
            <w:tcW w:w="670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160" w:type="dxa"/>
            <w:vAlign w:val="bottom"/>
          </w:tcPr>
          <w:p>
            <w:pPr>
              <w:spacing w:after="0"/>
              <w:rPr>
                <w:sz w:val="23"/>
                <w:szCs w:val="23"/>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101.DEF</w:t>
            </w:r>
          </w:p>
        </w:tc>
        <w:tc>
          <w:tcPr>
            <w:tcW w:w="670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160" w:type="dxa"/>
            <w:vAlign w:val="bottom"/>
          </w:tcPr>
          <w:p>
            <w:pPr>
              <w:spacing w:after="0"/>
              <w:rPr>
                <w:sz w:val="23"/>
                <w:szCs w:val="23"/>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101.LAB</w:t>
            </w:r>
          </w:p>
        </w:tc>
        <w:tc>
          <w:tcPr>
            <w:tcW w:w="670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 Document.</w:t>
            </w:r>
          </w:p>
        </w:tc>
        <w:tc>
          <w:tcPr>
            <w:tcW w:w="1160" w:type="dxa"/>
            <w:vAlign w:val="bottom"/>
          </w:tcPr>
          <w:p>
            <w:pPr>
              <w:spacing w:after="0"/>
              <w:rPr>
                <w:sz w:val="23"/>
                <w:szCs w:val="23"/>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9"/>
              </w:rPr>
              <w:t>101.PRE</w:t>
            </w:r>
          </w:p>
        </w:tc>
        <w:tc>
          <w:tcPr>
            <w:tcW w:w="670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1160" w:type="dxa"/>
            <w:vAlign w:val="bottom"/>
          </w:tcPr>
          <w:p>
            <w:pPr>
              <w:spacing w:after="0"/>
              <w:rPr>
                <w:sz w:val="23"/>
                <w:szCs w:val="23"/>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 w:lineRule="exact"/>
        <w:rPr>
          <w:sz w:val="20"/>
          <w:szCs w:val="20"/>
          <w:color w:val="auto"/>
        </w:rPr>
      </w:pPr>
    </w:p>
    <w:p>
      <w:pPr>
        <w:ind w:right="300" w:firstLine="332"/>
        <w:spacing w:after="0" w:line="256"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40" w:right="299" w:bottom="1440" w:gutter="0" w:footer="0" w:header="0"/>
          <w:type w:val="continuous"/>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560" w:type="dxa"/>
            <w:vAlign w:val="bottom"/>
            <w:gridSpan w:val="2"/>
          </w:tcPr>
          <w:p>
            <w:pPr>
              <w:ind w:left="1040"/>
              <w:spacing w:after="0"/>
              <w:rPr>
                <w:sz w:val="20"/>
                <w:szCs w:val="20"/>
                <w:color w:val="auto"/>
              </w:rPr>
            </w:pPr>
            <w:r>
              <w:rPr>
                <w:rFonts w:ascii="Arial" w:cs="Arial" w:eastAsia="Arial" w:hAnsi="Arial"/>
                <w:sz w:val="18"/>
                <w:szCs w:val="18"/>
                <w:b w:val="1"/>
                <w:bCs w:val="1"/>
                <w:color w:val="auto"/>
              </w:rPr>
              <w:t>TENABLE HOLDINGS, INC.</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60"/>
              <w:spacing w:after="0"/>
              <w:rPr>
                <w:sz w:val="20"/>
                <w:szCs w:val="20"/>
                <w:color w:val="auto"/>
              </w:rPr>
            </w:pPr>
            <w:r>
              <w:rPr>
                <w:rFonts w:ascii="Arial" w:cs="Arial" w:eastAsia="Arial" w:hAnsi="Arial"/>
                <w:sz w:val="18"/>
                <w:szCs w:val="18"/>
                <w:color w:val="auto"/>
              </w:rPr>
              <w:t>September 7, 2018</w:t>
            </w:r>
          </w:p>
        </w:tc>
        <w:tc>
          <w:tcPr>
            <w:tcW w:w="6560" w:type="dxa"/>
            <w:vAlign w:val="bottom"/>
            <w:gridSpan w:val="2"/>
          </w:tcPr>
          <w:p>
            <w:pPr>
              <w:ind w:left="1040"/>
              <w:spacing w:after="0"/>
              <w:rPr>
                <w:sz w:val="20"/>
                <w:szCs w:val="20"/>
                <w:color w:val="auto"/>
              </w:rPr>
            </w:pPr>
            <w:r>
              <w:rPr>
                <w:rFonts w:ascii="Arial" w:cs="Arial" w:eastAsia="Arial" w:hAnsi="Arial"/>
                <w:sz w:val="18"/>
                <w:szCs w:val="18"/>
                <w:color w:val="auto"/>
              </w:rPr>
              <w:t>By: /s/ Amit Y. Yoran</w:t>
            </w:r>
          </w:p>
        </w:tc>
      </w:tr>
      <w:tr>
        <w:trPr>
          <w:trHeight w:val="243"/>
        </w:trPr>
        <w:tc>
          <w:tcPr>
            <w:tcW w:w="5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 Yoran</w:t>
            </w:r>
          </w:p>
        </w:tc>
      </w:tr>
      <w:tr>
        <w:trPr>
          <w:trHeight w:val="270"/>
        </w:trPr>
        <w:tc>
          <w:tcPr>
            <w:tcW w:w="5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w:t>
            </w:r>
          </w:p>
        </w:tc>
      </w:tr>
      <w:tr>
        <w:trPr>
          <w:trHeight w:val="270"/>
        </w:trPr>
        <w:tc>
          <w:tcPr>
            <w:tcW w:w="5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60"/>
              <w:spacing w:after="0"/>
              <w:rPr>
                <w:sz w:val="20"/>
                <w:szCs w:val="20"/>
                <w:color w:val="auto"/>
              </w:rPr>
            </w:pPr>
            <w:r>
              <w:rPr>
                <w:rFonts w:ascii="Arial" w:cs="Arial" w:eastAsia="Arial" w:hAnsi="Arial"/>
                <w:sz w:val="18"/>
                <w:szCs w:val="18"/>
                <w:color w:val="auto"/>
              </w:rPr>
              <w:t>September 7, 2018</w:t>
            </w:r>
          </w:p>
        </w:tc>
        <w:tc>
          <w:tcPr>
            <w:tcW w:w="6560" w:type="dxa"/>
            <w:vAlign w:val="bottom"/>
            <w:gridSpan w:val="2"/>
          </w:tcPr>
          <w:p>
            <w:pPr>
              <w:ind w:left="1040"/>
              <w:spacing w:after="0"/>
              <w:rPr>
                <w:sz w:val="20"/>
                <w:szCs w:val="20"/>
                <w:color w:val="auto"/>
              </w:rPr>
            </w:pPr>
            <w:r>
              <w:rPr>
                <w:rFonts w:ascii="Arial" w:cs="Arial" w:eastAsia="Arial" w:hAnsi="Arial"/>
                <w:sz w:val="18"/>
                <w:szCs w:val="18"/>
                <w:color w:val="auto"/>
              </w:rPr>
              <w:t>By: /s/ Stephen A. Vintz</w:t>
            </w:r>
          </w:p>
        </w:tc>
      </w:tr>
      <w:tr>
        <w:trPr>
          <w:trHeight w:val="243"/>
        </w:trPr>
        <w:tc>
          <w:tcPr>
            <w:tcW w:w="5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905"/>
        </w:trPr>
        <w:tc>
          <w:tcPr>
            <w:tcW w:w="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560" w:type="dxa"/>
            <w:vAlign w:val="bottom"/>
            <w:gridSpan w:val="2"/>
          </w:tcPr>
          <w:p>
            <w:pPr>
              <w:jc w:val="right"/>
              <w:ind w:right="383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200"/>
          </w:cols>
          <w:pgMar w:left="240" w:top="140"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35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Amit Y. Yoran, certify that:</w:t>
      </w:r>
    </w:p>
    <w:p>
      <w:pPr>
        <w:spacing w:after="0" w:line="225"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September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8"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30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225"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September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1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June 30, 2018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September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September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1."/>
      <w:numFmt w:val="decimal"/>
      <w:start w:val="10"/>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9" Type="http://schemas.openxmlformats.org/officeDocument/2006/relationships/hyperlink" Target="http://www.sec.gov/Archives/edgar/data/1660280/000119312518231446/d562353dex31.htm" TargetMode="External"/><Relationship Id="rId10" Type="http://schemas.openxmlformats.org/officeDocument/2006/relationships/hyperlink" Target="http://www.sec.gov/Archives/edgar/data/1660280/000119312518209705/d548092dex34.htm" TargetMode="External"/><Relationship Id="rId11" Type="http://schemas.openxmlformats.org/officeDocument/2006/relationships/hyperlink" Target="http://www.sec.gov/Archives/edgar/data/1660280/000119312518218215/d548092dex41.htm" TargetMode="External"/><Relationship Id="rId12" Type="http://schemas.openxmlformats.org/officeDocument/2006/relationships/hyperlink" Target="http://www.sec.gov/Archives/edgar/data/1660280/000119312518226924/d494510dex104.htm" TargetMode="External"/><Relationship Id="rId13" Type="http://schemas.openxmlformats.org/officeDocument/2006/relationships/hyperlink" Target="http://www.sec.gov/Archives/edgar/data/1660280/000119312518226924/d494510dex101.htm" TargetMode="External"/><Relationship Id="rId14" Type="http://schemas.openxmlformats.org/officeDocument/2006/relationships/hyperlink" Target="http://www.sec.gov/Archives/edgar/data/1660280/000119312518226924/d494510dex102.htm" TargetMode="External"/><Relationship Id="rId15" Type="http://schemas.openxmlformats.org/officeDocument/2006/relationships/hyperlink" Target="http://www.sec.gov/Archives/edgar/data/1660280/000119312518226924/d494510dex103.htm" TargetMode="External"/><Relationship Id="rId16" Type="http://schemas.openxmlformats.org/officeDocument/2006/relationships/hyperlink" Target="http://www.sec.gov/Archives/edgar/data/1660280/000119312518226924/d494510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2019-12-28T19:34:46Z</dcterms:created>
  <dcterms:modified xsi:type="dcterms:W3CDTF">2019-12-28T19:34:46Z</dcterms:modified>
</cp:coreProperties>
</file>