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FORM 10-Q</w:t>
      </w:r>
    </w:p>
    <w:p>
      <w:pPr>
        <w:spacing w:after="0" w:line="4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176" w:lineRule="exact"/>
        <w:rPr>
          <w:sz w:val="24"/>
          <w:szCs w:val="24"/>
          <w:color w:val="auto"/>
        </w:rPr>
      </w:pPr>
    </w:p>
    <w:p>
      <w:pPr>
        <w:ind w:left="580" w:hanging="545"/>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001-38600</w:t>
      </w:r>
    </w:p>
    <w:p>
      <w:pPr>
        <w:spacing w:after="0" w:line="2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231F20"/>
        </w:rPr>
        <w:t>TENABLE HOLDINGS, INC.</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7" w:right="319" w:bottom="1440" w:gutter="0" w:footer="0" w:header="0"/>
        </w:sectPr>
      </w:pPr>
    </w:p>
    <w:p>
      <w:pPr>
        <w:spacing w:after="0" w:line="154" w:lineRule="exact"/>
        <w:rPr>
          <w:sz w:val="24"/>
          <w:szCs w:val="24"/>
          <w:color w:val="auto"/>
        </w:rPr>
      </w:pPr>
    </w:p>
    <w:p>
      <w:pPr>
        <w:ind w:left="20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122" w:lineRule="exact"/>
        <w:rPr>
          <w:sz w:val="24"/>
          <w:szCs w:val="24"/>
          <w:color w:val="auto"/>
        </w:rPr>
      </w:pPr>
    </w:p>
    <w:p>
      <w:pPr>
        <w:sectPr>
          <w:pgSz w:w="11900" w:h="16838" w:orient="portrait"/>
          <w:cols w:equalWidth="0" w:num="2">
            <w:col w:w="7880" w:space="720"/>
            <w:col w:w="2740"/>
          </w:cols>
          <w:pgMar w:left="240" w:top="247"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13" w:lineRule="exact"/>
        <w:rPr>
          <w:sz w:val="24"/>
          <w:szCs w:val="24"/>
          <w:color w:val="auto"/>
        </w:rPr>
      </w:pPr>
    </w:p>
    <w:p>
      <w:pPr>
        <w:sectPr>
          <w:pgSz w:w="11900" w:h="16838" w:orient="portrait"/>
          <w:cols w:equalWidth="0" w:num="2">
            <w:col w:w="7060" w:space="720"/>
            <w:col w:w="3560"/>
          </w:cols>
          <w:pgMar w:left="240" w:top="247"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7021 Columbia Gateway Drive, Suite 500, Columbia, Maryland, 21046</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8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(410) 872-0555</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340"/>
          </w:cols>
          <w:pgMar w:left="240" w:top="247" w:right="319" w:bottom="1440" w:gutter="0" w:footer="0" w:header="0"/>
          <w:type w:val="continuous"/>
        </w:sectPr>
      </w:pPr>
    </w:p>
    <w:p>
      <w:pPr>
        <w:spacing w:after="0" w:line="167" w:lineRule="exact"/>
        <w:rPr>
          <w:sz w:val="24"/>
          <w:szCs w:val="24"/>
          <w:color w:val="auto"/>
        </w:rPr>
      </w:pPr>
    </w:p>
    <w:p>
      <w:pPr>
        <w:ind w:left="148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3">
            <w:col w:w="4340" w:space="720"/>
            <w:col w:w="1920" w:space="720"/>
            <w:col w:w="3640"/>
          </w:cols>
          <w:pgMar w:left="240" w:top="247" w:right="31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140" w:lineRule="exact"/>
        <w:rPr>
          <w:sz w:val="24"/>
          <w:szCs w:val="24"/>
          <w:color w:val="auto"/>
        </w:rPr>
      </w:pPr>
    </w:p>
    <w:p>
      <w:pPr>
        <w:sectPr>
          <w:pgSz w:w="11900" w:h="16838" w:orient="portrait"/>
          <w:cols w:equalWidth="0" w:num="3">
            <w:col w:w="4780" w:space="720"/>
            <w:col w:w="1980" w:space="720"/>
            <w:col w:w="3140"/>
          </w:cols>
          <w:pgMar w:left="240" w:top="247" w:right="319" w:bottom="1440" w:gutter="0" w:footer="0" w:header="0"/>
          <w:type w:val="continuous"/>
        </w:sect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5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4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86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34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8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14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86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7" w:lineRule="exact"/>
        <w:rPr>
          <w:sz w:val="24"/>
          <w:szCs w:val="24"/>
          <w:color w:val="auto"/>
        </w:rPr>
      </w:pPr>
    </w:p>
    <w:p>
      <w:pPr>
        <w:jc w:val="both"/>
        <w:ind w:left="40" w:right="2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p>
      <w:pPr>
        <w:ind w:right="168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November 8, 2019 was 98,187,608.</w:t>
      </w:r>
    </w:p>
    <w:p>
      <w:pPr>
        <w:sectPr>
          <w:pgSz w:w="11900" w:h="16838" w:orient="portrait"/>
          <w:cols w:equalWidth="0" w:num="1">
            <w:col w:w="11340"/>
          </w:cols>
          <w:pgMar w:left="240" w:top="24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20" w:type="dxa"/>
            <w:vAlign w:val="bottom"/>
            <w:gridSpan w:val="11"/>
          </w:tcPr>
          <w:p>
            <w:pPr>
              <w:jc w:val="center"/>
              <w:ind w:right="3820"/>
              <w:spacing w:after="0"/>
              <w:rPr>
                <w:sz w:val="20"/>
                <w:szCs w:val="20"/>
                <w:color w:val="auto"/>
              </w:rPr>
            </w:pPr>
            <w:r>
              <w:rPr>
                <w:rFonts w:ascii="Arial" w:cs="Arial" w:eastAsia="Arial" w:hAnsi="Arial"/>
                <w:sz w:val="18"/>
                <w:szCs w:val="18"/>
                <w:b w:val="1"/>
                <w:bCs w:val="1"/>
                <w:color w:val="auto"/>
                <w:w w:val="99"/>
              </w:rPr>
              <w:t>TENABLE HOLDINGS,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9"/>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20" w:type="dxa"/>
            <w:vAlign w:val="bottom"/>
            <w:gridSpan w:val="11"/>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67"/>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Page</w:t>
            </w: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gridSpan w:val="13"/>
          </w:tcPr>
          <w:p>
            <w:pPr>
              <w:jc w:val="center"/>
              <w:ind w:right="35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10"/>
          </w:tcPr>
          <w:p>
            <w:pPr>
              <w:spacing w:after="0"/>
              <w:rPr>
                <w:sz w:val="21"/>
                <w:szCs w:val="21"/>
                <w:color w:val="auto"/>
              </w:rPr>
            </w:pPr>
          </w:p>
        </w:tc>
        <w:tc>
          <w:tcPr>
            <w:tcW w:w="354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7460" w:type="dxa"/>
            <w:vAlign w:val="bottom"/>
            <w:gridSpan w:val="19"/>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Operations</w:t>
              </w:r>
            </w:hyperlink>
          </w:p>
        </w:tc>
        <w:tc>
          <w:tcPr>
            <w:tcW w:w="6680" w:type="dxa"/>
            <w:vAlign w:val="bottom"/>
            <w:gridSpan w:val="15"/>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2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Loss</w:t>
              </w:r>
            </w:hyperlink>
          </w:p>
        </w:tc>
        <w:tc>
          <w:tcPr>
            <w:tcW w:w="20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40" w:type="dxa"/>
            <w:vAlign w:val="bottom"/>
            <w:tcBorders>
              <w:bottom w:val="single" w:sz="8" w:color="0000EE"/>
            </w:tcBorders>
            <w:gridSpan w:val="28"/>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Redeemable Convertible Preferred Stock and Stockholders' Equity (Deficit)</w:t>
              </w:r>
            </w:hyperlink>
          </w:p>
        </w:tc>
        <w:tc>
          <w:tcPr>
            <w:tcW w:w="1580" w:type="dxa"/>
            <w:vAlign w:val="bottom"/>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Cash Flows</w:t>
              </w:r>
            </w:hyperlink>
          </w:p>
        </w:tc>
        <w:tc>
          <w:tcPr>
            <w:tcW w:w="6620" w:type="dxa"/>
            <w:vAlign w:val="bottom"/>
            <w:gridSpan w:val="14"/>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Financial Statements</w:t>
              </w:r>
            </w:hyperlink>
          </w:p>
        </w:tc>
        <w:tc>
          <w:tcPr>
            <w:tcW w:w="6320" w:type="dxa"/>
            <w:vAlign w:val="bottom"/>
            <w:gridSpan w:val="11"/>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9400" w:type="dxa"/>
            <w:vAlign w:val="bottom"/>
            <w:gridSpan w:val="27"/>
          </w:tcPr>
          <w:p>
            <w:pPr>
              <w:ind w:left="20"/>
              <w:spacing w:after="0"/>
              <w:rPr>
                <w:rFonts w:ascii="Arial" w:cs="Arial" w:eastAsia="Arial" w:hAnsi="Arial"/>
                <w:sz w:val="18"/>
                <w:szCs w:val="18"/>
                <w:color w:val="0000EE"/>
              </w:rPr>
            </w:pPr>
            <w:hyperlink w:anchor="page8">
              <w:r>
                <w:rPr>
                  <w:rFonts w:ascii="Arial" w:cs="Arial" w:eastAsia="Arial" w:hAnsi="Arial"/>
                  <w:sz w:val="18"/>
                  <w:szCs w:val="18"/>
                  <w:color w:val="0000EE"/>
                </w:rPr>
                <w:t>Business and Summary of Significant Accounting Policies</w:t>
              </w:r>
            </w:hyperlink>
          </w:p>
        </w:tc>
        <w:tc>
          <w:tcPr>
            <w:tcW w:w="200" w:type="dxa"/>
            <w:vAlign w:val="bottom"/>
            <w:gridSpan w:val="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2">
              <w:r>
                <w:rPr>
                  <w:rFonts w:ascii="Arial" w:cs="Arial" w:eastAsia="Arial" w:hAnsi="Arial"/>
                  <w:sz w:val="18"/>
                  <w:szCs w:val="18"/>
                  <w:color w:val="0000EE"/>
                </w:rPr>
                <w:t>2.</w:t>
              </w:r>
            </w:hyperlink>
          </w:p>
        </w:tc>
        <w:tc>
          <w:tcPr>
            <w:tcW w:w="9400" w:type="dxa"/>
            <w:vAlign w:val="bottom"/>
            <w:gridSpan w:val="27"/>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Cash and Cash Equivalents and Short-Term Investments</w:t>
              </w:r>
            </w:hyperlink>
          </w:p>
        </w:tc>
        <w:tc>
          <w:tcPr>
            <w:tcW w:w="42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3">
              <w:r>
                <w:rPr>
                  <w:rFonts w:ascii="Arial" w:cs="Arial" w:eastAsia="Arial" w:hAnsi="Arial"/>
                  <w:sz w:val="18"/>
                  <w:szCs w:val="18"/>
                  <w:color w:val="0000EE"/>
                </w:rPr>
                <w:t>3.</w:t>
              </w:r>
            </w:hyperlink>
          </w:p>
        </w:tc>
        <w:tc>
          <w:tcPr>
            <w:tcW w:w="9400" w:type="dxa"/>
            <w:vAlign w:val="bottom"/>
            <w:gridSpan w:val="27"/>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Fair Value Measurements</w:t>
              </w:r>
            </w:hyperlink>
          </w:p>
        </w:tc>
        <w:tc>
          <w:tcPr>
            <w:tcW w:w="42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4">
              <w:r>
                <w:rPr>
                  <w:rFonts w:ascii="Arial" w:cs="Arial" w:eastAsia="Arial" w:hAnsi="Arial"/>
                  <w:sz w:val="18"/>
                  <w:szCs w:val="18"/>
                  <w:color w:val="0000EE"/>
                </w:rPr>
                <w:t>4.</w:t>
              </w:r>
            </w:hyperlink>
          </w:p>
        </w:tc>
        <w:tc>
          <w:tcPr>
            <w:tcW w:w="9400" w:type="dxa"/>
            <w:vAlign w:val="bottom"/>
            <w:gridSpan w:val="27"/>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Property and Equipment, Net</w:t>
              </w:r>
            </w:hyperlink>
          </w:p>
        </w:tc>
        <w:tc>
          <w:tcPr>
            <w:tcW w:w="4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4">
              <w:r>
                <w:rPr>
                  <w:rFonts w:ascii="Arial" w:cs="Arial" w:eastAsia="Arial" w:hAnsi="Arial"/>
                  <w:sz w:val="18"/>
                  <w:szCs w:val="18"/>
                  <w:color w:val="0000EE"/>
                </w:rPr>
                <w:t>5.</w:t>
              </w:r>
            </w:hyperlink>
          </w:p>
        </w:tc>
        <w:tc>
          <w:tcPr>
            <w:tcW w:w="9400" w:type="dxa"/>
            <w:vAlign w:val="bottom"/>
            <w:gridSpan w:val="27"/>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Leases</w:t>
              </w:r>
            </w:hyperlink>
          </w:p>
        </w:tc>
        <w:tc>
          <w:tcPr>
            <w:tcW w:w="4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5">
              <w:r>
                <w:rPr>
                  <w:rFonts w:ascii="Arial" w:cs="Arial" w:eastAsia="Arial" w:hAnsi="Arial"/>
                  <w:sz w:val="18"/>
                  <w:szCs w:val="18"/>
                  <w:color w:val="0000EE"/>
                </w:rPr>
                <w:t>6.</w:t>
              </w:r>
            </w:hyperlink>
          </w:p>
        </w:tc>
        <w:tc>
          <w:tcPr>
            <w:tcW w:w="9400" w:type="dxa"/>
            <w:vAlign w:val="bottom"/>
            <w:gridSpan w:val="2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Debt</w:t>
              </w:r>
            </w:hyperlink>
          </w:p>
        </w:tc>
        <w:tc>
          <w:tcPr>
            <w:tcW w:w="4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6">
              <w:r>
                <w:rPr>
                  <w:rFonts w:ascii="Arial" w:cs="Arial" w:eastAsia="Arial" w:hAnsi="Arial"/>
                  <w:sz w:val="18"/>
                  <w:szCs w:val="18"/>
                  <w:color w:val="0000EE"/>
                </w:rPr>
                <w:t>7.</w:t>
              </w:r>
            </w:hyperlink>
          </w:p>
        </w:tc>
        <w:tc>
          <w:tcPr>
            <w:tcW w:w="9400" w:type="dxa"/>
            <w:vAlign w:val="bottom"/>
            <w:gridSpan w:val="27"/>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Redeemable Convertible Preferred Stock and Common Stock</w:t>
              </w:r>
            </w:hyperlink>
          </w:p>
        </w:tc>
        <w:tc>
          <w:tcPr>
            <w:tcW w:w="42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6">
              <w:r>
                <w:rPr>
                  <w:rFonts w:ascii="Arial" w:cs="Arial" w:eastAsia="Arial" w:hAnsi="Arial"/>
                  <w:sz w:val="18"/>
                  <w:szCs w:val="18"/>
                  <w:color w:val="0000EE"/>
                </w:rPr>
                <w:t>8.</w:t>
              </w:r>
            </w:hyperlink>
          </w:p>
        </w:tc>
        <w:tc>
          <w:tcPr>
            <w:tcW w:w="9400" w:type="dxa"/>
            <w:vAlign w:val="bottom"/>
            <w:gridSpan w:val="27"/>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Stock-Based Compensation</w:t>
              </w:r>
            </w:hyperlink>
          </w:p>
        </w:tc>
        <w:tc>
          <w:tcPr>
            <w:tcW w:w="42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9">
              <w:r>
                <w:rPr>
                  <w:rFonts w:ascii="Arial" w:cs="Arial" w:eastAsia="Arial" w:hAnsi="Arial"/>
                  <w:sz w:val="18"/>
                  <w:szCs w:val="18"/>
                  <w:color w:val="0000EE"/>
                </w:rPr>
                <w:t>9.</w:t>
              </w:r>
            </w:hyperlink>
          </w:p>
        </w:tc>
        <w:tc>
          <w:tcPr>
            <w:tcW w:w="9400" w:type="dxa"/>
            <w:vAlign w:val="bottom"/>
            <w:gridSpan w:val="27"/>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Net Loss Per Share Attributable to Common Stockholders</w:t>
              </w:r>
            </w:hyperlink>
          </w:p>
        </w:tc>
        <w:tc>
          <w:tcPr>
            <w:tcW w:w="42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tcBorders>
              <w:top w:val="single" w:sz="8" w:color="0000EE"/>
              <w:bottom w:val="single" w:sz="8" w:color="0000EE"/>
            </w:tcBorders>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10. Geographic Information</w:t>
              </w:r>
            </w:hyperlink>
          </w:p>
        </w:tc>
        <w:tc>
          <w:tcPr>
            <w:tcW w:w="2560" w:type="dxa"/>
            <w:vAlign w:val="bottom"/>
            <w:tcBorders>
              <w:top w:val="single" w:sz="8" w:color="0000EE"/>
            </w:tcBorders>
            <w:gridSpan w:val="12"/>
          </w:tcPr>
          <w:p>
            <w:pPr>
              <w:spacing w:after="0"/>
              <w:rPr>
                <w:sz w:val="21"/>
                <w:szCs w:val="21"/>
                <w:color w:val="auto"/>
              </w:rPr>
            </w:pPr>
          </w:p>
        </w:tc>
        <w:tc>
          <w:tcPr>
            <w:tcW w:w="4780" w:type="dxa"/>
            <w:vAlign w:val="bottom"/>
            <w:gridSpan w:val="6"/>
          </w:tcPr>
          <w:p>
            <w:pPr>
              <w:spacing w:after="0"/>
              <w:rPr>
                <w:sz w:val="21"/>
                <w:szCs w:val="21"/>
                <w:color w:val="auto"/>
              </w:rPr>
            </w:pPr>
          </w:p>
        </w:tc>
        <w:tc>
          <w:tcPr>
            <w:tcW w:w="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220" w:type="dxa"/>
            <w:vAlign w:val="bottom"/>
          </w:tcPr>
          <w:p>
            <w:pPr>
              <w:spacing w:after="0"/>
              <w:rPr>
                <w:sz w:val="21"/>
                <w:szCs w:val="21"/>
                <w:color w:val="auto"/>
              </w:rPr>
            </w:pPr>
          </w:p>
        </w:tc>
      </w:tr>
      <w:tr>
        <w:trPr>
          <w:trHeight w:val="561"/>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9820" w:type="dxa"/>
            <w:vAlign w:val="bottom"/>
            <w:gridSpan w:val="2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820" w:type="dxa"/>
            <w:vAlign w:val="bottom"/>
            <w:gridSpan w:val="2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4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820" w:type="dxa"/>
            <w:vAlign w:val="bottom"/>
            <w:gridSpan w:val="2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4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37"/>
        </w:trPr>
        <w:tc>
          <w:tcPr>
            <w:tcW w:w="5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gridSpan w:val="12"/>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w:t>
              </w:r>
            </w:hyperlink>
          </w:p>
        </w:tc>
        <w:tc>
          <w:tcPr>
            <w:tcW w:w="344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2760" w:type="dxa"/>
            <w:vAlign w:val="bottom"/>
            <w:tcBorders>
              <w:top w:val="single" w:sz="8" w:color="0000EE"/>
            </w:tcBorders>
            <w:gridSpan w:val="8"/>
          </w:tcPr>
          <w:p>
            <w:pPr>
              <w:spacing w:after="0"/>
              <w:rPr>
                <w:sz w:val="20"/>
                <w:szCs w:val="20"/>
                <w:color w:val="auto"/>
              </w:rPr>
            </w:pPr>
          </w:p>
        </w:tc>
        <w:tc>
          <w:tcPr>
            <w:tcW w:w="3620" w:type="dxa"/>
            <w:vAlign w:val="bottom"/>
            <w:gridSpan w:val="4"/>
          </w:tcPr>
          <w:p>
            <w:pPr>
              <w:spacing w:after="0"/>
              <w:rPr>
                <w:sz w:val="20"/>
                <w:szCs w:val="20"/>
                <w:color w:val="auto"/>
              </w:rPr>
            </w:pPr>
          </w:p>
        </w:tc>
        <w:tc>
          <w:tcPr>
            <w:tcW w:w="4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9820" w:type="dxa"/>
            <w:vAlign w:val="bottom"/>
            <w:gridSpan w:val="2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4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40" w:type="dxa"/>
            <w:vAlign w:val="bottom"/>
            <w:gridSpan w:val="15"/>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2.</w:t>
              </w:r>
            </w:hyperlink>
          </w:p>
        </w:tc>
        <w:tc>
          <w:tcPr>
            <w:tcW w:w="260" w:type="dxa"/>
            <w:vAlign w:val="bottom"/>
          </w:tcPr>
          <w:p>
            <w:pPr>
              <w:spacing w:after="0"/>
              <w:rPr>
                <w:sz w:val="20"/>
                <w:szCs w:val="20"/>
                <w:color w:val="auto"/>
              </w:rPr>
            </w:pPr>
          </w:p>
        </w:tc>
        <w:tc>
          <w:tcPr>
            <w:tcW w:w="9820" w:type="dxa"/>
            <w:vAlign w:val="bottom"/>
            <w:gridSpan w:val="2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Unregistered Sales of Equity Securities and Use of Proceeds</w:t>
              </w:r>
            </w:hyperlink>
          </w:p>
        </w:tc>
        <w:tc>
          <w:tcPr>
            <w:tcW w:w="420" w:type="dxa"/>
            <w:vAlign w:val="bottom"/>
            <w:gridSpan w:val="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980" w:type="dxa"/>
            <w:vAlign w:val="bottom"/>
            <w:gridSpan w:val="16"/>
            <w:shd w:val="clear" w:color="auto" w:fill="0000EE"/>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6.</w:t>
              </w:r>
            </w:hyperlink>
          </w:p>
        </w:tc>
        <w:tc>
          <w:tcPr>
            <w:tcW w:w="9820" w:type="dxa"/>
            <w:vAlign w:val="bottom"/>
            <w:gridSpan w:val="2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42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960" w:type="dxa"/>
            <w:vAlign w:val="bottom"/>
            <w:gridSpan w:val="2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Signatures</w:t>
              </w:r>
            </w:hyperlink>
          </w:p>
        </w:tc>
        <w:tc>
          <w:tcPr>
            <w:tcW w:w="8960" w:type="dxa"/>
            <w:vAlign w:val="bottom"/>
            <w:gridSpan w:val="24"/>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220" w:type="dxa"/>
            <w:vAlign w:val="bottom"/>
          </w:tcPr>
          <w:p>
            <w:pPr>
              <w:spacing w:after="0"/>
              <w:rPr>
                <w:sz w:val="20"/>
                <w:szCs w:val="20"/>
                <w:color w:val="auto"/>
              </w:rPr>
            </w:pPr>
          </w:p>
        </w:tc>
      </w:tr>
      <w:tr>
        <w:trPr>
          <w:trHeight w:val="709"/>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gridSpan w:val="19"/>
          </w:tcPr>
          <w:p>
            <w:pPr>
              <w:jc w:val="center"/>
              <w:ind w:left="415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60"/>
          </w:cols>
          <w:pgMar w:left="280" w:top="360" w:right="4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81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0"/>
        </w:trPr>
        <w:tc>
          <w:tcPr>
            <w:tcW w:w="2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78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1"/>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780" w:type="dxa"/>
            <w:vAlign w:val="bottom"/>
          </w:tcPr>
          <w:p>
            <w:pPr>
              <w:jc w:val="center"/>
              <w:ind w:left="1230"/>
              <w:spacing w:after="0"/>
              <w:rPr>
                <w:sz w:val="20"/>
                <w:szCs w:val="20"/>
                <w:color w:val="auto"/>
              </w:rPr>
            </w:pPr>
            <w:r>
              <w:rPr>
                <w:rFonts w:ascii="Arial" w:cs="Arial" w:eastAsia="Arial" w:hAnsi="Arial"/>
                <w:sz w:val="18"/>
                <w:szCs w:val="18"/>
                <w:b w:val="1"/>
                <w:bCs w:val="1"/>
                <w:color w:val="auto"/>
                <w:w w:val="99"/>
              </w:rPr>
              <w:t>TENABLE HOLDINGS, INC.</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9"/>
        </w:trPr>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78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3"/>
        </w:trPr>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right"/>
              <w:ind w:right="71"/>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60"/>
        </w:trPr>
        <w:tc>
          <w:tcPr>
            <w:tcW w:w="84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880" w:type="dxa"/>
            <w:vAlign w:val="bottom"/>
            <w:shd w:val="clear" w:color="auto" w:fill="CCEEFF"/>
          </w:tcPr>
          <w:p>
            <w:pPr>
              <w:spacing w:after="0"/>
              <w:rPr>
                <w:sz w:val="24"/>
                <w:szCs w:val="24"/>
                <w:color w:val="auto"/>
              </w:rPr>
            </w:pPr>
          </w:p>
        </w:tc>
        <w:tc>
          <w:tcPr>
            <w:tcW w:w="6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171,303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165,116</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125,333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118,119</w:t>
            </w:r>
          </w:p>
        </w:tc>
      </w:tr>
      <w:tr>
        <w:trPr>
          <w:trHeight w:val="235"/>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$557 and $188 at September 30, 2019</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260" w:type="dxa"/>
            <w:vAlign w:val="bottom"/>
            <w:shd w:val="clear" w:color="auto" w:fill="CCEEFF"/>
          </w:tcPr>
          <w:p>
            <w:pPr>
              <w:spacing w:after="0"/>
              <w:rPr>
                <w:sz w:val="20"/>
                <w:szCs w:val="20"/>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 December 31, 2018, respectively)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81,201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68,261</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Deferred commissions</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26,030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23,272</w:t>
            </w:r>
          </w:p>
        </w:tc>
      </w:tr>
      <w:tr>
        <w:trPr>
          <w:trHeight w:val="270"/>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21,126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22,020</w:t>
            </w:r>
          </w:p>
        </w:tc>
      </w:tr>
      <w:tr>
        <w:trPr>
          <w:trHeight w:val="250"/>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424,993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396,788</w:t>
            </w: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11,348</w:t>
            </w: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Deferred commissions (net of current portion)</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38,493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36,162</w:t>
            </w: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40,346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8,504</w:t>
            </w:r>
          </w:p>
        </w:tc>
      </w:tr>
      <w:tr>
        <w:trPr>
          <w:trHeight w:val="264"/>
        </w:trPr>
        <w:tc>
          <w:tcPr>
            <w:tcW w:w="84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9,855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7,810</w:t>
            </w:r>
          </w:p>
        </w:tc>
      </w:tr>
      <w:tr>
        <w:trPr>
          <w:trHeight w:val="257"/>
        </w:trPr>
        <w:tc>
          <w:tcPr>
            <w:tcW w:w="8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532,212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460,612</w:t>
            </w:r>
          </w:p>
        </w:tc>
      </w:tr>
      <w:tr>
        <w:trPr>
          <w:trHeight w:val="20"/>
        </w:trPr>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5,554</w:t>
            </w: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29,594</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245,985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213,644</w:t>
            </w: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4,262</w:t>
            </w:r>
          </w:p>
        </w:tc>
      </w:tr>
      <w:tr>
        <w:trPr>
          <w:trHeight w:val="264"/>
        </w:trPr>
        <w:tc>
          <w:tcPr>
            <w:tcW w:w="844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1,079</w:t>
            </w:r>
          </w:p>
        </w:tc>
      </w:tr>
      <w:tr>
        <w:trPr>
          <w:trHeight w:val="25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285,169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254,304</w:t>
            </w: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83,390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76,259</w:t>
            </w: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37,788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6,055</w:t>
            </w:r>
          </w:p>
        </w:tc>
      </w:tr>
      <w:tr>
        <w:trPr>
          <w:trHeight w:val="264"/>
        </w:trPr>
        <w:tc>
          <w:tcPr>
            <w:tcW w:w="84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2,231</w:t>
            </w:r>
          </w:p>
        </w:tc>
      </w:tr>
      <w:tr>
        <w:trPr>
          <w:trHeight w:val="25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409,024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338,849</w:t>
            </w:r>
          </w:p>
        </w:tc>
      </w:tr>
      <w:tr>
        <w:trPr>
          <w:trHeight w:val="284"/>
        </w:trPr>
        <w:tc>
          <w:tcPr>
            <w:tcW w:w="26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Common stock (par value: $0.01; 500,000 shares authorized; 97,960 and 93,126 shares issued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outstanding at September 30, 2019 and December 31, 2018, respectively)</w:t>
            </w:r>
          </w:p>
        </w:tc>
        <w:tc>
          <w:tcPr>
            <w:tcW w:w="16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931</w:t>
            </w: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648,964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586,940</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(526,816)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(466,108)</w:t>
            </w:r>
          </w:p>
        </w:tc>
      </w:tr>
      <w:tr>
        <w:trPr>
          <w:trHeight w:val="250"/>
        </w:trPr>
        <w:tc>
          <w:tcPr>
            <w:tcW w:w="84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123,188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121,763</w:t>
            </w:r>
          </w:p>
        </w:tc>
      </w:tr>
      <w:tr>
        <w:trPr>
          <w:trHeight w:val="257"/>
        </w:trPr>
        <w:tc>
          <w:tcPr>
            <w:tcW w:w="8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532,212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460,612</w:t>
            </w: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257,537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192,139</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15,245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42,389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30,768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76,607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57,279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215,148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161,371</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44,550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165,403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125,964</w:t>
            </w:r>
          </w:p>
        </w:tc>
        <w:tc>
          <w:tcPr>
            <w:tcW w:w="0" w:type="dxa"/>
            <w:vAlign w:val="bottom"/>
          </w:tcPr>
          <w:p>
            <w:pPr>
              <w:spacing w:after="0"/>
              <w:rPr>
                <w:sz w:val="1"/>
                <w:szCs w:val="1"/>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64,396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55,529</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17,472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48,595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32,868</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94,934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78,375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278,394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214,361</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(52,990)</w:t>
            </w:r>
          </w:p>
        </w:tc>
        <w:tc>
          <w:tcPr>
            <w:tcW w:w="0" w:type="dxa"/>
            <w:vAlign w:val="bottom"/>
          </w:tcPr>
          <w:p>
            <w:pPr>
              <w:spacing w:after="0"/>
              <w:rPr>
                <w:sz w:val="1"/>
                <w:szCs w:val="1"/>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(52,750)</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(53,907)</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(60,708)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(54,341)</w:t>
            </w:r>
          </w:p>
        </w:tc>
        <w:tc>
          <w:tcPr>
            <w:tcW w:w="0" w:type="dxa"/>
            <w:vAlign w:val="bottom"/>
          </w:tcPr>
          <w:p>
            <w:pPr>
              <w:spacing w:after="0"/>
              <w:rPr>
                <w:sz w:val="1"/>
                <w:szCs w:val="1"/>
                <w:color w:val="auto"/>
              </w:rPr>
            </w:pPr>
          </w:p>
        </w:tc>
      </w:tr>
      <w:tr>
        <w:trPr>
          <w:trHeight w:val="305"/>
        </w:trPr>
        <w:tc>
          <w:tcPr>
            <w:tcW w:w="5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2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20" w:type="dxa"/>
            <w:vAlign w:val="bottom"/>
            <w:vMerge w:val="restart"/>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Weighted-average shares used to compute net loss per share</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96,709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74,261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95,433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40,688</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(53,907)</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(losses) gains on available-for-sale securities</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(53,907)</w:t>
            </w: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6"/>
        </w:trPr>
        <w:tc>
          <w:tcPr>
            <w:tcW w:w="558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5" w:name="page6"/>
    <w:bookmarkEnd w:id="5"/>
    <w:p>
      <w:pPr>
        <w:ind w:left="2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REDEEMABLE CONVERTIBLE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160655</wp:posOffset>
            </wp:positionV>
            <wp:extent cx="7246620" cy="7769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69860"/>
                    </a:xfrm>
                    <a:prstGeom prst="rect">
                      <a:avLst/>
                    </a:prstGeom>
                    <a:noFill/>
                  </pic:spPr>
                </pic:pic>
              </a:graphicData>
            </a:graphic>
          </wp:anchor>
        </w:drawing>
      </w:r>
    </w:p>
    <w:p>
      <w:pPr>
        <w:sectPr>
          <w:pgSz w:w="11900" w:h="16838" w:orient="portrait"/>
          <w:cols w:equalWidth="0" w:num="1">
            <w:col w:w="11380"/>
          </w:cols>
          <w:pgMar w:left="280" w:top="140" w:right="239" w:bottom="1440" w:gutter="0" w:footer="0" w:header="0"/>
        </w:sect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80" w:type="dxa"/>
            <w:vAlign w:val="bottom"/>
          </w:tcPr>
          <w:p>
            <w:pPr>
              <w:spacing w:after="0"/>
              <w:rPr>
                <w:sz w:val="12"/>
                <w:szCs w:val="12"/>
                <w:color w:val="auto"/>
              </w:rPr>
            </w:pPr>
          </w:p>
        </w:tc>
        <w:tc>
          <w:tcPr>
            <w:tcW w:w="3300" w:type="dxa"/>
            <w:vAlign w:val="bottom"/>
            <w:gridSpan w:val="9"/>
          </w:tcPr>
          <w:p>
            <w:pPr>
              <w:jc w:val="right"/>
              <w:ind w:right="526"/>
              <w:spacing w:after="0"/>
              <w:rPr>
                <w:sz w:val="20"/>
                <w:szCs w:val="20"/>
                <w:color w:val="auto"/>
              </w:rPr>
            </w:pPr>
            <w:r>
              <w:rPr>
                <w:rFonts w:ascii="Arial" w:cs="Arial" w:eastAsia="Arial" w:hAnsi="Arial"/>
                <w:sz w:val="11"/>
                <w:szCs w:val="11"/>
                <w:b w:val="1"/>
                <w:bCs w:val="1"/>
                <w:color w:val="auto"/>
              </w:rPr>
              <w:t>Redeemable Convertible Preferred Stock</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1660" w:type="dxa"/>
            <w:vAlign w:val="bottom"/>
            <w:gridSpan w:val="5"/>
          </w:tcPr>
          <w:p>
            <w:pPr>
              <w:ind w:left="560"/>
              <w:spacing w:after="0"/>
              <w:rPr>
                <w:sz w:val="20"/>
                <w:szCs w:val="20"/>
                <w:color w:val="auto"/>
              </w:rPr>
            </w:pPr>
            <w:r>
              <w:rPr>
                <w:rFonts w:ascii="Arial" w:cs="Arial" w:eastAsia="Arial" w:hAnsi="Arial"/>
                <w:sz w:val="11"/>
                <w:szCs w:val="11"/>
                <w:b w:val="1"/>
                <w:bCs w:val="1"/>
                <w:color w:val="auto"/>
              </w:rPr>
              <w:t>Series A</w:t>
            </w:r>
          </w:p>
        </w:tc>
        <w:tc>
          <w:tcPr>
            <w:tcW w:w="1640" w:type="dxa"/>
            <w:vAlign w:val="bottom"/>
            <w:gridSpan w:val="4"/>
          </w:tcPr>
          <w:p>
            <w:pPr>
              <w:jc w:val="right"/>
              <w:ind w:right="546"/>
              <w:spacing w:after="0"/>
              <w:rPr>
                <w:sz w:val="20"/>
                <w:szCs w:val="20"/>
                <w:color w:val="auto"/>
              </w:rPr>
            </w:pPr>
            <w:r>
              <w:rPr>
                <w:rFonts w:ascii="Arial" w:cs="Arial" w:eastAsia="Arial" w:hAnsi="Arial"/>
                <w:sz w:val="11"/>
                <w:szCs w:val="11"/>
                <w:b w:val="1"/>
                <w:bCs w:val="1"/>
                <w:color w:val="auto"/>
              </w:rPr>
              <w:t>Series B</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1680" w:type="dxa"/>
            <w:vAlign w:val="bottom"/>
          </w:tcPr>
          <w:p>
            <w:pPr>
              <w:spacing w:after="0"/>
              <w:rPr>
                <w:sz w:val="20"/>
                <w:szCs w:val="20"/>
                <w:color w:val="auto"/>
              </w:rPr>
            </w:pPr>
            <w:r>
              <w:rPr>
                <w:rFonts w:ascii="Arial" w:cs="Arial" w:eastAsia="Arial" w:hAnsi="Arial"/>
                <w:sz w:val="11"/>
                <w:szCs w:val="11"/>
                <w:b w:val="1"/>
                <w:bCs w:val="1"/>
                <w:color w:val="auto"/>
              </w:rPr>
              <w:t>(in thousands)</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22"/>
                <w:szCs w:val="22"/>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22"/>
                <w:szCs w:val="22"/>
                <w:color w:val="auto"/>
              </w:rPr>
            </w:pP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2"/>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Balance at June 30, 2019</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Issuance of common stock under</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rPr>
                <w:sz w:val="20"/>
                <w:szCs w:val="20"/>
                <w:color w:val="auto"/>
              </w:rPr>
            </w:pPr>
            <w:r>
              <w:rPr>
                <w:rFonts w:ascii="Arial" w:cs="Arial" w:eastAsia="Arial" w:hAnsi="Arial"/>
                <w:sz w:val="11"/>
                <w:szCs w:val="11"/>
                <w:color w:val="auto"/>
              </w:rPr>
              <w:t>employee stock purchase plan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September 30, 2019</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2018</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680" w:type="dxa"/>
            <w:vAlign w:val="bottom"/>
            <w:vMerge w:val="continue"/>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Issuance of common stock under</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rPr>
                <w:sz w:val="20"/>
                <w:szCs w:val="20"/>
                <w:color w:val="auto"/>
              </w:rPr>
            </w:pPr>
            <w:r>
              <w:rPr>
                <w:rFonts w:ascii="Arial" w:cs="Arial" w:eastAsia="Arial" w:hAnsi="Arial"/>
                <w:sz w:val="11"/>
                <w:szCs w:val="11"/>
                <w:color w:val="auto"/>
              </w:rPr>
              <w:t>employee stock purchase plan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September 30, 2019</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Balance at June 30, 2018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680" w:type="dxa"/>
            <w:vAlign w:val="bottom"/>
            <w:vMerge w:val="continue"/>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49,946</w:t>
            </w:r>
          </w:p>
        </w:tc>
        <w:tc>
          <w:tcPr>
            <w:tcW w:w="140" w:type="dxa"/>
            <w:vAlign w:val="bottom"/>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39,538</w:t>
            </w:r>
          </w:p>
        </w:tc>
        <w:tc>
          <w:tcPr>
            <w:tcW w:w="12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228,168</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Accretion of Series A and B</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80"/>
              <w:spacing w:after="0" w:line="122" w:lineRule="exact"/>
              <w:rPr>
                <w:sz w:val="20"/>
                <w:szCs w:val="20"/>
                <w:color w:val="auto"/>
              </w:rPr>
            </w:pPr>
            <w:r>
              <w:rPr>
                <w:rFonts w:ascii="Arial" w:cs="Arial" w:eastAsia="Arial" w:hAnsi="Arial"/>
                <w:sz w:val="11"/>
                <w:szCs w:val="11"/>
                <w:color w:val="auto"/>
              </w:rPr>
              <w:t>redeemable convertible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tcPr>
          <w:p>
            <w:pPr>
              <w:ind w:left="80"/>
              <w:spacing w:after="0"/>
              <w:rPr>
                <w:sz w:val="20"/>
                <w:szCs w:val="20"/>
                <w:color w:val="auto"/>
              </w:rPr>
            </w:pPr>
            <w:r>
              <w:rPr>
                <w:rFonts w:ascii="Arial" w:cs="Arial" w:eastAsia="Arial" w:hAnsi="Arial"/>
                <w:sz w:val="11"/>
                <w:szCs w:val="11"/>
                <w:color w:val="auto"/>
              </w:rPr>
              <w:t>preferred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Issuance of common stock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connection with initial public</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offering, net of underwriting</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discounts and commissions and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rPr>
                <w:sz w:val="20"/>
                <w:szCs w:val="20"/>
                <w:color w:val="auto"/>
              </w:rPr>
            </w:pPr>
            <w:r>
              <w:rPr>
                <w:rFonts w:ascii="Arial" w:cs="Arial" w:eastAsia="Arial" w:hAnsi="Arial"/>
                <w:sz w:val="11"/>
                <w:szCs w:val="11"/>
                <w:color w:val="auto"/>
              </w:rPr>
              <w:t>other offering expenses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Conversion of redeemable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convertible preferred stock to</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common stock upon initial public</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rPr>
                <w:sz w:val="20"/>
                <w:szCs w:val="20"/>
                <w:color w:val="auto"/>
              </w:rPr>
            </w:pPr>
            <w:r>
              <w:rPr>
                <w:rFonts w:ascii="Arial" w:cs="Arial" w:eastAsia="Arial" w:hAnsi="Arial"/>
                <w:sz w:val="11"/>
                <w:szCs w:val="11"/>
                <w:color w:val="auto"/>
              </w:rPr>
              <w:t>offering</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(49,948)</w:t>
            </w:r>
          </w:p>
        </w:tc>
        <w:tc>
          <w:tcPr>
            <w:tcW w:w="1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(39,538)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(228,221)</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September 30, 2018</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680" w:type="dxa"/>
            <w:vAlign w:val="bottom"/>
            <w:vMerge w:val="continue"/>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49,935</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39,538</w:t>
            </w:r>
          </w:p>
        </w:tc>
        <w:tc>
          <w:tcPr>
            <w:tcW w:w="12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227,800</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Accretion of Series A and B</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80"/>
              <w:spacing w:after="0" w:line="122" w:lineRule="exact"/>
              <w:rPr>
                <w:sz w:val="20"/>
                <w:szCs w:val="20"/>
                <w:color w:val="auto"/>
              </w:rPr>
            </w:pPr>
            <w:r>
              <w:rPr>
                <w:rFonts w:ascii="Arial" w:cs="Arial" w:eastAsia="Arial" w:hAnsi="Arial"/>
                <w:sz w:val="11"/>
                <w:szCs w:val="11"/>
                <w:color w:val="auto"/>
              </w:rPr>
              <w:t>redeemable convertible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tcPr>
          <w:p>
            <w:pPr>
              <w:ind w:left="80"/>
              <w:spacing w:after="0"/>
              <w:rPr>
                <w:sz w:val="20"/>
                <w:szCs w:val="20"/>
                <w:color w:val="auto"/>
              </w:rPr>
            </w:pPr>
            <w:r>
              <w:rPr>
                <w:rFonts w:ascii="Arial" w:cs="Arial" w:eastAsia="Arial" w:hAnsi="Arial"/>
                <w:sz w:val="11"/>
                <w:szCs w:val="11"/>
                <w:color w:val="auto"/>
              </w:rPr>
              <w:t>preferred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Issuance of common stock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connection with initial public</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offering, net of underwriting</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discounts and commissions and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rPr>
                <w:sz w:val="20"/>
                <w:szCs w:val="20"/>
                <w:color w:val="auto"/>
              </w:rPr>
            </w:pPr>
            <w:r>
              <w:rPr>
                <w:rFonts w:ascii="Arial" w:cs="Arial" w:eastAsia="Arial" w:hAnsi="Arial"/>
                <w:sz w:val="11"/>
                <w:szCs w:val="11"/>
                <w:color w:val="auto"/>
              </w:rPr>
              <w:t>other offering expenses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20"/>
                <w:szCs w:val="20"/>
                <w:color w:val="auto"/>
              </w:rPr>
            </w:pPr>
            <w:r>
              <w:rPr>
                <w:rFonts w:ascii="Arial" w:cs="Arial" w:eastAsia="Arial" w:hAnsi="Arial"/>
                <w:sz w:val="11"/>
                <w:szCs w:val="11"/>
                <w:color w:val="auto"/>
              </w:rPr>
              <w:t>Conversion of redeemable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convertible preferred stock to</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line="122" w:lineRule="exact"/>
              <w:rPr>
                <w:sz w:val="20"/>
                <w:szCs w:val="20"/>
                <w:color w:val="auto"/>
              </w:rPr>
            </w:pPr>
            <w:r>
              <w:rPr>
                <w:rFonts w:ascii="Arial" w:cs="Arial" w:eastAsia="Arial" w:hAnsi="Arial"/>
                <w:sz w:val="11"/>
                <w:szCs w:val="11"/>
                <w:color w:val="auto"/>
              </w:rPr>
              <w:t>common stock upon initial public</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tcPr>
          <w:p>
            <w:pPr>
              <w:spacing w:after="0"/>
              <w:rPr>
                <w:sz w:val="20"/>
                <w:szCs w:val="20"/>
                <w:color w:val="auto"/>
              </w:rPr>
            </w:pPr>
            <w:r>
              <w:rPr>
                <w:rFonts w:ascii="Arial" w:cs="Arial" w:eastAsia="Arial" w:hAnsi="Arial"/>
                <w:sz w:val="11"/>
                <w:szCs w:val="11"/>
                <w:color w:val="auto"/>
              </w:rPr>
              <w:t>offering</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(49,948)</w:t>
            </w:r>
          </w:p>
        </w:tc>
        <w:tc>
          <w:tcPr>
            <w:tcW w:w="1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(39,538)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(228,221)</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1"/>
                <w:szCs w:val="11"/>
                <w:b w:val="1"/>
                <w:bCs w:val="1"/>
                <w:color w:val="auto"/>
              </w:rPr>
              <w:t>Balance at September 30, 2018</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60" w:type="dxa"/>
            <w:vAlign w:val="bottom"/>
            <w:gridSpan w:val="5"/>
            <w:vMerge w:val="restart"/>
          </w:tcPr>
          <w:p>
            <w:pPr>
              <w:ind w:left="4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Accumulated</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66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restart"/>
          </w:tcPr>
          <w:p>
            <w:pPr>
              <w:jc w:val="center"/>
              <w:ind w:right="220"/>
              <w:spacing w:after="0" w:line="90"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7"/>
                <w:szCs w:val="7"/>
                <w:color w:val="auto"/>
              </w:rPr>
            </w:pPr>
          </w:p>
        </w:tc>
        <w:tc>
          <w:tcPr>
            <w:tcW w:w="1100" w:type="dxa"/>
            <w:vAlign w:val="bottom"/>
            <w:gridSpan w:val="2"/>
            <w:vMerge w:val="restart"/>
          </w:tcPr>
          <w:p>
            <w:pPr>
              <w:jc w:val="center"/>
              <w:ind w:right="240"/>
              <w:spacing w:after="0" w:line="90"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restart"/>
          </w:tcPr>
          <w:p>
            <w:pPr>
              <w:jc w:val="center"/>
              <w:ind w:right="86"/>
              <w:spacing w:after="0" w:line="90"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20"/>
              <w:spacing w:after="0" w:line="114"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9"/>
                <w:szCs w:val="9"/>
                <w:color w:val="auto"/>
              </w:rPr>
            </w:pPr>
          </w:p>
        </w:tc>
        <w:tc>
          <w:tcPr>
            <w:tcW w:w="110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9"/>
                <w:szCs w:val="9"/>
                <w:color w:val="auto"/>
              </w:rPr>
            </w:pPr>
          </w:p>
        </w:tc>
        <w:tc>
          <w:tcPr>
            <w:tcW w:w="980" w:type="dxa"/>
            <w:vAlign w:val="bottom"/>
          </w:tcPr>
          <w:p>
            <w:pPr>
              <w:jc w:val="center"/>
              <w:ind w:right="86"/>
              <w:spacing w:after="0" w:line="114"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90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140" w:type="dxa"/>
            <w:vAlign w:val="bottom"/>
          </w:tcPr>
          <w:p>
            <w:pPr>
              <w:spacing w:after="0"/>
              <w:rPr>
                <w:sz w:val="12"/>
                <w:szCs w:val="12"/>
                <w:color w:val="auto"/>
              </w:rPr>
            </w:pPr>
          </w:p>
        </w:tc>
        <w:tc>
          <w:tcPr>
            <w:tcW w:w="980" w:type="dxa"/>
            <w:vAlign w:val="bottom"/>
          </w:tcPr>
          <w:p>
            <w:pPr>
              <w:jc w:val="center"/>
              <w:ind w:right="86"/>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96,808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629,087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(509,176)</w:t>
            </w:r>
          </w:p>
        </w:tc>
        <w:tc>
          <w:tcPr>
            <w:tcW w:w="10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120,959</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383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2,717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2,721</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97"/>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6,547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6,550</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10,618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10,618</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(17,640)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(17,640)</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97,960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980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648,964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(526,816)</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123,188</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93,126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586,940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(466,108)</w:t>
            </w:r>
          </w:p>
        </w:tc>
        <w:tc>
          <w:tcPr>
            <w:tcW w:w="1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121,763</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3,625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15,412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15,448</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432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97"/>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777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15,121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15,129</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31,496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31,496</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(60,708)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(60,708)</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97,960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980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648,964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(526,816)</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123,188</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24,951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26,651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(425,625)</w:t>
            </w:r>
          </w:p>
        </w:tc>
        <w:tc>
          <w:tcPr>
            <w:tcW w:w="1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(398,724)</w:t>
            </w:r>
          </w:p>
        </w:tc>
        <w:tc>
          <w:tcPr>
            <w:tcW w:w="0" w:type="dxa"/>
            <w:vAlign w:val="bottom"/>
          </w:tcPr>
          <w:p>
            <w:pPr>
              <w:spacing w:after="0"/>
              <w:rPr>
                <w:sz w:val="1"/>
                <w:szCs w:val="1"/>
                <w:color w:val="auto"/>
              </w:rPr>
            </w:pPr>
          </w:p>
        </w:tc>
      </w:tr>
      <w:tr>
        <w:trPr>
          <w:trHeight w:val="419"/>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405</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8,836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8,836</w:t>
            </w:r>
          </w:p>
        </w:tc>
        <w:tc>
          <w:tcPr>
            <w:tcW w:w="0" w:type="dxa"/>
            <w:vAlign w:val="bottom"/>
          </w:tcPr>
          <w:p>
            <w:pPr>
              <w:spacing w:after="0"/>
              <w:rPr>
                <w:sz w:val="1"/>
                <w:szCs w:val="1"/>
                <w:color w:val="auto"/>
              </w:rPr>
            </w:pPr>
          </w:p>
        </w:tc>
      </w:tr>
      <w:tr>
        <w:trPr>
          <w:trHeight w:val="662"/>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12,535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264,674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264,799</w:t>
            </w:r>
          </w:p>
        </w:tc>
        <w:tc>
          <w:tcPr>
            <w:tcW w:w="0" w:type="dxa"/>
            <w:vAlign w:val="bottom"/>
          </w:tcPr>
          <w:p>
            <w:pPr>
              <w:spacing w:after="0"/>
              <w:rPr>
                <w:sz w:val="1"/>
                <w:szCs w:val="1"/>
                <w:color w:val="auto"/>
              </w:rPr>
            </w:pPr>
          </w:p>
        </w:tc>
      </w:tr>
      <w:tr>
        <w:trPr>
          <w:trHeight w:val="54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55,386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277,615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278,169</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(20,869)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(20,869)</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93,040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578,125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(446,494)</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132,561</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24,472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20,676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(392,587)</w:t>
            </w:r>
          </w:p>
        </w:tc>
        <w:tc>
          <w:tcPr>
            <w:tcW w:w="1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(371,665)</w:t>
            </w:r>
          </w:p>
        </w:tc>
        <w:tc>
          <w:tcPr>
            <w:tcW w:w="0" w:type="dxa"/>
            <w:vAlign w:val="bottom"/>
          </w:tcPr>
          <w:p>
            <w:pPr>
              <w:spacing w:after="0"/>
              <w:rPr>
                <w:sz w:val="1"/>
                <w:szCs w:val="1"/>
                <w:color w:val="auto"/>
              </w:rPr>
            </w:pPr>
          </w:p>
        </w:tc>
      </w:tr>
      <w:tr>
        <w:trPr>
          <w:trHeight w:val="419"/>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(434)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(434)</w:t>
            </w:r>
          </w:p>
        </w:tc>
        <w:tc>
          <w:tcPr>
            <w:tcW w:w="0" w:type="dxa"/>
            <w:vAlign w:val="bottom"/>
          </w:tcPr>
          <w:p>
            <w:pPr>
              <w:spacing w:after="0"/>
              <w:rPr>
                <w:sz w:val="1"/>
                <w:szCs w:val="1"/>
                <w:color w:val="auto"/>
              </w:rPr>
            </w:pPr>
          </w:p>
        </w:tc>
      </w:tr>
      <w:tr>
        <w:trPr>
          <w:trHeight w:val="27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654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1,409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1,415</w:t>
            </w:r>
          </w:p>
        </w:tc>
        <w:tc>
          <w:tcPr>
            <w:tcW w:w="0" w:type="dxa"/>
            <w:vAlign w:val="bottom"/>
          </w:tcPr>
          <w:p>
            <w:pPr>
              <w:spacing w:after="0"/>
              <w:rPr>
                <w:sz w:val="1"/>
                <w:szCs w:val="1"/>
                <w:color w:val="auto"/>
              </w:rPr>
            </w:pPr>
          </w:p>
        </w:tc>
      </w:tr>
      <w:tr>
        <w:trPr>
          <w:trHeight w:val="270"/>
        </w:trPr>
        <w:tc>
          <w:tcPr>
            <w:tcW w:w="80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14,259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14,259</w:t>
            </w:r>
          </w:p>
        </w:tc>
        <w:tc>
          <w:tcPr>
            <w:tcW w:w="0" w:type="dxa"/>
            <w:vAlign w:val="bottom"/>
          </w:tcPr>
          <w:p>
            <w:pPr>
              <w:spacing w:after="0"/>
              <w:rPr>
                <w:sz w:val="1"/>
                <w:szCs w:val="1"/>
                <w:color w:val="auto"/>
              </w:rPr>
            </w:pPr>
          </w:p>
        </w:tc>
      </w:tr>
      <w:tr>
        <w:trPr>
          <w:trHeight w:val="662"/>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12,535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264,674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264,799</w:t>
            </w:r>
          </w:p>
        </w:tc>
        <w:tc>
          <w:tcPr>
            <w:tcW w:w="0" w:type="dxa"/>
            <w:vAlign w:val="bottom"/>
          </w:tcPr>
          <w:p>
            <w:pPr>
              <w:spacing w:after="0"/>
              <w:rPr>
                <w:sz w:val="1"/>
                <w:szCs w:val="1"/>
                <w:color w:val="auto"/>
              </w:rPr>
            </w:pPr>
          </w:p>
        </w:tc>
      </w:tr>
      <w:tr>
        <w:trPr>
          <w:trHeight w:val="540"/>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55,386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277,615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278,169</w:t>
            </w:r>
          </w:p>
        </w:tc>
        <w:tc>
          <w:tcPr>
            <w:tcW w:w="0" w:type="dxa"/>
            <w:vAlign w:val="bottom"/>
          </w:tcPr>
          <w:p>
            <w:pPr>
              <w:spacing w:after="0"/>
              <w:rPr>
                <w:sz w:val="1"/>
                <w:szCs w:val="1"/>
                <w:color w:val="auto"/>
              </w:rPr>
            </w:pPr>
          </w:p>
        </w:tc>
      </w:tr>
      <w:tr>
        <w:trPr>
          <w:trHeight w:val="270"/>
        </w:trPr>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(53,907)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(53,907)</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tcPr>
          <w:p>
            <w:pPr>
              <w:jc w:val="right"/>
              <w:ind w:right="66"/>
              <w:spacing w:after="0"/>
              <w:rPr>
                <w:sz w:val="20"/>
                <w:szCs w:val="20"/>
                <w:color w:val="auto"/>
              </w:rPr>
            </w:pPr>
            <w:r>
              <w:rPr>
                <w:rFonts w:ascii="Arial" w:cs="Arial" w:eastAsia="Arial" w:hAnsi="Arial"/>
                <w:sz w:val="11"/>
                <w:szCs w:val="11"/>
                <w:color w:val="auto"/>
              </w:rPr>
              <w:t>93,040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578,125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(446,494)</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132,561</w:t>
            </w:r>
          </w:p>
        </w:tc>
        <w:tc>
          <w:tcPr>
            <w:tcW w:w="0" w:type="dxa"/>
            <w:vAlign w:val="bottom"/>
          </w:tcPr>
          <w:p>
            <w:pPr>
              <w:spacing w:after="0"/>
              <w:rPr>
                <w:sz w:val="1"/>
                <w:szCs w:val="1"/>
                <w:color w:val="auto"/>
              </w:rPr>
            </w:pP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2">
            <w:col w:w="4980" w:space="260"/>
            <w:col w:w="6140"/>
          </w:cols>
          <w:pgMar w:left="280" w:top="140" w:right="239" w:bottom="1440" w:gutter="0" w:footer="0" w:header="0"/>
          <w:type w:val="continuous"/>
        </w:sect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380"/>
          </w:cols>
          <w:pgMar w:left="280" w:top="140" w:right="239" w:bottom="1440" w:gutter="0" w:footer="0" w:header="0"/>
          <w:type w:val="continuous"/>
        </w:sect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80" w:top="140" w:right="239" w:bottom="1440" w:gutter="0" w:footer="0" w:header="0"/>
          <w:type w:val="continuous"/>
        </w:sectPr>
      </w:pPr>
    </w:p>
    <w:bookmarkStart w:id="6" w:name="page7"/>
    <w:bookmarkEnd w:id="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spacing w:after="0"/>
              <w:rPr>
                <w:sz w:val="19"/>
                <w:szCs w:val="19"/>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(60,708)</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(53,907)</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4,580</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771</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(8,190)</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(2,708)</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1,930</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1,252</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39,472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39,880</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57"/>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43"/>
        </w:trPr>
        <w:tc>
          <w:tcPr>
            <w:tcW w:w="8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(4,140)</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(34,114)</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Sales and maturities of short-term investments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174,485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(38,254)</w:t>
            </w:r>
          </w:p>
        </w:tc>
      </w:tr>
      <w:tr>
        <w:trPr>
          <w:trHeight w:val="243"/>
        </w:trPr>
        <w:tc>
          <w:tcPr>
            <w:tcW w:w="8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268,531</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 of costs related to initial public offering</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Principal payments under finance lease obligations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15,448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1,415</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856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30,565</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265,750</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50"/>
        </w:trPr>
        <w:tc>
          <w:tcPr>
            <w:tcW w:w="85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225,816</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165,378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27,472</w:t>
            </w:r>
          </w:p>
        </w:tc>
      </w:tr>
      <w:tr>
        <w:trPr>
          <w:trHeight w:val="29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171,565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253,288</w:t>
            </w:r>
          </w:p>
        </w:tc>
      </w:tr>
      <w:tr>
        <w:trPr>
          <w:trHeight w:val="227"/>
        </w:trPr>
        <w:tc>
          <w:tcPr>
            <w:tcW w:w="8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60"/>
        </w:trPr>
        <w:tc>
          <w:tcPr>
            <w:tcW w:w="856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Operating cash payments for operating leases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3,098</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cash payments for finance leases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60"/>
        </w:trPr>
        <w:tc>
          <w:tcPr>
            <w:tcW w:w="856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0" w:right="239" w:bottom="1440" w:gutter="0" w:footer="0" w:header="0"/>
          <w:type w:val="continuous"/>
        </w:sectPr>
      </w:pPr>
    </w:p>
    <w:bookmarkStart w:id="7" w:name="page8"/>
    <w:bookmarkEnd w:id="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47" w:lineRule="exact"/>
        <w:rPr>
          <w:sz w:val="20"/>
          <w:szCs w:val="20"/>
          <w:color w:val="auto"/>
        </w:rPr>
      </w:pPr>
    </w:p>
    <w:p>
      <w:pPr>
        <w:jc w:val="both"/>
        <w:ind w:right="20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measuring and comparing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All intercompany accounts and transactions have been eliminated in consolidation.</w:t>
      </w:r>
    </w:p>
    <w:p>
      <w:pPr>
        <w:spacing w:after="0" w:line="19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2018 Annual Report on Form 10-K ("10-K") filed with the Securities and Exchange Commission on March 1, 2019.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209"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The results for the nine months ended September 30, 2019 are not necessarily indicative of the operating results expected for the year ending December 31, 2019 or any other future period.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On July 30, 2018, we completed our initial public offering ("IPO"), in which we issued and sold 12,535,000 shares of common stock at a price to the public of $23.00 per share, including 1,635,000 shares of common stock purchased by our underwriters from the full exercise of their over-allotment option. All of the shares sold in the IPO were sold by the Company. We received net proceeds of $264.6 million after deducting underwriting discounts and commissions and other offering expenses.</w:t>
      </w:r>
    </w:p>
    <w:p>
      <w:pPr>
        <w:spacing w:after="0" w:line="204" w:lineRule="exact"/>
        <w:rPr>
          <w:sz w:val="20"/>
          <w:szCs w:val="20"/>
          <w:color w:val="auto"/>
        </w:rPr>
      </w:pPr>
    </w:p>
    <w:p>
      <w:pPr>
        <w:ind w:right="800" w:firstLine="324"/>
        <w:spacing w:after="0" w:line="250" w:lineRule="auto"/>
        <w:rPr>
          <w:sz w:val="20"/>
          <w:szCs w:val="20"/>
          <w:color w:val="auto"/>
        </w:rPr>
      </w:pPr>
      <w:r>
        <w:rPr>
          <w:rFonts w:ascii="Arial" w:cs="Arial" w:eastAsia="Arial" w:hAnsi="Arial"/>
          <w:sz w:val="18"/>
          <w:szCs w:val="18"/>
          <w:color w:val="auto"/>
        </w:rPr>
        <w:t>Upon the completion of our IPO, all 15,847,500 shares of our Series A Redeemable Convertible Preferred Stock ("Series A") and 39,538,354 shares of our Series B Redeemable Convertible Preferred Stock ("Series B") automatically converted into an aggregate</w:t>
      </w:r>
    </w:p>
    <w:p>
      <w:pPr>
        <w:spacing w:after="0" w:line="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of 55,385,854 shares of our common stock. Our Amended and Restated Certificate of Incorporation adopted in connection with the IPO authorizes a total of 500,000,000 shares of common stock and 10,000,000 shares of preferred stock.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useful lives of long-lived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40" w:right="279" w:bottom="1440" w:gutter="0" w:footer="0" w:header="0"/>
        </w:sectPr>
      </w:pPr>
    </w:p>
    <w:bookmarkStart w:id="8" w:name="page9"/>
    <w:bookmarkEnd w:id="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780" w:firstLine="324"/>
        <w:spacing w:after="0" w:line="291" w:lineRule="auto"/>
        <w:rPr>
          <w:sz w:val="20"/>
          <w:szCs w:val="20"/>
          <w:color w:val="auto"/>
        </w:rPr>
      </w:pPr>
      <w:r>
        <w:rPr>
          <w:rFonts w:ascii="Arial" w:cs="Arial" w:eastAsia="Arial" w:hAnsi="Arial"/>
          <w:sz w:val="17"/>
          <w:szCs w:val="17"/>
          <w:color w:val="auto"/>
        </w:rPr>
        <w:t>We recognize revenue in order to depict the transfer of promised goods or services to customers in an amount that reflects the consideration to which we expect to be entitled in exchange for those goods or services. To achieve this, we apply the following steps:</w:t>
      </w:r>
    </w:p>
    <w:p>
      <w:pPr>
        <w:spacing w:after="0" w:line="93" w:lineRule="exact"/>
        <w:rPr>
          <w:sz w:val="20"/>
          <w:szCs w:val="20"/>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39"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302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920" w:type="dxa"/>
            <w:vAlign w:val="bottom"/>
            <w:gridSpan w:val="5"/>
          </w:tcPr>
          <w:p>
            <w:pPr>
              <w:jc w:val="right"/>
              <w:ind w:right="3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75,503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53,511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209,610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146,568</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Perpetual license and maintenance revenue</w:t>
            </w: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13,797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13,864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40,877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40,753</w:t>
            </w: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and other revenue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7,050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4,818</w:t>
            </w:r>
          </w:p>
        </w:tc>
      </w:tr>
      <w:tr>
        <w:trPr>
          <w:trHeight w:val="257"/>
        </w:trPr>
        <w:tc>
          <w:tcPr>
            <w:tcW w:w="54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91,852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69,440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257,537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192,139</w:t>
            </w: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Subscription arrangements generally have annual or multi-year contractual terms for the use of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9" w:name="page10"/>
    <w:bookmarkEnd w:id="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Concentrations</w:t>
      </w:r>
    </w:p>
    <w:p>
      <w:pPr>
        <w:spacing w:after="0" w:line="24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end-users. We derived 91%, 88%, 90%, and 87% of revenue through our channel network in the three months ended September 30, 2019 and 2018 and the nine months ended September 30, 2019 and 2018, respectively. One of our distributors accounted for 43% of revenue in the three and nine months ended September 30, 2019 and 46% of revenue in the three and nine months ended September 30, 2018. That same distributor accounted for 40% and 46% of accounts receivable at September 30, 2019 and December 31, 2018, respectively.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4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September 30, 2019 and 2018 and the nine months ended September 30, 2019 and 2018, we recognized revenue of $84.6 million, $62.5 million, $184.3 million and $133.3 million, respectively, that was included in the deferred revenue balance at the beginning of each of the respective periods.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Remaining Performance Obligations</w:t>
      </w:r>
    </w:p>
    <w:p>
      <w:pPr>
        <w:spacing w:after="0" w:line="24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At September 30, 2019, the future estimated revenue related to unsatisfied performance obligations was $333.4 million, with 74% expected to be recognized as revenue over the succeeding twelve months, and the remainder expected to be recognized over the four years thereafter.</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47"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We currently invest in commercial paper, corporate bonds and U.S. treasury and agency obligations. Our investments are classified as available-for-sale and recorded at fair value, with unrealized gains and losses reported in accumulated</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0" w:right="259" w:bottom="1440" w:gutter="0" w:footer="0" w:header="0"/>
        </w:sectPr>
      </w:pPr>
    </w:p>
    <w:bookmarkStart w:id="10" w:name="page11"/>
    <w:bookmarkEnd w:id="1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other comprehensive income within stockholders’ equity (deficit). We periodically review our investment portfolio to determine whether investments have indicators of possible impairment.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 in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61,866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50,805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59,434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50,176</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Capitalization of contract acquisition costs</w:t>
            </w: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9,612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24,846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16,985</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deferred contract acquisition costs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64,523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52,884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64,523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52,884</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of deferred contract acquisition costs is included in sales and marketing expense in the consolidated statements of operations.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We early adopted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as of January 1, 2018 using the modified retrospective method. We determine if an arrangement contains a lease and the classification of that lease, if applicable, at inception. We have elected to not recognize a lease liability or right-of-use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w:t>
      </w:r>
    </w:p>
    <w:p>
      <w:pPr>
        <w:spacing w:after="0" w:line="207"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we use our incremental borrowing rate at the lease commencement date to determine the present value of lease payments. The determination of our incremental borrowing rate requires judgment and is estimated for each lease based on the rate we would have to pay for a collateralized loan with the same term and payments as the lease. We consider various factors, including our current borrowing rate, level of collateralization, estimated credit rating and currency of the lease. The operating lease ROU asset also includes any lease prepayments, offset by lease incentives. Certain of our leases include options to extend or terminate the lease. Options to extend or terminate a lease are considered in connection with calculating the ROU asset and related lease liability when it is reasonably certain that we will exercise that option.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1" w:name="page12"/>
    <w:bookmarkEnd w:id="1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This ASU amends guidance on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for assets held at amortized cost basis and available-for-sale debt securities to require that credit losses on available-for-sale debt securities be presented as an allowance rather than as a write-down. The measurement of credit losses for newly recognized financial assets and subsequent changes in the allowance for credit losses are recorded in the statements of operations. This guidance is effective for us beginning January 1, 2020, and will be adopted using the modified-retrospective method. We are currently evaluating the potential impact of this standard on our consolidated financial statements.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In August 2018, the FASB issued ASU No. 2018-15 —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 </w:t>
      </w:r>
      <w:r>
        <w:rPr>
          <w:rFonts w:ascii="Arial" w:cs="Arial" w:eastAsia="Arial" w:hAnsi="Arial"/>
          <w:sz w:val="18"/>
          <w:szCs w:val="18"/>
          <w:i w:val="1"/>
          <w:iCs w:val="1"/>
          <w:color w:val="auto"/>
        </w:rPr>
        <w:t>Internal -Use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Under this ASU,</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related to a cloud computing arrangement that is a service contract will be capitalized consistent with the requirements for capitalizing internal-use software development costs. The capitalized implementation costs are subsequently expensed over the term of the hosting arrangement. This guidance is effective for us beginning January 1, 2020, and will be adopted on a prospective basis. We are currently evaluating the potential impact of this standard.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Cash and Cash Equivalents and Short-Term Investments</w:t>
      </w:r>
    </w:p>
    <w:p>
      <w:pPr>
        <w:spacing w:after="0" w:line="247"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At September 30, 2019 and December 31, 2018, cash and cash equivalents excluded $0.3 million of restricted cash, which is related to an account established as collateral for a lease arrangement and was included in other assets on the consolidated balance sheets.</w:t>
      </w:r>
    </w:p>
    <w:p>
      <w:pPr>
        <w:spacing w:after="0" w:line="19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September 30, 2019</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Unrealized Gain</w:t>
            </w: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28,043</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4,496</w:t>
            </w: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cash equivalents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32,539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56,754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56,754</w:t>
            </w: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16,025</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and agency obligations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52,526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52,554</w:t>
            </w: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125,273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125,333</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2" w:name="page13"/>
    <w:bookmarkEnd w:id="1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December 31, 2018</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Unrealized Gain</w:t>
            </w: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38,022</w:t>
            </w:r>
          </w:p>
        </w:tc>
      </w:tr>
      <w:tr>
        <w:trPr>
          <w:trHeight w:val="297"/>
        </w:trPr>
        <w:tc>
          <w:tcPr>
            <w:tcW w:w="5260" w:type="dxa"/>
            <w:vAlign w:val="bottom"/>
          </w:tcPr>
          <w:p>
            <w:pPr>
              <w:ind w:left="280"/>
              <w:spacing w:after="0"/>
              <w:rPr>
                <w:sz w:val="20"/>
                <w:szCs w:val="20"/>
                <w:color w:val="auto"/>
              </w:rPr>
            </w:pPr>
            <w:r>
              <w:rPr>
                <w:rFonts w:ascii="Arial" w:cs="Arial" w:eastAsia="Arial" w:hAnsi="Arial"/>
                <w:sz w:val="18"/>
                <w:szCs w:val="18"/>
                <w:color w:val="auto"/>
              </w:rPr>
              <w:t>Total cash equivalents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38,022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38,022</w:t>
            </w:r>
          </w:p>
        </w:tc>
      </w:tr>
      <w:tr>
        <w:trPr>
          <w:trHeight w:val="305"/>
        </w:trPr>
        <w:tc>
          <w:tcPr>
            <w:tcW w:w="526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79,634</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38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16,119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and agency obligations</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22,366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22,366</w:t>
            </w:r>
          </w:p>
        </w:tc>
      </w:tr>
      <w:tr>
        <w:trPr>
          <w:trHeight w:val="257"/>
        </w:trPr>
        <w:tc>
          <w:tcPr>
            <w:tcW w:w="5260" w:type="dxa"/>
            <w:vAlign w:val="bottom"/>
          </w:tcPr>
          <w:p>
            <w:pPr>
              <w:ind w:left="280"/>
              <w:spacing w:after="0"/>
              <w:rPr>
                <w:sz w:val="20"/>
                <w:szCs w:val="20"/>
                <w:color w:val="auto"/>
              </w:rPr>
            </w:pPr>
            <w:r>
              <w:rPr>
                <w:rFonts w:ascii="Arial" w:cs="Arial" w:eastAsia="Arial" w:hAnsi="Arial"/>
                <w:sz w:val="18"/>
                <w:szCs w:val="18"/>
                <w:color w:val="auto"/>
              </w:rPr>
              <w:t>Total short-term investments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118,119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118,119</w:t>
            </w:r>
          </w:p>
        </w:tc>
      </w:tr>
      <w:tr>
        <w:trPr>
          <w:trHeight w:val="20"/>
        </w:trPr>
        <w:tc>
          <w:tcPr>
            <w:tcW w:w="5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For any investments that were in an unrealized loss position, we considered if we intended on selling the investments before maturity and if it is more-likely-than-not that we would have to sell the security before the recovery of the amortized cost basis. We concluded that there were no other-than-temporary impairments at September 30, 2019.</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2019 and December 31, 2018, all of our short-term investments had maturities within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640" w:hanging="328"/>
        <w:spacing w:after="0" w:line="28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September 30, 2019</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28,043</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28,043</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4,496</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4,496</w:t>
            </w:r>
          </w:p>
        </w:tc>
      </w:tr>
      <w:tr>
        <w:trPr>
          <w:trHeight w:val="290"/>
        </w:trPr>
        <w:tc>
          <w:tcPr>
            <w:tcW w:w="516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28,043</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24"/>
                <w:szCs w:val="24"/>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32,539</w:t>
            </w:r>
          </w:p>
        </w:tc>
      </w:tr>
      <w:tr>
        <w:trPr>
          <w:trHeight w:val="311"/>
        </w:trPr>
        <w:tc>
          <w:tcPr>
            <w:tcW w:w="516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56,754</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56,754</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16,025</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16,025</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52,554</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52,554</w:t>
            </w:r>
          </w:p>
        </w:tc>
      </w:tr>
      <w:tr>
        <w:trPr>
          <w:trHeight w:val="250"/>
        </w:trPr>
        <w:tc>
          <w:tcPr>
            <w:tcW w:w="51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125,333</w:t>
            </w:r>
          </w:p>
        </w:tc>
        <w:tc>
          <w:tcPr>
            <w:tcW w:w="100" w:type="dxa"/>
            <w:vAlign w:val="bottom"/>
          </w:tcPr>
          <w:p>
            <w:pPr>
              <w:spacing w:after="0"/>
              <w:rPr>
                <w:sz w:val="21"/>
                <w:szCs w:val="21"/>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125,333</w:t>
            </w: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3" w:name="page14"/>
    <w:bookmarkEnd w:id="1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38,022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38,022</w:t>
            </w:r>
          </w:p>
        </w:tc>
      </w:tr>
      <w:tr>
        <w:trPr>
          <w:trHeight w:val="250"/>
        </w:trPr>
        <w:tc>
          <w:tcPr>
            <w:tcW w:w="5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79,634</w:t>
            </w:r>
          </w:p>
        </w:tc>
        <w:tc>
          <w:tcPr>
            <w:tcW w:w="100" w:type="dxa"/>
            <w:vAlign w:val="bottom"/>
          </w:tcPr>
          <w:p>
            <w:pPr>
              <w:spacing w:after="0"/>
              <w:rPr>
                <w:sz w:val="22"/>
                <w:szCs w:val="22"/>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79,634</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16,119</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16,119</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22,366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22,366</w:t>
            </w:r>
          </w:p>
        </w:tc>
      </w:tr>
      <w:tr>
        <w:trPr>
          <w:trHeight w:val="250"/>
        </w:trPr>
        <w:tc>
          <w:tcPr>
            <w:tcW w:w="5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118,119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118,119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at September 30, 2019 or December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92"/>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Computer software and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13,038</w:t>
            </w:r>
          </w:p>
        </w:tc>
      </w:tr>
      <w:tr>
        <w:trPr>
          <w:trHeight w:val="263"/>
        </w:trPr>
        <w:tc>
          <w:tcPr>
            <w:tcW w:w="834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2,376</w:t>
            </w:r>
          </w:p>
        </w:tc>
      </w:tr>
      <w:tr>
        <w:trPr>
          <w:trHeight w:val="27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7,266</w:t>
            </w:r>
          </w:p>
        </w:tc>
      </w:tr>
      <w:tr>
        <w:trPr>
          <w:trHeight w:val="264"/>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Right-of-use assets under finance leases</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1,854</w:t>
            </w:r>
          </w:p>
        </w:tc>
      </w:tr>
      <w:tr>
        <w:trPr>
          <w:trHeight w:val="257"/>
        </w:trPr>
        <w:tc>
          <w:tcPr>
            <w:tcW w:w="8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24,534</w:t>
            </w:r>
          </w:p>
        </w:tc>
      </w:tr>
      <w:tr>
        <w:trPr>
          <w:trHeight w:val="264"/>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(13,186)</w:t>
            </w:r>
          </w:p>
        </w:tc>
      </w:tr>
      <w:tr>
        <w:trPr>
          <w:trHeight w:val="257"/>
        </w:trPr>
        <w:tc>
          <w:tcPr>
            <w:tcW w:w="8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11,348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Depreciation and amortization related to property and equipment was $1.4 million, $1.4 million, $4.2 million and $4.1 million in the three months ended September 30, 2019 and 2018 and the nine months ended September 30, 2019 and 2018,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Our leases have remaining terms of less than one year to just over twelve years, some of which include one or more options to renew, with renewal terms up to five years and some of which include options to terminate the leases within the next three to six years. The ROU assets and liabilities at September 30, 2019 assume the option to early terminate one of our leases in 2021 and one of our leases in 2025.</w:t>
      </w:r>
    </w:p>
    <w:p>
      <w:pPr>
        <w:spacing w:after="0" w:line="204" w:lineRule="exact"/>
        <w:rPr>
          <w:sz w:val="20"/>
          <w:szCs w:val="20"/>
          <w:color w:val="auto"/>
        </w:rPr>
      </w:pPr>
    </w:p>
    <w:p>
      <w:pPr>
        <w:ind w:right="260" w:firstLine="324"/>
        <w:spacing w:after="0" w:line="278" w:lineRule="auto"/>
        <w:rPr>
          <w:sz w:val="20"/>
          <w:szCs w:val="20"/>
          <w:color w:val="auto"/>
        </w:rPr>
      </w:pPr>
      <w:r>
        <w:rPr>
          <w:rFonts w:ascii="Arial" w:cs="Arial" w:eastAsia="Arial" w:hAnsi="Arial"/>
          <w:sz w:val="17"/>
          <w:szCs w:val="17"/>
          <w:color w:val="auto"/>
        </w:rPr>
        <w:t>During the three months ended September 30, 2019 we took possession of the leased office space for our future headquarters in Columbia, Maryland. We recorded an initial ROU asset of $32.3 million and a lease liability of $32.0 million, with a lease term of 147 months. Future lease payments related to this lease are $67.7 million and the lease payments are expected to commence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4" w:name="page15"/>
    <w:bookmarkEnd w:id="1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Borders>
              <w:bottom w:val="single" w:sz="8" w:color="auto"/>
            </w:tcBorders>
            <w:gridSpan w:val="10"/>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 w:type="dxa"/>
            <w:vAlign w:val="bottom"/>
            <w:shd w:val="clear" w:color="auto" w:fill="CCEEFF"/>
          </w:tcPr>
          <w:p>
            <w:pPr>
              <w:spacing w:after="0"/>
              <w:rPr>
                <w:sz w:val="22"/>
                <w:szCs w:val="22"/>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40" w:type="dxa"/>
            <w:vAlign w:val="bottom"/>
            <w:shd w:val="clear" w:color="auto" w:fill="CCEEFF"/>
          </w:tcPr>
          <w:p>
            <w:pPr>
              <w:spacing w:after="0"/>
              <w:rPr>
                <w:sz w:val="22"/>
                <w:szCs w:val="22"/>
                <w:color w:val="auto"/>
              </w:rPr>
            </w:pPr>
          </w:p>
        </w:tc>
        <w:tc>
          <w:tcPr>
            <w:tcW w:w="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tcPr>
          <w:p>
            <w:pPr>
              <w:ind w:left="280"/>
              <w:spacing w:after="0"/>
              <w:rPr>
                <w:sz w:val="20"/>
                <w:szCs w:val="20"/>
                <w:color w:val="auto"/>
              </w:rPr>
            </w:pPr>
            <w:r>
              <w:rPr>
                <w:rFonts w:ascii="Arial" w:cs="Arial" w:eastAsia="Arial" w:hAnsi="Arial"/>
                <w:sz w:val="18"/>
                <w:szCs w:val="18"/>
                <w:color w:val="auto"/>
              </w:rPr>
              <w:t>Amortization of ROU assets</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2"/>
                <w:szCs w:val="22"/>
                <w:color w:val="auto"/>
              </w:rPr>
            </w:pP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2"/>
                <w:szCs w:val="22"/>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465</w:t>
            </w:r>
          </w:p>
        </w:tc>
        <w:tc>
          <w:tcPr>
            <w:tcW w:w="40" w:type="dxa"/>
            <w:vAlign w:val="bottom"/>
          </w:tcPr>
          <w:p>
            <w:pPr>
              <w:spacing w:after="0"/>
              <w:rPr>
                <w:sz w:val="22"/>
                <w:szCs w:val="22"/>
                <w:color w:val="auto"/>
              </w:rPr>
            </w:pPr>
          </w:p>
        </w:tc>
        <w:tc>
          <w:tcPr>
            <w:tcW w:w="2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on lease liabilities</w:t>
            </w:r>
          </w:p>
        </w:tc>
        <w:tc>
          <w:tcPr>
            <w:tcW w:w="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60" w:type="dxa"/>
            <w:vAlign w:val="bottom"/>
          </w:tcPr>
          <w:p>
            <w:pPr>
              <w:ind w:left="40"/>
              <w:spacing w:after="0"/>
              <w:rPr>
                <w:sz w:val="20"/>
                <w:szCs w:val="20"/>
                <w:color w:val="auto"/>
              </w:rPr>
            </w:pPr>
            <w:r>
              <w:rPr>
                <w:rFonts w:ascii="Arial" w:cs="Arial" w:eastAsia="Arial" w:hAnsi="Arial"/>
                <w:sz w:val="18"/>
                <w:szCs w:val="18"/>
                <w:color w:val="auto"/>
              </w:rPr>
              <w:t>Total finance lease cost</w:t>
            </w:r>
          </w:p>
        </w:tc>
        <w:tc>
          <w:tcPr>
            <w:tcW w:w="20" w:type="dxa"/>
            <w:vAlign w:val="bottom"/>
          </w:tcPr>
          <w:p>
            <w:pPr>
              <w:spacing w:after="0"/>
              <w:rPr>
                <w:sz w:val="22"/>
                <w:szCs w:val="22"/>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auto"/>
            </w:tcBorders>
          </w:tcPr>
          <w:p>
            <w:pPr>
              <w:spacing w:after="0"/>
              <w:rPr>
                <w:sz w:val="22"/>
                <w:szCs w:val="22"/>
                <w:color w:val="auto"/>
              </w:rPr>
            </w:pPr>
          </w:p>
        </w:tc>
        <w:tc>
          <w:tcPr>
            <w:tcW w:w="120" w:type="dxa"/>
            <w:vAlign w:val="bottom"/>
            <w:gridSpan w:val="3"/>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40" w:type="dxa"/>
            <w:vAlign w:val="bottom"/>
            <w:tcBorders>
              <w:bottom w:val="single" w:sz="8" w:color="auto"/>
            </w:tcBorders>
          </w:tcPr>
          <w:p>
            <w:pPr>
              <w:spacing w:after="0"/>
              <w:rPr>
                <w:sz w:val="22"/>
                <w:szCs w:val="22"/>
                <w:color w:val="auto"/>
              </w:rPr>
            </w:pPr>
          </w:p>
        </w:tc>
        <w:tc>
          <w:tcPr>
            <w:tcW w:w="100" w:type="dxa"/>
            <w:vAlign w:val="bottom"/>
            <w:gridSpan w:val="3"/>
          </w:tcPr>
          <w:p>
            <w:pPr>
              <w:spacing w:after="0"/>
              <w:rPr>
                <w:sz w:val="22"/>
                <w:szCs w:val="22"/>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940" w:type="dxa"/>
            <w:vAlign w:val="bottom"/>
            <w:gridSpan w:val="16"/>
          </w:tcPr>
          <w:p>
            <w:pPr>
              <w:ind w:left="340"/>
              <w:spacing w:after="0"/>
              <w:rPr>
                <w:sz w:val="20"/>
                <w:szCs w:val="20"/>
                <w:color w:val="auto"/>
              </w:rPr>
            </w:pPr>
            <w:r>
              <w:rPr>
                <w:rFonts w:ascii="Arial" w:cs="Arial" w:eastAsia="Arial" w:hAnsi="Arial"/>
                <w:sz w:val="18"/>
                <w:szCs w:val="18"/>
                <w:color w:val="auto"/>
                <w:w w:val="99"/>
              </w:rPr>
              <w:t>Rent expense for short-term leases in the three and nine months ended September 30, 2019 and 2018 was not material.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60" w:type="dxa"/>
            <w:vAlign w:val="bottom"/>
          </w:tcPr>
          <w:p>
            <w:pPr>
              <w:ind w:left="340"/>
              <w:spacing w:after="0"/>
              <w:rPr>
                <w:sz w:val="20"/>
                <w:szCs w:val="20"/>
                <w:color w:val="auto"/>
              </w:rPr>
            </w:pPr>
            <w:r>
              <w:rPr>
                <w:rFonts w:ascii="Arial" w:cs="Arial" w:eastAsia="Arial" w:hAnsi="Arial"/>
                <w:sz w:val="18"/>
                <w:szCs w:val="18"/>
                <w:color w:val="auto"/>
              </w:rPr>
              <w:t>Supplemental information related to leases was as follows: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55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leases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tcPr>
          <w:p>
            <w:pPr>
              <w:ind w:left="280"/>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10.2 years</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3.1 years</w:t>
            </w:r>
          </w:p>
        </w:tc>
        <w:tc>
          <w:tcPr>
            <w:tcW w:w="0" w:type="dxa"/>
            <w:vAlign w:val="bottom"/>
          </w:tcPr>
          <w:p>
            <w:pPr>
              <w:spacing w:after="0"/>
              <w:rPr>
                <w:sz w:val="1"/>
                <w:szCs w:val="1"/>
                <w:color w:val="auto"/>
              </w:rPr>
            </w:pPr>
          </w:p>
        </w:tc>
      </w:tr>
      <w:tr>
        <w:trPr>
          <w:trHeight w:val="277"/>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discount rate</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8"/>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gridSpan w:val="10"/>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340" w:type="dxa"/>
            <w:vAlign w:val="bottom"/>
            <w:gridSpan w:val="2"/>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32,292</w:t>
            </w:r>
          </w:p>
        </w:tc>
        <w:tc>
          <w:tcPr>
            <w:tcW w:w="20" w:type="dxa"/>
            <w:vAlign w:val="bottom"/>
          </w:tcPr>
          <w:p>
            <w:pPr>
              <w:spacing w:after="0"/>
              <w:rPr>
                <w:sz w:val="22"/>
                <w:szCs w:val="22"/>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2"/>
                <w:szCs w:val="22"/>
                <w:color w:val="auto"/>
              </w:rPr>
            </w:pPr>
          </w:p>
        </w:tc>
        <w:tc>
          <w:tcPr>
            <w:tcW w:w="320" w:type="dxa"/>
            <w:vAlign w:val="bottom"/>
            <w:gridSpan w:val="4"/>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34,490</w:t>
            </w:r>
          </w:p>
        </w:tc>
        <w:tc>
          <w:tcPr>
            <w:tcW w:w="40" w:type="dxa"/>
            <w:vAlign w:val="bottom"/>
          </w:tcPr>
          <w:p>
            <w:pPr>
              <w:spacing w:after="0"/>
              <w:rPr>
                <w:sz w:val="22"/>
                <w:szCs w:val="22"/>
                <w:color w:val="auto"/>
              </w:rPr>
            </w:pPr>
          </w:p>
        </w:tc>
        <w:tc>
          <w:tcPr>
            <w:tcW w:w="2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960" w:type="dxa"/>
            <w:vAlign w:val="bottom"/>
            <w:gridSpan w:val="5"/>
          </w:tcPr>
          <w:p>
            <w:pPr>
              <w:ind w:left="340"/>
              <w:spacing w:after="0"/>
              <w:rPr>
                <w:sz w:val="20"/>
                <w:szCs w:val="20"/>
                <w:color w:val="auto"/>
              </w:rPr>
            </w:pPr>
            <w:r>
              <w:rPr>
                <w:rFonts w:ascii="Arial" w:cs="Arial" w:eastAsia="Arial" w:hAnsi="Arial"/>
                <w:sz w:val="18"/>
                <w:szCs w:val="18"/>
                <w:color w:val="auto"/>
              </w:rPr>
              <w:t>Maturities of operating lease liabilities at September 30, 2019 were as follows: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60" w:type="dxa"/>
            <w:vAlign w:val="bottom"/>
          </w:tcPr>
          <w:p>
            <w:pPr>
              <w:ind w:left="40"/>
              <w:spacing w:after="0"/>
              <w:rPr>
                <w:sz w:val="20"/>
                <w:szCs w:val="20"/>
                <w:color w:val="auto"/>
              </w:rPr>
            </w:pPr>
            <w:r>
              <w:rPr>
                <w:rFonts w:ascii="Arial" w:cs="Arial" w:eastAsia="Arial" w:hAnsi="Arial"/>
                <w:sz w:val="18"/>
                <w:szCs w:val="18"/>
                <w:color w:val="auto"/>
              </w:rPr>
              <w:t>2019</w:t>
            </w:r>
            <w:r>
              <w:rPr>
                <w:rFonts w:ascii="Arial" w:cs="Arial" w:eastAsia="Arial" w:hAnsi="Arial"/>
                <w:sz w:val="21"/>
                <w:szCs w:val="21"/>
                <w:color w:val="auto"/>
                <w:vertAlign w:val="superscript"/>
              </w:rPr>
              <w:t>(1)</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5"/>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60" w:type="dxa"/>
            <w:vAlign w:val="bottom"/>
          </w:tcPr>
          <w:p>
            <w:pPr>
              <w:ind w:left="4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60" w:type="dxa"/>
            <w:vAlign w:val="bottom"/>
          </w:tcPr>
          <w:p>
            <w:pPr>
              <w:ind w:left="4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6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78,360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Tenant incentives</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41,758</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three months ending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4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On May 4, 2017, we entered into a $25.0 million revolving credit facility (“Credit Facility”) with Silicon Valley Bank, which is available for use until May 4, 2020. There were no borrowings under the Credit Facility during the nine months ended September 30, 2019 or in 2018.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right="5980" w:hanging="332"/>
        <w:spacing w:after="0" w:line="513" w:lineRule="auto"/>
        <w:tabs>
          <w:tab w:leader="none" w:pos="21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Common Stock </w:t>
      </w:r>
      <w:r>
        <w:rPr>
          <w:rFonts w:ascii="Arial" w:cs="Arial" w:eastAsia="Arial" w:hAnsi="Arial"/>
          <w:sz w:val="18"/>
          <w:szCs w:val="18"/>
          <w:b w:val="1"/>
          <w:bCs w:val="1"/>
          <w:i w:val="1"/>
          <w:iCs w:val="1"/>
          <w:color w:val="auto"/>
        </w:rPr>
        <w:t>Redeemable Convertible Preferred Stock</w:t>
      </w:r>
    </w:p>
    <w:p>
      <w:pPr>
        <w:spacing w:after="0" w:line="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October 2012, Tenable, Inc. (now a wholly owned subsidiary of Tenable Holdings, Inc.) issued 15,847,500 shares of Series A redeemable convertible preferred stock. In December 2015, we issued 15,847,500 shares, par value of $0.01, of Series A redeemable convertible preferred stock ("Series A") in exchange for Series A redeemable convertible preferred stock of Tenable, Inc. in connection with a recapitalization. This exchange was made on a one for one basis. In addition, we authorized 42,000,000 shares and issued 39,538,354 shares, par value of $ 0.01, of Series B redeemable convertible preferred stock ("Series B"). Upon completion of our IPO, Series A and Series B (together, the “Redeemable Convertible Preferred Stock”) automatically converted into an aggregate of 55,385,854 shares of our common stock.</w:t>
      </w:r>
    </w:p>
    <w:p>
      <w:pPr>
        <w:spacing w:after="0" w:line="207"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We accreted the Redeemable Convertible Preferred Stock to the redemption price at the redemption date using the effective interest method. Upon completion of our IPO, the accretion rights of the Redeemable Convertible Preferred Stock were terminated.</w:t>
      </w:r>
    </w:p>
    <w:p>
      <w:pPr>
        <w:spacing w:after="0" w:line="196" w:lineRule="exact"/>
        <w:rPr>
          <w:sz w:val="20"/>
          <w:szCs w:val="20"/>
          <w:color w:val="auto"/>
        </w:rPr>
      </w:pPr>
    </w:p>
    <w:p>
      <w:pPr>
        <w:ind w:right="740" w:firstLine="324"/>
        <w:spacing w:after="0" w:line="256" w:lineRule="auto"/>
        <w:rPr>
          <w:sz w:val="20"/>
          <w:szCs w:val="20"/>
          <w:color w:val="auto"/>
        </w:rPr>
      </w:pPr>
      <w:r>
        <w:rPr>
          <w:rFonts w:ascii="Arial" w:cs="Arial" w:eastAsia="Arial" w:hAnsi="Arial"/>
          <w:sz w:val="18"/>
          <w:szCs w:val="18"/>
          <w:color w:val="auto"/>
        </w:rPr>
        <w:t>Upon the completion of our IPO, we filed an Amended and Restated Certificate of Incorporation, authorizing a total of 500,000,000 shares of common stock and 10,000,000 shares of preferred stock. There were no shares of preferred stock issued or outstanding at September 30, 2019 or December 31, 2018.</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2018, our Board of Directors adopted, and our stockholders approved, our 2018 Equity Incentive Plan ("2018 Plan"), which became effective upon the execution of the underwriting agreement related to our IPO, and no further grants were made under our 2016 Stock Incentive Plan ("2016 Plan"). Any shares subject to stock options or other stock awards granted under our 2016 Plan, 2012 Stock Incentive Plan or 2002 Stock Incentive Plan that would have otherwise returned to such plan (such as upon the expiration or termination of a stock award prior to vesting) were added to, and are available for issuance under, our 2018 Plan. In addition, the number of shares of our common stock reserved for issuance under our 2018 Plan automatically increases on January 1 of each year, beginning on January 1, 2019 and continuing through and including January 1, 2028, by 5% of the total number of shares of our capital stock outstanding on December 31 of the preceding calendar year, or a lesser number of shares determined by our Board of Directors. At September 30, 2019, there were 15,052,780 shares available for grant under the 2018 Plan.</w:t>
      </w:r>
    </w:p>
    <w:p>
      <w:pPr>
        <w:spacing w:after="0" w:line="21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Stock options granted under our stock incentive plans have a maximum term of ten years, generally vest over a period of three to four years, and the exercise price cannot be less than the fair market value on the date of grant. Restricted stock units ("RSUs") granted under our stock incentive plans generally vest over a period of two to four years.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6" w:name="page17"/>
    <w:bookmarkEnd w:id="1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940" w:type="dxa"/>
            <w:vAlign w:val="bottom"/>
            <w:gridSpan w:val="5"/>
          </w:tcPr>
          <w:p>
            <w:pPr>
              <w:jc w:val="right"/>
              <w:ind w:right="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11,102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3,984</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6,595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3,594</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11,406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5,745</w:t>
            </w:r>
          </w:p>
        </w:tc>
      </w:tr>
      <w:tr>
        <w:trPr>
          <w:trHeight w:val="257"/>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14,206</w:t>
            </w: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At September 30, 2019, the total unrecognized stock-based compensation expense related to outstanding stock options was $29.8 million, which is expected to be recognized over an estimated remaining weighted average period of 2.4 years.</w:t>
      </w:r>
    </w:p>
    <w:p>
      <w:pPr>
        <w:spacing w:after="0" w:line="196"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At September 30, 2019, the unrecognized stock-based compensation expense related to unvested awards of restricted stock was $2.1 million, which is expected to be recognized over an estimated remaining period of 1.3 years.</w:t>
      </w:r>
    </w:p>
    <w:p>
      <w:pPr>
        <w:spacing w:after="0" w:line="196"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At September 30, 2019, the unrecognized stock-based compensation expense related to unvested restricted stock units was $62.4 million, which is expected to be recognized over an estimated remaining weighted average period of 3.2 years.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Weighted-Average</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jc w:val="right"/>
              <w:ind w:right="35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Contractual Term</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 and years)</w:t>
            </w: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277,114</w:t>
            </w:r>
          </w:p>
        </w:tc>
        <w:tc>
          <w:tcPr>
            <w:tcW w:w="0" w:type="dxa"/>
            <w:vAlign w:val="bottom"/>
          </w:tcPr>
          <w:p>
            <w:pPr>
              <w:spacing w:after="0"/>
              <w:rPr>
                <w:sz w:val="1"/>
                <w:szCs w:val="1"/>
                <w:color w:val="auto"/>
              </w:rPr>
            </w:pPr>
          </w:p>
        </w:tc>
      </w:tr>
      <w:tr>
        <w:trPr>
          <w:trHeight w:val="290"/>
        </w:trPr>
        <w:tc>
          <w:tcPr>
            <w:tcW w:w="51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2019</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194,654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107,297</w:t>
            </w:r>
          </w:p>
        </w:tc>
        <w:tc>
          <w:tcPr>
            <w:tcW w:w="0" w:type="dxa"/>
            <w:vAlign w:val="bottom"/>
          </w:tcPr>
          <w:p>
            <w:pPr>
              <w:spacing w:after="0" w:line="20" w:lineRule="exact"/>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Exercisable at September 30, 2019</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1480" w:type="dxa"/>
            <w:vAlign w:val="bottom"/>
          </w:tcPr>
          <w:p>
            <w:pPr>
              <w:jc w:val="right"/>
              <w:ind w:right="515"/>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2019, there were 13.9 million stock options that were vested and expected to vest.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7" w:name="page18"/>
    <w:bookmarkEnd w:id="1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restricted stock units activity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8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160" w:type="dxa"/>
            <w:vAlign w:val="bottom"/>
          </w:tcPr>
          <w:p>
            <w:pPr>
              <w:spacing w:after="0"/>
              <w:rPr>
                <w:sz w:val="16"/>
                <w:szCs w:val="16"/>
                <w:color w:val="auto"/>
              </w:rPr>
            </w:pPr>
          </w:p>
        </w:tc>
        <w:tc>
          <w:tcPr>
            <w:tcW w:w="1500" w:type="dxa"/>
            <w:vAlign w:val="bottom"/>
          </w:tcPr>
          <w:p>
            <w:pPr>
              <w:jc w:val="right"/>
              <w:ind w:right="37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Grant Date Fair</w:t>
            </w:r>
          </w:p>
        </w:tc>
        <w:tc>
          <w:tcPr>
            <w:tcW w:w="146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w:t>
            </w:r>
          </w:p>
        </w:tc>
        <w:tc>
          <w:tcPr>
            <w:tcW w:w="15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8"/>
              </w:rPr>
              <w:t>Value</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2018</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18.90</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28.10</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17.20</w:t>
            </w:r>
          </w:p>
        </w:tc>
      </w:tr>
      <w:tr>
        <w:trPr>
          <w:trHeight w:val="264"/>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23.96</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September 30, 2019</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80" w:firstLine="324"/>
        <w:spacing w:after="0" w:line="278" w:lineRule="auto"/>
        <w:rPr>
          <w:sz w:val="20"/>
          <w:szCs w:val="20"/>
          <w:color w:val="auto"/>
        </w:rPr>
      </w:pPr>
      <w:r>
        <w:rPr>
          <w:rFonts w:ascii="Arial" w:cs="Arial" w:eastAsia="Arial" w:hAnsi="Arial"/>
          <w:sz w:val="17"/>
          <w:szCs w:val="17"/>
          <w:color w:val="auto"/>
        </w:rPr>
        <w:t>The grant date fair value was based on the estimated fair value of our common stock on the date of grant. RSUs granted before July 30, 2018 vest upon the satisfaction of both service-based and performance-based vesting conditions. The performance-based condition was satisfied upon the completion of our IPO. RSUs granted after July 30, 2018 vest upon the satisfaction of a service-based vesting condition.</w:t>
      </w:r>
    </w:p>
    <w:p>
      <w:pPr>
        <w:spacing w:after="0" w:line="185"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Compensation expense for restricted stock and RSUs is recognized on a straight-line basis over the requisite service period, with the exception of RSUs that include performance-based vesting conditions, which are expensed using the accelerated attribution method.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2018, our Board of Directors adopted, and our stockholders approved, our 2018 Employee Stock Purchase Plan ("2018 ESPP").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ESPP became effective upon the execution of the underwriting agreement related to our IPO. The number of shares of our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 for issuance under our 2018 ESPP automatically increases on January 1 of each year, beginning on January 1, 2019 and continuing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and including January 1, 2028, by the lesser of (1) 1.5% of the total number of shares of our common stock outstanding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of the preceding calendar year, (2) 8,000,000 shares of our common stock or (3) such lesser number of shares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determined by our Board of Directors. At September 30, 2019, there were 4,620,087 shares reserved for issuance under the 2018 ESPP.</w:t>
      </w:r>
    </w:p>
    <w:p>
      <w:pPr>
        <w:spacing w:after="0" w:line="225"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8"/>
          <w:szCs w:val="18"/>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Additionally, in cases where the fair market value of a share of our common stock on the first day of a new purchase period within an offering is less than or equal to the fair market value of a share of our common stock at the beginning of the offering, that offering will be terminated and participants will be automatically enrolled in a new offering with a new 24 month duration, with purchase periods every six months.</w:t>
      </w:r>
    </w:p>
    <w:p>
      <w:pPr>
        <w:spacing w:after="0" w:line="202"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the nine months ended September 30, 2019, employees purchased 776,809 shares of our common stock at a weighted average price of $19.48 per share, resulting in cash proceeds to us of $15.1 million.</w:t>
      </w:r>
    </w:p>
    <w:p>
      <w:pPr>
        <w:spacing w:after="0" w:line="196"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At September 30, 2019, there was $1.5 million of employee contributions to the 2018 ESPP included in accrued compensation. The unrecognized stock-based compensation expense related to our 2018 ESPP was $11.3 million, which is expected to be recognized over the remaining offering period of 1.9 years.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18" w:name="page19"/>
    <w:bookmarkEnd w:id="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The fair value of the 2018 ESPP purchase rights was estimated on the grant date using a Black-Scholes option-pricing model and the following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w:t>
            </w:r>
          </w:p>
        </w:tc>
      </w:tr>
      <w:tr>
        <w:trPr>
          <w:trHeight w:val="250"/>
        </w:trPr>
        <w:tc>
          <w:tcPr>
            <w:tcW w:w="55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040" w:type="dxa"/>
            <w:vAlign w:val="bottom"/>
          </w:tcPr>
          <w:p>
            <w:pPr>
              <w:jc w:val="right"/>
              <w:spacing w:after="0"/>
              <w:rPr>
                <w:sz w:val="20"/>
                <w:szCs w:val="20"/>
                <w:color w:val="auto"/>
              </w:rPr>
            </w:pPr>
            <w:r>
              <w:rPr>
                <w:rFonts w:ascii="Arial" w:cs="Arial" w:eastAsia="Arial" w:hAnsi="Arial"/>
                <w:sz w:val="18"/>
                <w:szCs w:val="18"/>
                <w:color w:val="auto"/>
              </w:rPr>
              <w:t>31.9%</w:t>
            </w:r>
          </w:p>
        </w:tc>
        <w:tc>
          <w:tcPr>
            <w:tcW w:w="1880" w:type="dxa"/>
            <w:vAlign w:val="bottom"/>
          </w:tcPr>
          <w:p>
            <w:pPr>
              <w:ind w:left="20"/>
              <w:spacing w:after="0"/>
              <w:rPr>
                <w:sz w:val="20"/>
                <w:szCs w:val="20"/>
                <w:color w:val="auto"/>
              </w:rPr>
            </w:pPr>
            <w:r>
              <w:rPr>
                <w:rFonts w:ascii="Arial" w:cs="Arial" w:eastAsia="Arial" w:hAnsi="Arial"/>
                <w:sz w:val="18"/>
                <w:szCs w:val="18"/>
                <w:color w:val="auto"/>
              </w:rPr>
              <w:t>— 44.6%</w:t>
            </w:r>
          </w:p>
        </w:tc>
      </w:tr>
      <w:tr>
        <w:trPr>
          <w:trHeight w:val="26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4040" w:type="dxa"/>
            <w:vAlign w:val="bottom"/>
          </w:tcPr>
          <w:p>
            <w:pPr>
              <w:spacing w:after="0"/>
              <w:rPr>
                <w:sz w:val="21"/>
                <w:szCs w:val="21"/>
                <w:color w:val="auto"/>
              </w:rPr>
            </w:pPr>
          </w:p>
        </w:tc>
        <w:tc>
          <w:tcPr>
            <w:tcW w:w="188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Attributable to Common Stockholders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96,709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74,261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95,433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40,688</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320" w:type="dxa"/>
            <w:vAlign w:val="bottom"/>
            <w:vMerge w:val="restart"/>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5"/>
                <w:szCs w:val="15"/>
                <w:color w:val="auto"/>
              </w:rPr>
            </w:pPr>
          </w:p>
        </w:tc>
        <w:tc>
          <w:tcPr>
            <w:tcW w:w="320" w:type="dxa"/>
            <w:vAlign w:val="bottom"/>
            <w:vMerge w:val="restart"/>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2"/>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3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and Nine Months Ended September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72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2018</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13,942</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19,387</w:t>
            </w: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1,050</w:t>
            </w: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to be issued under the 2018 ESPP</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r>
      <w:tr>
        <w:trPr>
          <w:trHeight w:val="25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17,460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21,544</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w:t>
      </w:r>
    </w:p>
    <w:p>
      <w:pPr>
        <w:spacing w:after="0" w:line="247"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62,413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49,391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177,392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137,868</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38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19,968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14,002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56,123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38,218</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9,471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6,047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24,022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16,053</w:t>
            </w:r>
          </w:p>
        </w:tc>
      </w:tr>
      <w:tr>
        <w:trPr>
          <w:trHeight w:val="257"/>
        </w:trPr>
        <w:tc>
          <w:tcPr>
            <w:tcW w:w="55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91,852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69,440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257,537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192,139</w:t>
            </w: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72"/>
        </w:trPr>
        <w:tc>
          <w:tcPr>
            <w:tcW w:w="558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9" w:name="page20"/>
    <w:bookmarkEnd w:id="1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Customers located in the United States accounted for 63%, 66%, 64%, and 67% of revenue in the three months ended September 30, 2019 and 2018 and the nine months ended September 30, 2019 and 2018, respectively. No other country accounted for 10% or more of revenue in the periods presented.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240" w:type="dxa"/>
            <w:vAlign w:val="bottom"/>
          </w:tcPr>
          <w:p>
            <w:pPr>
              <w:jc w:val="right"/>
              <w:ind w:right="7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4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18,525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jc w:val="right"/>
              <w:ind w:right="2530"/>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8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20" w:name="page21"/>
    <w:bookmarkEnd w:id="2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2018, or the 10-K, filed with the Securities and Exchange Commission on March 1, 2019. This Form 10-Q contains forward-looking statements within the meaning of Section 27A of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5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are the first and only provider of solutions for a new category of cybersecurity that we call Cyber Exposure. Cyber Exposure is a discipline for managing, measuring and comparing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31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enterprise platform offerings, including Tenable.io, Tenable.sc and Industrial Security, are built to provide organizations with the breadth of visibility to accurately understand both traditional and modern attack surfaces and the depth of insight that stems from risk-based analytics, prioritization and benchmarking. Our Cyber Exposure platform automatically discovers assets, including those in cloud environments, and assesses these assets for the presence of vulnerabilities, internal and regulatory compliance violations, misconfigurations and other cybersecurity issues, analyzes and prioritizes cybersecurity risks based on the likelihood of a vulnerability being exploited and the business criticality of the asset, and provides an objective way to measure an organization’s cyber exposure.</w:t>
      </w:r>
    </w:p>
    <w:p>
      <w:pPr>
        <w:spacing w:after="0" w:line="317"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a one year term. Our subscription terms are generally not longer than three years. These offerings are typically prepaid in advance. To a lesser extent, we generate ratably recognizable revenue from perpetual licenses and from the related ongoing maintenance.</w:t>
      </w:r>
    </w:p>
    <w:p>
      <w:pPr>
        <w:spacing w:after="0" w:line="310"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31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many users to continue to use Nessus Essentials.</w:t>
      </w:r>
    </w:p>
    <w:p>
      <w:pPr>
        <w:spacing w:after="0" w:line="3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experienced rapid growth in recent years. Revenue in the three months ended September 30, 2019 and 2018 and the nine months ended September 30, 2019 and 2018 was $91.9 million, $ 69.4 million, $257.5 million and $192.1 million, respectively, representing respective year-over-year growth of 32% and 34% in the quarterly and year-to-date periods. Our net loss in the three months ended September 30, 2019 and 2018 and the nine months ended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1" w:name="page22"/>
    <w:bookmarkEnd w:id="2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September 30, 2019 and 2018 was $17.6 million, $20.9 million, $60.7 million and $53.9 million, respectively, as we continue to invest in our business and market opportunity.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91,852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257,537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192,139</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(52,990)</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(53,907)</w:t>
            </w: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offer the first and only Cyber Exposure platform to provide visibility into the broadest range of traditional and modern IT assets across cloud and on-premises environments. We are intensely focused on continued innovation and ongoing development of our enterprise platform offerings that empower organizations to understand and reduce their cyber exposure. Additionally, we continue to expand the capabilities of our Nessus products, specifically as it relates to the ability to scan for and detect the rapidly expanding volume of vulnerabilities.</w:t>
      </w:r>
    </w:p>
    <w:p>
      <w:pPr>
        <w:spacing w:after="0" w:line="20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our enterprise platform customers will increase future opportunities for renewals and follow-on sales. We believe that we have significant room to increase our market share.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significantly in our partner network and sales and marketing capability in order to grow domestically and internationally.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internet of things, or IoT, and operational technology, or OT, they often increase the scope of their subscriptions and/or add additional perpetual licenses to our enterprise platforms.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2" w:name="page23"/>
    <w:bookmarkEnd w:id="2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them to our enterprise platform offerings, which provide continuous visibility and insights into their attack surface, as their needs develop.</w:t>
      </w:r>
    </w:p>
    <w:p>
      <w:pPr>
        <w:spacing w:after="0" w:line="204" w:lineRule="exact"/>
        <w:rPr>
          <w:sz w:val="20"/>
          <w:szCs w:val="20"/>
          <w:color w:val="auto"/>
        </w:rPr>
      </w:pPr>
    </w:p>
    <w:p>
      <w:pPr>
        <w:ind w:right="460" w:firstLine="324"/>
        <w:spacing w:after="0" w:line="254" w:lineRule="auto"/>
        <w:rPr>
          <w:sz w:val="20"/>
          <w:szCs w:val="20"/>
          <w:color w:val="auto"/>
        </w:rPr>
      </w:pPr>
      <w:r>
        <w:rPr>
          <w:rFonts w:ascii="Arial" w:cs="Arial" w:eastAsia="Arial" w:hAnsi="Arial"/>
          <w:sz w:val="18"/>
          <w:szCs w:val="18"/>
          <w:color w:val="auto"/>
        </w:rPr>
        <w:t>Further, we plan to expand existing platform capabilities and launch new products,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w:t>
      </w:r>
    </w:p>
    <w:p>
      <w:pPr>
        <w:spacing w:after="0" w:line="204"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We evaluate our ability to expand sales with our existing customers by assessing our dollar-based net expansion rate. We calculate our dollar-based net expansion rate as follows:</w:t>
      </w:r>
    </w:p>
    <w:p>
      <w:pPr>
        <w:spacing w:after="0" w:line="196" w:lineRule="exact"/>
        <w:rPr>
          <w:sz w:val="20"/>
          <w:szCs w:val="20"/>
          <w:color w:val="auto"/>
        </w:rPr>
      </w:pPr>
    </w:p>
    <w:p>
      <w:pPr>
        <w:ind w:left="660" w:right="240" w:hanging="247"/>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establish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4" w:lineRule="exact"/>
        <w:rPr>
          <w:rFonts w:ascii="Arial" w:cs="Arial" w:eastAsia="Arial" w:hAnsi="Arial"/>
          <w:sz w:val="18"/>
          <w:szCs w:val="18"/>
          <w:color w:val="auto"/>
        </w:rPr>
      </w:pPr>
    </w:p>
    <w:p>
      <w:pPr>
        <w:ind w:left="660" w:right="280" w:hanging="247"/>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While our dollar-based net expansion rate may decline or fluctuate from quarter to quarter based on the result of a number of factors, including our existing customers' satisfaction with our solutions, the pricing of our solutions and the ability of competing solutions and the pricing thereof, we expect that our dollar-based net expansion rate will continue to exceed 110%.</w:t>
      </w:r>
    </w:p>
    <w:p>
      <w:pPr>
        <w:spacing w:after="0" w:line="202" w:lineRule="exact"/>
        <w:rPr>
          <w:sz w:val="20"/>
          <w:szCs w:val="20"/>
          <w:color w:val="auto"/>
        </w:rPr>
      </w:pPr>
    </w:p>
    <w:p>
      <w:pPr>
        <w:jc w:val="both"/>
        <w:ind w:right="460" w:firstLine="324"/>
        <w:spacing w:after="0" w:line="262" w:lineRule="auto"/>
        <w:rPr>
          <w:sz w:val="20"/>
          <w:szCs w:val="20"/>
          <w:color w:val="auto"/>
        </w:rPr>
      </w:pPr>
      <w:r>
        <w:rPr>
          <w:rFonts w:ascii="Arial" w:cs="Arial" w:eastAsia="Arial" w:hAnsi="Arial"/>
          <w:sz w:val="18"/>
          <w:szCs w:val="18"/>
          <w:color w:val="auto"/>
        </w:rPr>
        <w:t>Our ability to increase sales to existing customers will depend on a number of factors, including satisfaction or dissatisfaction with our products and services, competition, pricing, economic conditions or overall changes in our spending levels.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These investment activities could increase our net losses over the short term if our revenue growth does not increase at higher rates. However, we expect that these investments will ultimately benefit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40" w:right="279" w:bottom="1440" w:gutter="0" w:footer="0" w:header="0"/>
        </w:sectPr>
      </w:pPr>
    </w:p>
    <w:bookmarkStart w:id="23" w:name="page24"/>
    <w:bookmarkEnd w:id="2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 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For example, calculated current billings include amounts that have not yet been recognized as revenue; an increasing number of large sales transactions, for which the timing has and will continue to vary, may occur in quarters subsequent to or in advance of those that we anticipate; and our calculation of current billings may be different from other companies that report similar financial measures. Additionally, calculated current billings in any one period may be impacted by the timing of customer renewals, including early renewals, which could favorably or unfavorably impact year-over-year comparisons. Because of these and other limitations, you should consider calculated current billings along with revenue and our other GAAP financial results.</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 xml:space="preserve">Our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at January 1, 2017 resulted in a $55.0 million increase to deferred revenue primarily related to the deferral of perpetual license revenue. This cumulative adjustment to deferred revenue at January 1, 2017 increased calculated current billings by $ 16.7 million in 2017 and $11.8 million in 2018 and is expected to increase our calculated current billings by $5.6 million in 2019 and $1.9 million in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91,852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257,537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192,139</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Add: Deferred revenue (current), end of period</w:t>
            </w: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245,985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191,578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245,985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191,578</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Deferred revenue (current),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(227,227)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(174,277)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(213,644)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(154,898)</w:t>
            </w:r>
          </w:p>
        </w:tc>
      </w:tr>
      <w:tr>
        <w:trPr>
          <w:trHeight w:val="257"/>
        </w:trPr>
        <w:tc>
          <w:tcPr>
            <w:tcW w:w="5580" w:type="dxa"/>
            <w:vAlign w:val="bottom"/>
          </w:tcPr>
          <w:p>
            <w:pPr>
              <w:ind w:left="280"/>
              <w:spacing w:after="0"/>
              <w:rPr>
                <w:sz w:val="20"/>
                <w:szCs w:val="20"/>
                <w:color w:val="auto"/>
              </w:rPr>
            </w:pPr>
            <w:r>
              <w:rPr>
                <w:rFonts w:ascii="Arial" w:cs="Arial" w:eastAsia="Arial" w:hAnsi="Arial"/>
                <w:sz w:val="18"/>
                <w:szCs w:val="18"/>
                <w:color w:val="auto"/>
              </w:rPr>
              <w:t>Calculated current billings</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110,610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86,741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289,878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228,819</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4" w:name="page25"/>
    <w:bookmarkEnd w:id="2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used in operating activities and our other GAAP financial measures.</w:t>
      </w:r>
    </w:p>
    <w:p>
      <w:pPr>
        <w:spacing w:after="0" w:line="204"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The following table presents a reconciliation of net cash used in operating activities, the most directly comparable financial measure calculated in accordance with GAAP, to free cash flow: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right="400" w:firstLine="8"/>
        <w:spacing w:after="0" w:line="253" w:lineRule="auto"/>
        <w:tabs>
          <w:tab w:leader="none" w:pos="378"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Free cash flow included a $3.7 million and a $4.7 million reduction in the three and nine months ended September 30, 2019, respectively, and a $2.3 million benefit in the three and nine months ended September 30, 2018, respectively, related to employee stock purchase plan activity. In addition, capital expenditures related to our new headquarters were $2.4 million in the three and nine months ended September 30, 2019, respectively.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434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Three Months Ended September 30, 2019</w:t>
            </w: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57"/>
        </w:trPr>
        <w:tc>
          <w:tcPr>
            <w:tcW w:w="7080" w:type="dxa"/>
            <w:vAlign w:val="bottom"/>
            <w:shd w:val="clear" w:color="auto" w:fill="CCEEFF"/>
          </w:tcPr>
          <w:p>
            <w:pPr>
              <w:jc w:val="right"/>
              <w:ind w:right="1908"/>
              <w:spacing w:after="0"/>
              <w:rPr>
                <w:sz w:val="20"/>
                <w:szCs w:val="20"/>
                <w:color w:val="auto"/>
              </w:rPr>
            </w:pPr>
            <w:r>
              <w:rPr>
                <w:rFonts w:ascii="Arial" w:cs="Arial" w:eastAsia="Arial" w:hAnsi="Arial"/>
                <w:sz w:val="18"/>
                <w:szCs w:val="18"/>
                <w:color w:val="auto"/>
                <w:w w:val="99"/>
              </w:rPr>
              <w:t>Number of new enterprise platform customers added in period</w:t>
            </w:r>
            <w:r>
              <w:rPr>
                <w:rFonts w:ascii="Arial" w:cs="Arial" w:eastAsia="Arial" w:hAnsi="Arial"/>
                <w:sz w:val="21"/>
                <w:szCs w:val="21"/>
                <w:color w:val="auto"/>
                <w:w w:val="99"/>
                <w:vertAlign w:val="superscript"/>
              </w:rPr>
              <w:t>(1)</w:t>
            </w:r>
          </w:p>
        </w:tc>
        <w:tc>
          <w:tcPr>
            <w:tcW w:w="138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50%</w:t>
            </w:r>
          </w:p>
        </w:tc>
      </w:tr>
      <w:tr>
        <w:trPr>
          <w:trHeight w:val="123"/>
        </w:trPr>
        <w:tc>
          <w:tcPr>
            <w:tcW w:w="7080" w:type="dxa"/>
            <w:vAlign w:val="bottom"/>
          </w:tcPr>
          <w:p>
            <w:pPr>
              <w:jc w:val="right"/>
              <w:ind w:right="6108"/>
              <w:spacing w:after="0" w:line="124" w:lineRule="exact"/>
              <w:rPr>
                <w:sz w:val="20"/>
                <w:szCs w:val="20"/>
                <w:color w:val="auto"/>
              </w:rPr>
            </w:pPr>
            <w:r>
              <w:rPr>
                <w:rFonts w:ascii="Arial" w:cs="Arial" w:eastAsia="Arial" w:hAnsi="Arial"/>
                <w:sz w:val="11"/>
                <w:szCs w:val="11"/>
                <w:color w:val="auto"/>
                <w:w w:val="95"/>
              </w:rPr>
              <w:t>_______________</w:t>
            </w: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jc w:val="both"/>
        <w:ind w:right="60" w:firstLine="8"/>
        <w:spacing w:after="0" w:line="253" w:lineRule="auto"/>
        <w:tabs>
          <w:tab w:leader="none" w:pos="378"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SecurityCenter for an annual amount of $5,000 or greater. New enterprise platform customers represent new customer logos during the periods presented and do not include customer conversions from Nessus Professional to enterprise platforms.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September 30,</w:t>
            </w:r>
          </w:p>
        </w:tc>
        <w:tc>
          <w:tcPr>
            <w:tcW w:w="13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1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customers with $100,000 and greater in annual contract value at end of</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3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52%</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use non-GAAP loss from operations, which excludes the effect of stock-based compensation and amortization of intangible assets, as a key indicator of our financial performance, along with non -GAAP operating margin, which is calculated as non-GAAP loss from operations divided by our revenue in the period. 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loss from operations and non-GAAP operating margin exclude stock-based compensation expense, which has been, and will continue to be for the foreseeable future, a significant recurring expense in our business and an important part of our compensation strategy.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5" w:name="page26"/>
    <w:bookmarkEnd w:id="2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loss from operations, and operating margin, the most directly comparable financial measure calculated in accordance with GAAP, to non-GAAP operating margin: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(18,327)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(21,096)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(63,246)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(52,990)</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2"/>
                <w:szCs w:val="22"/>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10,499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31,191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14,206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453</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loss from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(12,162)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(31,628)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(38,331)</w:t>
            </w:r>
          </w:p>
        </w:tc>
      </w:tr>
      <w:tr>
        <w:trPr>
          <w:trHeight w:val="305"/>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operating margin</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 Non-GAAP Net Loss Per Share and Pro Forma Non-GAAP Net Loss Per Share</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use non-GAAP net loss, which excludes the effect of the accretion of Series A and B redeemable convertible preferred stock, stock-based compensation and amortization of intangible assets, as well as the related tax impact, to calculate non-GAAP net loss per share and pro forma non-GAAP net loss per share. Pro forma non-GAAP net loss per share is calculated by giving effect to the conversion of our redeemable convertible preferred stock into common stock as though the conversion occurred at the beginning of each period presented prior to 2019. We believe that these non-GAAP measures provide important information to management and investors because they facilitate comparisons of our core operating results over multiple periods.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6" w:name="page27"/>
    <w:bookmarkEnd w:id="2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table presents a reconciliation of net loss, and net loss per share attributable to common stockholders, the most comparable financial measures calculated in accordance with GAAP, to non-GAAP net loss, non-GAAP net loss per share and pro forma non-GAAP net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(54,341)</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31,191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14,206</w:t>
            </w:r>
          </w:p>
        </w:tc>
        <w:tc>
          <w:tcPr>
            <w:tcW w:w="0" w:type="dxa"/>
            <w:vAlign w:val="bottom"/>
          </w:tcPr>
          <w:p>
            <w:pPr>
              <w:spacing w:after="0"/>
              <w:rPr>
                <w:sz w:val="1"/>
                <w:szCs w:val="1"/>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90"/>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loss</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(39,386)</w:t>
            </w:r>
          </w:p>
        </w:tc>
        <w:tc>
          <w:tcPr>
            <w:tcW w:w="0" w:type="dxa"/>
            <w:vAlign w:val="bottom"/>
          </w:tcPr>
          <w:p>
            <w:pPr>
              <w:spacing w:after="0"/>
              <w:rPr>
                <w:sz w:val="1"/>
                <w:szCs w:val="1"/>
                <w:color w:val="auto"/>
              </w:rPr>
            </w:pPr>
          </w:p>
        </w:tc>
      </w:tr>
      <w:tr>
        <w:trPr>
          <w:trHeight w:val="305"/>
        </w:trPr>
        <w:tc>
          <w:tcPr>
            <w:tcW w:w="5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loss per share, basic and diluted</w:t>
            </w:r>
          </w:p>
        </w:tc>
        <w:tc>
          <w:tcPr>
            <w:tcW w:w="3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attributable to common stockholders and non-GAAP net loss per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basic and diluted</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96,709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74,261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95,433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40,688</w:t>
            </w: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Pro forma adjustment to reflect the assumed conversion of our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convertible redeemable preferred stock as of the beginning of the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80" w:type="dxa"/>
            <w:vAlign w:val="bottom"/>
          </w:tcPr>
          <w:p>
            <w:pPr>
              <w:ind w:left="120"/>
              <w:spacing w:after="0"/>
              <w:rPr>
                <w:sz w:val="20"/>
                <w:szCs w:val="20"/>
                <w:color w:val="auto"/>
              </w:rPr>
            </w:pPr>
            <w:r>
              <w:rPr>
                <w:rFonts w:ascii="Arial" w:cs="Arial" w:eastAsia="Arial" w:hAnsi="Arial"/>
                <w:sz w:val="18"/>
                <w:szCs w:val="18"/>
                <w:color w:val="auto"/>
              </w:rPr>
              <w:t>period</w:t>
            </w:r>
          </w:p>
        </w:tc>
        <w:tc>
          <w:tcPr>
            <w:tcW w:w="3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14,449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41,590</w:t>
            </w:r>
          </w:p>
        </w:tc>
        <w:tc>
          <w:tcPr>
            <w:tcW w:w="0" w:type="dxa"/>
            <w:vAlign w:val="bottom"/>
          </w:tcPr>
          <w:p>
            <w:pPr>
              <w:spacing w:after="0"/>
              <w:rPr>
                <w:sz w:val="1"/>
                <w:szCs w:val="1"/>
                <w:color w:val="auto"/>
              </w:rPr>
            </w:pPr>
          </w:p>
        </w:tc>
      </w:tr>
      <w:tr>
        <w:trPr>
          <w:trHeight w:val="215"/>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pro forma non-GAAP net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96,709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88,710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95,433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82,278</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per share, 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non-GAAP net loss per share, basic and diluted</w:t>
            </w:r>
          </w:p>
        </w:tc>
        <w:tc>
          <w:tcPr>
            <w:tcW w:w="3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right="20" w:firstLine="8"/>
        <w:spacing w:after="0" w:line="253" w:lineRule="auto"/>
        <w:tabs>
          <w:tab w:leader="none" w:pos="3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tax impact of the adjustments to net loss attributable to common stockholders is based on the tax treatment for applicable tax jurisdictions. There was no tax impact related to the amortization of intangible assets as it was incurred in the United States in periods in which we had a net operating loss for which we maintained a full valuation allowance.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196"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7" w:name="page28"/>
    <w:bookmarkEnd w:id="2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Our recent growth and the ratable nature of our subscription revenue makes this seasonality less apparent in our overall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and stock-based compensation. Cost of revenue also includes hosting costs for Tenable.io, the costs related to professional services and training, depreciation and amortization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our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0" w:right="259" w:bottom="1440" w:gutter="0" w:footer="0" w:header="0"/>
        </w:sectPr>
      </w:pPr>
    </w:p>
    <w:bookmarkStart w:id="28" w:name="page29"/>
    <w:bookmarkEnd w:id="2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and stock-based compensation expense. Operating expenses also include depreciation and amortization as well as allocated overhead costs including IT and facilities costs.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w:t>
      </w:r>
    </w:p>
    <w:p>
      <w:pPr>
        <w:spacing w:after="0" w:line="19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intend to continue to make significant investments in our sales and marketing teams to grow revenue, further penetrate the market and expand our global customer base. We expect our sales and marketing expense to continue to increase in absolute dollars and to be our largest operating expense category for the foreseeable future. However, as our revenue increases, we expect our sales and marketing expense to decrease as a percentage of our revenue over the long term, although our sales and marketing expense may fluctuate as a percentage of our revenue from period to period due to the timing and extent of these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as a percentage of our revenue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and allocated overhead.</w:t>
      </w:r>
    </w:p>
    <w:p>
      <w:pPr>
        <w:spacing w:after="0" w:line="19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as a percentage of our revenue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47"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Interest income, net consists primarily of interest income earned on cash and cash equivalents and short-term investments, and interest expense in connection with fees for our unused revolving credit facility.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0" w:right="259" w:bottom="1440" w:gutter="0" w:footer="0" w:header="0"/>
        </w:sectPr>
      </w:pPr>
    </w:p>
    <w:bookmarkStart w:id="29" w:name="page30"/>
    <w:bookmarkEnd w:id="2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and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91,852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257,537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192,139</w:t>
            </w: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15,245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42,389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30,768</w:t>
            </w: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76,607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215,148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161,371</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56,699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44,550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165,403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125,964</w:t>
            </w:r>
          </w:p>
        </w:tc>
        <w:tc>
          <w:tcPr>
            <w:tcW w:w="0" w:type="dxa"/>
            <w:vAlign w:val="bottom"/>
          </w:tcPr>
          <w:p>
            <w:pPr>
              <w:spacing w:after="0"/>
              <w:rPr>
                <w:sz w:val="1"/>
                <w:szCs w:val="1"/>
                <w:color w:val="auto"/>
              </w:rPr>
            </w:pPr>
          </w:p>
        </w:tc>
      </w:tr>
      <w:tr>
        <w:trPr>
          <w:trHeight w:val="270"/>
        </w:trPr>
        <w:tc>
          <w:tcPr>
            <w:tcW w:w="558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20,763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64,396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55,529</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17,472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48,595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32,868</w:t>
            </w: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94,934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78,375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278,394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214,361</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(52,990)</w:t>
            </w:r>
          </w:p>
        </w:tc>
        <w:tc>
          <w:tcPr>
            <w:tcW w:w="0" w:type="dxa"/>
            <w:vAlign w:val="bottom"/>
          </w:tcPr>
          <w:p>
            <w:pPr>
              <w:spacing w:after="0"/>
              <w:rPr>
                <w:sz w:val="1"/>
                <w:szCs w:val="1"/>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(52,750)</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3120" w:type="dxa"/>
            <w:vAlign w:val="bottom"/>
            <w:gridSpan w:val="11"/>
          </w:tcPr>
          <w:p>
            <w:pPr>
              <w:jc w:val="right"/>
              <w:ind w:right="260"/>
              <w:spacing w:after="0"/>
              <w:rPr>
                <w:sz w:val="20"/>
                <w:szCs w:val="20"/>
                <w:color w:val="auto"/>
              </w:rPr>
            </w:pPr>
            <w:r>
              <w:rPr>
                <w:rFonts w:ascii="Arial" w:cs="Arial" w:eastAsia="Arial" w:hAnsi="Arial"/>
                <w:sz w:val="16"/>
                <w:szCs w:val="16"/>
                <w:b w:val="1"/>
                <w:bCs w:val="1"/>
                <w:color w:val="auto"/>
              </w:rPr>
              <w:t>Three Months Ended September 30,</w:t>
            </w:r>
          </w:p>
        </w:tc>
        <w:tc>
          <w:tcPr>
            <w:tcW w:w="2880" w:type="dxa"/>
            <w:vAlign w:val="bottom"/>
            <w:gridSpan w:val="9"/>
          </w:tcPr>
          <w:p>
            <w:pPr>
              <w:jc w:val="right"/>
              <w:ind w:right="3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Borders>
              <w:top w:val="single" w:sz="8" w:color="auto"/>
              <w:bottom w:val="single" w:sz="8" w:color="auto"/>
            </w:tcBorders>
            <w:gridSpan w:val="3"/>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gridSpan w:val="4"/>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883</w:t>
            </w: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11,102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3,984</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3,594</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11,406</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5,745</w:t>
            </w:r>
          </w:p>
        </w:tc>
      </w:tr>
      <w:tr>
        <w:trPr>
          <w:trHeight w:val="257"/>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5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8,783</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31,191</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4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14,206</w:t>
            </w:r>
          </w:p>
        </w:tc>
      </w:tr>
      <w:tr>
        <w:trPr>
          <w:trHeight w:val="20"/>
        </w:trPr>
        <w:tc>
          <w:tcPr>
            <w:tcW w:w="5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3"/>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Comparison of the Three Months Ended September 30, 2019 and 2018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542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Revenue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7"/>
        </w:trPr>
        <w:tc>
          <w:tcPr>
            <w:tcW w:w="5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40" w:type="dxa"/>
            <w:vAlign w:val="bottom"/>
            <w:gridSpan w:val="12"/>
          </w:tcPr>
          <w:p>
            <w:pPr>
              <w:jc w:val="center"/>
              <w:ind w:right="80"/>
              <w:spacing w:after="0"/>
              <w:rPr>
                <w:sz w:val="20"/>
                <w:szCs w:val="20"/>
                <w:color w:val="auto"/>
              </w:rPr>
            </w:pPr>
            <w:r>
              <w:rPr>
                <w:rFonts w:ascii="Arial" w:cs="Arial" w:eastAsia="Arial" w:hAnsi="Arial"/>
                <w:sz w:val="16"/>
                <w:szCs w:val="16"/>
                <w:b w:val="1"/>
                <w:bCs w:val="1"/>
                <w:color w:val="auto"/>
              </w:rPr>
              <w:t>Three Months Ended September</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8"/>
        </w:trPr>
        <w:tc>
          <w:tcPr>
            <w:tcW w:w="5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w w:val="98"/>
              </w:rPr>
              <w:t>Change</w:t>
            </w:r>
          </w:p>
        </w:tc>
        <w:tc>
          <w:tcPr>
            <w:tcW w:w="960" w:type="dxa"/>
            <w:vAlign w:val="bottom"/>
            <w:tcBorders>
              <w:bottom w:val="single" w:sz="8" w:color="auto"/>
            </w:tcBorders>
          </w:tcPr>
          <w:p>
            <w:pPr>
              <w:spacing w:after="0"/>
              <w:rPr>
                <w:sz w:val="19"/>
                <w:szCs w:val="19"/>
                <w:color w:val="auto"/>
              </w:rPr>
            </w:pP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w:t>
            </w: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91,852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69,440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675"/>
        </w:trPr>
        <w:tc>
          <w:tcPr>
            <w:tcW w:w="5420" w:type="dxa"/>
            <w:vAlign w:val="bottom"/>
          </w:tcPr>
          <w:p>
            <w:pPr>
              <w:spacing w:after="0"/>
              <w:rPr>
                <w:sz w:val="24"/>
                <w:szCs w:val="24"/>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30" w:name="page31"/>
    <w:bookmarkEnd w:id="3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increase in revenue of $22.4 million was comprised of increases in subscription revenue of $22.0 million and professional services and other revenue of $0.5 million, net of a decrease in perpetual license and maintenance revenue of $ 0.1 million. Additionally, $ 1.0 million of the increase in revenue was nonrecurring in nature. Revenue from existing customers comprised 49% of the increase, while the remaining increase was due to revenue from new customers since October 1, 2018. International revenue increased $10.8 million, or 46%.</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rPr>
              <w:t>Three Months Ended September</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5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bottom w:val="single" w:sz="8" w:color="auto"/>
            </w:tcBorders>
          </w:tcPr>
          <w:p>
            <w:pPr>
              <w:spacing w:after="0"/>
              <w:rPr>
                <w:sz w:val="19"/>
                <w:szCs w:val="19"/>
                <w:color w:val="auto"/>
              </w:rPr>
            </w:pPr>
          </w:p>
        </w:tc>
      </w:tr>
      <w:tr>
        <w:trPr>
          <w:trHeight w:val="264"/>
        </w:trPr>
        <w:tc>
          <w:tcPr>
            <w:tcW w:w="58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r>
      <w:tr>
        <w:trPr>
          <w:trHeight w:val="25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12,161</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5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76,607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57,279</w:t>
            </w:r>
          </w:p>
        </w:tc>
        <w:tc>
          <w:tcPr>
            <w:tcW w:w="12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19,328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$3.1 million was primarily due to:</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$1.0 million increase in personnel costs primarily due to increased headcount;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$1.6 million increase in third-party cloud infrastructure costs largely associated with the increased adoption of Tenable.io; and</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$0.4 million increase in allocated overhead costs driven by both the increase in headcount and the overall increase in such costs on a year-over-year basis.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276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rPr>
              <w:t>Three Months Ended September</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5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5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56,699</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44,550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12,149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$12.1 million was primarily due to:</w:t>
      </w:r>
    </w:p>
    <w:p>
      <w:pPr>
        <w:spacing w:after="0" w:line="117" w:lineRule="exact"/>
        <w:rPr>
          <w:sz w:val="20"/>
          <w:szCs w:val="20"/>
          <w:color w:val="auto"/>
        </w:rPr>
      </w:pPr>
    </w:p>
    <w:p>
      <w:pPr>
        <w:ind w:left="660" w:right="1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$5.6 million increase in personnel costs largely associated with an increase in headcount, including a $0.8 million increase in stock-based compensation;</w:t>
      </w:r>
    </w:p>
    <w:p>
      <w:pPr>
        <w:ind w:left="660" w:right="6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$3.5 million increase in sales commissions, including sales commission draws, due to increased sales and the amortization of deferred commissions;</w:t>
      </w:r>
    </w:p>
    <w:p>
      <w:pPr>
        <w:spacing w:after="0" w:line="34"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$1.2 million increase in expenses for demand generation programs, including advertising, sponsorships and brand awareness efforts aimed at acquiring new customers;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$0.9 million increase in selling expenses, including travel and meeting costs and the costs of software subscriptions; and</w:t>
      </w:r>
    </w:p>
    <w:p>
      <w:pPr>
        <w:spacing w:after="0" w:line="63"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$0.9 million increase in allocated overhead costs,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76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rPr>
              <w:t>Three Months Ended September</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3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5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20,553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675"/>
        </w:trPr>
        <w:tc>
          <w:tcPr>
            <w:tcW w:w="3920" w:type="dxa"/>
            <w:vAlign w:val="bottom"/>
          </w:tcPr>
          <w:p>
            <w:pPr>
              <w:spacing w:after="0"/>
              <w:rPr>
                <w:sz w:val="24"/>
                <w:szCs w:val="24"/>
                <w:color w:val="auto"/>
              </w:rPr>
            </w:pP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31" w:name="page32"/>
    <w:bookmarkEnd w:id="3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$0.2 million was primarily due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 million increase in third-party cloud infrastructure costs related to the development of new and future offerings;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$0.2 million increase in software subscription expense; partially offset by</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$0.5 million decrease in personnel costs, driven primarily by $0.8 million of development costs that were capitalized for internal use software;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$0.4 million decrease in travel and meeting costs.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276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rPr>
              <w:t>Three Months Ended September</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5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5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$4.2 million was primarily due to:</w:t>
      </w:r>
    </w:p>
    <w:p>
      <w:pPr>
        <w:spacing w:after="0" w:line="117" w:lineRule="exact"/>
        <w:rPr>
          <w:sz w:val="20"/>
          <w:szCs w:val="20"/>
          <w:color w:val="auto"/>
        </w:rPr>
      </w:pPr>
    </w:p>
    <w:p>
      <w:pPr>
        <w:ind w:left="660" w:right="1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$2.1 million increase in personnel costs largely associated with an increase in headcount, including a $1.2 million increase in stock-based compensation;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$1.1 million increase in professional fees, primarily related to external accounting and legal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$0.2 million increase in facilities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rPr>
              <w:t>Nine Months Ended September</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5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5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257,537</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192,139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65,398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1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increase in revenue of $65.4 million was comprised of increases in subscription revenue of $63.1 million, perpetual license and maintenance revenue of $ 0.1 million and professional services and other revenue of $2.2 million. Additionally, $1.0 million of the increase in revenue was nonrecurring in nature. Revenue from existing customers comprised 62% of the increase, while the remaining increase was due to revenue from new customers since October 1, 2018. International revenue increased $30.0 million, or 47%.</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Pr>
          <w:p>
            <w:pPr>
              <w:spacing w:after="0"/>
              <w:rPr>
                <w:sz w:val="19"/>
                <w:szCs w:val="19"/>
                <w:color w:val="auto"/>
              </w:rPr>
            </w:pPr>
          </w:p>
        </w:tc>
        <w:tc>
          <w:tcPr>
            <w:tcW w:w="2900" w:type="dxa"/>
            <w:vAlign w:val="bottom"/>
            <w:gridSpan w:val="6"/>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4"/>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r>
      <w:tr>
        <w:trPr>
          <w:trHeight w:val="257"/>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42,389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30,768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11,621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58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2"/>
                <w:szCs w:val="22"/>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215,148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161,371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53,777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$11.6 million was primarily due to:</w:t>
      </w:r>
    </w:p>
    <w:p>
      <w:pPr>
        <w:spacing w:after="0" w:line="117" w:lineRule="exact"/>
        <w:rPr>
          <w:sz w:val="20"/>
          <w:szCs w:val="20"/>
          <w:color w:val="auto"/>
        </w:rPr>
      </w:pPr>
    </w:p>
    <w:p>
      <w:pPr>
        <w:ind w:left="660" w:right="6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$4.7 million increase in personnel costs primarily due to increased headcount, including a $1.2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$3.7 million increase in third-party cloud infrastructure costs largely associated with the increased adoption of Tenable.io;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2" w:name="page33"/>
    <w:bookmarkEnd w:id="3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1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$1.8 million increase in allocated overhead costs driven by both the increase in headcount and the overall increase in such costs on a year-over-year basis;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$0.5 million increase in software subscription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$0.4 million increase in professional fees.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rPr>
              <w:t>Nine Months Ended September</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5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5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165,403</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125,964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39,439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$39.4 million was primarily due to:</w:t>
      </w:r>
    </w:p>
    <w:p>
      <w:pPr>
        <w:spacing w:after="0" w:line="117" w:lineRule="exact"/>
        <w:rPr>
          <w:sz w:val="20"/>
          <w:szCs w:val="20"/>
          <w:color w:val="auto"/>
        </w:rPr>
      </w:pPr>
    </w:p>
    <w:p>
      <w:pPr>
        <w:ind w:left="660" w:right="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$24.2 million increase in personnel costs largely associated with an increase in headcount, including a $7.1 million increase in stock-based compensation;</w:t>
      </w:r>
    </w:p>
    <w:p>
      <w:pPr>
        <w:spacing w:after="0" w:line="34"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$6.2 million increase in sales commissions, including sales commission draws, due to increased sales and the amortization of deferred commissions;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$4.4 million increase in selling expenses, including travel and meeting costs and the costs of software subscriptions;</w:t>
      </w:r>
    </w:p>
    <w:p>
      <w:pPr>
        <w:spacing w:after="0" w:line="63"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$2.5 million increase in expenses for demand generation programs, including advertising, sponsorships and brand awareness efforts aimed at acquiring new customers; and</w:t>
      </w:r>
    </w:p>
    <w:p>
      <w:pPr>
        <w:spacing w:after="0" w:line="34"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$2.1 million increase in allocated overhead costs,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Nine Months Ended September</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5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64,396</w:t>
            </w:r>
          </w:p>
        </w:tc>
        <w:tc>
          <w:tcPr>
            <w:tcW w:w="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55,529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8,867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$8.9 million was primarily due to:</w:t>
      </w:r>
    </w:p>
    <w:p>
      <w:pPr>
        <w:spacing w:after="0" w:line="117" w:lineRule="exact"/>
        <w:rPr>
          <w:sz w:val="20"/>
          <w:szCs w:val="20"/>
          <w:color w:val="auto"/>
        </w:rPr>
      </w:pPr>
    </w:p>
    <w:p>
      <w:pPr>
        <w:ind w:left="660" w:right="10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$7.0 million increase in personnel costs largely associated with an increase in headcount, including a $3.2 million increase in stock-based compensation and a $0.5 million increase in the employer portion of payroll taxes related to option exercises, net of $2.5 million of development costs that were capitalized for internal use software;</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$2.0 million increase in third-party cloud infrastructure costs related to the development of new and future offerings;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$0.6 million increase in software subscription expense;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$0.9 million decrease in travel and meeting costs.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Nine Months Ended September</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3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48,595</w:t>
            </w:r>
          </w:p>
        </w:tc>
        <w:tc>
          <w:tcPr>
            <w:tcW w:w="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32,868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15,727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675"/>
        </w:trPr>
        <w:tc>
          <w:tcPr>
            <w:tcW w:w="3900" w:type="dxa"/>
            <w:vAlign w:val="bottom"/>
          </w:tcPr>
          <w:p>
            <w:pPr>
              <w:spacing w:after="0"/>
              <w:rPr>
                <w:sz w:val="24"/>
                <w:szCs w:val="24"/>
                <w:color w:val="auto"/>
              </w:rPr>
            </w:pPr>
          </w:p>
        </w:tc>
        <w:tc>
          <w:tcPr>
            <w:tcW w:w="206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33" w:name="page34"/>
    <w:bookmarkEnd w:id="3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$15.7 million was primarily due to:</w:t>
      </w:r>
    </w:p>
    <w:p>
      <w:pPr>
        <w:spacing w:after="0" w:line="63" w:lineRule="exact"/>
        <w:rPr>
          <w:sz w:val="20"/>
          <w:szCs w:val="20"/>
          <w:color w:val="auto"/>
        </w:rPr>
      </w:pPr>
    </w:p>
    <w:p>
      <w:pPr>
        <w:ind w:left="660" w:right="8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$10.0 million increase in personnel costs largely associated with an increase in headcount, including a $5.7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$3.0 million increase in professional fees, primarily related to external accounting and legal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$0.6 million increase in insurance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$0.4 million increase in software subscription expense;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$0.3 million increase in facilities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2019, we had cash and cash equivalents consisting of bank deposits, commercial paper and money market funds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$171.3 million and short-term investments consisting of commercial paper, U.S Treasury and agency obligations and corporate bonds of $125.3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25"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prior to our IPO. The proceeds of our Series A and Series B redeemable convertible preferred stock financings were used to repurchase shares of capital stock from former stockholders. We have generated significant operating losses from our operations as reflected by our accumulated deficit of $526.8 million at September 30, 2019.</w:t>
      </w:r>
    </w:p>
    <w:p>
      <w:pPr>
        <w:spacing w:after="0" w:line="206" w:lineRule="exact"/>
        <w:rPr>
          <w:sz w:val="20"/>
          <w:szCs w:val="20"/>
          <w:color w:val="auto"/>
        </w:rPr>
      </w:pPr>
    </w:p>
    <w:p>
      <w:pPr>
        <w:ind w:right="280"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September 30, 2019, we had deferred revenue of $329.4 million, of which $246.0 million was recorded as a current liability and is expected to be recorded as revenue in the next 12 months, provided all other revenue recognition criteria are met.</w:t>
      </w:r>
    </w:p>
    <w:p>
      <w:pPr>
        <w:spacing w:after="0" w:line="209"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and investments in infrastructure. We expect to continue incurring operating losses and generating negative cash flows from operations in the near-term; however,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the timing of introduction of new product capabilities and enhancements of our platform and the continuing market acceptance of our platform. We expect capital expenditures related to our new corporate headquarters to be $5 million to $7 million in the three months ended December 31, 2019.</w:t>
      </w:r>
    </w:p>
    <w:p>
      <w:pPr>
        <w:spacing w:after="0" w:line="21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In May 2017, we entered into a $25.0 million revolving credit facility with Silicon Valley Bank. Pursuant to the terms of the revolving credit facility, we may issue up to $5.0 million of letters of credit, which reduce the total amount available for borrowing under such facility. The revolving credit facility terminates on May 4, 2020. To date, we have not borrowed any amounts under the revolving credit facility.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4" w:name="page35"/>
    <w:bookmarkEnd w:id="3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We are required to pay a quarterly commitment fee that accrues at a rate of 0.25% per annum on the unused portion of the borrowing commitment.</w:t>
      </w:r>
    </w:p>
    <w:p>
      <w:pPr>
        <w:spacing w:after="0" w:line="202"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restrictions on indebtedness, liens, acquisitions and investments, restricted payments and dispositions. If, as of the last day of any quarter, the outstanding balance of the revolving credit facility exceeds $5.0 million, there are financial covenants that require us to maintain a minimum level of earnings before income taxes, interest, depreciation and amortization adjusted to add changes in deferred revenue in the period and a minimum current ratio level. We were in compliance with all covenants under the revolving credit facility at September 30, 2019.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(15,480)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(38,254)</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265,750</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225,816</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30, 2019, net cash used in operating activities was $7.7 million, which primarily consisted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$60.7 million loss, adjusted for stock-based compensation expense of $31.2 million and depreciation and amortization of $4.6 million, as 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 net cash inflow of $18.0 million from changes in operating assets and liabilities. The net inflow from changes in operating assets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was primarily due to a $39.5 million increase in deferred revenue from increased subscription sales as a majority of our customers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invoiced in advance. This inflow was partially offset by a $13.3 million increase in accounts receivable, a $5.4 million decrease in accrued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including $4.7 million related to employee stock purchase plan activity, and a $5.1 million increase in deferred commissions.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30, 2018, net cash used in operating activities was $1.0 million, which primarily consisted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$53.9 million loss, adjusted for stock-based compensation expense of $14.2 million and depreciation and amortization of $4.6 million, as 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 net cash inflow of $33.3 million from changes in operating assets and liabilities. The net inflow from changes in operating assets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was primarily due to a $39.9 million increase in deferred revenue from increased subscription sales as a majority of our customers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invoiced in advance, partially offset by an $8.2 million increase in accounts receivable.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Net cash used in investing activities decreased by $22.8 million, primarily due to a $28.9 million decrease in purchases, net of sales and maturities, of short-term investments in commercial paper, U.S. Treasury and agency obligations and corporate bonds, partially offset by a $6.1 million increase in purchases of property and equipment.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540" w:firstLine="324"/>
        <w:spacing w:after="0" w:line="256" w:lineRule="auto"/>
        <w:rPr>
          <w:sz w:val="20"/>
          <w:szCs w:val="20"/>
          <w:color w:val="auto"/>
        </w:rPr>
      </w:pPr>
      <w:r>
        <w:rPr>
          <w:rFonts w:ascii="Arial" w:cs="Arial" w:eastAsia="Arial" w:hAnsi="Arial"/>
          <w:sz w:val="18"/>
          <w:szCs w:val="18"/>
          <w:color w:val="auto"/>
        </w:rPr>
        <w:t>Net cash provided by financing activities decreased by $235.2 million, primarily due to proceeds in the prior year from our IPO, net of underwriting discounts and commissions, of $268.5 million, which was partially offset by $14.0 million and $15.1 million of increases in proceeds from stock issued in connection with the exercise of stock options and the employee stock purchase plan, respectively.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5" w:name="page36"/>
    <w:bookmarkEnd w:id="3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2019, there were no material changes in our contractual obligations and commitments from those disclosed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At September 30, 2019,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 not yet adopted.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We will no longer be an emerging growth company when we become a large accelerated filer on December 31, 2019.</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0" w:right="259" w:bottom="1440" w:gutter="0" w:footer="0" w:header="0"/>
        </w:sectPr>
      </w:pPr>
    </w:p>
    <w:bookmarkStart w:id="36" w:name="page37"/>
    <w:bookmarkEnd w:id="3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At September 30, 2019, we had cash and cash equivalents of $171.3 million, consisting of cash deposits, commercial paper and money market funds. We also had short-term investments of $125.3 million, consisting of commercial paper, U.S. treasury and agency securities, and corporate bonds. Our investments are carried at their fair market value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have not had any amounts outstanding under the revolving credit facility since it was established in May 2017. Any borrowings under the revolving credit facility would bear interest at a variable rate tied to the prime rate or the LIBOR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and Australian dollar.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September 30, 2019, our disclosure controls and procedures were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7" w:name="page38"/>
    <w:bookmarkEnd w:id="3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w:t>
      </w:r>
    </w:p>
    <w:p>
      <w:pPr>
        <w:spacing w:after="0" w:line="2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15d-15(d) of the Exchange Act during the period covered by this Quarterly Report on Form 10-Q that materially affected, or are reasonably likely to materially affect, our internal control over financial reporting.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40" w:right="279" w:bottom="1440" w:gutter="0" w:footer="0" w:header="0"/>
        </w:sectPr>
      </w:pPr>
    </w:p>
    <w:bookmarkStart w:id="38" w:name="page39"/>
    <w:bookmarkEnd w:id="3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historically incurred net losses, including net losses of $60.7 million and $53.9 million in the nine months ended September 30, 2019 and 2018, respectively. As of September 30, 2019, we had an accumulated deficit of $526.8 million. Because the market for our offerings is highly competitive and rapidly evolving and these solutions have not yet reached widespread adoption, it is difficult for us to predict our future results of operations. 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0" w:right="259" w:bottom="1440" w:gutter="0" w:footer="0" w:header="0"/>
        </w:sectPr>
      </w:pPr>
    </w:p>
    <w:bookmarkStart w:id="39" w:name="page40"/>
    <w:bookmarkEnd w:id="3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From the nine months ended September 30, 2018 to the nine months ended September 30, 2019, our revenue grew from $192.1 million to $257.5 million.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74" w:lineRule="exact"/>
        <w:rPr>
          <w:sz w:val="20"/>
          <w:szCs w:val="20"/>
          <w:color w:val="auto"/>
        </w:rPr>
      </w:pPr>
    </w:p>
    <w:p>
      <w:pPr>
        <w:ind w:right="540" w:firstLine="324"/>
        <w:spacing w:after="0" w:line="269"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0" w:name="page41"/>
    <w:bookmarkEnd w:id="4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or with third-party products, websites or services, our results of operations may be harmed.</w:t>
      </w:r>
    </w:p>
    <w:p>
      <w:pPr>
        <w:spacing w:after="0" w:line="175"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enterprise platform offerings, Tenable.io and Tenable.sc,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such as HTTP/2,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4"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If our solutions fail to detect vulnerabilities in our customers’ cybersecurity infrastructure,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06"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Any errors, defects, disruptions in service or other performance problems with our solutions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18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1" w:name="page42"/>
    <w:bookmarkEnd w:id="4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2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IT assets under such subscriptions, with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third-party hosting costs and facilities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effective tax rate; and</w:t>
      </w:r>
    </w:p>
    <w:p>
      <w:pPr>
        <w:spacing w:after="0" w:line="9"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w:t>
      </w:r>
    </w:p>
    <w:p>
      <w:pPr>
        <w:spacing w:after="0" w:line="19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Some of our actual and potential competitors have significant advantages over us, such as longer operating histories, significantly greater financial, technical, marketing or other resources, stronger brand and business user</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0" w:right="259" w:bottom="1440" w:gutter="0" w:footer="0" w:header="0"/>
        </w:sectPr>
      </w:pPr>
    </w:p>
    <w:bookmarkStart w:id="42" w:name="page43"/>
    <w:bookmarkEnd w:id="4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recognition, larger intellectual property portfolios and broader global distribution and presence. In addition, our industry is evolving rapidly and is becoming increasingly competitive. Larger and more established companies may focus on cybersecurity and could directly compete with us. Smaller companies could also launch new products and services that we do not offer and that could gain market acceptance quickly.</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technologies, standards or customer requirements or new or evolving attacks by, or indicators of compromise that identify, cyber bad actors.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 capital spending, and will therefore not be as susceptible to economic downturns. One component of our enterprise platform involves assessing Cyber Exposure in a public cloud environment. We are dependent upon the public cloud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1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we may face delays or uncertainty in our release timing,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19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3" w:name="page44"/>
    <w:bookmarkEnd w:id="4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while customers are typically invoiced in advance, including multi-year contracts, and our contracts generally do not provide for refunds during the subscription or maintenance period, a small number of customers could take the position that provisions in their customer agreements give them the right to terminate their agreement with us, or allege a material breach of their agreement with us, due to or in connection with the sale of our common stock. Early termination of these customer agreements for these reasons would generally only allow us to retain fees already paid by the customer for services rendered prior to the termination. Termination of these agreements, or allegations that we have breached one of these agreements with them, could decrease our customer revenue and increase legal and administrative costs.</w:t>
      </w:r>
    </w:p>
    <w:p>
      <w:pPr>
        <w:spacing w:after="0" w:line="187"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 cause us to issue credits to customers, subject us to potential liability and cause customers to not renew their purchases of our solutions.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0" w:right="259" w:bottom="1440" w:gutter="0" w:footer="0" w:header="0"/>
        </w:sectPr>
      </w:pPr>
    </w:p>
    <w:bookmarkStart w:id="44" w:name="page45"/>
    <w:bookmarkEnd w:id="4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 terminated by either party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6"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984 employees as of December 31, 2017 to 1,401 employees as of September 30, 2019. We have also significantly increased the size of our customer base over the last several years. We anticipate that we will continue to significantly 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We could also face inefficiencies or service disruptions as a result of our efforts to maintain and scale our domestic and international facilities, and additional facilities may not be available to us on commercially reasonable terms, or at all. Any of these difficulties could adversely impact our business performance and results of operations.</w:t>
      </w:r>
    </w:p>
    <w:p>
      <w:pPr>
        <w:spacing w:after="0" w:line="212" w:lineRule="exact"/>
        <w:rPr>
          <w:sz w:val="20"/>
          <w:szCs w:val="20"/>
          <w:color w:val="auto"/>
        </w:rPr>
      </w:pPr>
    </w:p>
    <w:p>
      <w:pPr>
        <w:jc w:val="both"/>
        <w:ind w:right="26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Further, the length of time that potential customers devote to their testing and evaluation, contract negotiation and budgeting processes varies significantly, depending on the size of the organization and nature of the product or service under consideration.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0" w:right="259" w:bottom="1440" w:gutter="0" w:footer="0" w:header="0"/>
        </w:sectPr>
      </w:pPr>
    </w:p>
    <w:bookmarkStart w:id="45" w:name="page46"/>
    <w:bookmarkEnd w:id="4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In addition to current privacy and data security regulations currently in force in the jurisdictions where we operate,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 In the United States and globally, governments and agencies have adopted, and could in the future adopt, modify, apply or enforce laws, policies, regulations, and standards covering data subject privacy, data security, technologies such as cookies that are 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the efficacy and longevity of these mechanisms remains uncertain. Potential or actual legal proceeding could lead to one or both of these mechanisms being declared invalid. Further, local data protection authorities general may have different interpretations of the GDPR, leading to potential inconsistencies amongst various EU states.</w:t>
      </w:r>
    </w:p>
    <w:p>
      <w:pPr>
        <w:spacing w:after="0" w:line="2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California recently enacted the California Consumer Privacy Act, or the CCPA, which creates new individual privacy rights for consumers and places increased privacy and security obligations on entities handling the personal data of consumers or households. When it goes into effect on January 1, 2020, the CCPA will require covered companies to provide new disclosures to California consumers, which could include certain of our employees based on the broad definitions in the law, to provide such consumers new ways to opt out of certain sales of personal information and to allow for a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If we are investigated by an applicable data protection authority or are determined to have not complied with applicable laws, we may face fines and other penalties. Any such investigation or charges by applicable data protection authorities could have a negative effect on our existing business and on our ability to attract and retain new customers.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6" w:name="page47"/>
    <w:bookmarkEnd w:id="4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order to help facilitate sales of our offerings as part of larger purchases in the United States and to grow our business internationally. In the nine months ended September 30, 2019 and 2018, we derived 90% and 87%, respectively, of our revenue from subscriptions and perpetual licenses sold through channel partners, and the percentage of revenue derived from channel partners may increase in future periods.</w:t>
      </w:r>
    </w:p>
    <w:p>
      <w:pPr>
        <w:spacing w:after="0" w:line="202"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Ingram Micro, Inc., a distributor, accounted for 43% and 46% of our revenue in the nine months ended September 30, 2019 and 2018, respectively, and 40% of our accounts receivable as of September 30, 2019.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w:t>
      </w:r>
    </w:p>
    <w:p>
      <w:pPr>
        <w:spacing w:after="0" w:line="20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7"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the U.S. Foreign Corrupt Practices Act of 1977, as amended, or the FCPA, the U.K. Bribery Act 2010 and other similar statutory requirements prohibiting bribery and corruption in the jurisdictions in which we operate. Further, we may be required to obtain certain government certifications, which may be costly to maintain and, if we lost such certifications in the future or if such</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0" w:right="259" w:bottom="1440" w:gutter="0" w:footer="0" w:header="0"/>
        </w:sectPr>
      </w:pPr>
    </w:p>
    <w:bookmarkStart w:id="47" w:name="page48"/>
    <w:bookmarkEnd w:id="4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requirements changed, would restrict our ability to sell to government entities until we have attained such certifications.</w:t>
      </w:r>
    </w:p>
    <w:p>
      <w:pPr>
        <w:spacing w:after="0" w:line="22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34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reduce our prices or change our pricing model to remain competitive.</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that can be monitored, or the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spacing w:after="0" w:line="185"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w:t>
      </w:r>
    </w:p>
    <w:p>
      <w:pPr>
        <w:spacing w:after="0" w:line="17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Our enterprise platform offerings are generally priced based on the number of IT assets or IP addresses that a customer chooses to monitor. As the amount of IT assets or IP addresses within our customers’ organizations grows, we may face pressure from our customers regarding our pricing, which could adversely affect our revenue and operating margins.</w:t>
      </w:r>
    </w:p>
    <w:p>
      <w:pPr>
        <w:spacing w:after="0" w:line="20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4"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Lumin does not garner widespread market adoption and implementation, our operating results and competitive position could suffer.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0" w:right="259" w:bottom="1440" w:gutter="0" w:footer="0" w:header="0"/>
        </w:sectPr>
      </w:pPr>
    </w:p>
    <w:bookmarkStart w:id="48" w:name="page49"/>
    <w:bookmarkEnd w:id="4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260" w:firstLine="324"/>
        <w:spacing w:after="0" w:line="262" w:lineRule="auto"/>
        <w:rPr>
          <w:sz w:val="20"/>
          <w:szCs w:val="20"/>
          <w:color w:val="auto"/>
        </w:rPr>
      </w:pPr>
      <w:r>
        <w:rPr>
          <w:rFonts w:ascii="Arial" w:cs="Arial" w:eastAsia="Arial" w:hAnsi="Arial"/>
          <w:sz w:val="18"/>
          <w:szCs w:val="18"/>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96"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8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predict market demand accurately in terms of functionality and to supply offerings that meets this demand in a timely fashion;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poor business conditions for our customers, causing them to delay IT purchases;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80"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7"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40" w:right="279" w:bottom="1440" w:gutter="0" w:footer="0" w:header="0"/>
        </w:sectPr>
      </w:pPr>
    </w:p>
    <w:bookmarkStart w:id="49" w:name="page50"/>
    <w:bookmarkEnd w:id="4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36% and 33% of our revenue in the nine months ended September 30, 2019 and 2018,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 implemented by the current U.S. administration, which has been critical of existing and proposed trade agreements;</w:t>
      </w:r>
    </w:p>
    <w:p>
      <w:pPr>
        <w:ind w:left="660" w:right="1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pending exit from the European Union, commonly referred to as “Brexit”;</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ind w:left="660" w:right="18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90" w:lineRule="exact"/>
        <w:rPr>
          <w:sz w:val="20"/>
          <w:szCs w:val="20"/>
          <w:color w:val="auto"/>
        </w:rPr>
      </w:pPr>
    </w:p>
    <w:p>
      <w:pPr>
        <w:ind w:right="760" w:firstLine="324"/>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40" w:right="279" w:bottom="1440" w:gutter="0" w:footer="0" w:header="0"/>
        </w:sectPr>
      </w:pPr>
    </w:p>
    <w:bookmarkStart w:id="50" w:name="page51"/>
    <w:bookmarkEnd w:id="5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120" w:firstLine="324"/>
        <w:spacing w:after="0" w:line="267" w:lineRule="auto"/>
        <w:rPr>
          <w:sz w:val="20"/>
          <w:szCs w:val="20"/>
          <w:color w:val="auto"/>
        </w:rPr>
      </w:pPr>
      <w:r>
        <w:rPr>
          <w:rFonts w:ascii="Arial" w:cs="Arial" w:eastAsia="Arial" w:hAnsi="Arial"/>
          <w:sz w:val="17"/>
          <w:szCs w:val="17"/>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For example, we developed our Industrial Security solution in partnership with Siemens.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 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19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0" w:right="259" w:bottom="1440" w:gutter="0" w:footer="0" w:header="0"/>
        </w:sectPr>
      </w:pPr>
    </w:p>
    <w:bookmarkStart w:id="51" w:name="page52"/>
    <w:bookmarkEnd w:id="5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acquisitions could disrupt our business and adversely affect our business operations and financial results.</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have in the past acquired products and technologies from other parties, and we may choose to expand our current business by acquiring additional businesses or technologies in the future. Acquisitions involve many risks, including the following:</w:t>
      </w:r>
    </w:p>
    <w:p>
      <w:pPr>
        <w:spacing w:after="0" w:line="88" w:lineRule="exact"/>
        <w:rPr>
          <w:sz w:val="20"/>
          <w:szCs w:val="20"/>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loan and security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0" w:right="259" w:bottom="1440" w:gutter="0" w:footer="0" w:header="0"/>
        </w:sectPr>
      </w:pPr>
    </w:p>
    <w:bookmarkStart w:id="52" w:name="page53"/>
    <w:bookmarkEnd w:id="5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to support our business growth and to respond to business challenges could be significantly impaired, and our business may be adversely affected.</w:t>
      </w:r>
    </w:p>
    <w:p>
      <w:pPr>
        <w:spacing w:after="0" w:line="174" w:lineRule="exact"/>
        <w:rPr>
          <w:sz w:val="20"/>
          <w:szCs w:val="20"/>
          <w:color w:val="auto"/>
        </w:rPr>
      </w:pPr>
    </w:p>
    <w:p>
      <w:pPr>
        <w:ind w:right="120" w:firstLine="324"/>
        <w:spacing w:after="0" w:line="269"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0" w:lineRule="exact"/>
        <w:rPr>
          <w:sz w:val="20"/>
          <w:szCs w:val="20"/>
          <w:color w:val="auto"/>
        </w:rPr>
      </w:pPr>
    </w:p>
    <w:p>
      <w:pPr>
        <w:ind w:right="500" w:firstLine="324"/>
        <w:spacing w:after="0" w:line="253"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or FASB,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18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including the estimated underlying fair value of our common stock prior to our IPO,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7"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0" w:right="259" w:bottom="1440" w:gutter="0" w:footer="0" w:header="0"/>
        </w:sectPr>
      </w:pPr>
    </w:p>
    <w:bookmarkStart w:id="53" w:name="page54"/>
    <w:bookmarkEnd w:id="5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As of December 31, 2018, we had federal, state, and foreign net operating loss carryforwards, or NOLs, of $85.9 million, $60.4 million, and $102.3 million, respectively, available to offset future taxable income, which begin to expire in 2030. A lack of future taxable income would adversely affect our ability to utilize these NOLs before they expire.</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NOLs if a company experiences a more-than -50-percent ownership change over a three-year testing period. Based upon an analysis as of December 31, 2017, we determined that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pacing w:after="0" w:line="185"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2017 Tax Cuts and Jobs Act could materially affect our tax obligations and effective tax rate.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1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December 22, 2017, U.S. Federal tax reform was enacted with the signing of the Tax Cuts and Jobs Act, or TCJA. Notable provisions of the TCJA included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We continue to examine the impact that the TCJA may have on our business. The impact of this tax reform on us and on holders of our common stock is uncertain and could materially impact our financial results.</w:t>
      </w:r>
    </w:p>
    <w:p>
      <w:pPr>
        <w:spacing w:after="0" w:line="17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sell directly and indirectly, via third-party representatives, to the U.S. and non-U.S. government sectors, and our employees and third-party representatives interact with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0" w:right="259" w:bottom="1440" w:gutter="0" w:footer="0" w:header="0"/>
        </w:sectPr>
      </w:pPr>
    </w:p>
    <w:bookmarkStart w:id="54" w:name="page55"/>
    <w:bookmarkEnd w:id="5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7" w:lineRule="exact"/>
        <w:rPr>
          <w:sz w:val="20"/>
          <w:szCs w:val="20"/>
          <w:color w:val="auto"/>
        </w:rPr>
      </w:pPr>
    </w:p>
    <w:p>
      <w:pPr>
        <w:jc w:val="center"/>
        <w:ind w:right="20"/>
        <w:spacing w:after="0" w:line="28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For example, the current U.S. administration has been critical of existing trade agreements and may impose more stringent export and import controls. Any decreased use of our products or limitation on our ability to export or sell our products would likely adversely affect our business, financial condition, and results of operations.</w:t>
      </w:r>
    </w:p>
    <w:p>
      <w:pPr>
        <w:spacing w:after="0" w:line="21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5" w:name="page56"/>
    <w:bookmarkEnd w:id="5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0"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of September 30, 2019, we had 15 issued patents and seven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and “Tenable.io” names and our Tenable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1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1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6" w:name="page57"/>
    <w:bookmarkEnd w:id="5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and enforce our intellectual property rights could seriously adversely affect our brand and adversely impact our business.</w:t>
      </w:r>
    </w:p>
    <w:p>
      <w:pPr>
        <w:spacing w:after="0" w:line="203"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1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0" w:right="239" w:bottom="1440" w:gutter="0" w:footer="0" w:header="0"/>
        </w:sectPr>
      </w:pPr>
    </w:p>
    <w:bookmarkStart w:id="57" w:name="page58"/>
    <w:bookmarkEnd w:id="5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ind w:left="660" w:right="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ind w:left="660" w:right="5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40" w:right="299" w:bottom="1440" w:gutter="0" w:footer="0" w:header="0"/>
        </w:sectPr>
      </w:pPr>
    </w:p>
    <w:bookmarkStart w:id="58" w:name="page59"/>
    <w:bookmarkEnd w:id="5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public trading market may not continue to develop or be sustained.</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our initial public offering, or IPO, in July 2018, there was no public market or active private market for our common stock. Following our IPO, an active public trading market may not continue to develop or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4"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9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w:t>
      </w:r>
    </w:p>
    <w:p>
      <w:pPr>
        <w:spacing w:after="0" w:line="204" w:lineRule="exact"/>
        <w:rPr>
          <w:sz w:val="20"/>
          <w:szCs w:val="20"/>
          <w:color w:val="auto"/>
        </w:rPr>
      </w:pPr>
    </w:p>
    <w:p>
      <w:pPr>
        <w:ind w:right="260" w:firstLine="324"/>
        <w:spacing w:after="0" w:line="251" w:lineRule="auto"/>
        <w:rPr>
          <w:sz w:val="20"/>
          <w:szCs w:val="20"/>
          <w:color w:val="auto"/>
        </w:rPr>
      </w:pPr>
      <w:r>
        <w:rPr>
          <w:rFonts w:ascii="Arial" w:cs="Arial" w:eastAsia="Arial" w:hAnsi="Arial"/>
          <w:sz w:val="18"/>
          <w:szCs w:val="18"/>
          <w:color w:val="auto"/>
        </w:rPr>
        <w:t>Upon the closing of our IPO, the 12,535,000 shares sold in the offering became freely tradable, and all the remaining shares of common stock outstanding at the time of our IPO became available for sale in the public market in January 2019 following the expiration of lock-up agreements between our stockholders and the underwriters for the IPO. Additionally, stockholders holding a substantial majority of the outstanding shares of our common stock have the right, subject to various conditions and limitations, to require us to file one or more registration statements covering their shares or to include their shares of our common stock in registration statements that we may file for ourselves or other stockholders. If the offer and sale of these shares are registered, they will be freely tradable without restriction under the Securities Act. Shares of common stock sold under such registration statements can be freely sold in the public market. In the event such registration rights are exercised and a large number of shares of common stock are sold in the public market, such sales could reduce the trading price of our common stock.</w:t>
      </w:r>
    </w:p>
    <w:p>
      <w:pPr>
        <w:spacing w:after="0" w:line="21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addition, we filed a registration statement on Form S-8 under the Securities Act registering the issuance of shares of common stock subject to options or other equity awards issued or reserved for future issuance under our equity incentive plans. Shares registered under this registration statement on Form S-8 are available for sale in the public market subject to vesting arrangements and exercise of options and the restrictions of Rule 144 under the Securities Act in the case of our affiliates.</w:t>
      </w:r>
    </w:p>
    <w:p>
      <w:pPr>
        <w:spacing w:after="0" w:line="18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certificate of incorporation authorizes us to issue up to 500,000,000 shares of common stock and up to 10,000,000 shares of preferred stock with such rights and preferences as may be determined by our Board of Directors. Subject to compliance with applicable rules and regulations, in the future we may issue common stock or other securities convertible into shares of our common stock from time to time in connection with a financing,</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40" w:right="259" w:bottom="1440" w:gutter="0" w:footer="0" w:header="0"/>
        </w:sectPr>
      </w:pPr>
    </w:p>
    <w:bookmarkStart w:id="59" w:name="page60"/>
    <w:bookmarkEnd w:id="5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acquisition, investment, our equity incentive plan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180" w:lineRule="exact"/>
        <w:rPr>
          <w:sz w:val="20"/>
          <w:szCs w:val="20"/>
          <w:color w:val="auto"/>
        </w:rPr>
      </w:pPr>
    </w:p>
    <w:p>
      <w:pPr>
        <w:ind w:right="440" w:firstLine="324"/>
        <w:spacing w:after="0" w:line="269"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0"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2"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after we cease to be an emerging growth company on December 31, 2019.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 process of hiring, additional personnel to help comply with these requirements, we may need to further expand our legal and finance departments in the future, which will increase our costs and expenses.</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1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committee and compensation committee.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0" w:right="239" w:bottom="1440" w:gutter="0" w:footer="0" w:header="0"/>
        </w:sectPr>
      </w:pPr>
    </w:p>
    <w:bookmarkStart w:id="60" w:name="page61"/>
    <w:bookmarkEnd w:id="6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In addition, as a result of our disclosure obligations as a public company, we may have reduced strategic flexibility and may be under pressure to focus on short-term results, which could materially and adversely affect our ability to achieve long-term profitability.</w:t>
      </w:r>
    </w:p>
    <w:p>
      <w:pPr>
        <w:spacing w:after="0" w:line="174"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loan and security agreement with Silicon Valley Bank contains restrictive covenants that prohibit us, subject to certain exceptions, from paying dividends on our common stock.</w:t>
      </w:r>
    </w:p>
    <w:p>
      <w:pPr>
        <w:spacing w:after="0" w:line="187" w:lineRule="exact"/>
        <w:rPr>
          <w:sz w:val="20"/>
          <w:szCs w:val="20"/>
          <w:color w:val="auto"/>
        </w:rPr>
      </w:pPr>
    </w:p>
    <w:p>
      <w:pPr>
        <w:ind w:right="280" w:firstLine="324"/>
        <w:spacing w:after="0" w:line="269"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0"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will be required, pursuant to Section 404 of the Sarbanes-Oxley Act, or Section 404, to furnish a report by management on, among other things, the effectiveness of our internal control over financial reporting in our annual report for the year ending December 31, 2019 to be filed with the SEC in 2020.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that annual report. We are also required to disclose significant changes made in our internal control procedures on a quarterly basis.</w:t>
      </w:r>
    </w:p>
    <w:p>
      <w:pPr>
        <w:spacing w:after="0" w:line="20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6"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0" w:lineRule="exact"/>
        <w:rPr>
          <w:sz w:val="20"/>
          <w:szCs w:val="20"/>
          <w:color w:val="auto"/>
        </w:rPr>
      </w:pPr>
    </w:p>
    <w:p>
      <w:pPr>
        <w:ind w:right="220" w:firstLine="324"/>
        <w:spacing w:after="0" w:line="26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0" w:right="239" w:bottom="1440" w:gutter="0" w:footer="0" w:header="0"/>
        </w:sectPr>
      </w:pPr>
    </w:p>
    <w:bookmarkStart w:id="61" w:name="page62"/>
    <w:bookmarkEnd w:id="6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8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660" w:right="24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4"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This exclusive forum provision, if permitted by applicable law, may limit a stockholder’s ability to bring a claim in a judicial forum that it finds favorable for disputes with us or our directors, officers or other employees, which may discourage such lawsuits against us and our directors, officers or other employees. If a court were to find this exclusive forum provision to be inapplicable or unenforceable in an action, we may incur additional costs associated with resolving such action in other jurisdictions, which could adversely affect our results of operations and financial condition.</w:t>
      </w:r>
    </w:p>
    <w:p>
      <w:pPr>
        <w:spacing w:after="0" w:line="21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 Recently, the Delaware Chancery Court issued an opinion invalidating such a provision. In light of that recent decision, we will not attempt to enforce this provision of our amended and restated certificate of incorporation to the extent it is not permitted by applicable law. As a result, we may incur additional costs associated with resolving disputes that would otherwise be restricted by that provision in other jurisdictions, which could seriously harm our business.</w:t>
      </w:r>
    </w:p>
    <w:p>
      <w:pPr>
        <w:spacing w:after="0" w:line="187" w:lineRule="exact"/>
        <w:rPr>
          <w:sz w:val="20"/>
          <w:szCs w:val="20"/>
          <w:color w:val="auto"/>
        </w:rPr>
      </w:pPr>
    </w:p>
    <w:p>
      <w:pPr>
        <w:ind w:right="920" w:firstLine="324"/>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75"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We are currently an “emerging growth company,” as defined in the JOBS Act, and we may take advantage of certain exemptions from various reporting requirements that are applicable to other public companies that are not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 w:right="239" w:bottom="1440" w:gutter="0" w:footer="0" w:header="0"/>
        </w:sectPr>
      </w:pPr>
    </w:p>
    <w:bookmarkStart w:id="62" w:name="page63"/>
    <w:bookmarkEnd w:id="6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which will be on December 31, 2019. We cannot predict if investors will find our common stock less attractive if we choose to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4"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jc w:val="both"/>
        <w:ind w:right="260" w:firstLine="324"/>
        <w:spacing w:after="0" w:line="262"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40" w:right="299" w:bottom="1440" w:gutter="0" w:footer="0" w:header="0"/>
        </w:sectPr>
      </w:pPr>
    </w:p>
    <w:bookmarkStart w:id="63" w:name="page64"/>
    <w:bookmarkEnd w:id="6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ectPr>
          <w:pgSz w:w="11900" w:h="16838" w:orient="portrait"/>
          <w:cols w:equalWidth="0" w:num="1">
            <w:col w:w="11340"/>
          </w:cols>
          <w:pgMar w:left="240" w:top="140" w:right="31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8"/>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340" w:type="dxa"/>
            <w:vAlign w:val="bottom"/>
            <w:gridSpan w:val="9"/>
          </w:tcPr>
          <w:p>
            <w:pPr>
              <w:ind w:left="2540"/>
              <w:spacing w:after="0"/>
              <w:rPr>
                <w:sz w:val="20"/>
                <w:szCs w:val="20"/>
                <w:color w:val="auto"/>
              </w:rPr>
            </w:pPr>
            <w:r>
              <w:rPr>
                <w:rFonts w:ascii="Arial" w:cs="Arial" w:eastAsia="Arial" w:hAnsi="Arial"/>
                <w:sz w:val="16"/>
                <w:szCs w:val="16"/>
                <w:b w:val="1"/>
                <w:bCs w:val="1"/>
                <w:color w:val="auto"/>
              </w:rPr>
              <w:t>Description</w:t>
            </w:r>
          </w:p>
        </w:tc>
      </w:tr>
      <w:tr>
        <w:trPr>
          <w:trHeight w:val="311"/>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700" w:type="dxa"/>
            <w:vAlign w:val="bottom"/>
            <w:tcBorders>
              <w:top w:val="single" w:sz="8" w:color="auto"/>
            </w:tcBorders>
            <w:gridSpan w:val="10"/>
          </w:tcPr>
          <w:p>
            <w:pPr>
              <w:spacing w:after="0"/>
              <w:rPr>
                <w:rFonts w:ascii="Arial" w:cs="Arial" w:eastAsia="Arial" w:hAnsi="Arial"/>
                <w:sz w:val="16"/>
                <w:szCs w:val="16"/>
                <w:color w:val="0000FF"/>
              </w:rPr>
            </w:pPr>
            <w:hyperlink r:id="rId9">
              <w:r>
                <w:rPr>
                  <w:rFonts w:ascii="Arial" w:cs="Arial" w:eastAsia="Arial" w:hAnsi="Arial"/>
                  <w:sz w:val="16"/>
                  <w:szCs w:val="16"/>
                  <w:color w:val="0000FF"/>
                </w:rPr>
                <w:t>Amended and Restated Certificate of Incorporation of Tenable Holdings, Inc.</w:t>
              </w:r>
            </w:hyperlink>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tcBorders>
              <w:top w:val="single" w:sz="8" w:color="0000FF"/>
              <w:bottom w:val="single" w:sz="8" w:color="0000FF"/>
            </w:tcBorders>
            <w:gridSpan w:val="3"/>
          </w:tcPr>
          <w:p>
            <w:pPr>
              <w:spacing w:after="0"/>
              <w:rPr>
                <w:rFonts w:ascii="Arial" w:cs="Arial" w:eastAsia="Arial" w:hAnsi="Arial"/>
                <w:sz w:val="16"/>
                <w:szCs w:val="16"/>
                <w:color w:val="0000FF"/>
              </w:rPr>
            </w:pPr>
            <w:hyperlink r:id="rId10">
              <w:r>
                <w:rPr>
                  <w:rFonts w:ascii="Arial" w:cs="Arial" w:eastAsia="Arial" w:hAnsi="Arial"/>
                  <w:sz w:val="16"/>
                  <w:szCs w:val="16"/>
                  <w:color w:val="0000FF"/>
                </w:rPr>
                <w:t>Amended and Restated Bylaws of Tenable Holdings, Inc.</w:t>
              </w:r>
            </w:hyperlink>
          </w:p>
        </w:tc>
        <w:tc>
          <w:tcPr>
            <w:tcW w:w="1380" w:type="dxa"/>
            <w:vAlign w:val="bottom"/>
            <w:tcBorders>
              <w:top w:val="single" w:sz="8" w:color="0000FF"/>
            </w:tcBorders>
          </w:tcPr>
          <w:p>
            <w:pPr>
              <w:spacing w:after="0"/>
              <w:rPr>
                <w:sz w:val="24"/>
                <w:szCs w:val="24"/>
                <w:color w:val="auto"/>
              </w:rPr>
            </w:pPr>
          </w:p>
        </w:tc>
        <w:tc>
          <w:tcPr>
            <w:tcW w:w="1240" w:type="dxa"/>
            <w:vAlign w:val="bottom"/>
            <w:gridSpan w:val="6"/>
          </w:tcPr>
          <w:p>
            <w:pPr>
              <w:spacing w:after="0"/>
              <w:rPr>
                <w:sz w:val="24"/>
                <w:szCs w:val="24"/>
                <w:color w:val="auto"/>
              </w:rPr>
            </w:pPr>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Borders>
              <w:bottom w:val="single" w:sz="8" w:color="0000FF"/>
            </w:tcBorders>
            <w:gridSpan w:val="2"/>
          </w:tcPr>
          <w:p>
            <w:pPr>
              <w:spacing w:after="0"/>
              <w:rPr>
                <w:rFonts w:ascii="Arial" w:cs="Arial" w:eastAsia="Arial" w:hAnsi="Arial"/>
                <w:sz w:val="16"/>
                <w:szCs w:val="16"/>
                <w:color w:val="0000FF"/>
              </w:rPr>
            </w:pPr>
            <w:hyperlink r:id="rId11">
              <w:r>
                <w:rPr>
                  <w:rFonts w:ascii="Arial" w:cs="Arial" w:eastAsia="Arial" w:hAnsi="Arial"/>
                  <w:sz w:val="16"/>
                  <w:szCs w:val="16"/>
                  <w:color w:val="0000FF"/>
                </w:rPr>
                <w:t>Common Stock Certificate of Tenable Holdings, Inc.</w:t>
              </w:r>
            </w:hyperlink>
          </w:p>
        </w:tc>
        <w:tc>
          <w:tcPr>
            <w:tcW w:w="3000" w:type="dxa"/>
            <w:vAlign w:val="bottom"/>
            <w:gridSpan w:val="8"/>
          </w:tcPr>
          <w:p>
            <w:pPr>
              <w:spacing w:after="0"/>
              <w:rPr>
                <w:sz w:val="24"/>
                <w:szCs w:val="24"/>
                <w:color w:val="auto"/>
              </w:rPr>
            </w:pPr>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0"/>
          </w:tcPr>
          <w:p>
            <w:pPr>
              <w:spacing w:after="0"/>
              <w:rPr>
                <w:rFonts w:ascii="Arial" w:cs="Arial" w:eastAsia="Arial" w:hAnsi="Arial"/>
                <w:sz w:val="16"/>
                <w:szCs w:val="16"/>
                <w:color w:val="0000FF"/>
              </w:rPr>
            </w:pPr>
            <w:hyperlink r:id="rId12">
              <w:r>
                <w:rPr>
                  <w:rFonts w:ascii="Arial" w:cs="Arial" w:eastAsia="Arial" w:hAnsi="Arial"/>
                  <w:sz w:val="16"/>
                  <w:szCs w:val="16"/>
                  <w:color w:val="0000FF"/>
                </w:rPr>
                <w:t>Form of Restricted Stock Unit Grant Notice and Agreement under the 2018 Equity Incentive</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9"/>
              </w:rPr>
            </w:pPr>
            <w:hyperlink r:id="rId12">
              <w:r>
                <w:rPr>
                  <w:rFonts w:ascii="Arial" w:cs="Arial" w:eastAsia="Arial" w:hAnsi="Arial"/>
                  <w:sz w:val="16"/>
                  <w:szCs w:val="16"/>
                  <w:color w:val="0000FF"/>
                  <w:w w:val="99"/>
                </w:rPr>
                <w:t>Plan</w:t>
              </w:r>
            </w:hyperlink>
          </w:p>
        </w:tc>
        <w:tc>
          <w:tcPr>
            <w:tcW w:w="6180" w:type="dxa"/>
            <w:vAlign w:val="bottom"/>
            <w:tcBorders>
              <w:top w:val="single" w:sz="8" w:color="0000FF"/>
            </w:tcBorders>
            <w:gridSpan w:val="7"/>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412"/>
        </w:trPr>
        <w:tc>
          <w:tcPr>
            <w:tcW w:w="92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0"/>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Certification of the Principal Executive Officer pursuant to Rules 13a-14(a) and 15d-14(a)</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94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0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w:anchor="page66">
              <w:r>
                <w:rPr>
                  <w:rFonts w:ascii="Arial" w:cs="Arial" w:eastAsia="Arial" w:hAnsi="Arial"/>
                  <w:sz w:val="16"/>
                  <w:szCs w:val="16"/>
                  <w:color w:val="0000FF"/>
                </w:rPr>
                <w:t>under the Exchange Act, as adopted pursuant to Section 302 of the Sarbanes-Oxley Act of</w:t>
              </w:r>
            </w:hyperlink>
          </w:p>
        </w:tc>
        <w:tc>
          <w:tcPr>
            <w:tcW w:w="200" w:type="dxa"/>
            <w:vAlign w:val="bottom"/>
            <w:gridSpan w:val="3"/>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40"/>
              <w:spacing w:after="0" w:line="169" w:lineRule="exact"/>
              <w:rPr>
                <w:rFonts w:ascii="Arial" w:cs="Arial" w:eastAsia="Arial" w:hAnsi="Arial"/>
                <w:sz w:val="16"/>
                <w:szCs w:val="16"/>
                <w:color w:val="0000FF"/>
                <w:w w:val="89"/>
              </w:rPr>
            </w:pPr>
            <w:hyperlink w:anchor="page66">
              <w:r>
                <w:rPr>
                  <w:rFonts w:ascii="Arial" w:cs="Arial" w:eastAsia="Arial" w:hAnsi="Arial"/>
                  <w:sz w:val="16"/>
                  <w:szCs w:val="16"/>
                  <w:color w:val="0000FF"/>
                  <w:w w:val="89"/>
                </w:rPr>
                <w:t>2002</w:t>
              </w:r>
            </w:hyperlink>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00" w:type="dxa"/>
            <w:vAlign w:val="bottom"/>
            <w:gridSpan w:val="10"/>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Certification of the Principal Financial Officer pursuant to Rules 13a-14(a) and 15d-14(a)</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0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0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w:anchor="page67">
              <w:r>
                <w:rPr>
                  <w:rFonts w:ascii="Arial" w:cs="Arial" w:eastAsia="Arial" w:hAnsi="Arial"/>
                  <w:sz w:val="16"/>
                  <w:szCs w:val="16"/>
                  <w:color w:val="0000FF"/>
                </w:rPr>
                <w:t>under the Exchange Act, as adopted pursuant to Section 302 of the Sarbanes-Oxley Act of</w:t>
              </w:r>
            </w:hyperlink>
          </w:p>
        </w:tc>
        <w:tc>
          <w:tcPr>
            <w:tcW w:w="200" w:type="dxa"/>
            <w:vAlign w:val="bottom"/>
            <w:gridSpan w:val="3"/>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40"/>
              <w:spacing w:after="0" w:line="169" w:lineRule="exact"/>
              <w:rPr>
                <w:rFonts w:ascii="Arial" w:cs="Arial" w:eastAsia="Arial" w:hAnsi="Arial"/>
                <w:sz w:val="16"/>
                <w:szCs w:val="16"/>
                <w:color w:val="0000FF"/>
                <w:w w:val="89"/>
              </w:rPr>
            </w:pPr>
            <w:hyperlink w:anchor="page67">
              <w:r>
                <w:rPr>
                  <w:rFonts w:ascii="Arial" w:cs="Arial" w:eastAsia="Arial" w:hAnsi="Arial"/>
                  <w:sz w:val="16"/>
                  <w:szCs w:val="16"/>
                  <w:color w:val="0000FF"/>
                  <w:w w:val="89"/>
                </w:rPr>
                <w:t>2002</w:t>
              </w:r>
            </w:hyperlink>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560" w:type="dxa"/>
            <w:vAlign w:val="bottom"/>
            <w:tcBorders>
              <w:bottom w:val="single" w:sz="8" w:color="0000FF"/>
            </w:tcBorders>
            <w:gridSpan w:val="9"/>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Certification of the Principal Executive Officer and the Principal Financial Officer pursuant to</w:t>
              </w:r>
            </w:hyperlink>
          </w:p>
        </w:tc>
        <w:tc>
          <w:tcPr>
            <w:tcW w:w="140" w:type="dxa"/>
            <w:vAlign w:val="bottom"/>
          </w:tcPr>
          <w:p>
            <w:pPr>
              <w:spacing w:after="0"/>
              <w:rPr>
                <w:sz w:val="19"/>
                <w:szCs w:val="19"/>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6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w:anchor="page68">
              <w:r>
                <w:rPr>
                  <w:rFonts w:ascii="Arial" w:cs="Arial" w:eastAsia="Arial" w:hAnsi="Arial"/>
                  <w:sz w:val="16"/>
                  <w:szCs w:val="16"/>
                  <w:color w:val="0000FF"/>
                </w:rPr>
                <w:t>18 U.S.C. Section 1350, as adopted pursuant to Section 906 of the Sarbanes-Oxley Act of</w:t>
              </w:r>
            </w:hyperlink>
          </w:p>
        </w:tc>
        <w:tc>
          <w:tcPr>
            <w:tcW w:w="240" w:type="dxa"/>
            <w:vAlign w:val="bottom"/>
            <w:gridSpan w:val="4"/>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40"/>
              <w:spacing w:after="0" w:line="169" w:lineRule="exact"/>
              <w:rPr>
                <w:rFonts w:ascii="Arial" w:cs="Arial" w:eastAsia="Arial" w:hAnsi="Arial"/>
                <w:sz w:val="16"/>
                <w:szCs w:val="16"/>
                <w:color w:val="0000FF"/>
                <w:w w:val="89"/>
              </w:rPr>
            </w:pPr>
            <w:hyperlink w:anchor="page68">
              <w:r>
                <w:rPr>
                  <w:rFonts w:ascii="Arial" w:cs="Arial" w:eastAsia="Arial" w:hAnsi="Arial"/>
                  <w:sz w:val="16"/>
                  <w:szCs w:val="16"/>
                  <w:color w:val="0000FF"/>
                  <w:w w:val="89"/>
                </w:rPr>
                <w:t>2002</w:t>
              </w:r>
            </w:hyperlink>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Previously filed as Exhibit 10.1 to the Company's Form 10-Q (File No. 001-38600) on August 9, 2019</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436" w:lineRule="exact"/>
        <w:rPr>
          <w:sz w:val="20"/>
          <w:szCs w:val="20"/>
          <w:color w:val="auto"/>
        </w:rPr>
      </w:pPr>
    </w:p>
    <w:p>
      <w:pPr>
        <w:sectPr>
          <w:pgSz w:w="11900" w:h="16838" w:orient="portrait"/>
          <w:cols w:equalWidth="0" w:num="2">
            <w:col w:w="7780" w:space="140"/>
            <w:col w:w="3420"/>
          </w:cols>
          <w:pgMar w:left="240" w:top="140" w:right="319" w:bottom="1440" w:gutter="0" w:footer="0" w:header="0"/>
          <w:type w:val="continuous"/>
        </w:sectPr>
      </w:pPr>
    </w:p>
    <w:p>
      <w:pPr>
        <w:ind w:left="1080" w:right="3780" w:hanging="760"/>
        <w:spacing w:after="0" w:line="260" w:lineRule="auto"/>
        <w:tabs>
          <w:tab w:leader="none" w:pos="1060" w:val="left"/>
        </w:tabs>
        <w:rPr>
          <w:sz w:val="20"/>
          <w:szCs w:val="20"/>
          <w:color w:val="auto"/>
        </w:rPr>
      </w:pPr>
      <w:r>
        <w:rPr>
          <w:rFonts w:ascii="Arial" w:cs="Arial" w:eastAsia="Arial" w:hAnsi="Arial"/>
          <w:sz w:val="16"/>
          <w:szCs w:val="16"/>
          <w:color w:val="auto"/>
        </w:rPr>
        <w:t>101.INS</w:t>
        <w:tab/>
        <w:t>XBRL Instance Document - the instance document does not appear in the Interactive Data File because its XBRL tags are embedded within the inline XBRL document</w:t>
      </w:r>
    </w:p>
    <w:p>
      <w:pPr>
        <w:sectPr>
          <w:pgSz w:w="11900" w:h="16838" w:orient="portrait"/>
          <w:cols w:equalWidth="0" w:num="1">
            <w:col w:w="11340"/>
          </w:cols>
          <w:pgMar w:left="240" w:top="140" w:right="319" w:bottom="1440" w:gutter="0" w:footer="0" w:header="0"/>
          <w:type w:val="continuous"/>
        </w:sectPr>
      </w:pPr>
    </w:p>
    <w:p>
      <w:pPr>
        <w:spacing w:after="0" w:line="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101.CAL</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101.DEF</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101.LAB</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101.PRE</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104</w:t>
      </w:r>
    </w:p>
    <w:p>
      <w:pPr>
        <w:spacing w:after="0" w:line="39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59" w:lineRule="exact"/>
        <w:rPr>
          <w:sz w:val="20"/>
          <w:szCs w:val="20"/>
          <w:color w:val="auto"/>
        </w:rPr>
      </w:pPr>
    </w:p>
    <w:p>
      <w:pPr>
        <w:ind w:right="4040"/>
        <w:spacing w:after="0" w:line="253" w:lineRule="auto"/>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101.SCH, 101.CAL, 101.DEF, 101.LAB and 101.PRE)</w:t>
      </w:r>
    </w:p>
    <w:p>
      <w:pPr>
        <w:spacing w:after="0" w:line="130" w:lineRule="exact"/>
        <w:rPr>
          <w:sz w:val="20"/>
          <w:szCs w:val="20"/>
          <w:color w:val="auto"/>
        </w:rPr>
      </w:pPr>
    </w:p>
    <w:p>
      <w:pPr>
        <w:sectPr>
          <w:pgSz w:w="11900" w:h="16838" w:orient="portrait"/>
          <w:cols w:equalWidth="0" w:num="2">
            <w:col w:w="900" w:space="180"/>
            <w:col w:w="10260"/>
          </w:cols>
          <w:pgMar w:left="240" w:top="140" w:right="319" w:bottom="1440" w:gutter="0" w:footer="0" w:header="0"/>
          <w:type w:val="continuous"/>
        </w:sectPr>
      </w:pPr>
    </w:p>
    <w:p>
      <w:pPr>
        <w:ind w:right="280" w:firstLine="332"/>
        <w:spacing w:after="0" w:line="256"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140" w:right="319" w:bottom="1440" w:gutter="0" w:footer="0" w:header="0"/>
          <w:type w:val="continuous"/>
        </w:sectPr>
      </w:pPr>
    </w:p>
    <w:bookmarkStart w:id="64" w:name="page65"/>
    <w:bookmarkEnd w:id="6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540" w:type="dxa"/>
            <w:vAlign w:val="bottom"/>
            <w:gridSpan w:val="2"/>
          </w:tcPr>
          <w:p>
            <w:pPr>
              <w:ind w:left="1020"/>
              <w:spacing w:after="0"/>
              <w:rPr>
                <w:sz w:val="20"/>
                <w:szCs w:val="20"/>
                <w:color w:val="auto"/>
              </w:rPr>
            </w:pPr>
            <w:r>
              <w:rPr>
                <w:rFonts w:ascii="Arial" w:cs="Arial" w:eastAsia="Arial" w:hAnsi="Arial"/>
                <w:sz w:val="18"/>
                <w:szCs w:val="18"/>
                <w:b w:val="1"/>
                <w:bCs w:val="1"/>
                <w:color w:val="auto"/>
              </w:rPr>
              <w:t>TENABLE HOLDINGS, INC.</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660" w:type="dxa"/>
            <w:vAlign w:val="bottom"/>
          </w:tcPr>
          <w:p>
            <w:pPr>
              <w:ind w:left="60"/>
              <w:spacing w:after="0"/>
              <w:rPr>
                <w:sz w:val="20"/>
                <w:szCs w:val="20"/>
                <w:color w:val="auto"/>
              </w:rPr>
            </w:pPr>
            <w:r>
              <w:rPr>
                <w:rFonts w:ascii="Arial" w:cs="Arial" w:eastAsia="Arial" w:hAnsi="Arial"/>
                <w:sz w:val="18"/>
                <w:szCs w:val="18"/>
                <w:color w:val="auto"/>
              </w:rPr>
              <w:t>November 13, 2019</w:t>
            </w:r>
          </w:p>
        </w:tc>
        <w:tc>
          <w:tcPr>
            <w:tcW w:w="6540" w:type="dxa"/>
            <w:vAlign w:val="bottom"/>
            <w:gridSpan w:val="2"/>
          </w:tcPr>
          <w:p>
            <w:pPr>
              <w:ind w:left="1020"/>
              <w:spacing w:after="0"/>
              <w:rPr>
                <w:sz w:val="20"/>
                <w:szCs w:val="20"/>
                <w:color w:val="auto"/>
              </w:rPr>
            </w:pPr>
            <w:r>
              <w:rPr>
                <w:rFonts w:ascii="Arial" w:cs="Arial" w:eastAsia="Arial" w:hAnsi="Arial"/>
                <w:sz w:val="18"/>
                <w:szCs w:val="18"/>
                <w:color w:val="auto"/>
              </w:rPr>
              <w:t>By: /s/ Amit Yoran</w:t>
            </w:r>
          </w:p>
        </w:tc>
      </w:tr>
      <w:tr>
        <w:trPr>
          <w:trHeight w:val="243"/>
        </w:trPr>
        <w:tc>
          <w:tcPr>
            <w:tcW w:w="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Amit Yoran</w:t>
            </w:r>
          </w:p>
        </w:tc>
      </w:tr>
      <w:tr>
        <w:trPr>
          <w:trHeight w:val="270"/>
        </w:trPr>
        <w:tc>
          <w:tcPr>
            <w:tcW w:w="5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(On Behalf of the Registrant and as Principal Executive Officer)</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660" w:type="dxa"/>
            <w:vAlign w:val="bottom"/>
          </w:tcPr>
          <w:p>
            <w:pPr>
              <w:ind w:left="60"/>
              <w:spacing w:after="0"/>
              <w:rPr>
                <w:sz w:val="20"/>
                <w:szCs w:val="20"/>
                <w:color w:val="auto"/>
              </w:rPr>
            </w:pPr>
            <w:r>
              <w:rPr>
                <w:rFonts w:ascii="Arial" w:cs="Arial" w:eastAsia="Arial" w:hAnsi="Arial"/>
                <w:sz w:val="18"/>
                <w:szCs w:val="18"/>
                <w:color w:val="auto"/>
              </w:rPr>
              <w:t>November 13, 2019</w:t>
            </w:r>
          </w:p>
        </w:tc>
        <w:tc>
          <w:tcPr>
            <w:tcW w:w="6540" w:type="dxa"/>
            <w:vAlign w:val="bottom"/>
            <w:gridSpan w:val="2"/>
          </w:tcPr>
          <w:p>
            <w:pPr>
              <w:ind w:left="1020"/>
              <w:spacing w:after="0"/>
              <w:rPr>
                <w:sz w:val="20"/>
                <w:szCs w:val="20"/>
                <w:color w:val="auto"/>
              </w:rPr>
            </w:pPr>
            <w:r>
              <w:rPr>
                <w:rFonts w:ascii="Arial" w:cs="Arial" w:eastAsia="Arial" w:hAnsi="Arial"/>
                <w:sz w:val="18"/>
                <w:szCs w:val="18"/>
                <w:color w:val="auto"/>
              </w:rPr>
              <w:t>By: /s/ Stephen A. Vintz</w:t>
            </w:r>
          </w:p>
        </w:tc>
      </w:tr>
      <w:tr>
        <w:trPr>
          <w:trHeight w:val="243"/>
        </w:trPr>
        <w:tc>
          <w:tcPr>
            <w:tcW w:w="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70"/>
        </w:trPr>
        <w:tc>
          <w:tcPr>
            <w:tcW w:w="5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905"/>
        </w:trPr>
        <w:tc>
          <w:tcPr>
            <w:tcW w:w="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540" w:type="dxa"/>
            <w:vAlign w:val="bottom"/>
            <w:gridSpan w:val="2"/>
          </w:tcPr>
          <w:p>
            <w:pPr>
              <w:jc w:val="right"/>
              <w:ind w:right="383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200"/>
          </w:cols>
          <w:pgMar w:left="240" w:top="140" w:right="4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359"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225" w:lineRule="exact"/>
        <w:rPr>
          <w:sz w:val="20"/>
          <w:szCs w:val="20"/>
          <w:color w:val="auto"/>
        </w:rPr>
      </w:pPr>
    </w:p>
    <w:p>
      <w:pPr>
        <w:ind w:left="500" w:hanging="465"/>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November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8"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30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225" w:lineRule="exact"/>
        <w:rPr>
          <w:sz w:val="20"/>
          <w:szCs w:val="20"/>
          <w:color w:val="auto"/>
        </w:rPr>
      </w:pPr>
    </w:p>
    <w:p>
      <w:pPr>
        <w:ind w:left="500" w:hanging="465"/>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November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11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30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Quarterly Report on Form 10-Q of Tenable Holdings, Inc. for the fiscal quarter ended September 30, 2019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366"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November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pacing w:after="0" w:line="392"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November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7"/>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9" Type="http://schemas.openxmlformats.org/officeDocument/2006/relationships/hyperlink" Target="http://www.sec.gov/Archives/edgar/data/1660280/000119312518231446/d562353dex31.htm" TargetMode="External"/><Relationship Id="rId10" Type="http://schemas.openxmlformats.org/officeDocument/2006/relationships/hyperlink" Target="http://www.sec.gov/Archives/edgar/data/1660280/000119312518209705/d548092dex34.htm" TargetMode="External"/><Relationship Id="rId11" Type="http://schemas.openxmlformats.org/officeDocument/2006/relationships/hyperlink" Target="http://www.sec.gov/Archives/edgar/data/1660280/000119312518218215/d548092dex41.htm" TargetMode="External"/><Relationship Id="rId12" Type="http://schemas.openxmlformats.org/officeDocument/2006/relationships/hyperlink" Target="http://www.sec.gov/Archives/edgar/data/1660280/000166028019000030/q22019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2019-12-28T01:29:05Z</dcterms:created>
  <dcterms:modified xsi:type="dcterms:W3CDTF">2019-12-28T01:29:05Z</dcterms:modified>
</cp:coreProperties>
</file>