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231F20"/>
        </w:rPr>
        <w:t>UNITED STATES</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231F20"/>
        </w:rPr>
        <w:t>SECURITIES AND EXCHANGE COMMISSION</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231F20"/>
        </w:rPr>
        <w:t>Washington, D.C. 20549</w:t>
      </w:r>
    </w:p>
    <w:p>
      <w:pPr>
        <w:spacing w:after="0" w:line="3"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__________________</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FORM 10-Q</w:t>
      </w:r>
    </w:p>
    <w:p>
      <w:pPr>
        <w:spacing w:after="0" w:line="48"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231F20"/>
        </w:rPr>
        <w:t>__________________</w:t>
      </w:r>
    </w:p>
    <w:p>
      <w:pPr>
        <w:spacing w:after="0" w:line="116" w:lineRule="exact"/>
        <w:rPr>
          <w:sz w:val="24"/>
          <w:szCs w:val="24"/>
          <w:color w:val="auto"/>
        </w:rPr>
      </w:pPr>
    </w:p>
    <w:p>
      <w:pPr>
        <w:ind w:left="520" w:hanging="496"/>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29" w:lineRule="exact"/>
        <w:rPr>
          <w:sz w:val="24"/>
          <w:szCs w:val="24"/>
          <w:color w:val="auto"/>
        </w:rPr>
      </w:pPr>
    </w:p>
    <w:p>
      <w:pPr>
        <w:ind w:left="520" w:hanging="496"/>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10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001-38600</w:t>
      </w:r>
    </w:p>
    <w:p>
      <w:pPr>
        <w:spacing w:after="0" w:line="1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231F20"/>
        </w:rPr>
        <w:t>__________________</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39"/>
          <w:szCs w:val="39"/>
          <w:b w:val="1"/>
          <w:bCs w:val="1"/>
          <w:color w:val="231F20"/>
        </w:rPr>
        <w:t>TENABLE HOLDINGS, INC.</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74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140"/>
          </w:cols>
          <w:pgMar w:left="320" w:top="1171" w:right="439" w:bottom="1440" w:gutter="0" w:footer="0" w:header="0"/>
        </w:sectPr>
      </w:pPr>
    </w:p>
    <w:p>
      <w:pPr>
        <w:spacing w:after="0" w:line="107" w:lineRule="exact"/>
        <w:rPr>
          <w:sz w:val="24"/>
          <w:szCs w:val="24"/>
          <w:color w:val="auto"/>
        </w:rPr>
      </w:pPr>
    </w:p>
    <w:p>
      <w:pPr>
        <w:ind w:left="20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47-5580846</w:t>
      </w:r>
    </w:p>
    <w:p>
      <w:pPr>
        <w:spacing w:after="0" w:line="102" w:lineRule="exact"/>
        <w:rPr>
          <w:sz w:val="24"/>
          <w:szCs w:val="24"/>
          <w:color w:val="auto"/>
        </w:rPr>
      </w:pPr>
    </w:p>
    <w:p>
      <w:pPr>
        <w:sectPr>
          <w:pgSz w:w="11900" w:h="16838" w:orient="portrait"/>
          <w:cols w:equalWidth="0" w:num="2">
            <w:col w:w="7760" w:space="720"/>
            <w:col w:w="2660"/>
          </w:cols>
          <w:pgMar w:left="320" w:top="1171" w:right="439" w:bottom="1440" w:gutter="0" w:footer="0" w:header="0"/>
          <w:type w:val="continuous"/>
        </w:sectPr>
      </w:pPr>
    </w:p>
    <w:p>
      <w:pPr>
        <w:ind w:left="5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87" w:lineRule="exact"/>
        <w:rPr>
          <w:sz w:val="24"/>
          <w:szCs w:val="24"/>
          <w:color w:val="auto"/>
        </w:rPr>
      </w:pPr>
    </w:p>
    <w:p>
      <w:pPr>
        <w:sectPr>
          <w:pgSz w:w="11900" w:h="16838" w:orient="portrait"/>
          <w:cols w:equalWidth="0" w:num="2">
            <w:col w:w="6940" w:space="720"/>
            <w:col w:w="3480"/>
          </w:cols>
          <w:pgMar w:left="320" w:top="1171"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6100 Merriweather Drive, Columbia, Maryland 21044</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8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(410) 872-0555</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ind w:left="4740"/>
        <w:spacing w:after="0"/>
        <w:rPr>
          <w:sz w:val="20"/>
          <w:szCs w:val="20"/>
          <w:color w:val="auto"/>
        </w:rPr>
      </w:pPr>
      <w:r>
        <w:rPr>
          <w:rFonts w:ascii="Arial" w:cs="Arial" w:eastAsia="Arial" w:hAnsi="Arial"/>
          <w:sz w:val="18"/>
          <w:szCs w:val="18"/>
          <w:b w:val="1"/>
          <w:bCs w:val="1"/>
          <w:color w:val="231F20"/>
        </w:rPr>
        <w:t>__________________</w:t>
      </w:r>
    </w:p>
    <w:p>
      <w:pPr>
        <w:spacing w:after="0" w:line="11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140"/>
          </w:cols>
          <w:pgMar w:left="320" w:top="1171" w:right="439" w:bottom="1440" w:gutter="0" w:footer="0" w:header="0"/>
          <w:type w:val="continuous"/>
        </w:sectPr>
      </w:pPr>
    </w:p>
    <w:p>
      <w:pPr>
        <w:spacing w:after="0" w:line="134"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Name of each exchange on which registered</w:t>
      </w:r>
    </w:p>
    <w:p>
      <w:pPr>
        <w:spacing w:after="0" w:line="40" w:lineRule="exact"/>
        <w:rPr>
          <w:sz w:val="24"/>
          <w:szCs w:val="24"/>
          <w:color w:val="auto"/>
        </w:rPr>
      </w:pPr>
    </w:p>
    <w:p>
      <w:pPr>
        <w:sectPr>
          <w:pgSz w:w="11900" w:h="16838" w:orient="portrait"/>
          <w:cols w:equalWidth="0" w:num="3">
            <w:col w:w="4260" w:space="720"/>
            <w:col w:w="1880" w:space="720"/>
            <w:col w:w="3560"/>
          </w:cols>
          <w:pgMar w:left="320" w:top="1171" w:right="4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 LLC</w:t>
      </w:r>
    </w:p>
    <w:p>
      <w:pPr>
        <w:spacing w:after="0" w:line="200" w:lineRule="exact"/>
        <w:rPr>
          <w:sz w:val="24"/>
          <w:szCs w:val="24"/>
          <w:color w:val="auto"/>
        </w:rPr>
      </w:pPr>
    </w:p>
    <w:p>
      <w:pPr>
        <w:sectPr>
          <w:pgSz w:w="11900" w:h="16838" w:orient="portrait"/>
          <w:cols w:equalWidth="0" w:num="3">
            <w:col w:w="4680" w:space="720"/>
            <w:col w:w="1960" w:space="720"/>
            <w:col w:w="3060"/>
          </w:cols>
          <w:pgMar w:left="320" w:top="1171" w:right="439" w:bottom="1440" w:gutter="0" w:footer="0" w:header="0"/>
          <w:type w:val="continuous"/>
        </w:sectPr>
      </w:pPr>
    </w:p>
    <w:p>
      <w:pPr>
        <w:spacing w:after="0" w:line="12"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5" w:lineRule="exact"/>
        <w:rPr>
          <w:sz w:val="24"/>
          <w:szCs w:val="24"/>
          <w:color w:val="auto"/>
        </w:rPr>
      </w:pPr>
    </w:p>
    <w:p>
      <w:pPr>
        <w:ind w:right="5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160"/>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3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2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3380" w:type="dxa"/>
            <w:vAlign w:val="bottom"/>
          </w:tcPr>
          <w:p>
            <w:pPr>
              <w:spacing w:after="0"/>
              <w:rPr>
                <w:sz w:val="20"/>
                <w:szCs w:val="20"/>
                <w:color w:val="auto"/>
              </w:rPr>
            </w:pPr>
            <w:r>
              <w:rPr>
                <w:rFonts w:ascii="Arial" w:cs="Arial" w:eastAsia="Arial" w:hAnsi="Arial"/>
                <w:sz w:val="16"/>
                <w:szCs w:val="16"/>
                <w:color w:val="auto"/>
              </w:rPr>
              <w:t>Non-accelerated filer</w:t>
            </w:r>
          </w:p>
        </w:tc>
        <w:tc>
          <w:tcPr>
            <w:tcW w:w="20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0"/>
        </w:trPr>
        <w:tc>
          <w:tcPr>
            <w:tcW w:w="3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2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 w:lineRule="exact"/>
        <w:rPr>
          <w:sz w:val="24"/>
          <w:szCs w:val="24"/>
          <w:color w:val="auto"/>
        </w:rPr>
      </w:pPr>
    </w:p>
    <w:p>
      <w:pPr>
        <w:jc w:val="both"/>
        <w:ind w:left="20" w:right="220"/>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1" w:lineRule="exact"/>
        <w:rPr>
          <w:sz w:val="24"/>
          <w:szCs w:val="24"/>
          <w:color w:val="auto"/>
        </w:rPr>
      </w:pPr>
    </w:p>
    <w:p>
      <w:pPr>
        <w:ind w:right="1680"/>
        <w:spacing w:after="0" w:line="26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July 26, 2021 was 106,578,737.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857250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171"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10"/>
          </w:tcPr>
          <w:p>
            <w:pPr>
              <w:jc w:val="center"/>
              <w:ind w:right="2360"/>
              <w:spacing w:after="0"/>
              <w:rPr>
                <w:sz w:val="20"/>
                <w:szCs w:val="20"/>
                <w:color w:val="auto"/>
              </w:rPr>
            </w:pPr>
            <w:r>
              <w:rPr>
                <w:rFonts w:ascii="Arial" w:cs="Arial" w:eastAsia="Arial" w:hAnsi="Arial"/>
                <w:sz w:val="18"/>
                <w:szCs w:val="18"/>
                <w:b w:val="1"/>
                <w:bCs w:val="1"/>
                <w:color w:val="auto"/>
                <w:w w:val="97"/>
              </w:rPr>
              <w:t>TENABLE HOLDINGS, INC.</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60" w:type="dxa"/>
            <w:vAlign w:val="bottom"/>
            <w:gridSpan w:val="10"/>
          </w:tcPr>
          <w:p>
            <w:pPr>
              <w:jc w:val="center"/>
              <w:ind w:right="2380"/>
              <w:spacing w:after="0"/>
              <w:rPr>
                <w:sz w:val="20"/>
                <w:szCs w:val="20"/>
                <w:color w:val="auto"/>
              </w:rPr>
            </w:pPr>
            <w:r>
              <w:rPr>
                <w:rFonts w:ascii="Arial" w:cs="Arial" w:eastAsia="Arial" w:hAnsi="Arial"/>
                <w:sz w:val="18"/>
                <w:szCs w:val="18"/>
                <w:b w:val="1"/>
                <w:bCs w:val="1"/>
                <w:color w:val="auto"/>
                <w:w w:val="96"/>
              </w:rPr>
              <w:t>TABLE OF CONTENTS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20" w:type="dxa"/>
            <w:vAlign w:val="bottom"/>
            <w:gridSpan w:val="12"/>
            <w:vMerge w:val="restart"/>
          </w:tcPr>
          <w:p>
            <w:pPr>
              <w:jc w:val="center"/>
              <w:ind w:right="2120"/>
              <w:spacing w:after="0"/>
              <w:rPr>
                <w:rFonts w:ascii="Arial" w:cs="Arial" w:eastAsia="Arial" w:hAnsi="Arial"/>
                <w:sz w:val="18"/>
                <w:szCs w:val="18"/>
                <w:b w:val="1"/>
                <w:bCs w:val="1"/>
                <w:color w:val="0000FF"/>
                <w:w w:val="97"/>
              </w:rPr>
            </w:pPr>
            <w:hyperlink w:anchor="page2">
              <w:r>
                <w:rPr>
                  <w:rFonts w:ascii="Arial" w:cs="Arial" w:eastAsia="Arial" w:hAnsi="Arial"/>
                  <w:sz w:val="18"/>
                  <w:szCs w:val="18"/>
                  <w:b w:val="1"/>
                  <w:bCs w:val="1"/>
                  <w:color w:val="0000FF"/>
                  <w:w w:val="97"/>
                </w:rPr>
                <w:t>PART I – FINANCIAL INFORMATION</w:t>
              </w:r>
            </w:hyperlink>
          </w:p>
        </w:tc>
        <w:tc>
          <w:tcPr>
            <w:tcW w:w="1760" w:type="dxa"/>
            <w:vAlign w:val="bottom"/>
            <w:gridSpan w:val="4"/>
          </w:tcPr>
          <w:p>
            <w:pPr>
              <w:ind w:left="134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gridSpan w:val="12"/>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gridSpan w:val="3"/>
          </w:tcPr>
          <w:p>
            <w:pPr>
              <w:spacing w:after="0" w:line="205" w:lineRule="exact"/>
              <w:rPr>
                <w:rFonts w:ascii="Arial" w:cs="Arial" w:eastAsia="Arial" w:hAnsi="Arial"/>
                <w:sz w:val="18"/>
                <w:szCs w:val="18"/>
                <w:color w:val="0000FF"/>
              </w:rPr>
            </w:pPr>
            <w:hyperlink w:anchor="page2">
              <w:r>
                <w:rPr>
                  <w:rFonts w:ascii="Arial" w:cs="Arial" w:eastAsia="Arial" w:hAnsi="Arial"/>
                  <w:sz w:val="18"/>
                  <w:szCs w:val="18"/>
                  <w:color w:val="0000FF"/>
                </w:rPr>
                <w:t>Item 1.</w:t>
              </w:r>
            </w:hyperlink>
          </w:p>
        </w:tc>
        <w:tc>
          <w:tcPr>
            <w:tcW w:w="3180" w:type="dxa"/>
            <w:vAlign w:val="bottom"/>
            <w:gridSpan w:val="18"/>
          </w:tcPr>
          <w:p>
            <w:pPr>
              <w:spacing w:after="0" w:line="205" w:lineRule="exact"/>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3000" w:type="dxa"/>
            <w:vAlign w:val="bottom"/>
            <w:tcBorders>
              <w:top w:val="single" w:sz="8" w:color="0000FF"/>
            </w:tcBorders>
            <w:gridSpan w:val="10"/>
          </w:tcPr>
          <w:p>
            <w:pPr>
              <w:spacing w:after="0"/>
              <w:rPr>
                <w:sz w:val="17"/>
                <w:szCs w:val="17"/>
                <w:color w:val="auto"/>
              </w:rPr>
            </w:pPr>
          </w:p>
        </w:tc>
        <w:tc>
          <w:tcPr>
            <w:tcW w:w="212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12"/>
          </w:tcPr>
          <w:p>
            <w:pPr>
              <w:spacing w:after="0" w:line="205"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Consolidated Balance Sheets</w:t>
              </w:r>
            </w:hyperlink>
          </w:p>
        </w:tc>
        <w:tc>
          <w:tcPr>
            <w:tcW w:w="5980" w:type="dxa"/>
            <w:vAlign w:val="bottom"/>
            <w:gridSpan w:val="18"/>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gridSpan w:val="2"/>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00" w:type="dxa"/>
            <w:vAlign w:val="bottom"/>
            <w:gridSpan w:val="30"/>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w:t>
              </w:r>
            </w:hyperlink>
          </w:p>
        </w:tc>
        <w:tc>
          <w:tcPr>
            <w:tcW w:w="1540" w:type="dxa"/>
            <w:vAlign w:val="bottom"/>
            <w:gridSpan w:val="3"/>
          </w:tcPr>
          <w:p>
            <w:pPr>
              <w:ind w:left="1340"/>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20" w:type="dxa"/>
            <w:vAlign w:val="bottom"/>
            <w:gridSpan w:val="21"/>
          </w:tcPr>
          <w:p>
            <w:pPr>
              <w:spacing w:after="0" w:line="205" w:lineRule="exact"/>
              <w:rPr>
                <w:rFonts w:ascii="Arial" w:cs="Arial" w:eastAsia="Arial" w:hAnsi="Arial"/>
                <w:sz w:val="18"/>
                <w:szCs w:val="18"/>
                <w:color w:val="0000FF"/>
                <w:w w:val="95"/>
              </w:rPr>
            </w:pPr>
            <w:hyperlink w:anchor="page4">
              <w:r>
                <w:rPr>
                  <w:rFonts w:ascii="Arial" w:cs="Arial" w:eastAsia="Arial" w:hAnsi="Arial"/>
                  <w:sz w:val="18"/>
                  <w:szCs w:val="18"/>
                  <w:color w:val="0000FF"/>
                  <w:w w:val="95"/>
                </w:rPr>
                <w:t>Consolidated Statements of Comprehensive Loss</w:t>
              </w:r>
            </w:hyperlink>
          </w:p>
        </w:tc>
        <w:tc>
          <w:tcPr>
            <w:tcW w:w="4480" w:type="dxa"/>
            <w:vAlign w:val="bottom"/>
            <w:gridSpan w:val="9"/>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gridSpan w:val="2"/>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20" w:type="dxa"/>
            <w:vAlign w:val="bottom"/>
            <w:gridSpan w:val="21"/>
          </w:tcPr>
          <w:p>
            <w:pPr>
              <w:spacing w:after="0" w:line="205"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Consolidated Statements of Stockholders' Equity</w:t>
              </w:r>
            </w:hyperlink>
          </w:p>
        </w:tc>
        <w:tc>
          <w:tcPr>
            <w:tcW w:w="4480" w:type="dxa"/>
            <w:vAlign w:val="bottom"/>
            <w:gridSpan w:val="9"/>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gridSpan w:val="2"/>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7"/>
          </w:tcPr>
          <w:p>
            <w:pPr>
              <w:spacing w:after="0" w:line="205"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Consolidated Statements of Cash Flows</w:t>
              </w:r>
            </w:hyperlink>
          </w:p>
        </w:tc>
        <w:tc>
          <w:tcPr>
            <w:tcW w:w="680" w:type="dxa"/>
            <w:vAlign w:val="bottom"/>
            <w:gridSpan w:val="4"/>
          </w:tcPr>
          <w:p>
            <w:pPr>
              <w:spacing w:after="0"/>
              <w:rPr>
                <w:sz w:val="17"/>
                <w:szCs w:val="17"/>
                <w:color w:val="auto"/>
              </w:rPr>
            </w:pPr>
          </w:p>
        </w:tc>
        <w:tc>
          <w:tcPr>
            <w:tcW w:w="4480" w:type="dxa"/>
            <w:vAlign w:val="bottom"/>
            <w:gridSpan w:val="9"/>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gridSpan w:val="2"/>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20"/>
          </w:tcPr>
          <w:p>
            <w:pPr>
              <w:spacing w:after="0" w:line="205"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Notes to Consolidated Financial Statements</w:t>
              </w:r>
            </w:hyperlink>
          </w:p>
        </w:tc>
        <w:tc>
          <w:tcPr>
            <w:tcW w:w="4860" w:type="dxa"/>
            <w:vAlign w:val="bottom"/>
            <w:gridSpan w:val="10"/>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gridSpan w:val="2"/>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8">
              <w:r>
                <w:rPr>
                  <w:rFonts w:ascii="Arial" w:cs="Arial" w:eastAsia="Arial" w:hAnsi="Arial"/>
                  <w:sz w:val="18"/>
                  <w:szCs w:val="18"/>
                  <w:color w:val="0000FF"/>
                  <w:w w:val="92"/>
                </w:rPr>
                <w:t>1.</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Business and Summary of Significant Accounting Policies</w:t>
              </w:r>
            </w:hyperlink>
          </w:p>
        </w:tc>
        <w:tc>
          <w:tcPr>
            <w:tcW w:w="1540" w:type="dxa"/>
            <w:vAlign w:val="bottom"/>
            <w:gridSpan w:val="3"/>
          </w:tcPr>
          <w:p>
            <w:pPr>
              <w:ind w:left="134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9">
              <w:r>
                <w:rPr>
                  <w:rFonts w:ascii="Arial" w:cs="Arial" w:eastAsia="Arial" w:hAnsi="Arial"/>
                  <w:sz w:val="18"/>
                  <w:szCs w:val="18"/>
                  <w:color w:val="0000FF"/>
                  <w:w w:val="92"/>
                </w:rPr>
                <w:t>2.</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Revenue</w:t>
              </w:r>
            </w:hyperlink>
          </w:p>
        </w:tc>
        <w:tc>
          <w:tcPr>
            <w:tcW w:w="1540" w:type="dxa"/>
            <w:vAlign w:val="bottom"/>
            <w:gridSpan w:val="3"/>
          </w:tcPr>
          <w:p>
            <w:pPr>
              <w:ind w:left="1340"/>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10">
              <w:r>
                <w:rPr>
                  <w:rFonts w:ascii="Arial" w:cs="Arial" w:eastAsia="Arial" w:hAnsi="Arial"/>
                  <w:sz w:val="18"/>
                  <w:szCs w:val="18"/>
                  <w:color w:val="0000FF"/>
                  <w:w w:val="92"/>
                </w:rPr>
                <w:t>3.</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Cash Equivalents and Short-Term Investments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11">
              <w:r>
                <w:rPr>
                  <w:rFonts w:ascii="Arial" w:cs="Arial" w:eastAsia="Arial" w:hAnsi="Arial"/>
                  <w:sz w:val="18"/>
                  <w:szCs w:val="18"/>
                  <w:color w:val="0000FF"/>
                  <w:w w:val="92"/>
                </w:rPr>
                <w:t>4.</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11">
              <w:r>
                <w:rPr>
                  <w:rFonts w:ascii="Arial" w:cs="Arial" w:eastAsia="Arial" w:hAnsi="Arial"/>
                  <w:sz w:val="18"/>
                  <w:szCs w:val="18"/>
                  <w:color w:val="0000FF"/>
                </w:rPr>
                <w:t>Fair Value Measurements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12">
              <w:r>
                <w:rPr>
                  <w:rFonts w:ascii="Arial" w:cs="Arial" w:eastAsia="Arial" w:hAnsi="Arial"/>
                  <w:sz w:val="18"/>
                  <w:szCs w:val="18"/>
                  <w:color w:val="0000FF"/>
                  <w:w w:val="92"/>
                </w:rPr>
                <w:t>5.</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12">
              <w:r>
                <w:rPr>
                  <w:rFonts w:ascii="Arial" w:cs="Arial" w:eastAsia="Arial" w:hAnsi="Arial"/>
                  <w:sz w:val="18"/>
                  <w:szCs w:val="18"/>
                  <w:color w:val="0000FF"/>
                </w:rPr>
                <w:t>Property and Equipment, Net</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12">
              <w:r>
                <w:rPr>
                  <w:rFonts w:ascii="Arial" w:cs="Arial" w:eastAsia="Arial" w:hAnsi="Arial"/>
                  <w:sz w:val="18"/>
                  <w:szCs w:val="18"/>
                  <w:color w:val="0000FF"/>
                  <w:w w:val="92"/>
                </w:rPr>
                <w:t>6.</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12">
              <w:r>
                <w:rPr>
                  <w:rFonts w:ascii="Arial" w:cs="Arial" w:eastAsia="Arial" w:hAnsi="Arial"/>
                  <w:sz w:val="18"/>
                  <w:szCs w:val="18"/>
                  <w:color w:val="0000FF"/>
                </w:rPr>
                <w:t>Acquisition, Goodwill and Acquired Intangible Assets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14">
              <w:r>
                <w:rPr>
                  <w:rFonts w:ascii="Arial" w:cs="Arial" w:eastAsia="Arial" w:hAnsi="Arial"/>
                  <w:sz w:val="18"/>
                  <w:szCs w:val="18"/>
                  <w:color w:val="0000FF"/>
                  <w:w w:val="92"/>
                </w:rPr>
                <w:t>7.</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14">
              <w:r>
                <w:rPr>
                  <w:rFonts w:ascii="Arial" w:cs="Arial" w:eastAsia="Arial" w:hAnsi="Arial"/>
                  <w:sz w:val="18"/>
                  <w:szCs w:val="18"/>
                  <w:color w:val="0000FF"/>
                </w:rPr>
                <w:t>Leases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15">
              <w:r>
                <w:rPr>
                  <w:rFonts w:ascii="Arial" w:cs="Arial" w:eastAsia="Arial" w:hAnsi="Arial"/>
                  <w:sz w:val="18"/>
                  <w:szCs w:val="18"/>
                  <w:color w:val="0000FF"/>
                  <w:w w:val="92"/>
                </w:rPr>
                <w:t>8.</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15">
              <w:r>
                <w:rPr>
                  <w:rFonts w:ascii="Arial" w:cs="Arial" w:eastAsia="Arial" w:hAnsi="Arial"/>
                  <w:sz w:val="18"/>
                  <w:szCs w:val="18"/>
                  <w:color w:val="0000FF"/>
                </w:rPr>
                <w:t>Debt</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ind w:left="200"/>
              <w:spacing w:after="0" w:line="205" w:lineRule="exact"/>
              <w:rPr>
                <w:rFonts w:ascii="Arial" w:cs="Arial" w:eastAsia="Arial" w:hAnsi="Arial"/>
                <w:sz w:val="18"/>
                <w:szCs w:val="18"/>
                <w:color w:val="0000FF"/>
                <w:w w:val="92"/>
              </w:rPr>
            </w:pPr>
            <w:hyperlink w:anchor="page15">
              <w:r>
                <w:rPr>
                  <w:rFonts w:ascii="Arial" w:cs="Arial" w:eastAsia="Arial" w:hAnsi="Arial"/>
                  <w:sz w:val="18"/>
                  <w:szCs w:val="18"/>
                  <w:color w:val="0000FF"/>
                  <w:w w:val="92"/>
                </w:rPr>
                <w:t>9.</w:t>
              </w:r>
            </w:hyperlink>
          </w:p>
        </w:tc>
        <w:tc>
          <w:tcPr>
            <w:tcW w:w="7940" w:type="dxa"/>
            <w:vAlign w:val="bottom"/>
            <w:gridSpan w:val="28"/>
          </w:tcPr>
          <w:p>
            <w:pPr>
              <w:ind w:left="40"/>
              <w:spacing w:after="0" w:line="205" w:lineRule="exact"/>
              <w:rPr>
                <w:rFonts w:ascii="Arial" w:cs="Arial" w:eastAsia="Arial" w:hAnsi="Arial"/>
                <w:sz w:val="18"/>
                <w:szCs w:val="18"/>
                <w:color w:val="0000FF"/>
              </w:rPr>
            </w:pPr>
            <w:hyperlink w:anchor="page15">
              <w:r>
                <w:rPr>
                  <w:rFonts w:ascii="Arial" w:cs="Arial" w:eastAsia="Arial" w:hAnsi="Arial"/>
                  <w:sz w:val="18"/>
                  <w:szCs w:val="18"/>
                  <w:color w:val="0000FF"/>
                </w:rPr>
                <w:t>Stock-Based Compensation</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10"/>
          </w:tcPr>
          <w:p>
            <w:pPr>
              <w:spacing w:after="0" w:line="205" w:lineRule="exact"/>
              <w:rPr>
                <w:rFonts w:ascii="Arial" w:cs="Arial" w:eastAsia="Arial" w:hAnsi="Arial"/>
                <w:sz w:val="18"/>
                <w:szCs w:val="18"/>
                <w:color w:val="0000FF"/>
                <w:w w:val="95"/>
              </w:rPr>
            </w:pPr>
            <w:hyperlink w:anchor="page17">
              <w:r>
                <w:rPr>
                  <w:rFonts w:ascii="Arial" w:cs="Arial" w:eastAsia="Arial" w:hAnsi="Arial"/>
                  <w:sz w:val="18"/>
                  <w:szCs w:val="18"/>
                  <w:color w:val="0000FF"/>
                  <w:w w:val="95"/>
                </w:rPr>
                <w:t>10. Net Loss Per Share</w:t>
              </w:r>
            </w:hyperlink>
          </w:p>
        </w:tc>
        <w:tc>
          <w:tcPr>
            <w:tcW w:w="560" w:type="dxa"/>
            <w:vAlign w:val="bottom"/>
            <w:gridSpan w:val="3"/>
          </w:tcPr>
          <w:p>
            <w:pPr>
              <w:spacing w:after="0"/>
              <w:rPr>
                <w:sz w:val="17"/>
                <w:szCs w:val="17"/>
                <w:color w:val="auto"/>
              </w:rPr>
            </w:pPr>
          </w:p>
        </w:tc>
        <w:tc>
          <w:tcPr>
            <w:tcW w:w="5720" w:type="dxa"/>
            <w:vAlign w:val="bottom"/>
            <w:gridSpan w:val="16"/>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gridSpan w:val="3"/>
          </w:tcPr>
          <w:p>
            <w:pPr>
              <w:spacing w:after="0" w:line="205"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10"/>
          </w:tcPr>
          <w:p>
            <w:pPr>
              <w:spacing w:after="0" w:line="205" w:lineRule="exact"/>
              <w:rPr>
                <w:rFonts w:ascii="Arial" w:cs="Arial" w:eastAsia="Arial" w:hAnsi="Arial"/>
                <w:sz w:val="18"/>
                <w:szCs w:val="18"/>
                <w:color w:val="0000FF"/>
              </w:rPr>
            </w:pPr>
            <w:hyperlink w:anchor="page17">
              <w:r>
                <w:rPr>
                  <w:rFonts w:ascii="Arial" w:cs="Arial" w:eastAsia="Arial" w:hAnsi="Arial"/>
                  <w:sz w:val="18"/>
                  <w:szCs w:val="18"/>
                  <w:color w:val="0000FF"/>
                </w:rPr>
                <w:t>11. Income Taxes</w:t>
              </w:r>
            </w:hyperlink>
          </w:p>
        </w:tc>
        <w:tc>
          <w:tcPr>
            <w:tcW w:w="6280" w:type="dxa"/>
            <w:vAlign w:val="bottom"/>
            <w:gridSpan w:val="19"/>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gridSpan w:val="3"/>
          </w:tcPr>
          <w:p>
            <w:pPr>
              <w:spacing w:after="0" w:line="205"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12"/>
          </w:tcPr>
          <w:p>
            <w:pPr>
              <w:spacing w:after="0" w:line="205" w:lineRule="exact"/>
              <w:rPr>
                <w:rFonts w:ascii="Arial" w:cs="Arial" w:eastAsia="Arial" w:hAnsi="Arial"/>
                <w:sz w:val="18"/>
                <w:szCs w:val="18"/>
                <w:color w:val="0000FF"/>
                <w:w w:val="96"/>
              </w:rPr>
            </w:pPr>
            <w:hyperlink w:anchor="page17">
              <w:r>
                <w:rPr>
                  <w:rFonts w:ascii="Arial" w:cs="Arial" w:eastAsia="Arial" w:hAnsi="Arial"/>
                  <w:sz w:val="18"/>
                  <w:szCs w:val="18"/>
                  <w:color w:val="0000FF"/>
                  <w:w w:val="96"/>
                </w:rPr>
                <w:t>12. Geographic Information</w:t>
              </w:r>
            </w:hyperlink>
          </w:p>
        </w:tc>
        <w:tc>
          <w:tcPr>
            <w:tcW w:w="5960" w:type="dxa"/>
            <w:vAlign w:val="bottom"/>
            <w:gridSpan w:val="17"/>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gridSpan w:val="3"/>
          </w:tcPr>
          <w:p>
            <w:pPr>
              <w:spacing w:after="0" w:line="205"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12"/>
          </w:tcPr>
          <w:p>
            <w:pPr>
              <w:spacing w:after="0" w:line="205" w:lineRule="exact"/>
              <w:rPr>
                <w:rFonts w:ascii="Arial" w:cs="Arial" w:eastAsia="Arial" w:hAnsi="Arial"/>
                <w:sz w:val="18"/>
                <w:szCs w:val="18"/>
                <w:color w:val="0000FF"/>
              </w:rPr>
            </w:pPr>
            <w:hyperlink w:anchor="page18">
              <w:r>
                <w:rPr>
                  <w:rFonts w:ascii="Arial" w:cs="Arial" w:eastAsia="Arial" w:hAnsi="Arial"/>
                  <w:sz w:val="18"/>
                  <w:szCs w:val="18"/>
                  <w:color w:val="0000FF"/>
                </w:rPr>
                <w:t>13. Subsequent Events</w:t>
              </w:r>
            </w:hyperlink>
          </w:p>
        </w:tc>
        <w:tc>
          <w:tcPr>
            <w:tcW w:w="5960" w:type="dxa"/>
            <w:vAlign w:val="bottom"/>
            <w:gridSpan w:val="17"/>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gridSpan w:val="3"/>
          </w:tcPr>
          <w:p>
            <w:pPr>
              <w:spacing w:after="0" w:line="205" w:lineRule="exact"/>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gridSpan w:val="3"/>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Item 2.</w:t>
              </w:r>
            </w:hyperlink>
          </w:p>
        </w:tc>
        <w:tc>
          <w:tcPr>
            <w:tcW w:w="8300" w:type="dxa"/>
            <w:vAlign w:val="bottom"/>
            <w:gridSpan w:val="3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760" w:type="dxa"/>
            <w:vAlign w:val="bottom"/>
            <w:gridSpan w:val="4"/>
          </w:tcPr>
          <w:p>
            <w:pPr>
              <w:ind w:left="1340"/>
              <w:spacing w:after="0"/>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gridSpan w:val="3"/>
          </w:tcPr>
          <w:p>
            <w:pPr>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8300" w:type="dxa"/>
            <w:vAlign w:val="bottom"/>
            <w:gridSpan w:val="30"/>
          </w:tcPr>
          <w:p>
            <w:pPr>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gridSpan w:val="3"/>
          </w:tcPr>
          <w:p>
            <w:pPr>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8300" w:type="dxa"/>
            <w:vAlign w:val="bottom"/>
            <w:gridSpan w:val="30"/>
          </w:tcPr>
          <w:p>
            <w:pPr>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5"/>
        </w:trPr>
        <w:tc>
          <w:tcPr>
            <w:tcW w:w="5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FF"/>
            </w:tcBorders>
            <w:gridSpan w:val="8"/>
          </w:tcPr>
          <w:p>
            <w:pPr>
              <w:jc w:val="center"/>
              <w:spacing w:after="0" w:line="205" w:lineRule="exact"/>
              <w:rPr>
                <w:rFonts w:ascii="Arial" w:cs="Arial" w:eastAsia="Arial" w:hAnsi="Arial"/>
                <w:sz w:val="18"/>
                <w:szCs w:val="18"/>
                <w:b w:val="1"/>
                <w:bCs w:val="1"/>
                <w:color w:val="0000FF"/>
                <w:w w:val="97"/>
              </w:rPr>
            </w:pPr>
            <w:hyperlink w:anchor="page36">
              <w:r>
                <w:rPr>
                  <w:rFonts w:ascii="Arial" w:cs="Arial" w:eastAsia="Arial" w:hAnsi="Arial"/>
                  <w:sz w:val="18"/>
                  <w:szCs w:val="18"/>
                  <w:b w:val="1"/>
                  <w:bCs w:val="1"/>
                  <w:color w:val="0000FF"/>
                  <w:w w:val="97"/>
                </w:rPr>
                <w:t>PART II – OTHER INFORMATION</w:t>
              </w:r>
            </w:hyperlink>
          </w:p>
        </w:tc>
        <w:tc>
          <w:tcPr>
            <w:tcW w:w="226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gridSpan w:val="3"/>
          </w:tcPr>
          <w:p>
            <w:pPr>
              <w:spacing w:after="0" w:line="205" w:lineRule="exact"/>
              <w:rPr>
                <w:rFonts w:ascii="Arial" w:cs="Arial" w:eastAsia="Arial" w:hAnsi="Arial"/>
                <w:sz w:val="18"/>
                <w:szCs w:val="18"/>
                <w:color w:val="0000FF"/>
              </w:rPr>
            </w:pPr>
            <w:hyperlink w:anchor="page37">
              <w:r>
                <w:rPr>
                  <w:rFonts w:ascii="Arial" w:cs="Arial" w:eastAsia="Arial" w:hAnsi="Arial"/>
                  <w:sz w:val="18"/>
                  <w:szCs w:val="18"/>
                  <w:color w:val="0000FF"/>
                </w:rPr>
                <w:t>Item 1.</w:t>
              </w:r>
            </w:hyperlink>
          </w:p>
        </w:tc>
        <w:tc>
          <w:tcPr>
            <w:tcW w:w="8300" w:type="dxa"/>
            <w:vAlign w:val="bottom"/>
            <w:gridSpan w:val="30"/>
          </w:tcPr>
          <w:p>
            <w:pPr>
              <w:spacing w:after="0" w:line="205" w:lineRule="exact"/>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gridSpan w:val="3"/>
          </w:tcPr>
          <w:p>
            <w:pPr>
              <w:spacing w:after="0" w:line="205" w:lineRule="exact"/>
              <w:rPr>
                <w:rFonts w:ascii="Arial" w:cs="Arial" w:eastAsia="Arial" w:hAnsi="Arial"/>
                <w:sz w:val="18"/>
                <w:szCs w:val="18"/>
                <w:color w:val="0000FF"/>
              </w:rPr>
            </w:pPr>
            <w:hyperlink w:anchor="page37">
              <w:r>
                <w:rPr>
                  <w:rFonts w:ascii="Arial" w:cs="Arial" w:eastAsia="Arial" w:hAnsi="Arial"/>
                  <w:sz w:val="18"/>
                  <w:szCs w:val="18"/>
                  <w:color w:val="0000FF"/>
                </w:rPr>
                <w:t>Item 1A.</w:t>
              </w:r>
            </w:hyperlink>
          </w:p>
        </w:tc>
        <w:tc>
          <w:tcPr>
            <w:tcW w:w="8300" w:type="dxa"/>
            <w:vAlign w:val="bottom"/>
            <w:gridSpan w:val="30"/>
          </w:tcPr>
          <w:p>
            <w:pPr>
              <w:spacing w:after="0" w:line="205" w:lineRule="exact"/>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780" w:type="dxa"/>
            <w:vAlign w:val="bottom"/>
            <w:gridSpan w:val="18"/>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gridSpan w:val="2"/>
          </w:tcPr>
          <w:p>
            <w:pPr>
              <w:spacing w:after="0" w:line="205" w:lineRule="exact"/>
              <w:rPr>
                <w:rFonts w:ascii="Arial" w:cs="Arial" w:eastAsia="Arial" w:hAnsi="Arial"/>
                <w:sz w:val="18"/>
                <w:szCs w:val="18"/>
                <w:color w:val="0000FF"/>
              </w:rPr>
            </w:pPr>
            <w:hyperlink w:anchor="page63">
              <w:r>
                <w:rPr>
                  <w:rFonts w:ascii="Arial" w:cs="Arial" w:eastAsia="Arial" w:hAnsi="Arial"/>
                  <w:sz w:val="18"/>
                  <w:szCs w:val="18"/>
                  <w:color w:val="0000FF"/>
                </w:rPr>
                <w:t>Item 2.</w:t>
              </w:r>
            </w:hyperlink>
          </w:p>
        </w:tc>
        <w:tc>
          <w:tcPr>
            <w:tcW w:w="260" w:type="dxa"/>
            <w:vAlign w:val="bottom"/>
          </w:tcPr>
          <w:p>
            <w:pPr>
              <w:spacing w:after="0"/>
              <w:rPr>
                <w:sz w:val="17"/>
                <w:szCs w:val="17"/>
                <w:color w:val="auto"/>
              </w:rPr>
            </w:pPr>
          </w:p>
        </w:tc>
        <w:tc>
          <w:tcPr>
            <w:tcW w:w="8300" w:type="dxa"/>
            <w:vAlign w:val="bottom"/>
            <w:gridSpan w:val="30"/>
          </w:tcPr>
          <w:p>
            <w:pPr>
              <w:spacing w:after="0" w:line="205" w:lineRule="exact"/>
              <w:rPr>
                <w:rFonts w:ascii="Arial" w:cs="Arial" w:eastAsia="Arial" w:hAnsi="Arial"/>
                <w:sz w:val="18"/>
                <w:szCs w:val="18"/>
                <w:color w:val="0000FF"/>
              </w:rPr>
            </w:pPr>
            <w:hyperlink w:anchor="page63">
              <w:r>
                <w:rPr>
                  <w:rFonts w:ascii="Arial" w:cs="Arial" w:eastAsia="Arial" w:hAnsi="Arial"/>
                  <w:sz w:val="18"/>
                  <w:szCs w:val="18"/>
                  <w:color w:val="0000FF"/>
                </w:rPr>
                <w:t>Unregistered Sales of Equity Securities and Use of Proceeds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gridSpan w:val="3"/>
          </w:tcPr>
          <w:p>
            <w:pPr>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Item 6.</w:t>
              </w:r>
            </w:hyperlink>
          </w:p>
        </w:tc>
        <w:tc>
          <w:tcPr>
            <w:tcW w:w="8300" w:type="dxa"/>
            <w:vAlign w:val="bottom"/>
            <w:gridSpan w:val="30"/>
          </w:tcPr>
          <w:p>
            <w:pPr>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Exhibits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60" w:type="dxa"/>
            <w:vAlign w:val="bottom"/>
            <w:gridSpan w:val="2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00" w:type="dxa"/>
            <w:vAlign w:val="bottom"/>
            <w:gridSpan w:val="30"/>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Signatures</w:t>
              </w:r>
            </w:hyperlink>
          </w:p>
        </w:tc>
        <w:tc>
          <w:tcPr>
            <w:tcW w:w="1760" w:type="dxa"/>
            <w:vAlign w:val="bottom"/>
            <w:gridSpan w:val="4"/>
          </w:tcPr>
          <w:p>
            <w:pPr>
              <w:ind w:left="1340"/>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340" w:top="1071"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8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3"/>
        </w:trPr>
        <w:tc>
          <w:tcPr>
            <w:tcW w:w="9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000" w:type="dxa"/>
            <w:vAlign w:val="bottom"/>
          </w:tcPr>
          <w:p>
            <w:pPr>
              <w:jc w:val="center"/>
              <w:ind w:left="1412"/>
              <w:spacing w:after="0"/>
              <w:rPr>
                <w:sz w:val="20"/>
                <w:szCs w:val="20"/>
                <w:color w:val="auto"/>
              </w:rPr>
            </w:pPr>
            <w:r>
              <w:rPr>
                <w:rFonts w:ascii="Arial" w:cs="Arial" w:eastAsia="Arial" w:hAnsi="Arial"/>
                <w:sz w:val="18"/>
                <w:szCs w:val="18"/>
                <w:b w:val="1"/>
                <w:bCs w:val="1"/>
                <w:color w:val="auto"/>
                <w:w w:val="97"/>
              </w:rPr>
              <w:t>PART I. FINANCIAL INFORMATION</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0" w:type="dxa"/>
            <w:vAlign w:val="bottom"/>
          </w:tcPr>
          <w:p>
            <w:pPr>
              <w:jc w:val="center"/>
              <w:ind w:left="1412"/>
              <w:spacing w:after="0"/>
              <w:rPr>
                <w:sz w:val="20"/>
                <w:szCs w:val="20"/>
                <w:color w:val="auto"/>
              </w:rPr>
            </w:pPr>
            <w:r>
              <w:rPr>
                <w:rFonts w:ascii="Arial" w:cs="Arial" w:eastAsia="Arial" w:hAnsi="Arial"/>
                <w:sz w:val="18"/>
                <w:szCs w:val="18"/>
                <w:b w:val="1"/>
                <w:bCs w:val="1"/>
                <w:color w:val="auto"/>
                <w:w w:val="97"/>
              </w:rPr>
              <w:t>TENABLE HOLDINGS, INC.</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0" w:type="dxa"/>
            <w:vAlign w:val="bottom"/>
          </w:tcPr>
          <w:p>
            <w:pPr>
              <w:jc w:val="center"/>
              <w:ind w:left="1412"/>
              <w:spacing w:after="0"/>
              <w:rPr>
                <w:sz w:val="20"/>
                <w:szCs w:val="20"/>
                <w:color w:val="auto"/>
              </w:rPr>
            </w:pPr>
            <w:r>
              <w:rPr>
                <w:rFonts w:ascii="Arial" w:cs="Arial" w:eastAsia="Arial" w:hAnsi="Arial"/>
                <w:sz w:val="18"/>
                <w:szCs w:val="18"/>
                <w:b w:val="1"/>
                <w:bCs w:val="1"/>
                <w:color w:val="auto"/>
                <w:w w:val="97"/>
              </w:rPr>
              <w:t>CONSOLIDATED BALANCE SHEETS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24"/>
                <w:szCs w:val="24"/>
                <w:color w:val="auto"/>
              </w:rPr>
            </w:pPr>
          </w:p>
        </w:tc>
        <w:tc>
          <w:tcPr>
            <w:tcW w:w="1280" w:type="dxa"/>
            <w:vAlign w:val="bottom"/>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83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178,223</w:t>
            </w:r>
          </w:p>
        </w:tc>
        <w:tc>
          <w:tcPr>
            <w:tcW w:w="0" w:type="dxa"/>
            <w:vAlign w:val="bottom"/>
          </w:tcPr>
          <w:p>
            <w:pPr>
              <w:spacing w:after="0"/>
              <w:rPr>
                <w:sz w:val="1"/>
                <w:szCs w:val="1"/>
                <w:color w:val="auto"/>
              </w:rPr>
            </w:pPr>
          </w:p>
        </w:tc>
      </w:tr>
      <w:tr>
        <w:trPr>
          <w:trHeight w:val="225"/>
        </w:trPr>
        <w:tc>
          <w:tcPr>
            <w:tcW w:w="8380" w:type="dxa"/>
            <w:vAlign w:val="bottom"/>
            <w:gridSpan w:val="3"/>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113,623</w:t>
            </w:r>
          </w:p>
        </w:tc>
        <w:tc>
          <w:tcPr>
            <w:tcW w:w="0" w:type="dxa"/>
            <w:vAlign w:val="bottom"/>
          </w:tcPr>
          <w:p>
            <w:pPr>
              <w:spacing w:after="0"/>
              <w:rPr>
                <w:sz w:val="1"/>
                <w:szCs w:val="1"/>
                <w:color w:val="auto"/>
              </w:rPr>
            </w:pPr>
          </w:p>
        </w:tc>
      </w:tr>
      <w:tr>
        <w:trPr>
          <w:trHeight w:val="185"/>
        </w:trPr>
        <w:tc>
          <w:tcPr>
            <w:tcW w:w="8380" w:type="dxa"/>
            <w:vAlign w:val="bottom"/>
            <w:gridSpan w:val="3"/>
            <w:shd w:val="clear" w:color="auto" w:fill="CCEEFF"/>
          </w:tcPr>
          <w:p>
            <w:pPr>
              <w:ind w:left="140"/>
              <w:spacing w:after="0" w:line="185" w:lineRule="exact"/>
              <w:rPr>
                <w:sz w:val="20"/>
                <w:szCs w:val="20"/>
                <w:color w:val="auto"/>
              </w:rPr>
            </w:pPr>
            <w:r>
              <w:rPr>
                <w:rFonts w:ascii="Arial" w:cs="Arial" w:eastAsia="Arial" w:hAnsi="Arial"/>
                <w:sz w:val="18"/>
                <w:szCs w:val="18"/>
                <w:color w:val="auto"/>
              </w:rPr>
              <w:t>Accounts receivable (net of allowance for doubtful accounts of $240 and $261 at June 30, 2021 and</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December 31, 2020, respectively)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115,342</w:t>
            </w:r>
          </w:p>
        </w:tc>
        <w:tc>
          <w:tcPr>
            <w:tcW w:w="0" w:type="dxa"/>
            <w:vAlign w:val="bottom"/>
          </w:tcPr>
          <w:p>
            <w:pPr>
              <w:spacing w:after="0"/>
              <w:rPr>
                <w:sz w:val="1"/>
                <w:szCs w:val="1"/>
                <w:color w:val="auto"/>
              </w:rPr>
            </w:pPr>
          </w:p>
        </w:tc>
      </w:tr>
      <w:tr>
        <w:trPr>
          <w:trHeight w:val="225"/>
        </w:trPr>
        <w:tc>
          <w:tcPr>
            <w:tcW w:w="8380" w:type="dxa"/>
            <w:vAlign w:val="bottom"/>
            <w:gridSpan w:val="3"/>
          </w:tcPr>
          <w:p>
            <w:pPr>
              <w:ind w:left="14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32,143</w:t>
            </w:r>
          </w:p>
        </w:tc>
        <w:tc>
          <w:tcPr>
            <w:tcW w:w="0" w:type="dxa"/>
            <w:vAlign w:val="bottom"/>
          </w:tcPr>
          <w:p>
            <w:pPr>
              <w:spacing w:after="0"/>
              <w:rPr>
                <w:sz w:val="1"/>
                <w:szCs w:val="1"/>
                <w:color w:val="auto"/>
              </w:rPr>
            </w:pPr>
          </w:p>
        </w:tc>
      </w:tr>
      <w:tr>
        <w:trPr>
          <w:trHeight w:val="225"/>
        </w:trPr>
        <w:tc>
          <w:tcPr>
            <w:tcW w:w="8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44,462</w:t>
            </w:r>
          </w:p>
        </w:tc>
        <w:tc>
          <w:tcPr>
            <w:tcW w:w="0" w:type="dxa"/>
            <w:vAlign w:val="bottom"/>
          </w:tcPr>
          <w:p>
            <w:pPr>
              <w:spacing w:after="0"/>
              <w:rPr>
                <w:sz w:val="1"/>
                <w:szCs w:val="1"/>
                <w:color w:val="auto"/>
              </w:rPr>
            </w:pPr>
          </w:p>
        </w:tc>
      </w:tr>
      <w:tr>
        <w:trPr>
          <w:trHeight w:val="21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436,462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483,793</w:t>
            </w:r>
          </w:p>
        </w:tc>
        <w:tc>
          <w:tcPr>
            <w:tcW w:w="0" w:type="dxa"/>
            <w:vAlign w:val="bottom"/>
          </w:tcPr>
          <w:p>
            <w:pPr>
              <w:spacing w:after="0"/>
              <w:rPr>
                <w:sz w:val="1"/>
                <w:szCs w:val="1"/>
                <w:color w:val="auto"/>
              </w:rPr>
            </w:pPr>
          </w:p>
        </w:tc>
      </w:tr>
      <w:tr>
        <w:trPr>
          <w:trHeight w:val="226"/>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25"/>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46,733</w:t>
            </w:r>
          </w:p>
        </w:tc>
        <w:tc>
          <w:tcPr>
            <w:tcW w:w="0" w:type="dxa"/>
            <w:vAlign w:val="bottom"/>
          </w:tcPr>
          <w:p>
            <w:pPr>
              <w:spacing w:after="0"/>
              <w:rPr>
                <w:sz w:val="1"/>
                <w:szCs w:val="1"/>
                <w:color w:val="auto"/>
              </w:rPr>
            </w:pPr>
          </w:p>
        </w:tc>
      </w:tr>
      <w:tr>
        <w:trPr>
          <w:trHeight w:val="226"/>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39,426</w:t>
            </w:r>
          </w:p>
        </w:tc>
        <w:tc>
          <w:tcPr>
            <w:tcW w:w="0" w:type="dxa"/>
            <w:vAlign w:val="bottom"/>
          </w:tcPr>
          <w:p>
            <w:pPr>
              <w:spacing w:after="0"/>
              <w:rPr>
                <w:sz w:val="1"/>
                <w:szCs w:val="1"/>
                <w:color w:val="auto"/>
              </w:rPr>
            </w:pPr>
          </w:p>
        </w:tc>
      </w:tr>
      <w:tr>
        <w:trPr>
          <w:trHeight w:val="225"/>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26"/>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54,414</w:t>
            </w:r>
          </w:p>
        </w:tc>
        <w:tc>
          <w:tcPr>
            <w:tcW w:w="0" w:type="dxa"/>
            <w:vAlign w:val="bottom"/>
          </w:tcPr>
          <w:p>
            <w:pPr>
              <w:spacing w:after="0"/>
              <w:rPr>
                <w:sz w:val="1"/>
                <w:szCs w:val="1"/>
                <w:color w:val="auto"/>
              </w:rPr>
            </w:pPr>
          </w:p>
        </w:tc>
      </w:tr>
      <w:tr>
        <w:trPr>
          <w:trHeight w:val="225"/>
        </w:trPr>
        <w:tc>
          <w:tcPr>
            <w:tcW w:w="83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44"/>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 assets</w:t>
            </w:r>
          </w:p>
        </w:tc>
        <w:tc>
          <w:tcPr>
            <w:tcW w:w="4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690,589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25"/>
        </w:trPr>
        <w:tc>
          <w:tcPr>
            <w:tcW w:w="8380" w:type="dxa"/>
            <w:vAlign w:val="bottom"/>
            <w:gridSpan w:val="3"/>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26"/>
        </w:trPr>
        <w:tc>
          <w:tcPr>
            <w:tcW w:w="8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328,819</w:t>
            </w:r>
          </w:p>
        </w:tc>
        <w:tc>
          <w:tcPr>
            <w:tcW w:w="0" w:type="dxa"/>
            <w:vAlign w:val="bottom"/>
          </w:tcPr>
          <w:p>
            <w:pPr>
              <w:spacing w:after="0"/>
              <w:rPr>
                <w:sz w:val="1"/>
                <w:szCs w:val="1"/>
                <w:color w:val="auto"/>
              </w:rPr>
            </w:pPr>
          </w:p>
        </w:tc>
      </w:tr>
      <w:tr>
        <w:trPr>
          <w:trHeight w:val="225"/>
        </w:trPr>
        <w:tc>
          <w:tcPr>
            <w:tcW w:w="8380" w:type="dxa"/>
            <w:vAlign w:val="bottom"/>
            <w:gridSpan w:val="3"/>
          </w:tcPr>
          <w:p>
            <w:pPr>
              <w:ind w:left="1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5"/>
        </w:trPr>
        <w:tc>
          <w:tcPr>
            <w:tcW w:w="8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387,628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374,902</w:t>
            </w:r>
          </w:p>
        </w:tc>
        <w:tc>
          <w:tcPr>
            <w:tcW w:w="0" w:type="dxa"/>
            <w:vAlign w:val="bottom"/>
          </w:tcPr>
          <w:p>
            <w:pPr>
              <w:spacing w:after="0"/>
              <w:rPr>
                <w:sz w:val="1"/>
                <w:szCs w:val="1"/>
                <w:color w:val="auto"/>
              </w:rPr>
            </w:pPr>
          </w:p>
        </w:tc>
      </w:tr>
      <w:tr>
        <w:trPr>
          <w:trHeight w:val="226"/>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105,691</w:t>
            </w:r>
          </w:p>
        </w:tc>
        <w:tc>
          <w:tcPr>
            <w:tcW w:w="0" w:type="dxa"/>
            <w:vAlign w:val="bottom"/>
          </w:tcPr>
          <w:p>
            <w:pPr>
              <w:spacing w:after="0"/>
              <w:rPr>
                <w:sz w:val="1"/>
                <w:szCs w:val="1"/>
                <w:color w:val="auto"/>
              </w:rPr>
            </w:pPr>
          </w:p>
        </w:tc>
      </w:tr>
      <w:tr>
        <w:trPr>
          <w:trHeight w:val="225"/>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54,529</w:t>
            </w:r>
          </w:p>
        </w:tc>
        <w:tc>
          <w:tcPr>
            <w:tcW w:w="0" w:type="dxa"/>
            <w:vAlign w:val="bottom"/>
          </w:tcPr>
          <w:p>
            <w:pPr>
              <w:spacing w:after="0"/>
              <w:rPr>
                <w:sz w:val="1"/>
                <w:szCs w:val="1"/>
                <w:color w:val="auto"/>
              </w:rPr>
            </w:pPr>
          </w:p>
        </w:tc>
      </w:tr>
      <w:tr>
        <w:trPr>
          <w:trHeight w:val="225"/>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539,924</w:t>
            </w:r>
          </w:p>
        </w:tc>
        <w:tc>
          <w:tcPr>
            <w:tcW w:w="0" w:type="dxa"/>
            <w:vAlign w:val="bottom"/>
          </w:tcPr>
          <w:p>
            <w:pPr>
              <w:spacing w:after="0"/>
              <w:rPr>
                <w:sz w:val="1"/>
                <w:szCs w:val="1"/>
                <w:color w:val="auto"/>
              </w:rPr>
            </w:pPr>
          </w:p>
        </w:tc>
      </w:tr>
      <w:tr>
        <w:trPr>
          <w:trHeight w:val="213"/>
        </w:trPr>
        <w:tc>
          <w:tcPr>
            <w:tcW w:w="838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380" w:type="dxa"/>
            <w:vAlign w:val="bottom"/>
            <w:gridSpan w:val="3"/>
            <w:shd w:val="clear" w:color="auto" w:fill="CCEEFF"/>
          </w:tcPr>
          <w:p>
            <w:pPr>
              <w:ind w:left="140"/>
              <w:spacing w:after="0" w:line="185" w:lineRule="exact"/>
              <w:rPr>
                <w:sz w:val="20"/>
                <w:szCs w:val="20"/>
                <w:color w:val="auto"/>
              </w:rPr>
            </w:pPr>
            <w:r>
              <w:rPr>
                <w:rFonts w:ascii="Arial" w:cs="Arial" w:eastAsia="Arial" w:hAnsi="Arial"/>
                <w:sz w:val="18"/>
                <w:szCs w:val="18"/>
                <w:color w:val="auto"/>
              </w:rPr>
              <w:t>Common stock (par value: $0.01; 500,000 shares authorized; 106,510 and 103,715 shares issued and</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outstanding at June 30, 2021 and December 31, 2020, respectively)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5"/>
        </w:trPr>
        <w:tc>
          <w:tcPr>
            <w:tcW w:w="8380" w:type="dxa"/>
            <w:vAlign w:val="bottom"/>
            <w:gridSpan w:val="3"/>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811,644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757,470</w:t>
            </w:r>
          </w:p>
        </w:tc>
        <w:tc>
          <w:tcPr>
            <w:tcW w:w="0" w:type="dxa"/>
            <w:vAlign w:val="bottom"/>
          </w:tcPr>
          <w:p>
            <w:pPr>
              <w:spacing w:after="0"/>
              <w:rPr>
                <w:sz w:val="1"/>
                <w:szCs w:val="1"/>
                <w:color w:val="auto"/>
              </w:rPr>
            </w:pPr>
          </w:p>
        </w:tc>
      </w:tr>
      <w:tr>
        <w:trPr>
          <w:trHeight w:val="226"/>
        </w:trPr>
        <w:tc>
          <w:tcPr>
            <w:tcW w:w="8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83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(607,852)</w:t>
            </w:r>
          </w:p>
        </w:tc>
        <w:tc>
          <w:tcPr>
            <w:tcW w:w="0" w:type="dxa"/>
            <w:vAlign w:val="bottom"/>
          </w:tcPr>
          <w:p>
            <w:pPr>
              <w:spacing w:after="0"/>
              <w:rPr>
                <w:sz w:val="1"/>
                <w:szCs w:val="1"/>
                <w:color w:val="auto"/>
              </w:rPr>
            </w:pPr>
          </w:p>
        </w:tc>
      </w:tr>
      <w:tr>
        <w:trPr>
          <w:trHeight w:val="218"/>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150,665</w:t>
            </w:r>
          </w:p>
        </w:tc>
        <w:tc>
          <w:tcPr>
            <w:tcW w:w="0" w:type="dxa"/>
            <w:vAlign w:val="bottom"/>
          </w:tcPr>
          <w:p>
            <w:pPr>
              <w:spacing w:after="0"/>
              <w:rPr>
                <w:sz w:val="1"/>
                <w:szCs w:val="1"/>
                <w:color w:val="auto"/>
              </w:rPr>
            </w:pPr>
          </w:p>
        </w:tc>
      </w:tr>
      <w:tr>
        <w:trPr>
          <w:trHeight w:val="21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690,589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209,857</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37,843</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172,014</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115,298</w:t>
            </w:r>
          </w:p>
        </w:tc>
        <w:tc>
          <w:tcPr>
            <w:tcW w:w="0" w:type="dxa"/>
            <w:vAlign w:val="bottom"/>
          </w:tcPr>
          <w:p>
            <w:pPr>
              <w:spacing w:after="0"/>
              <w:rPr>
                <w:sz w:val="1"/>
                <w:szCs w:val="1"/>
                <w:color w:val="auto"/>
              </w:rPr>
            </w:pPr>
          </w:p>
        </w:tc>
      </w:tr>
      <w:tr>
        <w:trPr>
          <w:trHeight w:val="225"/>
        </w:trPr>
        <w:tc>
          <w:tcPr>
            <w:tcW w:w="54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52,141</w:t>
            </w:r>
          </w:p>
        </w:tc>
        <w:tc>
          <w:tcPr>
            <w:tcW w:w="0" w:type="dxa"/>
            <w:vAlign w:val="bottom"/>
          </w:tcPr>
          <w:p>
            <w:pPr>
              <w:spacing w:after="0"/>
              <w:rPr>
                <w:sz w:val="1"/>
                <w:szCs w:val="1"/>
                <w:color w:val="auto"/>
              </w:rPr>
            </w:pPr>
          </w:p>
        </w:tc>
      </w:tr>
      <w:tr>
        <w:trPr>
          <w:trHeight w:val="225"/>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0" w:type="dxa"/>
            <w:vAlign w:val="bottom"/>
          </w:tcPr>
          <w:p>
            <w:pPr>
              <w:spacing w:after="0"/>
              <w:rPr>
                <w:sz w:val="1"/>
                <w:szCs w:val="1"/>
                <w:color w:val="auto"/>
              </w:rPr>
            </w:pPr>
          </w:p>
        </w:tc>
      </w:tr>
      <w:tr>
        <w:trPr>
          <w:trHeight w:val="21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204,251</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(32,237)</w:t>
            </w:r>
          </w:p>
        </w:tc>
        <w:tc>
          <w:tcPr>
            <w:tcW w:w="0" w:type="dxa"/>
            <w:vAlign w:val="bottom"/>
          </w:tcPr>
          <w:p>
            <w:pPr>
              <w:spacing w:after="0"/>
              <w:rPr>
                <w:sz w:val="1"/>
                <w:szCs w:val="1"/>
                <w:color w:val="auto"/>
              </w:rPr>
            </w:pPr>
          </w:p>
        </w:tc>
      </w:tr>
      <w:tr>
        <w:trPr>
          <w:trHeight w:val="225"/>
        </w:trPr>
        <w:tc>
          <w:tcPr>
            <w:tcW w:w="546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5"/>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8"/>
        </w:trPr>
        <w:tc>
          <w:tcPr>
            <w:tcW w:w="54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(32,306)</w:t>
            </w:r>
          </w:p>
        </w:tc>
        <w:tc>
          <w:tcPr>
            <w:tcW w:w="0" w:type="dxa"/>
            <w:vAlign w:val="bottom"/>
          </w:tcPr>
          <w:p>
            <w:pPr>
              <w:spacing w:after="0"/>
              <w:rPr>
                <w:sz w:val="1"/>
                <w:szCs w:val="1"/>
                <w:color w:val="auto"/>
              </w:rPr>
            </w:pPr>
          </w:p>
        </w:tc>
      </w:tr>
      <w:tr>
        <w:trPr>
          <w:trHeight w:val="22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6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Weighted-average shares used to compute net loss per share, basic</w:t>
            </w:r>
          </w:p>
        </w:tc>
        <w:tc>
          <w:tcPr>
            <w:tcW w:w="2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105,869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100,209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105,203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99,532</w:t>
            </w:r>
          </w:p>
        </w:tc>
        <w:tc>
          <w:tcPr>
            <w:tcW w:w="0" w:type="dxa"/>
            <w:vAlign w:val="bottom"/>
          </w:tcPr>
          <w:p>
            <w:pPr>
              <w:spacing w:after="0"/>
              <w:rPr>
                <w:sz w:val="1"/>
                <w:szCs w:val="1"/>
                <w:color w:val="auto"/>
              </w:rPr>
            </w:pPr>
          </w:p>
        </w:tc>
      </w:tr>
      <w:tr>
        <w:trPr>
          <w:trHeight w:val="206"/>
        </w:trPr>
        <w:tc>
          <w:tcPr>
            <w:tcW w:w="5460" w:type="dxa"/>
            <w:vAlign w:val="bottom"/>
            <w:tcBorders>
              <w:bottom w:val="single" w:sz="8" w:color="CCEEFF"/>
            </w:tcBorders>
            <w:shd w:val="clear" w:color="auto" w:fill="CCEEFF"/>
          </w:tcPr>
          <w:p>
            <w:pPr>
              <w:ind w:left="100"/>
              <w:spacing w:after="0" w:line="187" w:lineRule="exact"/>
              <w:rPr>
                <w:sz w:val="20"/>
                <w:szCs w:val="20"/>
                <w:color w:val="auto"/>
              </w:rPr>
            </w:pPr>
            <w:r>
              <w:rPr>
                <w:rFonts w:ascii="Arial" w:cs="Arial" w:eastAsia="Arial" w:hAnsi="Arial"/>
                <w:sz w:val="18"/>
                <w:szCs w:val="18"/>
                <w:color w:val="auto"/>
              </w:rPr>
              <w:t>and diluted</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(34,937)</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gains on available-for-sale securities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9"/>
              </w:rPr>
              <w:t>Additional</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Accumulated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2340" w:type="dxa"/>
            <w:vAlign w:val="bottom"/>
            <w:gridSpan w:val="4"/>
            <w:vMerge w:val="restart"/>
          </w:tcPr>
          <w:p>
            <w:pPr>
              <w:jc w:val="right"/>
              <w:ind w:right="501"/>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3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280"/>
              <w:spacing w:after="0" w:line="159"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520" w:type="dxa"/>
            <w:vAlign w:val="bottom"/>
            <w:gridSpan w:val="2"/>
            <w:vMerge w:val="restart"/>
          </w:tcPr>
          <w:p>
            <w:pPr>
              <w:jc w:val="center"/>
              <w:ind w:right="260"/>
              <w:spacing w:after="0" w:line="159" w:lineRule="exact"/>
              <w:rPr>
                <w:sz w:val="20"/>
                <w:szCs w:val="20"/>
                <w:color w:val="auto"/>
              </w:rPr>
            </w:pPr>
            <w:r>
              <w:rPr>
                <w:rFonts w:ascii="Arial" w:cs="Arial" w:eastAsia="Arial" w:hAnsi="Arial"/>
                <w:sz w:val="16"/>
                <w:szCs w:val="16"/>
                <w:b w:val="1"/>
                <w:bCs w:val="1"/>
                <w:color w:val="auto"/>
                <w:w w:val="98"/>
              </w:rPr>
              <w:t>Comprehensive</w:t>
            </w:r>
          </w:p>
        </w:tc>
        <w:tc>
          <w:tcPr>
            <w:tcW w:w="140" w:type="dxa"/>
            <w:vAlign w:val="bottom"/>
          </w:tcPr>
          <w:p>
            <w:pPr>
              <w:spacing w:after="0"/>
              <w:rPr>
                <w:sz w:val="10"/>
                <w:szCs w:val="10"/>
                <w:color w:val="auto"/>
              </w:rPr>
            </w:pPr>
          </w:p>
        </w:tc>
        <w:tc>
          <w:tcPr>
            <w:tcW w:w="1340" w:type="dxa"/>
            <w:vAlign w:val="bottom"/>
            <w:gridSpan w:val="2"/>
            <w:vMerge w:val="restart"/>
          </w:tcPr>
          <w:p>
            <w:pPr>
              <w:ind w:left="40"/>
              <w:spacing w:after="0" w:line="159"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0"/>
                <w:szCs w:val="10"/>
                <w:color w:val="auto"/>
              </w:rPr>
            </w:pPr>
          </w:p>
        </w:tc>
        <w:tc>
          <w:tcPr>
            <w:tcW w:w="1260" w:type="dxa"/>
            <w:vAlign w:val="bottom"/>
            <w:vMerge w:val="restart"/>
          </w:tcPr>
          <w:p>
            <w:pPr>
              <w:jc w:val="center"/>
              <w:ind w:right="61"/>
              <w:spacing w:after="0" w:line="159"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2"/>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line="20" w:lineRule="exact"/>
              <w:rPr>
                <w:sz w:val="1"/>
                <w:szCs w:val="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4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Income (Loss)</w:t>
            </w:r>
          </w:p>
        </w:tc>
        <w:tc>
          <w:tcPr>
            <w:tcW w:w="14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260" w:type="dxa"/>
            <w:vAlign w:val="bottom"/>
          </w:tcPr>
          <w:p>
            <w:pPr>
              <w:jc w:val="center"/>
              <w:ind w:right="6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0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105,513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786,476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(615,600)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171,939</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4,689</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20,489</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33"/>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811,644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185,455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(607,852)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150,665</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8,704</w:t>
            </w: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line="175" w:lineRule="exact"/>
              <w:rPr>
                <w:sz w:val="20"/>
                <w:szCs w:val="20"/>
                <w:color w:val="auto"/>
              </w:rPr>
            </w:pPr>
            <w:r>
              <w:rPr>
                <w:rFonts w:ascii="Arial" w:cs="Arial" w:eastAsia="Arial" w:hAnsi="Arial"/>
                <w:sz w:val="16"/>
                <w:szCs w:val="16"/>
                <w:color w:val="auto"/>
              </w:rPr>
              <w:t>Issuance of common stock under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4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12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8,046</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37,452</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(19,386)</w:t>
            </w:r>
          </w:p>
        </w:tc>
        <w:tc>
          <w:tcPr>
            <w:tcW w:w="0" w:type="dxa"/>
            <w:vAlign w:val="bottom"/>
          </w:tcPr>
          <w:p>
            <w:pPr>
              <w:spacing w:after="0"/>
              <w:rPr>
                <w:sz w:val="1"/>
                <w:szCs w:val="1"/>
                <w:color w:val="auto"/>
              </w:rPr>
            </w:pPr>
          </w:p>
        </w:tc>
      </w:tr>
      <w:tr>
        <w:trPr>
          <w:trHeight w:val="208"/>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811,644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(627,238)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185,455</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120" w:type="dxa"/>
            <w:vAlign w:val="bottom"/>
          </w:tcPr>
          <w:p>
            <w:pPr>
              <w:jc w:val="right"/>
              <w:spacing w:after="0"/>
              <w:rPr>
                <w:sz w:val="20"/>
                <w:szCs w:val="20"/>
                <w:color w:val="auto"/>
              </w:rPr>
            </w:pPr>
            <w:r>
              <w:rPr>
                <w:rFonts w:ascii="Arial" w:cs="Arial" w:eastAsia="Arial" w:hAnsi="Arial"/>
                <w:sz w:val="16"/>
                <w:szCs w:val="16"/>
                <w:color w:val="auto"/>
              </w:rPr>
              <w:t>100,003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687,311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(588,098)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100,376</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6,996</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1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15,770</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(11,960)</w:t>
            </w:r>
          </w:p>
        </w:tc>
        <w:tc>
          <w:tcPr>
            <w:tcW w:w="0" w:type="dxa"/>
            <w:vAlign w:val="bottom"/>
          </w:tcPr>
          <w:p>
            <w:pPr>
              <w:spacing w:after="0"/>
              <w:rPr>
                <w:sz w:val="1"/>
                <w:szCs w:val="1"/>
                <w:color w:val="auto"/>
              </w:rPr>
            </w:pPr>
          </w:p>
        </w:tc>
      </w:tr>
      <w:tr>
        <w:trPr>
          <w:trHeight w:val="208"/>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101,127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710,066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(600,058)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111,168</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120" w:type="dxa"/>
            <w:vAlign w:val="bottom"/>
          </w:tcPr>
          <w:p>
            <w:pPr>
              <w:jc w:val="right"/>
              <w:spacing w:after="0"/>
              <w:rPr>
                <w:sz w:val="20"/>
                <w:szCs w:val="20"/>
                <w:color w:val="auto"/>
              </w:rPr>
            </w:pPr>
            <w:r>
              <w:rPr>
                <w:rFonts w:ascii="Arial" w:cs="Arial" w:eastAsia="Arial" w:hAnsi="Arial"/>
                <w:sz w:val="16"/>
                <w:szCs w:val="16"/>
                <w:color w:val="auto"/>
              </w:rPr>
              <w:t>98,587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662,990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(565,121)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98,905</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10,974</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12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8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Issuance of common stock under</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7,307</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28,820</w:t>
            </w: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(34,937)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(34,937)</w:t>
            </w:r>
          </w:p>
        </w:tc>
        <w:tc>
          <w:tcPr>
            <w:tcW w:w="0" w:type="dxa"/>
            <w:vAlign w:val="bottom"/>
          </w:tcPr>
          <w:p>
            <w:pPr>
              <w:spacing w:after="0"/>
              <w:rPr>
                <w:sz w:val="1"/>
                <w:szCs w:val="1"/>
                <w:color w:val="auto"/>
              </w:rPr>
            </w:pPr>
          </w:p>
        </w:tc>
      </w:tr>
      <w:tr>
        <w:trPr>
          <w:trHeight w:val="233"/>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111,168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(19,386)</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(34,937)</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5,268</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28,701</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28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13,512</w:t>
            </w:r>
          </w:p>
        </w:tc>
      </w:tr>
      <w:tr>
        <w:trPr>
          <w:trHeight w:val="22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r>
      <w:tr>
        <w:trPr>
          <w:trHeight w:val="225"/>
        </w:trPr>
        <w:tc>
          <w:tcPr>
            <w:tcW w:w="82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accrued compensation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(8,297)</w:t>
            </w:r>
          </w:p>
        </w:tc>
      </w:tr>
      <w:tr>
        <w:trPr>
          <w:trHeight w:val="22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25"/>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w:t>
            </w:r>
          </w:p>
        </w:tc>
      </w:tr>
      <w:tr>
        <w:trPr>
          <w:trHeight w:val="212"/>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(11,004)</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(91,908)</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124,675</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 net of cash acquired</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280" w:type="dxa"/>
            <w:vAlign w:val="bottom"/>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21,763</w:t>
            </w:r>
          </w:p>
        </w:tc>
      </w:tr>
      <w:tr>
        <w:trPr>
          <w:trHeight w:val="252"/>
        </w:trPr>
        <w:tc>
          <w:tcPr>
            <w:tcW w:w="8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2"/>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loan agreement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7,307</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62,064</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74,665</w:t>
            </w: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 net of refunds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r>
      <w:tr>
        <w:trPr>
          <w:trHeight w:val="212"/>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operating leases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p>
      <w:pPr>
        <w:ind w:left="320" w:right="6080" w:hanging="314"/>
        <w:spacing w:after="0" w:line="504" w:lineRule="auto"/>
        <w:tabs>
          <w:tab w:leader="none" w:pos="19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b w:val="1"/>
          <w:bCs w:val="1"/>
          <w:i w:val="1"/>
          <w:iCs w:val="1"/>
          <w:color w:val="auto"/>
        </w:rPr>
        <w:t>Business Description</w:t>
      </w:r>
    </w:p>
    <w:p>
      <w:pPr>
        <w:spacing w:after="0" w:line="1" w:lineRule="exact"/>
        <w:rPr>
          <w:sz w:val="20"/>
          <w:szCs w:val="20"/>
          <w:color w:val="auto"/>
        </w:rPr>
      </w:pPr>
    </w:p>
    <w:p>
      <w:pPr>
        <w:ind w:right="220" w:firstLine="318"/>
        <w:spacing w:after="0" w:line="266" w:lineRule="auto"/>
        <w:rPr>
          <w:sz w:val="20"/>
          <w:szCs w:val="20"/>
          <w:color w:val="auto"/>
        </w:rPr>
      </w:pPr>
      <w:r>
        <w:rPr>
          <w:rFonts w:ascii="Arial" w:cs="Arial" w:eastAsia="Arial" w:hAnsi="Arial"/>
          <w:sz w:val="17"/>
          <w:szCs w:val="17"/>
          <w:color w:val="auto"/>
        </w:rPr>
        <w:t>Tenable Holdings, Inc. (the “Company,” “we,” "us," or “our”) is a provider of Cyber Exposure solutions, which is a discipline for managing, measuring and comparing cybersecurity risk in the digital era. Our platform offerings provide broad visibility into security issues such as vulnerabilities, misconfigurations, internal and regulatory compliance violations and other indicators of the state of an organization’s security across IT infrastructure and applications, cloud environments and industrial internet of things and operational technology environments.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All intercompany accounts and transactions have been eliminated in consolidation.</w:t>
      </w:r>
    </w:p>
    <w:p>
      <w:pPr>
        <w:spacing w:after="0" w:line="203"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2020 Annual Report on Form 10-K ("10-K") filed with the Securities and Exchange Commission on February 23, 2021.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211" w:lineRule="exact"/>
        <w:rPr>
          <w:sz w:val="20"/>
          <w:szCs w:val="20"/>
          <w:color w:val="auto"/>
        </w:rPr>
      </w:pPr>
    </w:p>
    <w:p>
      <w:pPr>
        <w:ind w:right="380" w:firstLine="318"/>
        <w:spacing w:after="0" w:line="251" w:lineRule="auto"/>
        <w:rPr>
          <w:sz w:val="20"/>
          <w:szCs w:val="20"/>
          <w:color w:val="auto"/>
        </w:rPr>
      </w:pPr>
      <w:r>
        <w:rPr>
          <w:rFonts w:ascii="Arial" w:cs="Arial" w:eastAsia="Arial" w:hAnsi="Arial"/>
          <w:sz w:val="18"/>
          <w:szCs w:val="18"/>
          <w:color w:val="auto"/>
        </w:rPr>
        <w:t>The results for the six months ended June 30, 2021 are not necessarily indicative of the operating results expected for the year ending December 31, 2021 or any other future period.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and deferred revenue,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39"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Our significant accounting policies are described in our 10-K. During the six months ended June 30, 2021, there were no material changes to our significant accounting policies other than those described below.</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35"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For our software where the critical utility does not depend on ongoing updates, we separate the software license from the maintenance and support.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recognize revenue attributable to the license at the time of delivery and the revenue attributable to the maintenance and support ratably over the contract period.</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239" w:lineRule="exact"/>
        <w:rPr>
          <w:sz w:val="20"/>
          <w:szCs w:val="20"/>
          <w:color w:val="auto"/>
        </w:rPr>
      </w:pPr>
    </w:p>
    <w:p>
      <w:pPr>
        <w:ind w:right="400" w:firstLine="318"/>
        <w:spacing w:after="0" w:line="248" w:lineRule="auto"/>
        <w:rPr>
          <w:sz w:val="20"/>
          <w:szCs w:val="20"/>
          <w:color w:val="auto"/>
        </w:rPr>
      </w:pPr>
      <w:r>
        <w:rPr>
          <w:rFonts w:ascii="Arial" w:cs="Arial" w:eastAsia="Arial" w:hAnsi="Arial"/>
          <w:sz w:val="18"/>
          <w:szCs w:val="18"/>
          <w:color w:val="auto"/>
        </w:rPr>
        <w:t>We classify investments with original maturities of less than 90 days as cash and cash equivalents. Investments with original maturities greater than 90 days, including those we do not currently intend on selling within the next twelve months, are classified as short-term investments as they are available for use in our operations.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1" w:lineRule="exact"/>
        <w:rPr>
          <w:sz w:val="20"/>
          <w:szCs w:val="20"/>
          <w:color w:val="auto"/>
        </w:rPr>
      </w:pPr>
    </w:p>
    <w:p>
      <w:pPr>
        <w:ind w:right="100" w:firstLine="318"/>
        <w:spacing w:after="0" w:line="254" w:lineRule="auto"/>
        <w:rPr>
          <w:sz w:val="20"/>
          <w:szCs w:val="20"/>
          <w:color w:val="auto"/>
        </w:rPr>
      </w:pPr>
      <w:r>
        <w:rPr>
          <w:rFonts w:ascii="Arial" w:cs="Arial" w:eastAsia="Arial" w:hAnsi="Arial"/>
          <w:sz w:val="18"/>
          <w:szCs w:val="18"/>
          <w:color w:val="auto"/>
        </w:rPr>
        <w:t xml:space="preserve">We adopted Accounting Standards Update ("ASU") No. 2019-12 -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effective January 1, 2021. The adoption of this guidance did not have a material impact on our condensed consolidated financial statements. This ASU eliminated previously allowed exceptions and clarified existing guidance in the accounting for income taxes, including in the areas of franchise taxes, the tax basis of goodwill and interim period effects of changes in tax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revenue: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178,400</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25,598</w:t>
            </w:r>
          </w:p>
        </w:tc>
      </w:tr>
      <w:tr>
        <w:trPr>
          <w:trHeight w:val="22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r>
      <w:tr>
        <w:trPr>
          <w:trHeight w:val="219"/>
        </w:trPr>
        <w:tc>
          <w:tcPr>
            <w:tcW w:w="54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209,857</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w:t>
      </w:r>
    </w:p>
    <w:p>
      <w:pPr>
        <w:spacing w:after="0" w:line="239"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end-users. We derived 92% of revenue through our channel network in the three and six months ended June 30, 2021 and 91% of revenue in the three and six months ended June 30, 2020. One of our distributors accounted for 40% of revenue in the three and six months ended June 30, 2021 and 43% of revenue in the three and six months ended June 30, 2020. That same distributor accounted for 37% and 41% of accounts receivable at June 30, 2021 and December 31, 2020, respectively.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generally bill our customers in advance and accounts receivable are recorded when we have the right to invoice the customer. Contract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liabilities consist of deferred revenue and include customer billings and payments received in advance of performance under the contract. In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2021 and 2020 and the six months ended June 30, 2021 and 2020, we recognized revenue of $119.0 million,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$99.5 million, $210.5 million and $175.0 million, respectively, that was included in the deferred revenue balance at the beginning of each of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respective periods.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39"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At June 30, 2021, the future estimated revenue related to unsatisfied performance obligations was $461.6 million, of which approximately 75% is expected to be recognized as revenue over the succeeding twelve months, and the remainder is expected to be recognized over the four years thereafter.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8"/>
              </w:rPr>
              <w:t>78,876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8"/>
              </w:rPr>
              <w:t>72,265</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left="335"/>
              <w:spacing w:after="0"/>
              <w:rPr>
                <w:sz w:val="20"/>
                <w:szCs w:val="20"/>
                <w:color w:val="auto"/>
              </w:rPr>
            </w:pPr>
            <w:r>
              <w:rPr>
                <w:rFonts w:ascii="Arial" w:cs="Arial" w:eastAsia="Arial" w:hAnsi="Arial"/>
                <w:sz w:val="18"/>
                <w:szCs w:val="18"/>
                <w:color w:val="auto"/>
                <w:w w:val="98"/>
              </w:rPr>
              <w:t>17,446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273"/>
              <w:spacing w:after="0"/>
              <w:rPr>
                <w:sz w:val="20"/>
                <w:szCs w:val="20"/>
                <w:color w:val="auto"/>
              </w:rPr>
            </w:pPr>
            <w:r>
              <w:rPr>
                <w:rFonts w:ascii="Arial" w:cs="Arial" w:eastAsia="Arial" w:hAnsi="Arial"/>
                <w:sz w:val="18"/>
                <w:szCs w:val="18"/>
                <w:color w:val="auto"/>
                <w:w w:val="98"/>
              </w:rPr>
              <w:t>15,013</w:t>
            </w:r>
          </w:p>
        </w:tc>
      </w:tr>
      <w:tr>
        <w:trPr>
          <w:trHeight w:val="22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295"/>
              <w:spacing w:after="0"/>
              <w:rPr>
                <w:sz w:val="20"/>
                <w:szCs w:val="20"/>
                <w:color w:val="auto"/>
              </w:rPr>
            </w:pPr>
            <w:r>
              <w:rPr>
                <w:rFonts w:ascii="Arial" w:cs="Arial" w:eastAsia="Arial" w:hAnsi="Arial"/>
                <w:sz w:val="18"/>
                <w:szCs w:val="18"/>
                <w:color w:val="auto"/>
                <w:w w:val="98"/>
              </w:rPr>
              <w:t>(17,825)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73"/>
              <w:spacing w:after="0"/>
              <w:rPr>
                <w:sz w:val="20"/>
                <w:szCs w:val="20"/>
                <w:color w:val="auto"/>
              </w:rPr>
            </w:pPr>
            <w:r>
              <w:rPr>
                <w:rFonts w:ascii="Arial" w:cs="Arial" w:eastAsia="Arial" w:hAnsi="Arial"/>
                <w:sz w:val="18"/>
                <w:szCs w:val="18"/>
                <w:color w:val="auto"/>
                <w:w w:val="98"/>
              </w:rPr>
              <w:t>(15,510)</w:t>
            </w:r>
          </w:p>
        </w:tc>
      </w:tr>
      <w:tr>
        <w:trPr>
          <w:trHeight w:val="219"/>
        </w:trPr>
        <w:tc>
          <w:tcPr>
            <w:tcW w:w="5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8"/>
              </w:rPr>
              <w:t>78,497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8"/>
              </w:rPr>
              <w:t>71,768</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Short-Term Investments</w:t>
      </w:r>
    </w:p>
    <w:p>
      <w:pPr>
        <w:spacing w:after="0" w:line="239"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June 30, 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280" w:type="dxa"/>
            <w:vAlign w:val="bottom"/>
          </w:tcPr>
          <w:p>
            <w:pPr>
              <w:jc w:val="center"/>
              <w:ind w:right="54"/>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4"/>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5"/>
        </w:trPr>
        <w:tc>
          <w:tcPr>
            <w:tcW w:w="524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47,682</w:t>
            </w:r>
          </w:p>
        </w:tc>
        <w:tc>
          <w:tcPr>
            <w:tcW w:w="0" w:type="dxa"/>
            <w:vAlign w:val="bottom"/>
          </w:tcPr>
          <w:p>
            <w:pPr>
              <w:spacing w:after="0"/>
              <w:rPr>
                <w:sz w:val="1"/>
                <w:szCs w:val="1"/>
                <w:color w:val="auto"/>
              </w:rPr>
            </w:pPr>
          </w:p>
        </w:tc>
      </w:tr>
      <w:tr>
        <w:trPr>
          <w:trHeight w:val="219"/>
        </w:trPr>
        <w:tc>
          <w:tcPr>
            <w:tcW w:w="524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47,682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79,725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79,725</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Supranational bonds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w:t>
            </w:r>
          </w:p>
        </w:tc>
        <w:tc>
          <w:tcPr>
            <w:tcW w:w="0" w:type="dxa"/>
            <w:vAlign w:val="bottom"/>
          </w:tcPr>
          <w:p>
            <w:pPr>
              <w:spacing w:after="0"/>
              <w:rPr>
                <w:sz w:val="1"/>
                <w:szCs w:val="1"/>
                <w:color w:val="auto"/>
              </w:rPr>
            </w:pPr>
          </w:p>
        </w:tc>
      </w:tr>
      <w:tr>
        <w:trPr>
          <w:trHeight w:val="219"/>
        </w:trPr>
        <w:tc>
          <w:tcPr>
            <w:tcW w:w="5240" w:type="dxa"/>
            <w:vAlign w:val="bottom"/>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125,127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6"/>
                <w:szCs w:val="16"/>
                <w:b w:val="1"/>
                <w:bCs w:val="1"/>
                <w:color w:val="auto"/>
              </w:rPr>
              <w:t>December 31, 2020</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280" w:type="dxa"/>
            <w:vAlign w:val="bottom"/>
          </w:tcPr>
          <w:p>
            <w:pPr>
              <w:jc w:val="center"/>
              <w:ind w:right="54"/>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4"/>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5"/>
        </w:trPr>
        <w:tc>
          <w:tcPr>
            <w:tcW w:w="524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71,425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71,425</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w:t>
            </w:r>
          </w:p>
        </w:tc>
        <w:tc>
          <w:tcPr>
            <w:tcW w:w="0" w:type="dxa"/>
            <w:vAlign w:val="bottom"/>
          </w:tcPr>
          <w:p>
            <w:pPr>
              <w:spacing w:after="0"/>
              <w:rPr>
                <w:sz w:val="1"/>
                <w:szCs w:val="1"/>
                <w:color w:val="auto"/>
              </w:rPr>
            </w:pPr>
          </w:p>
        </w:tc>
      </w:tr>
      <w:tr>
        <w:trPr>
          <w:trHeight w:val="23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contractual maturities of our short-term investments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155"/>
        </w:trPr>
        <w:tc>
          <w:tcPr>
            <w:tcW w:w="8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3"/>
                <w:szCs w:val="13"/>
                <w:color w:val="auto"/>
              </w:rPr>
            </w:pPr>
          </w:p>
        </w:tc>
        <w:tc>
          <w:tcPr>
            <w:tcW w:w="1280" w:type="dxa"/>
            <w:vAlign w:val="bottom"/>
          </w:tcPr>
          <w:p>
            <w:pPr>
              <w:jc w:val="right"/>
              <w:ind w:right="75"/>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8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102,584</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two years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22,527</w:t>
            </w: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125,111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At June 30, 2021, cash and cash equivalents included $5.8 million of restricted cash primarily related to collateral for our outstanding letters of credit. At December 31, 2020, cash and cash equivalents included $0.4 million of restricted cash related to collateral for a lease and credit card deposits. At June 30, 2021 and December 31, 2020, cash and cash equivalents excluded $0.3 million and $0.2 million, respectively, of restricted cash related to an account established as collateral for a lease arrangement, which is included in other assets on the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9" w:lineRule="exact"/>
        <w:rPr>
          <w:sz w:val="20"/>
          <w:szCs w:val="20"/>
          <w:color w:val="auto"/>
        </w:rPr>
      </w:pPr>
    </w:p>
    <w:p>
      <w:pPr>
        <w:ind w:right="520" w:firstLine="318"/>
        <w:spacing w:after="0" w:line="251"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9"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58" w:lineRule="exact"/>
        <w:rPr>
          <w:rFonts w:ascii="Arial" w:cs="Arial" w:eastAsia="Arial" w:hAnsi="Arial"/>
          <w:sz w:val="18"/>
          <w:szCs w:val="18"/>
          <w:color w:val="auto"/>
        </w:rPr>
      </w:pPr>
    </w:p>
    <w:p>
      <w:pPr>
        <w:ind w:left="640" w:right="660" w:hanging="316"/>
        <w:spacing w:after="0" w:line="27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6"/>
                <w:szCs w:val="16"/>
                <w:b w:val="1"/>
                <w:bCs w:val="1"/>
                <w:color w:val="auto"/>
              </w:rPr>
              <w:t>June 30, 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Total</w:t>
            </w:r>
          </w:p>
        </w:tc>
      </w:tr>
      <w:tr>
        <w:trPr>
          <w:trHeight w:val="205"/>
        </w:trPr>
        <w:tc>
          <w:tcPr>
            <w:tcW w:w="52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47,682</w:t>
            </w:r>
          </w:p>
        </w:tc>
      </w:tr>
      <w:tr>
        <w:trPr>
          <w:trHeight w:val="23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cash equivalents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79,725</w:t>
            </w:r>
          </w:p>
        </w:tc>
        <w:tc>
          <w:tcPr>
            <w:tcW w:w="100" w:type="dxa"/>
            <w:vAlign w:val="bottom"/>
          </w:tcPr>
          <w:p>
            <w:pPr>
              <w:spacing w:after="0"/>
              <w:rPr>
                <w:sz w:val="19"/>
                <w:szCs w:val="19"/>
                <w:color w:val="auto"/>
              </w:rPr>
            </w:pP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79,725</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Supranational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13,187</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w:t>
            </w:r>
          </w:p>
        </w:tc>
      </w:tr>
      <w:tr>
        <w:trPr>
          <w:trHeight w:val="219"/>
        </w:trPr>
        <w:tc>
          <w:tcPr>
            <w:tcW w:w="5220" w:type="dxa"/>
            <w:vAlign w:val="bottom"/>
          </w:tcPr>
          <w:p>
            <w:pPr>
              <w:ind w:left="240"/>
              <w:spacing w:after="0"/>
              <w:rPr>
                <w:sz w:val="20"/>
                <w:szCs w:val="20"/>
                <w:color w:val="auto"/>
              </w:rPr>
            </w:pPr>
            <w:r>
              <w:rPr>
                <w:rFonts w:ascii="Arial" w:cs="Arial" w:eastAsia="Arial" w:hAnsi="Arial"/>
                <w:sz w:val="18"/>
                <w:szCs w:val="18"/>
                <w:color w:val="auto"/>
              </w:rPr>
              <w:t>Total short-term investments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125,111</w:t>
            </w:r>
          </w:p>
        </w:tc>
        <w:tc>
          <w:tcPr>
            <w:tcW w:w="100" w:type="dxa"/>
            <w:vAlign w:val="bottom"/>
          </w:tcPr>
          <w:p>
            <w:pPr>
              <w:spacing w:after="0"/>
              <w:rPr>
                <w:sz w:val="19"/>
                <w:szCs w:val="19"/>
                <w:color w:val="auto"/>
              </w:rPr>
            </w:pP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125,111</w:t>
            </w: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Total</w:t>
            </w:r>
          </w:p>
        </w:tc>
      </w:tr>
      <w:tr>
        <w:trPr>
          <w:trHeight w:val="205"/>
        </w:trPr>
        <w:tc>
          <w:tcPr>
            <w:tcW w:w="52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44,153</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19"/>
        </w:trPr>
        <w:tc>
          <w:tcPr>
            <w:tcW w:w="5220" w:type="dxa"/>
            <w:vAlign w:val="bottom"/>
          </w:tcPr>
          <w:p>
            <w:pPr>
              <w:ind w:left="240"/>
              <w:spacing w:after="0"/>
              <w:rPr>
                <w:sz w:val="20"/>
                <w:szCs w:val="20"/>
                <w:color w:val="auto"/>
              </w:rPr>
            </w:pPr>
            <w:r>
              <w:rPr>
                <w:rFonts w:ascii="Arial" w:cs="Arial" w:eastAsia="Arial" w:hAnsi="Arial"/>
                <w:sz w:val="18"/>
                <w:szCs w:val="18"/>
                <w:color w:val="auto"/>
              </w:rPr>
              <w:t>Total cash equivalents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48,653</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5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71,425</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4,505</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37,693</w:t>
            </w:r>
          </w:p>
        </w:tc>
      </w:tr>
      <w:tr>
        <w:trPr>
          <w:trHeight w:val="219"/>
        </w:trPr>
        <w:tc>
          <w:tcPr>
            <w:tcW w:w="5220" w:type="dxa"/>
            <w:vAlign w:val="bottom"/>
          </w:tcPr>
          <w:p>
            <w:pPr>
              <w:ind w:left="240"/>
              <w:spacing w:after="0"/>
              <w:rPr>
                <w:sz w:val="20"/>
                <w:szCs w:val="20"/>
                <w:color w:val="auto"/>
              </w:rPr>
            </w:pPr>
            <w:r>
              <w:rPr>
                <w:rFonts w:ascii="Arial" w:cs="Arial" w:eastAsia="Arial" w:hAnsi="Arial"/>
                <w:sz w:val="18"/>
                <w:szCs w:val="18"/>
                <w:color w:val="auto"/>
              </w:rPr>
              <w:t>Total short-term investments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113,623</w:t>
            </w:r>
          </w:p>
        </w:tc>
        <w:tc>
          <w:tcPr>
            <w:tcW w:w="100" w:type="dxa"/>
            <w:vAlign w:val="bottom"/>
          </w:tcPr>
          <w:p>
            <w:pPr>
              <w:spacing w:after="0"/>
              <w:rPr>
                <w:sz w:val="19"/>
                <w:szCs w:val="19"/>
                <w:color w:val="auto"/>
              </w:rPr>
            </w:pP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113,623</w:t>
            </w: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have any liabilities measured and recorded at fair value at June 30, 2021 or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6"/>
                <w:szCs w:val="16"/>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9"/>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w:t>
            </w: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w:t>
            </w:r>
          </w:p>
        </w:tc>
        <w:tc>
          <w:tcPr>
            <w:tcW w:w="0" w:type="dxa"/>
            <w:vAlign w:val="bottom"/>
          </w:tcPr>
          <w:p>
            <w:pPr>
              <w:spacing w:after="0"/>
              <w:rPr>
                <w:sz w:val="1"/>
                <w:szCs w:val="1"/>
                <w:color w:val="auto"/>
              </w:rPr>
            </w:pPr>
          </w:p>
        </w:tc>
      </w:tr>
      <w:tr>
        <w:trPr>
          <w:trHeight w:val="22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Right-of-use assets under finance leases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56,722</w:t>
            </w:r>
          </w:p>
        </w:tc>
        <w:tc>
          <w:tcPr>
            <w:tcW w:w="0" w:type="dxa"/>
            <w:vAlign w:val="bottom"/>
          </w:tcPr>
          <w:p>
            <w:pPr>
              <w:spacing w:after="0"/>
              <w:rPr>
                <w:sz w:val="1"/>
                <w:szCs w:val="1"/>
                <w:color w:val="auto"/>
              </w:rPr>
            </w:pPr>
          </w:p>
        </w:tc>
      </w:tr>
      <w:tr>
        <w:trPr>
          <w:trHeight w:val="22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(17,802)</w:t>
            </w: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Depreciation and amortization related to property and equipment was $2.5 million, $2.0 million, $4.7 million and $4.0 million in the three months ended June 30, 2021 and 2020 and the six months ended June 30, 2021 and 2020,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 Goodwill and Acquired Intangible Assets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39"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In April 2021, we acquired Alsid SAS ("Alsid"), which expanded our product offerings to include active directory security. Active directory is the basis for managing user permissions across on-premises and hybrid cloud deployments and is foundational to the security of cloud workloads, security remote work, and adopting zero trust architectures. Through a share purchase agreement, we acquired 100% of Alsid's equity in exchange for cash consideration of $98.5 million, net of cash acquired of $3.3 million.</w:t>
      </w:r>
    </w:p>
    <w:p>
      <w:pPr>
        <w:spacing w:after="0" w:line="20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7"/>
          <w:szCs w:val="17"/>
          <w:color w:val="auto"/>
        </w:rPr>
        <w:t>When determining the fair value of assets acquired and liabilities assumed, a non-recurring level 3 fair value measurement, we make estimates and assumptions, especially with respect to intangible assets such as our identified acquired technology and trade name intangible assets. We determined the fair value of our acquired technology using the multi-period excess earnings method, a form of the income approach. Estimates in valuing identifiable intangible assets include, but are not limited to, projected revenue growth rates, future expected operating expenses, obsolescence projections and an appropriate discount rate. Our estimate of fair value is based upon assumptions we believe to be reasonable, but which are inherently uncertain and, as a result, actual results may differ from estimates.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measurement period, we may make adjustments to the fair value of assets acquired and liabilities assumed, with offsetting adjustments to goodwill. Any adjustments made after the measurement period will be reflected in the consolidated statements of operations. We are still finalizing the allocation of the purchase price, which may change as additional information becomes available related to acquired intangible assets, deferred revenue, income taxes and any working capital adjustments.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cash consideration, net of cash acquired, was preliminarily allocated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40" w:type="dxa"/>
            <w:vAlign w:val="bottom"/>
            <w:shd w:val="clear" w:color="auto" w:fill="CCEEFF"/>
          </w:tcPr>
          <w:p>
            <w:pPr>
              <w:spacing w:after="0"/>
              <w:rPr>
                <w:sz w:val="19"/>
                <w:szCs w:val="19"/>
                <w:color w:val="auto"/>
              </w:rPr>
            </w:pPr>
          </w:p>
        </w:tc>
        <w:tc>
          <w:tcPr>
            <w:tcW w:w="192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72,291</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accrued compensation</w:t>
            </w: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(3,699)</w:t>
            </w:r>
          </w:p>
        </w:tc>
      </w:tr>
      <w:tr>
        <w:trPr>
          <w:trHeight w:val="225"/>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19"/>
        </w:trPr>
        <w:tc>
          <w:tcPr>
            <w:tcW w:w="5660" w:type="dxa"/>
            <w:vAlign w:val="bottom"/>
          </w:tcPr>
          <w:p>
            <w:pPr>
              <w:ind w:left="220"/>
              <w:spacing w:after="0"/>
              <w:rPr>
                <w:sz w:val="20"/>
                <w:szCs w:val="20"/>
                <w:color w:val="auto"/>
              </w:rPr>
            </w:pPr>
            <w:r>
              <w:rPr>
                <w:rFonts w:ascii="Arial" w:cs="Arial" w:eastAsia="Arial" w:hAnsi="Arial"/>
                <w:sz w:val="18"/>
                <w:szCs w:val="18"/>
                <w:color w:val="auto"/>
              </w:rPr>
              <w:t>Total purchase price allocation</w:t>
            </w:r>
          </w:p>
        </w:tc>
        <w:tc>
          <w:tcPr>
            <w:tcW w:w="1840" w:type="dxa"/>
            <w:vAlign w:val="bottom"/>
          </w:tcPr>
          <w:p>
            <w:pPr>
              <w:spacing w:after="0"/>
              <w:rPr>
                <w:sz w:val="19"/>
                <w:szCs w:val="19"/>
                <w:color w:val="auto"/>
              </w:rPr>
            </w:pPr>
          </w:p>
        </w:tc>
        <w:tc>
          <w:tcPr>
            <w:tcW w:w="1640" w:type="dxa"/>
            <w:vAlign w:val="bottom"/>
            <w:gridSpan w:val="3"/>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98,489</w:t>
            </w:r>
          </w:p>
        </w:tc>
      </w:tr>
      <w:tr>
        <w:trPr>
          <w:trHeight w:val="20"/>
        </w:trPr>
        <w:tc>
          <w:tcPr>
            <w:tcW w:w="8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509"/>
        </w:trPr>
        <w:tc>
          <w:tcPr>
            <w:tcW w:w="9420" w:type="dxa"/>
            <w:vAlign w:val="bottom"/>
            <w:gridSpan w:val="6"/>
          </w:tcPr>
          <w:p>
            <w:pPr>
              <w:ind w:left="320"/>
              <w:spacing w:after="0"/>
              <w:rPr>
                <w:sz w:val="20"/>
                <w:szCs w:val="20"/>
                <w:color w:val="auto"/>
              </w:rPr>
            </w:pPr>
            <w:r>
              <w:rPr>
                <w:rFonts w:ascii="Arial" w:cs="Arial" w:eastAsia="Arial" w:hAnsi="Arial"/>
                <w:sz w:val="18"/>
                <w:szCs w:val="18"/>
                <w:color w:val="auto"/>
              </w:rPr>
              <w:t>Acquired intangible assets and their estimated useful lives at the date of acquisition are as follows:</w:t>
            </w:r>
          </w:p>
        </w:tc>
        <w:tc>
          <w:tcPr>
            <w:tcW w:w="1820" w:type="dxa"/>
            <w:vAlign w:val="bottom"/>
          </w:tcPr>
          <w:p>
            <w:pPr>
              <w:spacing w:after="0"/>
              <w:rPr>
                <w:sz w:val="24"/>
                <w:szCs w:val="24"/>
                <w:color w:val="auto"/>
              </w:rPr>
            </w:pPr>
          </w:p>
        </w:tc>
      </w:tr>
      <w:tr>
        <w:trPr>
          <w:trHeight w:val="447"/>
        </w:trPr>
        <w:tc>
          <w:tcPr>
            <w:tcW w:w="566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Intangible Assets</w:t>
            </w:r>
          </w:p>
        </w:tc>
        <w:tc>
          <w:tcPr>
            <w:tcW w:w="1820" w:type="dxa"/>
            <w:vAlign w:val="bottom"/>
            <w:tcBorders>
              <w:bottom w:val="single" w:sz="8" w:color="auto"/>
            </w:tcBorders>
          </w:tcPr>
          <w:p>
            <w:pPr>
              <w:spacing w:after="0"/>
              <w:rPr>
                <w:sz w:val="24"/>
                <w:szCs w:val="24"/>
                <w:color w:val="auto"/>
              </w:rPr>
            </w:pPr>
          </w:p>
        </w:tc>
      </w:tr>
      <w:tr>
        <w:trPr>
          <w:trHeight w:val="21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Cost</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Estimated Useful Life</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1840" w:type="dxa"/>
            <w:vAlign w:val="bottom"/>
            <w:shd w:val="clear" w:color="auto" w:fill="CCEEFF"/>
          </w:tcPr>
          <w:p>
            <w:pPr>
              <w:jc w:val="right"/>
              <w:ind w:right="165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right="832"/>
              <w:spacing w:after="0"/>
              <w:rPr>
                <w:sz w:val="20"/>
                <w:szCs w:val="20"/>
                <w:color w:val="auto"/>
              </w:rPr>
            </w:pPr>
            <w:r>
              <w:rPr>
                <w:rFonts w:ascii="Arial" w:cs="Arial" w:eastAsia="Arial" w:hAnsi="Arial"/>
                <w:sz w:val="18"/>
                <w:szCs w:val="18"/>
                <w:color w:val="auto"/>
                <w:w w:val="98"/>
              </w:rPr>
              <w:t>7 years</w:t>
            </w:r>
          </w:p>
        </w:tc>
      </w:tr>
      <w:tr>
        <w:trPr>
          <w:trHeight w:val="22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1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jc w:val="center"/>
              <w:ind w:right="832"/>
              <w:spacing w:after="0"/>
              <w:rPr>
                <w:sz w:val="20"/>
                <w:szCs w:val="20"/>
                <w:color w:val="auto"/>
              </w:rPr>
            </w:pPr>
            <w:r>
              <w:rPr>
                <w:rFonts w:ascii="Arial" w:cs="Arial" w:eastAsia="Arial" w:hAnsi="Arial"/>
                <w:sz w:val="18"/>
                <w:szCs w:val="18"/>
                <w:color w:val="auto"/>
                <w:w w:val="99"/>
              </w:rPr>
              <w:t>1 year</w:t>
            </w:r>
          </w:p>
        </w:tc>
      </w:tr>
      <w:tr>
        <w:trPr>
          <w:trHeight w:val="244"/>
        </w:trPr>
        <w:tc>
          <w:tcPr>
            <w:tcW w:w="5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Acquired intangible assets</w:t>
            </w:r>
          </w:p>
        </w:tc>
        <w:tc>
          <w:tcPr>
            <w:tcW w:w="1840" w:type="dxa"/>
            <w:vAlign w:val="bottom"/>
            <w:tcBorders>
              <w:bottom w:val="single" w:sz="8" w:color="auto"/>
            </w:tcBorders>
            <w:shd w:val="clear" w:color="auto" w:fill="CCEEFF"/>
          </w:tcPr>
          <w:p>
            <w:pPr>
              <w:jc w:val="right"/>
              <w:ind w:right="165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results of operations of Alsid are included in our consolidated statements of operations from the acquisition date and were not material.</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of operations are not presented as they are not material to the consolidated statements of operations.</w:t>
      </w:r>
    </w:p>
    <w:p>
      <w:pPr>
        <w:spacing w:after="0" w:line="217"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In general and administrative expense, we recognized $1.5 million and $3.7 million in acquisition-related transaction costs in the three and six months ended June 30, 2021,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Goodwill and Acquired Intangible Assets</w:t>
            </w: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24"/>
        </w:trPr>
        <w:tc>
          <w:tcPr>
            <w:tcW w:w="8860" w:type="dxa"/>
            <w:vAlign w:val="bottom"/>
          </w:tcPr>
          <w:p>
            <w:pPr>
              <w:ind w:left="320"/>
              <w:spacing w:after="0"/>
              <w:rPr>
                <w:sz w:val="20"/>
                <w:szCs w:val="20"/>
                <w:color w:val="auto"/>
              </w:rPr>
            </w:pPr>
            <w:r>
              <w:rPr>
                <w:rFonts w:ascii="Arial" w:cs="Arial" w:eastAsia="Arial" w:hAnsi="Arial"/>
                <w:sz w:val="18"/>
                <w:szCs w:val="18"/>
                <w:color w:val="auto"/>
              </w:rPr>
              <w:t>The changes in the carrying amount of goodwill are as follows:</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2"/>
        </w:trPr>
        <w:tc>
          <w:tcPr>
            <w:tcW w:w="8860" w:type="dxa"/>
            <w:vAlign w:val="bottom"/>
          </w:tcPr>
          <w:p>
            <w:pPr>
              <w:ind w:left="34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6"/>
        </w:trPr>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December 31, 2020</w:t>
            </w:r>
          </w:p>
        </w:tc>
        <w:tc>
          <w:tcPr>
            <w:tcW w:w="10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54,414</w:t>
            </w:r>
          </w:p>
        </w:tc>
      </w:tr>
      <w:tr>
        <w:trPr>
          <w:trHeight w:val="225"/>
        </w:trPr>
        <w:tc>
          <w:tcPr>
            <w:tcW w:w="88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Acquired goodwill</w:t>
            </w:r>
          </w:p>
        </w:tc>
        <w:tc>
          <w:tcPr>
            <w:tcW w:w="10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72,291</w:t>
            </w:r>
          </w:p>
        </w:tc>
      </w:tr>
      <w:tr>
        <w:trPr>
          <w:trHeight w:val="244"/>
        </w:trPr>
        <w:tc>
          <w:tcPr>
            <w:tcW w:w="8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 at June 30, 2021</w:t>
            </w:r>
          </w:p>
        </w:tc>
        <w:tc>
          <w:tcPr>
            <w:tcW w:w="10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126,705</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marketing and selling new capabilities from Alsid to our customers. None of the acquired goodwill is tax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9"/>
              </w:rPr>
              <w:t>June 30, 2021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9"/>
              </w:rPr>
              <w:t>December 31, 2020</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3"/>
          </w:tcPr>
          <w:p>
            <w:pPr>
              <w:ind w:left="100"/>
              <w:spacing w:after="0" w:line="155" w:lineRule="exact"/>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00" w:type="dxa"/>
            <w:vAlign w:val="bottom"/>
          </w:tcPr>
          <w:p>
            <w:pPr>
              <w:jc w:val="right"/>
              <w:ind w:right="115"/>
              <w:spacing w:after="0" w:line="155" w:lineRule="exact"/>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3"/>
                <w:szCs w:val="13"/>
                <w:color w:val="auto"/>
              </w:rPr>
            </w:pPr>
          </w:p>
        </w:tc>
        <w:tc>
          <w:tcPr>
            <w:tcW w:w="1360" w:type="dxa"/>
            <w:vAlign w:val="bottom"/>
            <w:gridSpan w:val="2"/>
          </w:tcPr>
          <w:p>
            <w:pPr>
              <w:jc w:val="right"/>
              <w:ind w:right="14"/>
              <w:spacing w:after="0" w:line="155"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40" w:type="dxa"/>
            <w:vAlign w:val="bottom"/>
          </w:tcPr>
          <w:p>
            <w:pPr>
              <w:spacing w:after="0"/>
              <w:rPr>
                <w:sz w:val="13"/>
                <w:szCs w:val="13"/>
                <w:color w:val="auto"/>
              </w:rPr>
            </w:pPr>
          </w:p>
        </w:tc>
        <w:tc>
          <w:tcPr>
            <w:tcW w:w="1200" w:type="dxa"/>
            <w:vAlign w:val="bottom"/>
          </w:tcPr>
          <w:p>
            <w:pPr>
              <w:jc w:val="right"/>
              <w:ind w:right="115"/>
              <w:spacing w:after="0" w:line="155" w:lineRule="exact"/>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12"/>
        </w:trPr>
        <w:tc>
          <w:tcPr>
            <w:tcW w:w="258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98"/>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8"/>
              </w:rPr>
              <w:t>Amortization</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25"/>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8"/>
        </w:trPr>
        <w:tc>
          <w:tcPr>
            <w:tcW w:w="25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Amortization of acquired intangible assets was $1.4 million, $0.6 million, $2.0 million and $1.2 million in the three months ended June 30, 2021 and 2020 and the six months ended June 30, 2021 and 2020, respectively. At June 30, 2021, our acquired intangible assets are expected to be amortized over an estimated weighted average period of 6.4 years.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June 30, 2021, estimated future amortization of acquired intangible assets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9140" w:type="dxa"/>
            <w:vAlign w:val="bottom"/>
          </w:tcPr>
          <w:p>
            <w:pPr>
              <w:ind w:left="20"/>
              <w:spacing w:after="0" w:line="225" w:lineRule="exact"/>
              <w:rPr>
                <w:sz w:val="20"/>
                <w:szCs w:val="20"/>
                <w:color w:val="auto"/>
              </w:rPr>
            </w:pPr>
            <w:r>
              <w:rPr>
                <w:rFonts w:ascii="Arial" w:cs="Arial" w:eastAsia="Arial" w:hAnsi="Arial"/>
                <w:sz w:val="18"/>
                <w:szCs w:val="18"/>
                <w:color w:val="auto"/>
              </w:rPr>
              <w:t>2021</w:t>
            </w:r>
            <w:r>
              <w:rPr>
                <w:rFonts w:ascii="Arial" w:cs="Arial" w:eastAsia="Arial" w:hAnsi="Arial"/>
                <w:sz w:val="22"/>
                <w:szCs w:val="22"/>
                <w:color w:val="auto"/>
                <w:vertAlign w:val="superscript"/>
              </w:rPr>
              <w:t>(1)</w:t>
            </w: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3,435</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r>
      <w:tr>
        <w:trPr>
          <w:trHeight w:val="225"/>
        </w:trPr>
        <w:tc>
          <w:tcPr>
            <w:tcW w:w="9140" w:type="dxa"/>
            <w:vAlign w:val="bottom"/>
          </w:tcPr>
          <w:p>
            <w:pPr>
              <w:ind w:left="20"/>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6,686</w:t>
            </w:r>
          </w:p>
        </w:tc>
      </w:tr>
      <w:tr>
        <w:trPr>
          <w:trHeight w:val="226"/>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r>
      <w:tr>
        <w:trPr>
          <w:trHeight w:val="225"/>
        </w:trPr>
        <w:tc>
          <w:tcPr>
            <w:tcW w:w="9140" w:type="dxa"/>
            <w:vAlign w:val="bottom"/>
          </w:tcPr>
          <w:p>
            <w:pPr>
              <w:ind w:left="20"/>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6,686</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r>
      <w:tr>
        <w:trPr>
          <w:trHeight w:val="219"/>
        </w:trPr>
        <w:tc>
          <w:tcPr>
            <w:tcW w:w="9140" w:type="dxa"/>
            <w:vAlign w:val="bottom"/>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42,610</w:t>
            </w: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4"/>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six months ending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operating leases for office facilities and finance leases for office equipment. The components of lease expense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5460" w:type="dxa"/>
            <w:vAlign w:val="bottom"/>
          </w:tcPr>
          <w:p>
            <w:pPr>
              <w:ind w:left="220"/>
              <w:spacing w:after="0"/>
              <w:rPr>
                <w:sz w:val="20"/>
                <w:szCs w:val="20"/>
                <w:color w:val="auto"/>
              </w:rPr>
            </w:pPr>
            <w:r>
              <w:rPr>
                <w:rFonts w:ascii="Arial" w:cs="Arial" w:eastAsia="Arial" w:hAnsi="Arial"/>
                <w:sz w:val="18"/>
                <w:szCs w:val="18"/>
                <w:color w:val="auto"/>
              </w:rPr>
              <w:t>Amortization of ROU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5"/>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546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Rent expense for short-term leases in the three and six months ended June 30, 2021 and 2020 was not material.</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June 30, 2021</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2"/>
        </w:trPr>
        <w:tc>
          <w:tcPr>
            <w:tcW w:w="8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20" w:type="dxa"/>
            <w:vAlign w:val="bottom"/>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9.9 years</w:t>
            </w: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10.0 years</w:t>
            </w:r>
          </w:p>
        </w:tc>
        <w:tc>
          <w:tcPr>
            <w:tcW w:w="0" w:type="dxa"/>
            <w:vAlign w:val="bottom"/>
          </w:tcPr>
          <w:p>
            <w:pPr>
              <w:spacing w:after="0"/>
              <w:rPr>
                <w:sz w:val="1"/>
                <w:szCs w:val="1"/>
                <w:color w:val="auto"/>
              </w:rPr>
            </w:pPr>
          </w:p>
        </w:tc>
      </w:tr>
      <w:tr>
        <w:trPr>
          <w:trHeight w:val="22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In the three and six months ended June 30, 2021, we did not obtain any right of use assets in exchange for lease liabilities. During the three and six months ended June 30, 2020, we obtained $0.7 million of right of use assets related to operating lease liabilities.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Maturities of operating lease liabilities at June 30, 2021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9820" w:type="dxa"/>
            <w:vAlign w:val="bottom"/>
          </w:tcPr>
          <w:p>
            <w:pPr>
              <w:ind w:left="20"/>
              <w:spacing w:after="0" w:line="225" w:lineRule="exact"/>
              <w:rPr>
                <w:sz w:val="20"/>
                <w:szCs w:val="20"/>
                <w:color w:val="auto"/>
              </w:rPr>
            </w:pPr>
            <w:r>
              <w:rPr>
                <w:rFonts w:ascii="Arial" w:cs="Arial" w:eastAsia="Arial" w:hAnsi="Arial"/>
                <w:sz w:val="18"/>
                <w:szCs w:val="18"/>
                <w:color w:val="auto"/>
              </w:rPr>
              <w:t>2021</w:t>
            </w:r>
            <w:r>
              <w:rPr>
                <w:rFonts w:ascii="Arial" w:cs="Arial" w:eastAsia="Arial" w:hAnsi="Arial"/>
                <w:sz w:val="22"/>
                <w:szCs w:val="22"/>
                <w:color w:val="auto"/>
                <w:vertAlign w:val="superscript"/>
              </w:rPr>
              <w:t>(1)</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1,419</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7,689</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7,405</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44,499</w:t>
            </w:r>
          </w:p>
        </w:tc>
      </w:tr>
      <w:tr>
        <w:trPr>
          <w:trHeight w:val="219"/>
        </w:trPr>
        <w:tc>
          <w:tcPr>
            <w:tcW w:w="982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76,872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(19,489)</w:t>
            </w:r>
          </w:p>
        </w:tc>
      </w:tr>
      <w:tr>
        <w:trPr>
          <w:trHeight w:val="219"/>
        </w:trPr>
        <w:tc>
          <w:tcPr>
            <w:tcW w:w="9820" w:type="dxa"/>
            <w:vAlign w:val="bottom"/>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57,383</w:t>
            </w:r>
          </w:p>
        </w:tc>
      </w:tr>
      <w:tr>
        <w:trPr>
          <w:trHeight w:val="20"/>
        </w:trPr>
        <w:tc>
          <w:tcPr>
            <w:tcW w:w="9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4"/>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six months ending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July 2020, we entered into a $45.0 million senior secured credit facility (“2020 Credit Facility”) with Silicon Valley Bank in connection with the expiration of our $25.0 million revolving credit facility. The 2020 Credit Facility bears interest at either LIBOR plus 2%, with a 1% LIBOR floor, or the base rate plus 1%, and terminates on July 24, 2022. A commitment fee of 0.35% per annum is payable quarterly in arrears based on the unused portion. The obligations under the 2020 Credit Facility are secured by a lien on our tangible and intangible property except intellectual property and certain subsidiaries and by a pledge of all of the equity interests of our material direct and indirect domestic subsidiaries and 65% of each class of capital stock of any material first-tier foreign subsidiaries, subject to limited exceptions. The 2020 Credit Facility includes a $45.0 million uncommitted expansion, as well as a $10.0 million sublimit for the issuance of letters of credit and a swingline sub-facility of up to $10.0 million, and has a financial covenant requiring a minimum consolidated quick ratio of at least 1.5:1.0 on the last day of each quarter.</w:t>
      </w:r>
    </w:p>
    <w:p>
      <w:pPr>
        <w:spacing w:after="0" w:line="21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During the six months ended June 30, 2021, there were no amounts outstanding under our 2020 Credit Facility. At June 30, 2021, we were in compliance with the financial covenant and our borrowing capacity was reduced by $5.5 million related to standby letters of credit.</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July 2021, the 2020 Credit Facility was terminated. See Note 13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June 30, 2021, there were 20,239,030 shares available for grant under our 2018 Equity Incentive Plan.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9,871</w:t>
            </w:r>
          </w:p>
        </w:tc>
      </w:tr>
      <w:tr>
        <w:trPr>
          <w:trHeight w:val="22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r>
      <w:tr>
        <w:trPr>
          <w:trHeight w:val="22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w:t>
            </w:r>
          </w:p>
        </w:tc>
      </w:tr>
      <w:tr>
        <w:trPr>
          <w:trHeight w:val="244"/>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At June 30, 2021, the unrecognized stock-based compensation expense related to unvested restricted stock units ("RSUs") was $196.9 million, which is expected to be recognized over an estimated remaining weighted average period of 3.1 years.</w:t>
      </w:r>
    </w:p>
    <w:p>
      <w:pPr>
        <w:spacing w:after="0" w:line="203" w:lineRule="exact"/>
        <w:rPr>
          <w:sz w:val="20"/>
          <w:szCs w:val="20"/>
          <w:color w:val="auto"/>
        </w:rPr>
      </w:pPr>
    </w:p>
    <w:p>
      <w:pPr>
        <w:ind w:right="400" w:firstLine="318"/>
        <w:spacing w:after="0" w:line="251" w:lineRule="auto"/>
        <w:rPr>
          <w:sz w:val="20"/>
          <w:szCs w:val="20"/>
          <w:color w:val="auto"/>
        </w:rPr>
      </w:pPr>
      <w:r>
        <w:rPr>
          <w:rFonts w:ascii="Arial" w:cs="Arial" w:eastAsia="Arial" w:hAnsi="Arial"/>
          <w:sz w:val="18"/>
          <w:szCs w:val="18"/>
          <w:color w:val="auto"/>
        </w:rPr>
        <w:t>At June 30, 2021, the unrecognized stock-based compensation expense related to outstanding stock options was $6.0 million, which is expected to be recognized over an estimated remaining weighted average period of 0.9 years.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restricted stock and RSU activity is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Pr>
          <w:p>
            <w:pPr>
              <w:spacing w:after="0"/>
              <w:rPr>
                <w:sz w:val="18"/>
                <w:szCs w:val="18"/>
                <w:color w:val="auto"/>
              </w:rPr>
            </w:pPr>
          </w:p>
        </w:tc>
        <w:tc>
          <w:tcPr>
            <w:tcW w:w="3100" w:type="dxa"/>
            <w:vAlign w:val="bottom"/>
            <w:gridSpan w:val="5"/>
          </w:tcPr>
          <w:p>
            <w:pPr>
              <w:ind w:left="860"/>
              <w:spacing w:after="0"/>
              <w:rPr>
                <w:sz w:val="20"/>
                <w:szCs w:val="20"/>
                <w:color w:val="auto"/>
              </w:rPr>
            </w:pPr>
            <w:r>
              <w:rPr>
                <w:rFonts w:ascii="Arial" w:cs="Arial" w:eastAsia="Arial" w:hAnsi="Arial"/>
                <w:sz w:val="16"/>
                <w:szCs w:val="16"/>
                <w:b w:val="1"/>
                <w:bCs w:val="1"/>
                <w:color w:val="auto"/>
              </w:rPr>
              <w:t>Restricted Stock</w:t>
            </w:r>
          </w:p>
        </w:tc>
        <w:tc>
          <w:tcPr>
            <w:tcW w:w="2960" w:type="dxa"/>
            <w:vAlign w:val="bottom"/>
            <w:gridSpan w:val="4"/>
          </w:tcPr>
          <w:p>
            <w:pPr>
              <w:jc w:val="right"/>
              <w:ind w:right="1175"/>
              <w:spacing w:after="0"/>
              <w:rPr>
                <w:sz w:val="20"/>
                <w:szCs w:val="20"/>
                <w:color w:val="auto"/>
              </w:rPr>
            </w:pPr>
            <w:r>
              <w:rPr>
                <w:rFonts w:ascii="Arial" w:cs="Arial" w:eastAsia="Arial" w:hAnsi="Arial"/>
                <w:sz w:val="16"/>
                <w:szCs w:val="16"/>
                <w:b w:val="1"/>
                <w:bCs w:val="1"/>
                <w:color w:val="auto"/>
              </w:rPr>
              <w:t>RSUs</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35"/>
              <w:spacing w:after="0" w:line="155" w:lineRule="exact"/>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rPr>
              <w:t>Average</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5"/>
              <w:spacing w:after="0" w:line="159"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9"/>
        </w:trPr>
        <w:tc>
          <w:tcPr>
            <w:tcW w:w="5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 data)</w:t>
            </w:r>
          </w:p>
        </w:tc>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rPr>
              <w:t>Grant Date Fair</w:t>
            </w:r>
          </w:p>
        </w:tc>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5"/>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0" w:type="dxa"/>
            <w:vAlign w:val="bottom"/>
          </w:tcPr>
          <w:p>
            <w:pPr>
              <w:spacing w:after="0"/>
              <w:rPr>
                <w:sz w:val="1"/>
                <w:szCs w:val="1"/>
                <w:color w:val="auto"/>
              </w:rPr>
            </w:pPr>
          </w:p>
        </w:tc>
      </w:tr>
      <w:tr>
        <w:trPr>
          <w:trHeight w:val="212"/>
        </w:trPr>
        <w:tc>
          <w:tcPr>
            <w:tcW w:w="518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balance at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b w:val="1"/>
                <w:bCs w:val="1"/>
                <w:i w:val="1"/>
                <w:iCs w:val="1"/>
                <w:color w:val="auto"/>
              </w:rPr>
              <w:t>Stock Options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1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180" w:type="dxa"/>
            <w:vAlign w:val="bottom"/>
          </w:tcPr>
          <w:p>
            <w:pPr>
              <w:ind w:left="320"/>
              <w:spacing w:after="0"/>
              <w:rPr>
                <w:sz w:val="20"/>
                <w:szCs w:val="20"/>
                <w:color w:val="auto"/>
              </w:rPr>
            </w:pPr>
            <w:r>
              <w:rPr>
                <w:rFonts w:ascii="Arial" w:cs="Arial" w:eastAsia="Arial" w:hAnsi="Arial"/>
                <w:sz w:val="18"/>
                <w:szCs w:val="18"/>
                <w:color w:val="auto"/>
              </w:rPr>
              <w:t>A summary of our stock option activity is presented below:</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8"/>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9"/>
        </w:trPr>
        <w:tc>
          <w:tcPr>
            <w:tcW w:w="5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exercise prices and years)</w:t>
            </w:r>
          </w:p>
        </w:tc>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rPr>
              <w:t>Average</w:t>
            </w:r>
          </w:p>
        </w:tc>
        <w:tc>
          <w:tcPr>
            <w:tcW w:w="14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Contractual Term</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18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8"/>
              </w:rPr>
              <w:t>Exercise Price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8"/>
              </w:rPr>
              <w:t>Intrinsic Value</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412,547</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44,483</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267,365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224,561</w:t>
            </w:r>
          </w:p>
        </w:tc>
        <w:tc>
          <w:tcPr>
            <w:tcW w:w="0" w:type="dxa"/>
            <w:vAlign w:val="bottom"/>
          </w:tcPr>
          <w:p>
            <w:pPr>
              <w:spacing w:after="0" w:line="20" w:lineRule="exact"/>
              <w:rPr>
                <w:sz w:val="1"/>
                <w:szCs w:val="1"/>
                <w:color w:val="auto"/>
              </w:rPr>
            </w:pPr>
          </w:p>
        </w:tc>
      </w:tr>
      <w:tr>
        <w:trPr>
          <w:trHeight w:val="198"/>
        </w:trPr>
        <w:tc>
          <w:tcPr>
            <w:tcW w:w="5180" w:type="dxa"/>
            <w:vAlign w:val="bottom"/>
          </w:tcPr>
          <w:p>
            <w:pPr>
              <w:ind w:left="180"/>
              <w:spacing w:after="0" w:line="198" w:lineRule="exact"/>
              <w:rPr>
                <w:sz w:val="20"/>
                <w:szCs w:val="20"/>
                <w:color w:val="auto"/>
              </w:rPr>
            </w:pPr>
            <w:r>
              <w:rPr>
                <w:rFonts w:ascii="Arial" w:cs="Arial" w:eastAsia="Arial" w:hAnsi="Arial"/>
                <w:sz w:val="18"/>
                <w:szCs w:val="18"/>
                <w:color w:val="auto"/>
              </w:rPr>
              <w:t>Exercisable at June 30, 2021</w:t>
            </w:r>
          </w:p>
        </w:tc>
        <w:tc>
          <w:tcPr>
            <w:tcW w:w="14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6,584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198" w:lineRule="exact"/>
              <w:rPr>
                <w:sz w:val="20"/>
                <w:szCs w:val="20"/>
                <w:color w:val="auto"/>
              </w:rPr>
            </w:pPr>
            <w:r>
              <w:rPr>
                <w:rFonts w:ascii="Arial" w:cs="Arial" w:eastAsia="Arial" w:hAnsi="Arial"/>
                <w:sz w:val="18"/>
                <w:szCs w:val="18"/>
                <w:color w:val="auto"/>
              </w:rPr>
              <w:t>7.24</w:t>
            </w:r>
          </w:p>
        </w:tc>
        <w:tc>
          <w:tcPr>
            <w:tcW w:w="120" w:type="dxa"/>
            <w:vAlign w:val="bottom"/>
          </w:tcPr>
          <w:p>
            <w:pPr>
              <w:spacing w:after="0"/>
              <w:rPr>
                <w:sz w:val="17"/>
                <w:szCs w:val="17"/>
                <w:color w:val="auto"/>
              </w:rPr>
            </w:pPr>
          </w:p>
        </w:tc>
        <w:tc>
          <w:tcPr>
            <w:tcW w:w="1420" w:type="dxa"/>
            <w:vAlign w:val="bottom"/>
          </w:tcPr>
          <w:p>
            <w:pPr>
              <w:jc w:val="center"/>
              <w:spacing w:after="0" w:line="198" w:lineRule="exact"/>
              <w:rPr>
                <w:sz w:val="20"/>
                <w:szCs w:val="20"/>
                <w:color w:val="auto"/>
              </w:rPr>
            </w:pPr>
            <w:r>
              <w:rPr>
                <w:rFonts w:ascii="Arial" w:cs="Arial" w:eastAsia="Arial" w:hAnsi="Arial"/>
                <w:sz w:val="18"/>
                <w:szCs w:val="18"/>
                <w:color w:val="auto"/>
                <w:w w:val="95"/>
              </w:rPr>
              <w:t>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June 30, 2021, there were 8.2 million stock options that were vested and expected to vest.</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June 30, 2021, there were 6,587,717 shares reserved for issuance under our 2018 Employee Stock Purchase Plan ("2018 ESPP").</w:t>
      </w:r>
    </w:p>
    <w:p>
      <w:pPr>
        <w:spacing w:after="0" w:line="217"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In the six months ended June 30, 2021, employees purchased 399,187 shares of our common stock at a weighted average price of $20.16 per share, resulting in $8.0 million of cash proceeds.</w:t>
      </w:r>
    </w:p>
    <w:p>
      <w:pPr>
        <w:spacing w:after="0" w:line="203"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At June 30, 2021, there was $4.4 million of employee contributions to the 2018 ESPP included in accrued compensation. At June 30, 2021, the unrecognized stock-based compensation expense related to our 2018 ESPP was $2.6 million, which is expected to be recognized over an estimated weighted average period of 0.7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w w:val="98"/>
              </w:rPr>
              <w:t>Six Months Ended June 30,</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8"/>
        </w:trPr>
        <w:tc>
          <w:tcPr>
            <w:tcW w:w="67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2020</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52.0%</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 59.4%</w:t>
            </w:r>
          </w:p>
        </w:tc>
        <w:tc>
          <w:tcPr>
            <w:tcW w:w="98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20"/>
              <w:spacing w:after="0"/>
              <w:rPr>
                <w:sz w:val="20"/>
                <w:szCs w:val="20"/>
                <w:color w:val="auto"/>
              </w:rPr>
            </w:pPr>
            <w:r>
              <w:rPr>
                <w:rFonts w:ascii="Arial" w:cs="Arial" w:eastAsia="Arial" w:hAnsi="Arial"/>
                <w:sz w:val="18"/>
                <w:szCs w:val="18"/>
                <w:color w:val="auto"/>
              </w:rPr>
              <w:t>47.9%</w:t>
            </w: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80" w:type="dxa"/>
            <w:vAlign w:val="bottom"/>
            <w:gridSpan w:val="2"/>
            <w:shd w:val="clear" w:color="auto" w:fill="CCEEFF"/>
          </w:tcPr>
          <w:p>
            <w:pPr>
              <w:jc w:val="right"/>
              <w:ind w:right="794"/>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w:t>
            </w:r>
          </w:p>
        </w:tc>
      </w:tr>
      <w:tr>
        <w:trPr>
          <w:trHeight w:val="224"/>
        </w:trPr>
        <w:tc>
          <w:tcPr>
            <w:tcW w:w="6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9"/>
                <w:szCs w:val="19"/>
                <w:color w:val="auto"/>
              </w:rPr>
            </w:pPr>
          </w:p>
        </w:tc>
      </w:tr>
    </w:tbl>
    <w:p>
      <w:pPr>
        <w:spacing w:after="0" w:line="292"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As we now have sufficient history as a public company, in 2021 we began using the volatility of our common stock to calculate expected volatility. Previously, we used the volatility of the common stock of similar peer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440" w:type="dxa"/>
            <w:vAlign w:val="bottom"/>
          </w:tcPr>
          <w:p>
            <w:pPr>
              <w:spacing w:after="0"/>
              <w:rPr>
                <w:sz w:val="18"/>
                <w:szCs w:val="18"/>
                <w:color w:val="auto"/>
              </w:rPr>
            </w:pPr>
          </w:p>
        </w:tc>
        <w:tc>
          <w:tcPr>
            <w:tcW w:w="2940" w:type="dxa"/>
            <w:vAlign w:val="bottom"/>
            <w:gridSpan w:val="3"/>
          </w:tcPr>
          <w:p>
            <w:pPr>
              <w:ind w:left="300"/>
              <w:spacing w:after="0"/>
              <w:rPr>
                <w:sz w:val="20"/>
                <w:szCs w:val="20"/>
                <w:color w:val="auto"/>
              </w:rPr>
            </w:pPr>
            <w:r>
              <w:rPr>
                <w:rFonts w:ascii="Arial" w:cs="Arial" w:eastAsia="Arial" w:hAnsi="Arial"/>
                <w:sz w:val="16"/>
                <w:szCs w:val="16"/>
                <w:b w:val="1"/>
                <w:bCs w:val="1"/>
                <w:color w:val="auto"/>
              </w:rPr>
              <w:t>Three Months Ended June 30,</w:t>
            </w:r>
          </w:p>
        </w:tc>
        <w:tc>
          <w:tcPr>
            <w:tcW w:w="2840" w:type="dxa"/>
            <w:vAlign w:val="bottom"/>
            <w:gridSpan w:val="2"/>
          </w:tcPr>
          <w:p>
            <w:pPr>
              <w:jc w:val="right"/>
              <w:ind w:right="301"/>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40" w:type="dxa"/>
            <w:vAlign w:val="bottom"/>
          </w:tcPr>
          <w:p>
            <w:pPr>
              <w:spacing w:after="0"/>
              <w:rPr>
                <w:sz w:val="20"/>
                <w:szCs w:val="20"/>
                <w:color w:val="auto"/>
              </w:rPr>
            </w:pPr>
            <w:r>
              <w:rPr>
                <w:rFonts w:ascii="Arial" w:cs="Arial" w:eastAsia="Arial" w:hAnsi="Arial"/>
                <w:sz w:val="16"/>
                <w:szCs w:val="16"/>
                <w:b w:val="1"/>
                <w:bCs w:val="1"/>
                <w:color w:val="auto"/>
              </w:rPr>
              <w:t>(in thousands, except per share data)</w:t>
            </w:r>
          </w:p>
        </w:tc>
        <w:tc>
          <w:tcPr>
            <w:tcW w:w="142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6"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7134860" cy="252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pacing w:after="0" w:line="290" w:lineRule="exact"/>
        <w:rPr>
          <w:sz w:val="20"/>
          <w:szCs w:val="20"/>
          <w:color w:val="auto"/>
        </w:rPr>
      </w:pPr>
    </w:p>
    <w:p>
      <w:pPr>
        <w:ind w:left="100" w:right="220" w:hanging="78"/>
        <w:spacing w:after="0" w:line="222" w:lineRule="auto"/>
        <w:rPr>
          <w:sz w:val="20"/>
          <w:szCs w:val="20"/>
          <w:color w:val="auto"/>
        </w:rPr>
      </w:pPr>
      <w:r>
        <w:rPr>
          <w:rFonts w:ascii="Arial" w:cs="Arial" w:eastAsia="Arial" w:hAnsi="Arial"/>
          <w:sz w:val="18"/>
          <w:szCs w:val="18"/>
          <w:color w:val="auto"/>
        </w:rPr>
        <w:t>Weighted-average shares used to compute net loss per share, basic and diluted</w:t>
      </w:r>
    </w:p>
    <w:p>
      <w:pPr>
        <w:spacing w:after="0" w:line="41"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Net loss per share, basic and 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jc w:val="right"/>
              <w:ind w:right="52"/>
              <w:spacing w:after="0"/>
              <w:rPr>
                <w:sz w:val="20"/>
                <w:szCs w:val="20"/>
                <w:color w:val="auto"/>
              </w:rPr>
            </w:pPr>
            <w:r>
              <w:rPr>
                <w:rFonts w:ascii="Arial" w:cs="Arial" w:eastAsia="Arial" w:hAnsi="Arial"/>
                <w:sz w:val="18"/>
                <w:szCs w:val="18"/>
                <w:color w:val="auto"/>
                <w:w w:val="98"/>
              </w:rPr>
              <w:t>(11,638)</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(34,937)</w:t>
            </w:r>
          </w:p>
        </w:tc>
      </w:tr>
      <w:tr>
        <w:trPr>
          <w:trHeight w:val="20"/>
        </w:trPr>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02"/>
        </w:trPr>
        <w:tc>
          <w:tcPr>
            <w:tcW w:w="820" w:type="dxa"/>
            <w:vAlign w:val="bottom"/>
          </w:tcPr>
          <w:p>
            <w:pPr>
              <w:jc w:val="right"/>
              <w:ind w:right="92"/>
              <w:spacing w:after="0"/>
              <w:rPr>
                <w:sz w:val="20"/>
                <w:szCs w:val="20"/>
                <w:color w:val="auto"/>
              </w:rPr>
            </w:pPr>
            <w:r>
              <w:rPr>
                <w:rFonts w:ascii="Arial" w:cs="Arial" w:eastAsia="Arial" w:hAnsi="Arial"/>
                <w:sz w:val="18"/>
                <w:szCs w:val="18"/>
                <w:color w:val="auto"/>
                <w:w w:val="95"/>
              </w:rPr>
              <w:t>105,869</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105,203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99,532</w:t>
            </w:r>
          </w:p>
        </w:tc>
      </w:tr>
      <w:tr>
        <w:trPr>
          <w:trHeight w:val="20"/>
        </w:trPr>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8"/>
        </w:trPr>
        <w:tc>
          <w:tcPr>
            <w:tcW w:w="820" w:type="dxa"/>
            <w:vAlign w:val="bottom"/>
          </w:tcPr>
          <w:p>
            <w:pPr>
              <w:jc w:val="right"/>
              <w:ind w:right="52"/>
              <w:spacing w:after="0"/>
              <w:rPr>
                <w:sz w:val="20"/>
                <w:szCs w:val="20"/>
                <w:color w:val="auto"/>
              </w:rPr>
            </w:pPr>
            <w:r>
              <w:rPr>
                <w:rFonts w:ascii="Arial" w:cs="Arial" w:eastAsia="Arial" w:hAnsi="Arial"/>
                <w:sz w:val="18"/>
                <w:szCs w:val="18"/>
                <w:color w:val="auto"/>
              </w:rPr>
              <w:t>(0.11)</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r>
      <w:tr>
        <w:trPr>
          <w:trHeight w:val="20"/>
        </w:trPr>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-33020</wp:posOffset>
            </wp:positionV>
            <wp:extent cx="866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775"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-7620</wp:posOffset>
            </wp:positionV>
            <wp:extent cx="866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775"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-184785</wp:posOffset>
            </wp:positionV>
            <wp:extent cx="866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775"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-605155</wp:posOffset>
            </wp:positionV>
            <wp:extent cx="866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540"/>
            <w:col w:w="5120"/>
          </w:cols>
          <w:pgMar w:left="320" w:top="140" w:right="339" w:bottom="1440" w:gutter="0" w:footer="0" w:header="0"/>
          <w:type w:val="continuous"/>
        </w:sectPr>
      </w:pPr>
    </w:p>
    <w:p>
      <w:pPr>
        <w:spacing w:after="0" w:line="104" w:lineRule="exact"/>
        <w:rPr>
          <w:sz w:val="20"/>
          <w:szCs w:val="20"/>
          <w:color w:val="auto"/>
        </w:rPr>
      </w:pPr>
    </w:p>
    <w:p>
      <w:pPr>
        <w:ind w:right="500" w:firstLine="318"/>
        <w:spacing w:after="0" w:line="251"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2280" w:type="dxa"/>
            <w:vAlign w:val="bottom"/>
            <w:tcBorders>
              <w:bottom w:val="single" w:sz="8" w:color="auto"/>
            </w:tcBorders>
            <w:gridSpan w:val="3"/>
          </w:tcPr>
          <w:p>
            <w:pPr>
              <w:ind w:left="1440"/>
              <w:spacing w:after="0"/>
              <w:rPr>
                <w:sz w:val="20"/>
                <w:szCs w:val="20"/>
                <w:color w:val="auto"/>
              </w:rPr>
            </w:pPr>
            <w:r>
              <w:rPr>
                <w:rFonts w:ascii="Arial" w:cs="Arial" w:eastAsia="Arial" w:hAnsi="Arial"/>
                <w:sz w:val="16"/>
                <w:szCs w:val="16"/>
                <w:b w:val="1"/>
                <w:bCs w:val="1"/>
                <w:color w:val="auto"/>
              </w:rPr>
              <w:t>June 30,</w:t>
            </w:r>
          </w:p>
        </w:tc>
        <w:tc>
          <w:tcPr>
            <w:tcW w:w="1240" w:type="dxa"/>
            <w:vAlign w:val="bottom"/>
            <w:tcBorders>
              <w:bottom w:val="single" w:sz="8" w:color="auto"/>
            </w:tcBorders>
          </w:tcPr>
          <w:p>
            <w:pPr>
              <w:spacing w:after="0"/>
              <w:rPr>
                <w:sz w:val="18"/>
                <w:szCs w:val="18"/>
                <w:color w:val="auto"/>
              </w:rPr>
            </w:pPr>
          </w:p>
        </w:tc>
      </w:tr>
      <w:tr>
        <w:trPr>
          <w:trHeight w:val="21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70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2020</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RSUs</w:t>
            </w:r>
          </w:p>
        </w:tc>
        <w:tc>
          <w:tcPr>
            <w:tcW w:w="1700" w:type="dxa"/>
            <w:vAlign w:val="bottom"/>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5,436</w:t>
            </w:r>
          </w:p>
        </w:tc>
      </w:tr>
      <w:tr>
        <w:trPr>
          <w:trHeight w:val="22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22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44"/>
        </w:trPr>
        <w:tc>
          <w:tcPr>
            <w:tcW w:w="77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9"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 the three months ended June 30, 2021, the income tax benefit included a $1.1 million deferred tax benefit related to the Alsid acquisition, which was partially offset by income taxes in certain foreign jurisdictions in which we conduct business and the related withholding taxes on sales with customers.</w:t>
      </w:r>
    </w:p>
    <w:p>
      <w:pPr>
        <w:spacing w:after="0" w:line="20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Additionally, in the six months ended June 30, 2021, the provision for income taxes was impacted by discrete items, including $2.8 million of current expense from the restructuring of our research and development operations in Israel, partially offset by $2.6 million of discrete benefits, primarily related to a Supreme Court decision in India on the taxability of software license payments to nonresidents and the associated withholding taxes.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w:t>
      </w:r>
    </w:p>
    <w:p>
      <w:pPr>
        <w:spacing w:after="0" w:line="239"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141,260</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48,192</w:t>
            </w:r>
          </w:p>
        </w:tc>
      </w:tr>
      <w:tr>
        <w:trPr>
          <w:trHeight w:val="22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w:t>
            </w:r>
          </w:p>
        </w:tc>
      </w:tr>
      <w:tr>
        <w:trPr>
          <w:trHeight w:val="219"/>
        </w:trPr>
        <w:tc>
          <w:tcPr>
            <w:tcW w:w="54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209,857</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right="180" w:firstLine="318"/>
        <w:spacing w:after="0" w:line="248" w:lineRule="auto"/>
        <w:rPr>
          <w:sz w:val="20"/>
          <w:szCs w:val="20"/>
          <w:color w:val="auto"/>
        </w:rPr>
      </w:pPr>
      <w:r>
        <w:rPr>
          <w:rFonts w:ascii="Arial" w:cs="Arial" w:eastAsia="Arial" w:hAnsi="Arial"/>
          <w:sz w:val="18"/>
          <w:szCs w:val="18"/>
          <w:color w:val="auto"/>
        </w:rPr>
        <w:t>Customers located in the United States accounted for 59%, 61%, 59% and 62% of revenue in the three months ended June 30, 2021 and 2020 and the six months ended June 30, 2021 and 2020, respectively. No other country accounted for 10% or more of revenue in the periods presented.</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6"/>
                <w:szCs w:val="16"/>
                <w:color w:val="auto"/>
              </w:rPr>
            </w:pPr>
          </w:p>
        </w:tc>
        <w:tc>
          <w:tcPr>
            <w:tcW w:w="1280" w:type="dxa"/>
            <w:vAlign w:val="bottom"/>
          </w:tcPr>
          <w:p>
            <w:pPr>
              <w:jc w:val="right"/>
              <w:ind w:right="11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35,406</w:t>
            </w:r>
          </w:p>
        </w:tc>
        <w:tc>
          <w:tcPr>
            <w:tcW w:w="0" w:type="dxa"/>
            <w:vAlign w:val="bottom"/>
          </w:tcPr>
          <w:p>
            <w:pPr>
              <w:spacing w:after="0"/>
              <w:rPr>
                <w:sz w:val="1"/>
                <w:szCs w:val="1"/>
                <w:color w:val="auto"/>
              </w:rPr>
            </w:pPr>
          </w:p>
        </w:tc>
      </w:tr>
      <w:tr>
        <w:trPr>
          <w:trHeight w:val="22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320" w:right="9300" w:hanging="314"/>
        <w:spacing w:after="0" w:line="504" w:lineRule="auto"/>
        <w:tabs>
          <w:tab w:leader="none" w:pos="29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Term Loan</w:t>
      </w:r>
    </w:p>
    <w:p>
      <w:pPr>
        <w:spacing w:after="0" w:line="1"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July 2021, we entered into a credit agreement ("Credit Agreement") which is comprised of a $375.0 million senior secured term loan facility ("Term Loan") and a $50.0 million senior secured revolving credit facility ("Revolving Credit Facility") with a $15.0 million letter of credit sublimit. The Term Loan bears interest at a rate of 2.75% per annum over LIBOR, subject to a 0.50% floor. The Term Loan will amortize at 1% per annum in equal quarterly installments, starting in March 2022 until the final maturity date on July 7, 2028. The Revolving Credit Facility bears interest at a rate, depending on first lien net leverage, ranging from 2.00% to 2.50% over LIBOR and matures on July 7, 2026. We will pay a commitment fee during the term of the Credit Agreement ranging from 0.25% to 0.375% per annum of the average daily undrawn portion of the revolving commitments based on the first lien net leverage ratio. The Credit Agreement contains customary representations and warranties and affirmative and negative covenants. Additionally, if at least 35% of the Revolving Credit Facility is drawn on the last day of the quarter, the total net leverage ratio cannot be greater than 5.50 to 1.00. Since the closing date, there have been no amounts outstanding under the Revolving Credit Facility.</w:t>
      </w:r>
    </w:p>
    <w:p>
      <w:pPr>
        <w:spacing w:after="0" w:line="210"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In connection with the Credit Agreement, we terminated the 2020 Credit Facility, which included the release of all related guarantees and liens.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Commitments</w:t>
      </w:r>
    </w:p>
    <w:p>
      <w:pPr>
        <w:spacing w:after="0" w:line="239"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 July 2021, we entered into a contract with Amazon Web Services, Inc. for cloud services from August 2021 through July 2024. Under the terms of the contract, we committed to spend $43.7 million, $46.8 million and $50.1 million in contract years 1, 2 and 3, respectively, for a total spend of $140.6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2020, or the 10-K, filed with the Securities and Exchange Commission on February 23, 2021.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ind w:right="960" w:firstLine="318"/>
        <w:spacing w:after="0" w:line="251" w:lineRule="auto"/>
        <w:rPr>
          <w:sz w:val="20"/>
          <w:szCs w:val="20"/>
          <w:color w:val="auto"/>
        </w:rPr>
      </w:pPr>
      <w:r>
        <w:rPr>
          <w:rFonts w:ascii="Arial" w:cs="Arial" w:eastAsia="Arial" w:hAnsi="Arial"/>
          <w:sz w:val="18"/>
          <w:szCs w:val="18"/>
          <w:color w:val="auto"/>
        </w:rPr>
        <w:t>We are a leading provider of Cyber Exposure solutions. Cyber Exposure is a discipline for managing, measuring and comparing cybersecurity risk in the digital era.</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April 2021, we acquired Alsid SAS, a leader in securing Active Directory, for a purchase price of $98.5 million.</w:t>
      </w:r>
    </w:p>
    <w:p>
      <w:pPr>
        <w:spacing w:after="0" w:line="21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Our enterprise platform offerings include Tenable.io, which is our cloud-delivered software as a service, or SaaS, offering and Tenable.sc, which is our on-premises offering, both of which provide organizations with a risk-based view of traditional and modern attack surfaces. These applications are designed with views, workflows and dashboards to deliver a complete and continuous view of all assets, both known and previously unknown, and any associated vulnerabilities, internal and regulatory compliance violations, misconfigurations and other cybersecurity issues, prioritize these issues for remediation based on risk assessment and predictive analytics, and provide insightful remediation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enterprise platform offerings also include:</w:t>
      </w:r>
    </w:p>
    <w:p>
      <w:pPr>
        <w:spacing w:after="0" w:line="217" w:lineRule="exact"/>
        <w:rPr>
          <w:sz w:val="20"/>
          <w:szCs w:val="20"/>
          <w:color w:val="auto"/>
        </w:rPr>
      </w:pPr>
    </w:p>
    <w:p>
      <w:pPr>
        <w:ind w:left="640" w:right="50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Tenable.ot - our solution that provides threat detection and mitigation, asset tracking, vulnerability management, and configuration control capabilities to protect operational technology, or OT, environments, including industrial networks.</w:t>
      </w:r>
    </w:p>
    <w:p>
      <w:pPr>
        <w:spacing w:after="0" w:line="203" w:lineRule="exact"/>
        <w:rPr>
          <w:rFonts w:ascii="Arial" w:cs="Arial" w:eastAsia="Arial" w:hAnsi="Arial"/>
          <w:sz w:val="18"/>
          <w:szCs w:val="18"/>
          <w:color w:val="auto"/>
        </w:rPr>
      </w:pPr>
    </w:p>
    <w:p>
      <w:pPr>
        <w:ind w:left="640" w:right="420" w:hanging="316"/>
        <w:spacing w:after="0" w:line="251" w:lineRule="auto"/>
        <w:tabs>
          <w:tab w:leader="none" w:pos="63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Tenable.ad - our solution to secure Active Directory environments by enabling users to find and fix existing weaknesses and detect ongoing attacks in real time without the need to deploy agents or use privileged accounts.</w:t>
      </w:r>
    </w:p>
    <w:p>
      <w:pPr>
        <w:spacing w:after="0" w:line="203"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Our enterprise platform offerings are primarily sold on a subscription basis with a one-year term. Our subscription terms are generally not longer than three years. These offerings are typically prepaid in advance. To a lesser extent, we recognize revenue ratably from perpetual licenses and from the related ongoing maintenance.</w:t>
      </w:r>
    </w:p>
    <w:p>
      <w:pPr>
        <w:spacing w:after="0" w:line="206"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6" w:lineRule="exact"/>
        <w:rPr>
          <w:sz w:val="20"/>
          <w:szCs w:val="20"/>
          <w:color w:val="auto"/>
        </w:rPr>
      </w:pPr>
    </w:p>
    <w:p>
      <w:pPr>
        <w:ind w:right="880" w:firstLine="318"/>
        <w:spacing w:after="0" w:line="251"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most widely deployed vulnerability assessment solutions in the cybersecurity industry. Nessus, which is the technology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underpins our enterprise platform offerings, is designed to quickly and accurately identify security vulnerabilities, configuration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a significant number of users to continue to use Nessus Essentials.</w:t>
      </w:r>
    </w:p>
    <w:p>
      <w:pPr>
        <w:spacing w:after="0" w:line="20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There have been more than 2.5 million cumulative unique downloads of Nessus Essentials, which refers to an individual email address utilized to register for the use of the product. We believe that the cumulative number of unique downloads of the free version of Nessus is representative of our brand recognition among cybersecurity professionals and that continued growth in this number suggests broader awareness among potential customers. While we believe that the cumulative number of unique downloads may provide an indication of the growth and scale of our thought leadership and brand awareness, we do not expect this metric to necessarily correlate to future revenue growth opportunities, and we do not consider this metric a measure of our operating performance.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in the three months ended June 30, 2021 and 2020 and the six months ended June 30, 2021 and 2020 was $130.3 million,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$107.2 million, $253.4 million and $209.9 million, respectively, representing year-over-year growth of 22% and 21% in the quarterly and year-to-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date periods, respectively. Our recurring revenue, which includes revenue from subscription arrangements for software and cloud-based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solutions and maintenance associated with perpetual licenses, represented 94% of revenue in the three and six months ended June 30, 2021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and 93% of revenue in the three and six months ended June 30, 2020. Our net loss in the three months ended June 30, 2021 and 2020 and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2021 and 2020 was $11.6 million, $12.0 million, $19.4 million and $34.9 million, respectively, as we continue to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invest in our business and market opportunity. Our cash flows from operating activities were $16.5 million, $17.0 million, $55.2 million and $21.5</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million in the three months ended June 30, 2021 and 2020 and the six months ended June 30, 2021 and 2020, respectively.</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COVID-19 Update</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continue to monitor the impact of the COVID-19 pandemic on our customers, partners, employees and service providers. While we have not seen a significant adverse impact on our business from the pandemic, the extent to which it will impact our business and operations will depend on future developments that are highly uncertain. We have resumed limited business travel and adopted a hybrid work environment, which we expect will lead to additional costs. For additional information on the potential effects of the COVID-19 pandemic on our business, financial condition and results of operations, see the "Liquidity and Capital Resources" section below and “Risk Factors” in Part II, Item 1A of this Form 10-Q.</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our key financial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209,857</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(32,237)</w:t>
            </w:r>
          </w:p>
        </w:tc>
      </w:tr>
      <w:tr>
        <w:trPr>
          <w:trHeight w:val="22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(34,937)</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2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w:t>
            </w:r>
          </w:p>
        </w:tc>
      </w:tr>
      <w:tr>
        <w:trPr>
          <w:trHeight w:val="224"/>
        </w:trPr>
        <w:tc>
          <w:tcPr>
            <w:tcW w:w="54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(11,004)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39" w:lineRule="exact"/>
        <w:rPr>
          <w:sz w:val="20"/>
          <w:szCs w:val="20"/>
          <w:color w:val="auto"/>
        </w:rPr>
      </w:pPr>
    </w:p>
    <w:p>
      <w:pPr>
        <w:ind w:right="760" w:firstLine="318"/>
        <w:spacing w:after="0" w:line="251" w:lineRule="auto"/>
        <w:rPr>
          <w:sz w:val="20"/>
          <w:szCs w:val="20"/>
          <w:color w:val="auto"/>
        </w:rPr>
      </w:pPr>
      <w:r>
        <w:rPr>
          <w:rFonts w:ascii="Arial" w:cs="Arial" w:eastAsia="Arial" w:hAnsi="Arial"/>
          <w:sz w:val="18"/>
          <w:szCs w:val="18"/>
          <w:color w:val="auto"/>
        </w:rPr>
        <w:t>Our enterprise platform offerings provide visibility into the broadest range of traditional and modern IT assets across cloud and on-premises environments. We are intensely focused on continued innovation and ongoing development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enterprise platform offerings that empower organizations to understand and reduce their cyber exposure. Additionally, we continue to expand the capabilities of our Nessus products, specifically as they relate to the ability to scan for and detect the rapidly expanding volume of vulnerabilities.</w:t>
      </w:r>
    </w:p>
    <w:p>
      <w:pPr>
        <w:spacing w:after="0" w:line="206"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the number of enterprise platform customers will increase future opportunities for renewals and follow-on sales. We believe that we have significant room to increase our market share.</w:t>
      </w:r>
    </w:p>
    <w:p>
      <w:pPr>
        <w:spacing w:after="0" w:line="206"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continue to invest in our partner network and sales and marketing capability in order to grow domestically and internationally.</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39" w:lineRule="exact"/>
        <w:rPr>
          <w:sz w:val="20"/>
          <w:szCs w:val="20"/>
          <w:color w:val="auto"/>
        </w:rPr>
      </w:pPr>
    </w:p>
    <w:p>
      <w:pPr>
        <w:ind w:right="100" w:firstLine="318"/>
        <w:spacing w:after="0" w:line="266" w:lineRule="auto"/>
        <w:rPr>
          <w:sz w:val="20"/>
          <w:szCs w:val="20"/>
          <w:color w:val="auto"/>
        </w:rPr>
      </w:pPr>
      <w:r>
        <w:rPr>
          <w:rFonts w:ascii="Arial" w:cs="Arial" w:eastAsia="Arial" w:hAnsi="Arial"/>
          <w:sz w:val="17"/>
          <w:szCs w:val="17"/>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IoT and OT, they often increase the scope of their subscriptions and/or add additional perpetual licenses to our enterprise platforms.</w:t>
      </w:r>
    </w:p>
    <w:p>
      <w:pPr>
        <w:spacing w:after="0" w:line="193"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these customers to our enterprise platform offerings, which provide continuous visibility and insights into their attack surface, as their needs develop.</w:t>
      </w:r>
    </w:p>
    <w:p>
      <w:pPr>
        <w:spacing w:after="0" w:line="208"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 However, our ability to increase sales to existing customers will depend on a number of factors, including satisfaction or dissatisfaction with our products and services, competition, pricing, current economic conditions or overall changes in our and our clients' spending levels.</w:t>
      </w:r>
    </w:p>
    <w:p>
      <w:pPr>
        <w:spacing w:after="0" w:line="21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We evaluate our ability to expand sales with existing customers by assessing our dollar-based net expansion rate on a last twelve months, or LTM, basis. We have historically calculated our dollar-based net expansion rate as follows:</w:t>
      </w:r>
    </w:p>
    <w:p>
      <w:pPr>
        <w:spacing w:after="0" w:line="203" w:lineRule="exact"/>
        <w:rPr>
          <w:sz w:val="20"/>
          <w:szCs w:val="20"/>
          <w:color w:val="auto"/>
        </w:rPr>
      </w:pPr>
    </w:p>
    <w:p>
      <w:pPr>
        <w:ind w:left="640" w:right="280" w:hanging="316"/>
        <w:spacing w:after="0" w:line="24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7" w:lineRule="exact"/>
        <w:rPr>
          <w:rFonts w:ascii="Arial" w:cs="Arial" w:eastAsia="Arial" w:hAnsi="Arial"/>
          <w:sz w:val="18"/>
          <w:szCs w:val="18"/>
          <w:color w:val="auto"/>
        </w:rPr>
      </w:pPr>
    </w:p>
    <w:p>
      <w:pPr>
        <w:ind w:left="640" w:right="30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17" w:lineRule="exact"/>
        <w:rPr>
          <w:sz w:val="20"/>
          <w:szCs w:val="20"/>
          <w:color w:val="auto"/>
        </w:rPr>
      </w:pPr>
    </w:p>
    <w:p>
      <w:pPr>
        <w:ind w:right="300" w:firstLine="318"/>
        <w:spacing w:after="0" w:line="266" w:lineRule="auto"/>
        <w:rPr>
          <w:sz w:val="20"/>
          <w:szCs w:val="20"/>
          <w:color w:val="auto"/>
        </w:rPr>
      </w:pPr>
      <w:r>
        <w:rPr>
          <w:rFonts w:ascii="Arial" w:cs="Arial" w:eastAsia="Arial" w:hAnsi="Arial"/>
          <w:sz w:val="17"/>
          <w:szCs w:val="17"/>
          <w:color w:val="auto"/>
        </w:rPr>
        <w:t>Our dollar-based net expansion rate for the three months ended June 30, 2021 exceeded 110% on an LTM basis. Our dollar-based net expansion rate may fluctuate from quarter to quarter if our existing customers choose to reduce or delay technology spending in response to economic conditions resulting from the COVID-19 pandemic, or as a result of a number of other factors, including our existing customers' satisfaction with our solutions, the pricing of our solutions and the ability of competing solutions and the pricing thereof.</w:t>
      </w:r>
    </w:p>
    <w:p>
      <w:pPr>
        <w:spacing w:after="0" w:line="193"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have recently utilized an alternative dollar-based net expansion rate to assess our ability to expand sales with existing customers and evaluate the performance of our sales team. This alternative dollar-based net expansion rate is based on the methodology described above, but excludes the annual contract value of prior period multiyear sales from ARR in the numerator and the denominator of the calculation. We believe this methodology more closely aligns with the renewal and expansion goals established for our sales team, because it measures net expansion by customers with contracts up for renewal during the period. Applying this methodology would have increased the dollar-based net expansion rate by two to five percentage points for each of the fiscal quarters in 2020 and both fiscal quarters in 2021.</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We may also explore acquisitions of businesses, technology and/or development personnel that will expand and enhance the functionality of our platform offerings. These investment activities could increase our net losses over the short term if our revenue growth does not increase at higher rates. However, we expect that these investments will ultimately benefit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7"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39" w:lineRule="exact"/>
        <w:rPr>
          <w:sz w:val="20"/>
          <w:szCs w:val="20"/>
          <w:color w:val="auto"/>
        </w:rPr>
      </w:pPr>
    </w:p>
    <w:p>
      <w:pPr>
        <w:jc w:val="both"/>
        <w:ind w:right="20" w:firstLine="318"/>
        <w:spacing w:after="0" w:line="270" w:lineRule="auto"/>
        <w:rPr>
          <w:sz w:val="20"/>
          <w:szCs w:val="20"/>
          <w:color w:val="auto"/>
        </w:rPr>
      </w:pPr>
      <w:r>
        <w:rPr>
          <w:rFonts w:ascii="Arial" w:cs="Arial" w:eastAsia="Arial" w:hAnsi="Arial"/>
          <w:sz w:val="17"/>
          <w:szCs w:val="17"/>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188"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206"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Calculated current billings in any one period may be impacted by the overall timing of sales, including early renewals, as well as the timing and amount of multi-year prepaid contracts, which could favorably or unfavorably impact year-over-year comparisons. For example, an increasing number of large sales transactions, for which the timing has and will continue to vary, may occur in quarters subsequent to or in advance of those that we anticipate.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8"/>
              </w:rPr>
              <w:t>130,259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8"/>
              </w:rPr>
              <w:t>107,209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8"/>
              </w:rPr>
              <w:t>253,448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8"/>
              </w:rPr>
              <w:t>209,857</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Add: Deferred revenue (current), end of period</w:t>
            </w:r>
          </w:p>
        </w:tc>
        <w:tc>
          <w:tcPr>
            <w:tcW w:w="200" w:type="dxa"/>
            <w:vAlign w:val="bottom"/>
          </w:tcPr>
          <w:p>
            <w:pPr>
              <w:spacing w:after="0"/>
              <w:rPr>
                <w:sz w:val="19"/>
                <w:szCs w:val="19"/>
                <w:color w:val="auto"/>
              </w:rPr>
            </w:pPr>
          </w:p>
        </w:tc>
        <w:tc>
          <w:tcPr>
            <w:tcW w:w="1160" w:type="dxa"/>
            <w:vAlign w:val="bottom"/>
          </w:tcPr>
          <w:p>
            <w:pPr>
              <w:jc w:val="center"/>
              <w:ind w:left="315"/>
              <w:spacing w:after="0"/>
              <w:rPr>
                <w:sz w:val="20"/>
                <w:szCs w:val="20"/>
                <w:color w:val="auto"/>
              </w:rPr>
            </w:pPr>
            <w:r>
              <w:rPr>
                <w:rFonts w:ascii="Arial" w:cs="Arial" w:eastAsia="Arial" w:hAnsi="Arial"/>
                <w:sz w:val="18"/>
                <w:szCs w:val="18"/>
                <w:color w:val="auto"/>
                <w:w w:val="98"/>
              </w:rPr>
              <w:t>334,106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173"/>
              <w:spacing w:after="0"/>
              <w:rPr>
                <w:sz w:val="20"/>
                <w:szCs w:val="20"/>
                <w:color w:val="auto"/>
              </w:rPr>
            </w:pPr>
            <w:r>
              <w:rPr>
                <w:rFonts w:ascii="Arial" w:cs="Arial" w:eastAsia="Arial" w:hAnsi="Arial"/>
                <w:sz w:val="18"/>
                <w:szCs w:val="18"/>
                <w:color w:val="auto"/>
                <w:w w:val="98"/>
              </w:rPr>
              <w:t>274,953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left="235"/>
              <w:spacing w:after="0"/>
              <w:rPr>
                <w:sz w:val="20"/>
                <w:szCs w:val="20"/>
                <w:color w:val="auto"/>
              </w:rPr>
            </w:pPr>
            <w:r>
              <w:rPr>
                <w:rFonts w:ascii="Arial" w:cs="Arial" w:eastAsia="Arial" w:hAnsi="Arial"/>
                <w:sz w:val="18"/>
                <w:szCs w:val="18"/>
                <w:color w:val="auto"/>
                <w:w w:val="98"/>
              </w:rPr>
              <w:t>334,106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173"/>
              <w:spacing w:after="0"/>
              <w:rPr>
                <w:sz w:val="20"/>
                <w:szCs w:val="20"/>
                <w:color w:val="auto"/>
              </w:rPr>
            </w:pPr>
            <w:r>
              <w:rPr>
                <w:rFonts w:ascii="Arial" w:cs="Arial" w:eastAsia="Arial" w:hAnsi="Arial"/>
                <w:sz w:val="18"/>
                <w:szCs w:val="18"/>
                <w:color w:val="auto"/>
                <w:w w:val="98"/>
              </w:rPr>
              <w:t>274,953</w:t>
            </w:r>
          </w:p>
        </w:tc>
      </w:tr>
      <w:tr>
        <w:trPr>
          <w:trHeight w:val="226"/>
        </w:trPr>
        <w:tc>
          <w:tcPr>
            <w:tcW w:w="54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Less: Deferred revenue (current), beginning of period</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98"/>
              </w:rPr>
              <w:t>(327,569)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8"/>
              </w:rPr>
              <w:t>(270,916)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w w:val="98"/>
              </w:rPr>
              <w:t>(331,275)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8"/>
              </w:rPr>
              <w:t>(274,348)</w:t>
            </w:r>
          </w:p>
        </w:tc>
      </w:tr>
      <w:tr>
        <w:trPr>
          <w:trHeight w:val="218"/>
        </w:trPr>
        <w:tc>
          <w:tcPr>
            <w:tcW w:w="546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8"/>
              </w:rPr>
              <w:t>136,796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98"/>
              </w:rPr>
              <w:t>111,246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235"/>
              <w:spacing w:after="0"/>
              <w:rPr>
                <w:sz w:val="20"/>
                <w:szCs w:val="20"/>
                <w:color w:val="auto"/>
              </w:rPr>
            </w:pPr>
            <w:r>
              <w:rPr>
                <w:rFonts w:ascii="Arial" w:cs="Arial" w:eastAsia="Arial" w:hAnsi="Arial"/>
                <w:sz w:val="18"/>
                <w:szCs w:val="18"/>
                <w:color w:val="auto"/>
                <w:w w:val="98"/>
              </w:rPr>
              <w:t>256,279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98"/>
              </w:rPr>
              <w:t>210,462</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1" w:lineRule="exact"/>
        <w:rPr>
          <w:sz w:val="20"/>
          <w:szCs w:val="20"/>
          <w:color w:val="auto"/>
        </w:rPr>
      </w:pPr>
    </w:p>
    <w:p>
      <w:pPr>
        <w:ind w:firstLine="6"/>
        <w:spacing w:after="0" w:line="212" w:lineRule="auto"/>
        <w:tabs>
          <w:tab w:leader="none" w:pos="24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Deferred revenue (current), beginning of period for the three and six months ended June 30, 2021 includes $2.5 million related to Alsid's deferred revenue at the acquisition date, which is not included in the deferred revenue, current balance at March 31, 2021 or December 31, 2020.</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Free Cash Flow</w:t>
      </w:r>
    </w:p>
    <w:p>
      <w:pPr>
        <w:spacing w:after="0" w:line="239"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The following table presents a reconciliation of net cash provided by operating activities, the most directly comparable financial measure calculated in accordance with GAAP, to free cash flow: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298"/>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55,160</w:t>
            </w:r>
          </w:p>
        </w:tc>
        <w:tc>
          <w:tcPr>
            <w:tcW w:w="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(1,534)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39"/>
        </w:trPr>
        <w:tc>
          <w:tcPr>
            <w:tcW w:w="5360" w:type="dxa"/>
            <w:vAlign w:val="bottom"/>
            <w:shd w:val="clear" w:color="auto" w:fill="CCEEFF"/>
          </w:tcPr>
          <w:p>
            <w:pPr>
              <w:ind w:left="220"/>
              <w:spacing w:after="0" w:line="219" w:lineRule="exact"/>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15,001</w:t>
            </w:r>
          </w:p>
        </w:tc>
        <w:tc>
          <w:tcPr>
            <w:tcW w:w="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6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52,565</w:t>
            </w:r>
          </w:p>
        </w:tc>
        <w:tc>
          <w:tcPr>
            <w:tcW w:w="4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360" w:type="dxa"/>
            <w:vAlign w:val="bottom"/>
          </w:tcPr>
          <w:p>
            <w:pPr>
              <w:spacing w:after="0"/>
              <w:rPr>
                <w:sz w:val="20"/>
                <w:szCs w:val="20"/>
                <w:color w:val="auto"/>
              </w:rPr>
            </w:pPr>
            <w:r>
              <w:rPr>
                <w:rFonts w:ascii="Arial" w:cs="Arial" w:eastAsia="Arial" w:hAnsi="Arial"/>
                <w:sz w:val="16"/>
                <w:szCs w:val="16"/>
                <w:color w:val="auto"/>
              </w:rPr>
              <w:t>(1)  Free cash flow for the periods presented was impacted by: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7"/>
          </w:tcPr>
          <w:p>
            <w:pPr>
              <w:jc w:val="right"/>
              <w:ind w:right="38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6"/>
          </w:tcPr>
          <w:p>
            <w:pPr>
              <w:jc w:val="right"/>
              <w:ind w:right="338"/>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 activity</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Acquisition-related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payment on intra-entity asset transfer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Proceeds from lease incentives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related to new headquarters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18"/>
        <w:spacing w:after="0" w:line="252" w:lineRule="auto"/>
        <w:rPr>
          <w:sz w:val="20"/>
          <w:szCs w:val="20"/>
          <w:color w:val="auto"/>
        </w:rPr>
      </w:pPr>
      <w:r>
        <w:rPr>
          <w:rFonts w:ascii="Arial" w:cs="Arial" w:eastAsia="Arial" w:hAnsi="Arial"/>
          <w:sz w:val="16"/>
          <w:szCs w:val="16"/>
          <w:color w:val="auto"/>
        </w:rPr>
        <w:t>Free cash flow for the three and six months ended June 30, 2021 was benefited by approximately $5 million and $10 million, respectively, as a result of the accelerated timing of payments for insurance, professional fees and rent in the three months ended December 31, 2020.</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39" w:lineRule="exact"/>
        <w:rPr>
          <w:sz w:val="20"/>
          <w:szCs w:val="20"/>
          <w:color w:val="auto"/>
        </w:rPr>
      </w:pPr>
    </w:p>
    <w:p>
      <w:pPr>
        <w:ind w:right="400" w:firstLine="318"/>
        <w:spacing w:after="0" w:line="251"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r>
      <w:tr>
        <w:trPr>
          <w:trHeight w:val="208"/>
        </w:trPr>
        <w:tc>
          <w:tcPr>
            <w:tcW w:w="69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19"/>
        </w:trPr>
        <w:tc>
          <w:tcPr>
            <w:tcW w:w="69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2"/>
                <w:szCs w:val="22"/>
                <w:color w:val="auto"/>
                <w:vertAlign w:val="superscript"/>
              </w:rPr>
              <w:t>(1)(2)</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490</w:t>
            </w:r>
          </w:p>
        </w:tc>
        <w:tc>
          <w:tcPr>
            <w:tcW w:w="1900" w:type="dxa"/>
            <w:vAlign w:val="bottom"/>
            <w:gridSpan w:val="3"/>
            <w:shd w:val="clear" w:color="auto" w:fill="CCEEFF"/>
          </w:tcPr>
          <w:p>
            <w:pPr>
              <w:jc w:val="right"/>
              <w:ind w:right="461"/>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44%</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300" w:firstLine="6"/>
        <w:spacing w:after="0" w:line="247" w:lineRule="auto"/>
        <w:tabs>
          <w:tab w:leader="none" w:pos="3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Tenable.sc, Tenable.ad or Tenable.ot for an annual amount of $5,000 or greater. New enterprise platform customers represent new customer logos during the periods presented and do not include customer conversions from Nessus Professional to enterprise platforms.</w:t>
      </w:r>
    </w:p>
    <w:p>
      <w:pPr>
        <w:spacing w:after="0" w:line="41" w:lineRule="exact"/>
        <w:rPr>
          <w:rFonts w:ascii="Arial" w:cs="Arial" w:eastAsia="Arial" w:hAnsi="Arial"/>
          <w:sz w:val="16"/>
          <w:szCs w:val="16"/>
          <w:color w:val="auto"/>
        </w:rPr>
      </w:pPr>
    </w:p>
    <w:p>
      <w:pPr>
        <w:ind w:left="380" w:hanging="374"/>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new enterprise platform customers added in the three months ended June 30, 2021 includes 91 legacy Alsid customers.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At June 30,</w:t>
            </w:r>
          </w:p>
        </w:tc>
        <w:tc>
          <w:tcPr>
            <w:tcW w:w="1360" w:type="dxa"/>
            <w:vAlign w:val="bottom"/>
            <w:tcBorders>
              <w:bottom w:val="single" w:sz="8" w:color="auto"/>
            </w:tcBorders>
          </w:tcPr>
          <w:p>
            <w:pPr>
              <w:spacing w:after="0"/>
              <w:rPr>
                <w:sz w:val="18"/>
                <w:szCs w:val="18"/>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165"/>
        </w:trPr>
        <w:tc>
          <w:tcPr>
            <w:tcW w:w="69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3"/>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30%</w:t>
            </w:r>
          </w:p>
        </w:tc>
      </w:tr>
    </w:tbl>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39" w:lineRule="exact"/>
        <w:rPr>
          <w:sz w:val="20"/>
          <w:szCs w:val="20"/>
          <w:color w:val="auto"/>
        </w:rPr>
      </w:pPr>
    </w:p>
    <w:p>
      <w:pPr>
        <w:ind w:right="280" w:firstLine="318"/>
        <w:spacing w:after="0" w:line="247" w:lineRule="auto"/>
        <w:rPr>
          <w:sz w:val="20"/>
          <w:szCs w:val="20"/>
          <w:color w:val="auto"/>
        </w:rPr>
      </w:pPr>
      <w:r>
        <w:rPr>
          <w:rFonts w:ascii="Arial" w:cs="Arial" w:eastAsia="Arial" w:hAnsi="Arial"/>
          <w:sz w:val="18"/>
          <w:szCs w:val="18"/>
          <w:color w:val="auto"/>
        </w:rPr>
        <w:t>We use non-GAAP income (loss) from operations along with non-GAAP operating margin as key indicators of our financial performance. We define these non-GAAP financial measures as their respective GAAP measures, excluding the effects of stock-based compensation, acquisition-related expenses and amortization of acquired intangible assets. Acquisition-related expenses include transaction expenses and costs related to the transfer of acquired intellectual property.</w:t>
      </w:r>
    </w:p>
    <w:p>
      <w:pPr>
        <w:spacing w:after="0" w:line="208" w:lineRule="exact"/>
        <w:rPr>
          <w:sz w:val="20"/>
          <w:szCs w:val="20"/>
          <w:color w:val="auto"/>
        </w:rPr>
      </w:pPr>
    </w:p>
    <w:p>
      <w:pPr>
        <w:jc w:val="both"/>
        <w:ind w:right="460" w:firstLine="318"/>
        <w:spacing w:after="0" w:line="248"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(loss) from operations and 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operating margin exclude stock-based compensation expense, which has been, and will continue to be, a significant recurring expense in our business and an important part of our compensation strategy.</w:t>
      </w:r>
    </w:p>
    <w:p>
      <w:pPr>
        <w:spacing w:after="0" w:line="203" w:lineRule="exact"/>
        <w:rPr>
          <w:sz w:val="20"/>
          <w:szCs w:val="20"/>
          <w:color w:val="auto"/>
        </w:rPr>
      </w:pPr>
    </w:p>
    <w:p>
      <w:pPr>
        <w:ind w:right="380" w:firstLine="318"/>
        <w:spacing w:after="0" w:line="248"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(loss) from operations, and operating margin, the most directly comparable financial measure calculated in accordance with GAAP, to non-GAAP operating margin: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74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(17,683)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(32,237)</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20,469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15,666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37,421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28,701</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339</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1,157</w:t>
            </w:r>
          </w:p>
        </w:tc>
      </w:tr>
      <w:tr>
        <w:trPr>
          <w:trHeight w:val="244"/>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income (loss) from operations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11,534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5,679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25,421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(2,040)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504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Non-GAAP Net Income (Loss) and Non-GAAP Earnings (Loss) Per Share</w:t>
      </w:r>
    </w:p>
    <w:p>
      <w:pPr>
        <w:spacing w:after="0" w:line="239"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We use non-GAAP net income (loss), which excludes the effect of stock-based compensation, acquisition-related expenses, amortization of acquired intangible assets, as well as the related tax impact, and the tax impact of intra-entity asset transfers resulting from the internal restructuring of legal entities, to calculate non-GAAP earnings (loss) per share. We believe that these non-GAAP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income (loss) and non-GAAP earnings (loss) per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(34,937)</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28,701</w:t>
            </w:r>
          </w:p>
        </w:tc>
      </w:tr>
      <w:tr>
        <w:trPr>
          <w:trHeight w:val="226"/>
        </w:trPr>
        <w:tc>
          <w:tcPr>
            <w:tcW w:w="54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5"/>
        </w:trPr>
        <w:tc>
          <w:tcPr>
            <w:tcW w:w="5460" w:type="dxa"/>
            <w:vAlign w:val="bottom"/>
          </w:tcPr>
          <w:p>
            <w:pPr>
              <w:ind w:left="20"/>
              <w:spacing w:after="0" w:line="225"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2"/>
                <w:szCs w:val="22"/>
                <w:color w:val="auto"/>
                <w:vertAlign w:val="superscript"/>
              </w:rPr>
              <w:t>(2)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5"/>
        </w:trPr>
        <w:tc>
          <w:tcPr>
            <w:tcW w:w="54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acquisition</w:t>
            </w:r>
            <w:r>
              <w:rPr>
                <w:rFonts w:ascii="Arial" w:cs="Arial" w:eastAsia="Arial" w:hAnsi="Arial"/>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60" w:type="dxa"/>
            <w:vAlign w:val="bottom"/>
          </w:tcPr>
          <w:p>
            <w:pPr>
              <w:ind w:left="20"/>
              <w:spacing w:after="0" w:line="225"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25"/>
        </w:trPr>
        <w:tc>
          <w:tcPr>
            <w:tcW w:w="54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intra-entity asset transfer</w:t>
            </w:r>
            <w:r>
              <w:rPr>
                <w:rFonts w:ascii="Arial" w:cs="Arial" w:eastAsia="Arial" w:hAnsi="Arial"/>
                <w:sz w:val="22"/>
                <w:szCs w:val="22"/>
                <w:color w:val="auto"/>
                <w:vertAlign w:val="superscript"/>
              </w:rPr>
              <w:t>(4)</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460" w:type="dxa"/>
            <w:vAlign w:val="bottom"/>
          </w:tcPr>
          <w:p>
            <w:pPr>
              <w:ind w:left="220"/>
              <w:spacing w:after="0"/>
              <w:rPr>
                <w:sz w:val="20"/>
                <w:szCs w:val="20"/>
                <w:color w:val="auto"/>
              </w:rPr>
            </w:pPr>
            <w:r>
              <w:rPr>
                <w:rFonts w:ascii="Arial" w:cs="Arial" w:eastAsia="Arial" w:hAnsi="Arial"/>
                <w:sz w:val="18"/>
                <w:szCs w:val="18"/>
                <w:color w:val="auto"/>
              </w:rPr>
              <w:t>Non-GAAP 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(4,105)</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2"/>
        </w:trPr>
        <w:tc>
          <w:tcPr>
            <w:tcW w:w="5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Net loss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2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25"/>
        </w:trPr>
        <w:tc>
          <w:tcPr>
            <w:tcW w:w="5460" w:type="dxa"/>
            <w:vAlign w:val="bottom"/>
          </w:tcPr>
          <w:p>
            <w:pPr>
              <w:ind w:left="20"/>
              <w:spacing w:after="0" w:line="225"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5"/>
        </w:trPr>
        <w:tc>
          <w:tcPr>
            <w:tcW w:w="54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60" w:type="dxa"/>
            <w:vAlign w:val="bottom"/>
          </w:tcPr>
          <w:p>
            <w:pPr>
              <w:ind w:left="20"/>
              <w:spacing w:after="0" w:line="225" w:lineRule="exact"/>
              <w:rPr>
                <w:sz w:val="20"/>
                <w:szCs w:val="20"/>
                <w:color w:val="auto"/>
              </w:rPr>
            </w:pPr>
            <w:r>
              <w:rPr>
                <w:rFonts w:ascii="Arial" w:cs="Arial" w:eastAsia="Arial" w:hAnsi="Arial"/>
                <w:sz w:val="18"/>
                <w:szCs w:val="18"/>
                <w:color w:val="auto"/>
              </w:rPr>
              <w:t>Tax impact of acquisition</w:t>
            </w:r>
            <w:r>
              <w:rPr>
                <w:rFonts w:ascii="Arial" w:cs="Arial" w:eastAsia="Arial" w:hAnsi="Arial"/>
                <w:sz w:val="22"/>
                <w:szCs w:val="22"/>
                <w:color w:val="auto"/>
                <w:vertAlign w:val="superscript"/>
              </w:rPr>
              <w:t>(3)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5"/>
        </w:trPr>
        <w:tc>
          <w:tcPr>
            <w:tcW w:w="5460" w:type="dxa"/>
            <w:vAlign w:val="bottom"/>
          </w:tcPr>
          <w:p>
            <w:pPr>
              <w:ind w:left="20"/>
              <w:spacing w:after="0" w:line="225" w:lineRule="exact"/>
              <w:rPr>
                <w:sz w:val="20"/>
                <w:szCs w:val="20"/>
                <w:color w:val="auto"/>
              </w:rPr>
            </w:pPr>
            <w:r>
              <w:rPr>
                <w:rFonts w:ascii="Arial" w:cs="Arial" w:eastAsia="Arial" w:hAnsi="Arial"/>
                <w:sz w:val="18"/>
                <w:szCs w:val="18"/>
                <w:color w:val="auto"/>
              </w:rPr>
              <w:t>Tax impact of intra-entity asset transfer</w:t>
            </w:r>
            <w:r>
              <w:rPr>
                <w:rFonts w:ascii="Arial" w:cs="Arial" w:eastAsia="Arial" w:hAnsi="Arial"/>
                <w:sz w:val="22"/>
                <w:szCs w:val="22"/>
                <w:color w:val="auto"/>
                <w:vertAlign w:val="superscript"/>
              </w:rPr>
              <w:t>(4)</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2"/>
                <w:szCs w:val="22"/>
                <w:color w:val="auto"/>
                <w:vertAlign w:val="superscript"/>
              </w:rPr>
              <w:t>(5)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460" w:type="dxa"/>
            <w:vAlign w:val="bottom"/>
          </w:tcPr>
          <w:p>
            <w:pPr>
              <w:ind w:left="220"/>
              <w:spacing w:after="0"/>
              <w:rPr>
                <w:sz w:val="20"/>
                <w:szCs w:val="20"/>
                <w:color w:val="auto"/>
              </w:rPr>
            </w:pPr>
            <w:r>
              <w:rPr>
                <w:rFonts w:ascii="Arial" w:cs="Arial" w:eastAsia="Arial" w:hAnsi="Arial"/>
                <w:sz w:val="18"/>
                <w:szCs w:val="18"/>
                <w:color w:val="auto"/>
              </w:rPr>
              <w:t>Non-GAAP earnings (loss) per share,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2"/>
        </w:trPr>
        <w:tc>
          <w:tcPr>
            <w:tcW w:w="5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85"/>
        </w:trPr>
        <w:tc>
          <w:tcPr>
            <w:tcW w:w="5460" w:type="dxa"/>
            <w:vAlign w:val="bottom"/>
          </w:tcPr>
          <w:p>
            <w:pPr>
              <w:ind w:left="20"/>
              <w:spacing w:after="0" w:line="185" w:lineRule="exact"/>
              <w:rPr>
                <w:sz w:val="20"/>
                <w:szCs w:val="20"/>
                <w:color w:val="auto"/>
              </w:rPr>
            </w:pPr>
            <w:r>
              <w:rPr>
                <w:rFonts w:ascii="Arial" w:cs="Arial" w:eastAsia="Arial" w:hAnsi="Arial"/>
                <w:sz w:val="18"/>
                <w:szCs w:val="18"/>
                <w:color w:val="auto"/>
                <w:w w:val="98"/>
              </w:rPr>
              <w:t>Weighted-average shares used to compute GAAP net loss per share,</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5460" w:type="dxa"/>
            <w:vAlign w:val="bottom"/>
          </w:tcPr>
          <w:p>
            <w:pPr>
              <w:ind w:left="1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105,869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99,532</w:t>
            </w:r>
          </w:p>
        </w:tc>
      </w:tr>
      <w:tr>
        <w:trPr>
          <w:trHeight w:val="265"/>
        </w:trPr>
        <w:tc>
          <w:tcPr>
            <w:tcW w:w="5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174"/>
        </w:trPr>
        <w:tc>
          <w:tcPr>
            <w:tcW w:w="5460" w:type="dxa"/>
            <w:vAlign w:val="bottom"/>
          </w:tcPr>
          <w:p>
            <w:pPr>
              <w:ind w:left="20"/>
              <w:spacing w:after="0" w:line="175" w:lineRule="exact"/>
              <w:rPr>
                <w:sz w:val="20"/>
                <w:szCs w:val="20"/>
                <w:color w:val="auto"/>
              </w:rPr>
            </w:pPr>
            <w:r>
              <w:rPr>
                <w:rFonts w:ascii="Arial" w:cs="Arial" w:eastAsia="Arial" w:hAnsi="Arial"/>
                <w:sz w:val="18"/>
                <w:szCs w:val="18"/>
                <w:color w:val="auto"/>
              </w:rPr>
              <w:t>Weighted-average shares used to compute non-GAAP earnings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94"/>
        </w:trPr>
        <w:tc>
          <w:tcPr>
            <w:tcW w:w="5460" w:type="dxa"/>
            <w:vAlign w:val="bottom"/>
          </w:tcPr>
          <w:p>
            <w:pPr>
              <w:ind w:left="100"/>
              <w:spacing w:after="0"/>
              <w:rPr>
                <w:sz w:val="20"/>
                <w:szCs w:val="20"/>
                <w:color w:val="auto"/>
              </w:rPr>
            </w:pPr>
            <w:r>
              <w:rPr>
                <w:rFonts w:ascii="Arial" w:cs="Arial" w:eastAsia="Arial" w:hAnsi="Arial"/>
                <w:sz w:val="18"/>
                <w:szCs w:val="18"/>
                <w:color w:val="auto"/>
              </w:rPr>
              <w:t>(loss) per share, diluted</w:t>
            </w:r>
            <w:r>
              <w:rPr>
                <w:rFonts w:ascii="Arial" w:cs="Arial" w:eastAsia="Arial" w:hAnsi="Arial"/>
                <w:sz w:val="22"/>
                <w:szCs w:val="22"/>
                <w:color w:val="auto"/>
                <w:vertAlign w:val="superscript"/>
              </w:rPr>
              <w:t>(6)</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113,869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113,905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99,532</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51" w:lineRule="exact"/>
        <w:rPr>
          <w:sz w:val="20"/>
          <w:szCs w:val="20"/>
          <w:color w:val="auto"/>
        </w:rPr>
      </w:pPr>
    </w:p>
    <w:p>
      <w:pPr>
        <w:ind w:left="380" w:hanging="374"/>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54" w:lineRule="exact"/>
        <w:rPr>
          <w:rFonts w:ascii="Arial" w:cs="Arial" w:eastAsia="Arial" w:hAnsi="Arial"/>
          <w:sz w:val="16"/>
          <w:szCs w:val="16"/>
          <w:color w:val="auto"/>
        </w:rPr>
      </w:pPr>
    </w:p>
    <w:p>
      <w:pPr>
        <w:ind w:left="380" w:hanging="374"/>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tax impact of acquisition-related expenses and amortization of acquired intangible assets is not material.</w:t>
      </w:r>
    </w:p>
    <w:p>
      <w:pPr>
        <w:spacing w:after="0" w:line="54" w:lineRule="exact"/>
        <w:rPr>
          <w:rFonts w:ascii="Arial" w:cs="Arial" w:eastAsia="Arial" w:hAnsi="Arial"/>
          <w:sz w:val="16"/>
          <w:szCs w:val="16"/>
          <w:color w:val="auto"/>
        </w:rPr>
      </w:pPr>
    </w:p>
    <w:p>
      <w:pPr>
        <w:ind w:left="380" w:hanging="374"/>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tax impact of the Alsid acquisition includes a $1.1 million deferred tax benefit.</w:t>
      </w:r>
    </w:p>
    <w:p>
      <w:pPr>
        <w:spacing w:after="0" w:line="54" w:lineRule="exact"/>
        <w:rPr>
          <w:rFonts w:ascii="Arial" w:cs="Arial" w:eastAsia="Arial" w:hAnsi="Arial"/>
          <w:sz w:val="16"/>
          <w:szCs w:val="16"/>
          <w:color w:val="auto"/>
        </w:rPr>
      </w:pPr>
    </w:p>
    <w:p>
      <w:pPr>
        <w:ind w:right="120" w:firstLine="6"/>
        <w:spacing w:after="0" w:line="252" w:lineRule="auto"/>
        <w:tabs>
          <w:tab w:leader="none" w:pos="3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tax impact of the intra-entity asset transfer is related to the internal restructuring of Indegy, resulting in a current tax payment based on the applicable Israeli tax rate.</w:t>
      </w:r>
    </w:p>
    <w:p>
      <w:pPr>
        <w:spacing w:after="0" w:line="37" w:lineRule="exact"/>
        <w:rPr>
          <w:rFonts w:ascii="Arial" w:cs="Arial" w:eastAsia="Arial" w:hAnsi="Arial"/>
          <w:sz w:val="16"/>
          <w:szCs w:val="16"/>
          <w:color w:val="auto"/>
        </w:rPr>
      </w:pPr>
    </w:p>
    <w:p>
      <w:pPr>
        <w:ind w:right="440" w:firstLine="6"/>
        <w:spacing w:after="0" w:line="252" w:lineRule="auto"/>
        <w:tabs>
          <w:tab w:leader="none" w:pos="3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adjustment may be necessary to reconcile GAAP net loss per share, which excludes potentially dilutive shares, to non-GAAP earnings per share, which includes potentially dilutive shares.</w:t>
      </w:r>
    </w:p>
    <w:p>
      <w:pPr>
        <w:spacing w:after="0" w:line="37" w:lineRule="exact"/>
        <w:rPr>
          <w:rFonts w:ascii="Arial" w:cs="Arial" w:eastAsia="Arial" w:hAnsi="Arial"/>
          <w:sz w:val="16"/>
          <w:szCs w:val="16"/>
          <w:color w:val="auto"/>
        </w:rPr>
      </w:pPr>
    </w:p>
    <w:p>
      <w:pPr>
        <w:ind w:right="440" w:firstLine="6"/>
        <w:spacing w:after="0" w:line="252" w:lineRule="auto"/>
        <w:tabs>
          <w:tab w:leader="none" w:pos="37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periods in which there is a non-GAAP net loss, basic and diluted weighted average shares outstanding are the same, as potentially dilutive shares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right="680" w:firstLine="318"/>
        <w:spacing w:after="0" w:line="25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203" w:lineRule="exact"/>
        <w:rPr>
          <w:sz w:val="20"/>
          <w:szCs w:val="20"/>
          <w:color w:val="auto"/>
        </w:rPr>
      </w:pPr>
    </w:p>
    <w:p>
      <w:pPr>
        <w:ind w:right="540" w:firstLine="318"/>
        <w:spacing w:after="0" w:line="248"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For our software subscriptions that are dependent on ongoing software updates and the ability to identify the latest cybersecurity vulnerabilities, revenue is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recognized ratably over the subscription term given the critical utility provided by the ongoing updates that are released through the contract period. For our software where the critical utility does not depend on ongoing updates, we separate the software license from the maintenance and support. We recognize revenue attributable to the license at the time of delivery and the revenue attributable to the maintenance and support ratably over the contract period.</w:t>
      </w:r>
    </w:p>
    <w:p>
      <w:pPr>
        <w:spacing w:after="0" w:line="208"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0"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6"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39"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and allocated overhead costs, which consist of information technology and facilities.</w:t>
      </w:r>
    </w:p>
    <w:p>
      <w:pPr>
        <w:spacing w:after="0" w:line="208"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 The level and timing of investment in these areas could affect our cost of revenue in the future.</w:t>
      </w:r>
    </w:p>
    <w:p>
      <w:pPr>
        <w:spacing w:after="0" w:line="203"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our gross profit to increase in absolute dollars but our gross margin to decrease over time, as we expect revenue from our cloud-based subscriptions to increase as a percentage of revenue. However, our gross margin could fluctuate from period to period depending on the interplay of all of these factors, particularly as it relates to cloud infrastructure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stock-based compensation and any severance. Operating expenses also include depreciation and amortization as well as allocated overhead costs, including IT and facilities costs.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235"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 We capitalize sales commissions, including related fringe benefit costs, and recognize the expense over an estimated period of benefit, which ranges 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21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intend to continue to make investments in our sales and marketing teams to grow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235"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188"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235"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20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expect our general and administrative expense to continue to increase annually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from period to period due to the timing and extent of these expenses.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39"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Interest (expense) income, net consists primarily of interest income earned on cash and cash equivalents and short-term investments and interest expense in connection with our credit facility, including unused commitment fees and letter of credit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39"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(Benefit) provision for income taxes consists of income taxes in certain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208"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 the three months ended June 30, 2021, the income tax benefit included a $1.1 million deferred tax benefit related to the Alsid acquisition, which was partially offset by income taxes in certain foreign jurisdictions in which we conduct business and the related withholding taxes on sales with customers.</w:t>
      </w:r>
    </w:p>
    <w:p>
      <w:pPr>
        <w:spacing w:after="0" w:line="20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Additionally, in the six months ended June 30, 2021, the provision for income taxes was impacted by discrete items, including $2.8 million of current expense from the restructuring of our research and development operations in Israel, partially offset by $2.6 million of discrete benefits, primarily related to a Supreme Court decision in India on the taxability of software license payments to nonresidents and the associated withholding taxes.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our consolidated results of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209,857</w:t>
            </w:r>
          </w:p>
        </w:tc>
      </w:tr>
      <w:tr>
        <w:trPr>
          <w:trHeight w:val="225"/>
        </w:trPr>
        <w:tc>
          <w:tcPr>
            <w:tcW w:w="546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37,843</w:t>
            </w:r>
          </w:p>
        </w:tc>
      </w:tr>
      <w:tr>
        <w:trPr>
          <w:trHeight w:val="21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172,014</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546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115,298</w:t>
            </w:r>
          </w:p>
        </w:tc>
      </w:tr>
      <w:tr>
        <w:trPr>
          <w:trHeight w:val="225"/>
        </w:trPr>
        <w:tc>
          <w:tcPr>
            <w:tcW w:w="546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52,141</w:t>
            </w:r>
          </w:p>
        </w:tc>
      </w:tr>
      <w:tr>
        <w:trPr>
          <w:trHeight w:val="225"/>
        </w:trPr>
        <w:tc>
          <w:tcPr>
            <w:tcW w:w="546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w:t>
            </w:r>
          </w:p>
        </w:tc>
      </w:tr>
      <w:tr>
        <w:trPr>
          <w:trHeight w:val="21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204,251</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(32,237)</w:t>
            </w:r>
          </w:p>
        </w:tc>
      </w:tr>
      <w:tr>
        <w:trPr>
          <w:trHeight w:val="225"/>
        </w:trPr>
        <w:tc>
          <w:tcPr>
            <w:tcW w:w="546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25"/>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18"/>
        </w:trPr>
        <w:tc>
          <w:tcPr>
            <w:tcW w:w="54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(32,306)</w:t>
            </w:r>
          </w:p>
        </w:tc>
      </w:tr>
      <w:tr>
        <w:trPr>
          <w:trHeight w:val="22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19"/>
        </w:trPr>
        <w:tc>
          <w:tcPr>
            <w:tcW w:w="5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(34,937)</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8" w:lineRule="exact"/>
        <w:rPr>
          <w:sz w:val="20"/>
          <w:szCs w:val="20"/>
          <w:color w:val="auto"/>
        </w:rPr>
      </w:pPr>
    </w:p>
    <w:p>
      <w:pPr>
        <w:ind w:left="420" w:hanging="414"/>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9,871</w:t>
            </w:r>
          </w:p>
        </w:tc>
      </w:tr>
      <w:tr>
        <w:trPr>
          <w:trHeight w:val="22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r>
      <w:tr>
        <w:trPr>
          <w:trHeight w:val="22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w:t>
            </w:r>
          </w:p>
        </w:tc>
      </w:tr>
      <w:tr>
        <w:trPr>
          <w:trHeight w:val="244"/>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increase in revenue: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82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5"/>
        </w:trPr>
        <w:tc>
          <w:tcPr>
            <w:tcW w:w="50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19"/>
        </w:trPr>
        <w:tc>
          <w:tcPr>
            <w:tcW w:w="5060" w:type="dxa"/>
            <w:vAlign w:val="bottom"/>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107,209</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23,050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 revenue increased $10.9 million, or 17%. International revenue increased $12.2 million, or 29%.</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1960" w:type="dxa"/>
            <w:vAlign w:val="bottom"/>
            <w:gridSpan w:val="3"/>
          </w:tcPr>
          <w:p>
            <w:pPr>
              <w:ind w:left="12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1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26,425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19,142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5"/>
        </w:trPr>
        <w:tc>
          <w:tcPr>
            <w:tcW w:w="48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103,834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88,067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cost of revenue of $7.3 million was primarily due to:</w:t>
      </w:r>
    </w:p>
    <w:p>
      <w:pPr>
        <w:spacing w:after="0" w:line="111"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$5.0 million increase in third-party cloud infrastructure costs associated with investments in our cloud platform;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$0.8 million increase in personnel costs, including a $0.4 million increase in stock-based compensation;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$0.8 million increase in amortization of intangible assets due to intangible assets acquired in the period;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$0.4 million increase in professional fees.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82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sales and marketing expense of $10.2 million was primarily due to:</w:t>
      </w:r>
    </w:p>
    <w:p>
      <w:pPr>
        <w:spacing w:after="0" w:line="111" w:lineRule="exact"/>
        <w:rPr>
          <w:sz w:val="20"/>
          <w:szCs w:val="20"/>
          <w:color w:val="auto"/>
        </w:rPr>
      </w:pPr>
    </w:p>
    <w:p>
      <w:pPr>
        <w:ind w:left="640" w:right="22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$3.7 million increase in personnel costs largely associated with an increase in headcount, including a $2.2 million increase in stock-based compensation;</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$3.2 million increase in expenses for demand generation programs, including advertising, sponsorships and brand awareness efforts;</w:t>
      </w:r>
    </w:p>
    <w:p>
      <w:pPr>
        <w:spacing w:after="0" w:line="16" w:lineRule="exact"/>
        <w:rPr>
          <w:rFonts w:ascii="Arial" w:cs="Arial" w:eastAsia="Arial" w:hAnsi="Arial"/>
          <w:sz w:val="17"/>
          <w:szCs w:val="17"/>
          <w:color w:val="auto"/>
        </w:rPr>
      </w:pPr>
    </w:p>
    <w:p>
      <w:pPr>
        <w:ind w:left="640" w:right="66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$2.0 million increase in sales commissions, including sales commission draws, due to increased sales and the amortization of deferred commissions;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$1.4 million increase in selling expenses, including travel and meeting costs and the costs of software subscriptions; partially offset by</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$0.2 million decrease in allocated overhead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860" w:type="dxa"/>
            <w:vAlign w:val="bottom"/>
          </w:tcPr>
          <w:p>
            <w:pPr>
              <w:spacing w:after="0"/>
              <w:rPr>
                <w:sz w:val="18"/>
                <w:szCs w:val="18"/>
                <w:color w:val="auto"/>
              </w:rPr>
            </w:pPr>
          </w:p>
        </w:tc>
        <w:tc>
          <w:tcPr>
            <w:tcW w:w="116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research and development expense of $2.9 million was primarily due to:</w:t>
      </w:r>
    </w:p>
    <w:p>
      <w:pPr>
        <w:spacing w:after="0" w:line="111"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$2.0 million increase in personnel costs, including a $1.3 million increase in stock-based compensation;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$0.6 million increase in third-party cloud infrastructure costs.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860" w:type="dxa"/>
            <w:vAlign w:val="bottom"/>
          </w:tcPr>
          <w:p>
            <w:pPr>
              <w:spacing w:after="0"/>
              <w:rPr>
                <w:sz w:val="18"/>
                <w:szCs w:val="18"/>
                <w:color w:val="auto"/>
              </w:rPr>
            </w:pPr>
          </w:p>
        </w:tc>
        <w:tc>
          <w:tcPr>
            <w:tcW w:w="116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general and administrative expense of $4.0 million was primarily due to:</w:t>
      </w:r>
    </w:p>
    <w:p>
      <w:pPr>
        <w:spacing w:after="0" w:line="111" w:lineRule="exact"/>
        <w:rPr>
          <w:sz w:val="20"/>
          <w:szCs w:val="20"/>
          <w:color w:val="auto"/>
        </w:rPr>
      </w:pPr>
    </w:p>
    <w:p>
      <w:pPr>
        <w:ind w:left="640" w:right="44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$1.8 million increase in personnel costs largely associated with an increase in headcount and including a $0.9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$1.5 million increase in acquisition-related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$0.5 million increase in professional fees.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increase in revenue: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82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43,169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5"/>
        </w:trPr>
        <w:tc>
          <w:tcPr>
            <w:tcW w:w="50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25,598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19"/>
        </w:trPr>
        <w:tc>
          <w:tcPr>
            <w:tcW w:w="5060" w:type="dxa"/>
            <w:vAlign w:val="bottom"/>
          </w:tcPr>
          <w:p>
            <w:pPr>
              <w:ind w:left="2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209,857</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43,591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 revenue increased $20.5 million, or 16%. International revenue increased $23.1 million, or 29%.</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 June 30,</w:t>
            </w:r>
          </w:p>
        </w:tc>
        <w:tc>
          <w:tcPr>
            <w:tcW w:w="360" w:type="dxa"/>
            <w:vAlign w:val="bottom"/>
          </w:tcPr>
          <w:p>
            <w:pPr>
              <w:spacing w:after="0"/>
              <w:rPr>
                <w:sz w:val="18"/>
                <w:szCs w:val="18"/>
                <w:color w:val="auto"/>
              </w:rPr>
            </w:pPr>
          </w:p>
        </w:tc>
        <w:tc>
          <w:tcPr>
            <w:tcW w:w="1620" w:type="dxa"/>
            <w:vAlign w:val="bottom"/>
            <w:gridSpan w:val="3"/>
          </w:tcPr>
          <w:p>
            <w:pPr>
              <w:ind w:left="88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48,498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37,843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204,950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172,014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cost of revenue of $10.7 million was primarily due to:</w:t>
      </w:r>
    </w:p>
    <w:p>
      <w:pPr>
        <w:spacing w:after="0" w:line="111"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$7.2 million increase in third-party cloud infrastructure costs associated with investments in our cloud platform;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$1.8 million increase in personnel costs primarily due to support for cloud-based products;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$0.8 million increase in amortization of intangible assets due to intangible assets acquired in the period;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$0.6 million increase in professional fees; partially offset by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$0.3 million decrease in allocated overhead.</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860" w:type="dxa"/>
            <w:vAlign w:val="bottom"/>
          </w:tcPr>
          <w:p>
            <w:pPr>
              <w:spacing w:after="0"/>
              <w:rPr>
                <w:sz w:val="18"/>
                <w:szCs w:val="18"/>
                <w:color w:val="auto"/>
              </w:rPr>
            </w:pPr>
          </w:p>
        </w:tc>
        <w:tc>
          <w:tcPr>
            <w:tcW w:w="116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sales and marketing expense of $9.0 million was primarily due to:</w:t>
      </w:r>
    </w:p>
    <w:p>
      <w:pPr>
        <w:spacing w:after="0" w:line="111"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$4.4 million increase in personnel costs, primarily due to a $4.0 million increase in stock-based compensation;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$3.5 million increase in sales commissions, due to increased sales and the amortization of deferred commissions; and</w:t>
      </w:r>
    </w:p>
    <w:p>
      <w:pPr>
        <w:spacing w:after="0" w:line="58" w:lineRule="exact"/>
        <w:rPr>
          <w:rFonts w:ascii="Arial" w:cs="Arial" w:eastAsia="Arial" w:hAnsi="Arial"/>
          <w:sz w:val="18"/>
          <w:szCs w:val="18"/>
          <w:color w:val="auto"/>
        </w:rPr>
      </w:pPr>
    </w:p>
    <w:p>
      <w:pPr>
        <w:ind w:left="640" w:right="6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$3.5 million increase in expenses for demand generation programs, including advertising, sponsorships and brand awareness efforts; partially offset by</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$2.1 million decrease in selling expenses, including a $3.6 million decrease in travel and meeting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$0.5 million decrease in allocated overhead costs.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860" w:type="dxa"/>
            <w:vAlign w:val="bottom"/>
          </w:tcPr>
          <w:p>
            <w:pPr>
              <w:spacing w:after="0"/>
              <w:rPr>
                <w:sz w:val="18"/>
                <w:szCs w:val="18"/>
                <w:color w:val="auto"/>
              </w:rPr>
            </w:pPr>
          </w:p>
        </w:tc>
        <w:tc>
          <w:tcPr>
            <w:tcW w:w="116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research and development expense of $2.9 million was primarily due to:</w:t>
      </w:r>
    </w:p>
    <w:p>
      <w:pPr>
        <w:spacing w:after="0" w:line="111"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$3.3 million increase in personnel costs, primarily due to a $2.5 million increase in stock-based compensation;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 million increase in third-party cloud infrastructure costs;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$1.1 million decrease in travel and meeting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$0.5 million decrease in allocated overhead costs, primarily facilities costs.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860" w:type="dxa"/>
            <w:vAlign w:val="bottom"/>
          </w:tcPr>
          <w:p>
            <w:pPr>
              <w:spacing w:after="0"/>
              <w:rPr>
                <w:sz w:val="18"/>
                <w:szCs w:val="18"/>
                <w:color w:val="auto"/>
              </w:rPr>
            </w:pPr>
          </w:p>
        </w:tc>
        <w:tc>
          <w:tcPr>
            <w:tcW w:w="116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general and administrative expense of $6.5 million was primarily due to:</w:t>
      </w:r>
    </w:p>
    <w:p>
      <w:pPr>
        <w:spacing w:after="0" w:line="58"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$3.4 million increase in acquisition-related expenses;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$3.2 million increase in personnel costs, including a $1.7 million increase in stock-based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9" w:lineRule="exact"/>
        <w:rPr>
          <w:sz w:val="20"/>
          <w:szCs w:val="20"/>
          <w:color w:val="auto"/>
        </w:rPr>
      </w:pPr>
    </w:p>
    <w:p>
      <w:pPr>
        <w:ind w:right="380" w:firstLine="318"/>
        <w:spacing w:after="0" w:line="248" w:lineRule="auto"/>
        <w:rPr>
          <w:sz w:val="20"/>
          <w:szCs w:val="20"/>
          <w:color w:val="auto"/>
        </w:rPr>
      </w:pPr>
      <w:r>
        <w:rPr>
          <w:rFonts w:ascii="Arial" w:cs="Arial" w:eastAsia="Arial" w:hAnsi="Arial"/>
          <w:sz w:val="18"/>
          <w:szCs w:val="18"/>
          <w:color w:val="auto"/>
        </w:rPr>
        <w:t>At June 30, 2021, we had $135.9 million of cash and cash equivalents, which consisted of bank deposits and money market funds, and $125.1 million of short-term investments, which consisted of commercial paper, U.S. Treasury and agency obligations and corporate and supranational bonds.</w:t>
      </w:r>
    </w:p>
    <w:p>
      <w:pPr>
        <w:spacing w:after="0" w:line="206"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The proceeds of our Series A and Series B redeemable convertible preferred stock financings were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20"/>
        <w:spacing w:after="0" w:line="251" w:lineRule="auto"/>
        <w:rPr>
          <w:sz w:val="20"/>
          <w:szCs w:val="20"/>
          <w:color w:val="auto"/>
        </w:rPr>
      </w:pPr>
      <w:r>
        <w:rPr>
          <w:rFonts w:ascii="Arial" w:cs="Arial" w:eastAsia="Arial" w:hAnsi="Arial"/>
          <w:sz w:val="18"/>
          <w:szCs w:val="18"/>
          <w:color w:val="auto"/>
        </w:rPr>
        <w:t>used to repurchase shares of capital stock from former stockholders. We have generated significant operating losses as reflected by our accumulated deficit of $627.2 million at June 30, 2021.</w:t>
      </w:r>
    </w:p>
    <w:p>
      <w:pPr>
        <w:spacing w:after="0" w:line="20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June 30, 2021, we had deferred revenue of $444.9 million, of which $334.1 million was recorded as a current liability and is expected to be recognized as revenue in the next 12 months, provided all other revenue recognition criteria are met.</w:t>
      </w:r>
    </w:p>
    <w:p>
      <w:pPr>
        <w:spacing w:after="0" w:line="211"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In April 2021, we paid $98.5 million, net to acquire Alsid. We may in the future enter into arrangements to acquire or invest in other complementary businesses, services and technologies, including intellectual property rights.</w:t>
      </w:r>
    </w:p>
    <w:p>
      <w:pPr>
        <w:spacing w:after="0" w:line="208"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expect to continue incurring operating losses in the near term. Even though we generated positive cash flows from operations and free cash flow in the six months ended June 30, 2021, we may not be able to sustain these cash flows in the near term.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marketing and international operating activities, the timing of our introduction of new product capabilities and enhancements of our platform and the continuing market acceptance of our platform. It may be necessary to seek additional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210"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The full extent to which the ongoing COVID-19 pandemic impacts our business and operations will depend on future developments that are highly uncertain and cannot be predicted with confidence, such as the duration of the outbreak, the duration and effect of business disruptions, the effectiveness and widespread adoption of a vaccine, both domestically and globally, and the duration and ultimate effectiveness of the travel restrictions, quarantines, social distancing requirements and business closures in the United States and other countries to contain and treat the disease. We also do not yet know the full extent of potential impacts on our business and operations, or those of our partners and customers, or the global economy as a whole. Accordingly, the current results and financial conditions discussed herein may not be indicative of our future operating results and trends. See the section titled “Risk Factors” in Part II, Item 1A of this Form 10-Q.</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 Loan and Credit Facility</w:t>
      </w:r>
    </w:p>
    <w:p>
      <w:pPr>
        <w:spacing w:after="0" w:line="23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During the six months ended June 30, 2021, there were no amounts outstanding under our $45.0 million senior secured credit facility, or the 2020 Credit Facility. At June 30, 2021, we were in compliance with the financial covenant and our borrowing capacity was reduced by $5.5 million related to standby letters of credit.</w:t>
      </w:r>
    </w:p>
    <w:p>
      <w:pPr>
        <w:spacing w:after="0" w:line="20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July 2021, we entered into a credit agreement, or the Credit Agreement, which is comprised of a $375.0 million senior secured term loan facility, or the Term Loan, and a $50.0 million senior secured revolving credit facility, or the Revolving Credit Facility, with a $15.0 million letter of credit sublimit. The Term Loan bears interest at a rate of 2.75% per annum over LIBOR, subject to a 0.50% floor. The Term Loan will amortize at 1% per annum in equal quarterly installments, starting in March 2022 until the final maturity date on July 7, 2028. The Revolving Credit Facility bears interest at a rate, depending on first lien net leverage, ranging from 2.00% to 2.50% over LIBOR and matures on July 7, 2026. We will pay a commitment fee during the term of the Credit Agreement ranging from 0.25% to 0.375% per annum of the average daily undrawn portion of the revolving commitments based on the first lien net leverage ratio. The Credit Agreement contains customary representations and warranties and affirmative and negative covenants. Additionally, if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least 35% of the Revolving Credit Facility is drawn on the last day of the quarter, the total net leverage ratio cannot be greater than 5.50 to 1.00.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Since the closing date, there have been no amounts outstanding under the Revolving Credit Facility.</w:t>
      </w:r>
    </w:p>
    <w:p>
      <w:pPr>
        <w:spacing w:after="0" w:line="217"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In connection with the Credit Agreement, we terminated the 2020 Credit Facility, which included the release of all related guarantees and liens.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21,763</w:t>
            </w:r>
          </w:p>
        </w:tc>
      </w:tr>
      <w:tr>
        <w:trPr>
          <w:trHeight w:val="226"/>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r>
      <w:tr>
        <w:trPr>
          <w:trHeight w:val="244"/>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235"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In the six months ended June 30, 2021, net cash provided by operating activities was $55.2 million, which primarily consisted of our $19.4 million loss, adjusted for stock-based compensation expense of $37.4 million and depreciation and amortization of $6.8 million, as well as a net cash inflow of $30.6 million from changes in operating assets and liabilities. The net inflow from changes in operating assets and liabilities was primarily related to a $19.0 million decrease in accounts receivable due to collections from customers, a $7.6 million decrease in prepaid expenses and a $6.7 million increase in deferred revenue.</w:t>
      </w:r>
    </w:p>
    <w:p>
      <w:pPr>
        <w:spacing w:after="0" w:line="207"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In the six months ended June 30, 2020, net cash provided by operating activities was $21.5 million, which primarily consisted of our $34.9 million loss, adjusted for stock-based compensation expense of $28.7 million and depreciation and amortization of $5.3 million, as well as a net cash inflow of $21.9 million from changes in operating assets and liabilities. The net inflow from changes in operating assets and liabilities was primarily due to a $13.5 million decrease in accounts receivable due to collections from customers and $8.6 million in proceeds from lease incentives, partially offset by a $5.3 million decrease in accrued compensation, which included quarterly bonuses and commissions earned in the fourth quarter of 2019 that were paid in the first quarter of 2020.</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235"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Net cash used in investing activities increased by $134.5 million, primarily due to $98.5 million of cash paid for the Alsid acquisition and a $44.4 million decrease in sales and maturities, net of purchases, of short-term investments in commercial paper, U.S. Treasury and agency obligations, corporate bonds and supranational bonds, partially offset by a $9.0 million decrease in capital expenditures related to our new headquarters.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235"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Net cash provided by financing activities decreased by $3.5 million, primarily due to a $2.3 million decrease in the proceeds from the exercise of stock options and $2.0 million of loan proceeds that we received from the state of Maryland in 2020, partially offset by a $0.7 million increase in proceeds from the employee stock purchase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June 30, 2021, there were no material changes in our contractual obligations and commitments from those disclosed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 July 2021, we entered into a contract with Amazon Web Services, Inc. for cloud services from August 2021 through July 2024. Under the terms of the contract, we committed to spend $43.7 million, $46.8 million and $50.1 million in contract years 1, 2 and 3, respectively, for a total spend of $140.6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9"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At June 30, 2021,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w:t>
      </w:r>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exposed to market risks in the ordinary course of our business, including interest rate, foreign currency exchange and inflation risks.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At June 30, 2021, we had $135.9 million of cash and cash equivalents, which consisted of cash deposits and money market funds. We also had $125.1 million of short-term investments, which consisted of commercial paper, U.S. treasury and agency securities and corporate and supranational bonds. Our investments are carried at their fair market values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197" w:lineRule="exact"/>
        <w:rPr>
          <w:sz w:val="20"/>
          <w:szCs w:val="20"/>
          <w:color w:val="auto"/>
        </w:rPr>
      </w:pPr>
    </w:p>
    <w:p>
      <w:pPr>
        <w:jc w:val="both"/>
        <w:ind w:right="140" w:firstLine="318"/>
        <w:spacing w:after="0" w:line="270" w:lineRule="auto"/>
        <w:rPr>
          <w:sz w:val="20"/>
          <w:szCs w:val="20"/>
          <w:color w:val="auto"/>
        </w:rPr>
      </w:pPr>
      <w:r>
        <w:rPr>
          <w:rFonts w:ascii="Arial" w:cs="Arial" w:eastAsia="Arial" w:hAnsi="Arial"/>
          <w:sz w:val="17"/>
          <w:szCs w:val="17"/>
          <w:color w:val="auto"/>
        </w:rPr>
        <w:t>We did not had any borrowings under our $45.0 million 2020 Credit Facility since it was established in July 2020. In July 2021, we entered into the Term Loan, which has a variable interest rate. As the LIBOR rate in July 2021 was below the 0.50% floor, a one-half percentage point increase in the rate would not have a material impact on our financial statements in the six months ended December 31, 2021.</w:t>
      </w:r>
    </w:p>
    <w:p>
      <w:pPr>
        <w:spacing w:after="0" w:line="188"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July 2021, we also entered into the Revolving Credit Facility, which has a variable interest rate, but does not currently have any outstanding borrowings under this facility. Because the United Kingdom Financial Conduct Authority, which regulates LIBOR, announced the desire to phase out the use of LIBOR by the end of 2021, future borrowings under our Term Loan and Revolving Credit Facility could be subject to reference rates other than LIBOR.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9"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and Israeli New Shekel.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239"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9" w:lineRule="exact"/>
        <w:rPr>
          <w:sz w:val="20"/>
          <w:szCs w:val="20"/>
          <w:color w:val="auto"/>
        </w:rPr>
      </w:pPr>
    </w:p>
    <w:p>
      <w:pPr>
        <w:ind w:right="220" w:firstLine="318"/>
        <w:spacing w:after="0" w:line="246"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1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June 30, 2021,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implemented business combination controls in connection with our acquisition of Alsid. There were no other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3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39" w:lineRule="exact"/>
        <w:rPr>
          <w:sz w:val="20"/>
          <w:szCs w:val="20"/>
          <w:color w:val="auto"/>
        </w:rPr>
      </w:pPr>
    </w:p>
    <w:p>
      <w:pPr>
        <w:ind w:right="180" w:firstLine="318"/>
        <w:spacing w:after="0" w:line="263"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1"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39"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97" w:lineRule="exact"/>
        <w:rPr>
          <w:sz w:val="20"/>
          <w:szCs w:val="20"/>
          <w:color w:val="auto"/>
        </w:rPr>
      </w:pPr>
    </w:p>
    <w:p>
      <w:pPr>
        <w:ind w:left="640" w:right="5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may be materially adversely affected by the ongoing and evolving COVID-19 pandemic.</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maintain profitability in the future.</w:t>
      </w:r>
    </w:p>
    <w:p>
      <w:pPr>
        <w:spacing w:after="0" w:line="58" w:lineRule="exact"/>
        <w:rPr>
          <w:rFonts w:ascii="Arial" w:cs="Arial" w:eastAsia="Arial" w:hAnsi="Arial"/>
          <w:sz w:val="18"/>
          <w:szCs w:val="18"/>
          <w:color w:val="auto"/>
        </w:rPr>
      </w:pPr>
    </w:p>
    <w:p>
      <w:pPr>
        <w:ind w:left="640" w:right="2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offer solutions that address the dynamic cybersecurity landscape, we may not remain competitive.</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customers’ growing needs.</w:t>
      </w:r>
    </w:p>
    <w:p>
      <w:pPr>
        <w:spacing w:after="0" w:line="58" w:lineRule="exact"/>
        <w:rPr>
          <w:rFonts w:ascii="Arial" w:cs="Arial" w:eastAsia="Arial" w:hAnsi="Arial"/>
          <w:sz w:val="18"/>
          <w:szCs w:val="18"/>
          <w:color w:val="auto"/>
        </w:rPr>
      </w:pPr>
    </w:p>
    <w:p>
      <w:pPr>
        <w:ind w:left="640" w:right="140" w:hanging="316"/>
        <w:spacing w:after="0" w:line="24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brand, reputation and ability to attract, retain and serve our customers are dependent in part upon the reliable and accurate performance of our solutions, infrastructure and third-party suppliers. If we experience performance problems, or if our solutions fail to detect vulnerabilities or incorrectly detect vulnerabilities, or if they contain undetected errors or defects, our brand and reputation could be harmed.</w:t>
      </w:r>
    </w:p>
    <w:p>
      <w:pPr>
        <w:spacing w:after="0" w:line="48" w:lineRule="exact"/>
        <w:rPr>
          <w:rFonts w:ascii="Arial" w:cs="Arial" w:eastAsia="Arial" w:hAnsi="Arial"/>
          <w:sz w:val="18"/>
          <w:szCs w:val="18"/>
          <w:color w:val="auto"/>
        </w:rPr>
      </w:pPr>
    </w:p>
    <w:p>
      <w:pPr>
        <w:ind w:left="640" w:right="52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quarterly results of operations are likely to fluctuate significantly due to a wide range of factors, which makes our future results difficult to predict.</w:t>
      </w:r>
    </w:p>
    <w:p>
      <w:pPr>
        <w:spacing w:after="0" w:line="44" w:lineRule="exact"/>
        <w:rPr>
          <w:rFonts w:ascii="Arial" w:cs="Arial" w:eastAsia="Arial" w:hAnsi="Arial"/>
          <w:sz w:val="18"/>
          <w:szCs w:val="18"/>
          <w:color w:val="auto"/>
        </w:rPr>
      </w:pPr>
    </w:p>
    <w:p>
      <w:pPr>
        <w:ind w:left="640" w:hanging="316"/>
        <w:spacing w:after="0" w:line="270"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29"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third parties to maintain and operate certain elements of our network infrastructure.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our third-party channel partner network of distributors and resellers to generate a substantial amount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7" w:lineRule="exact"/>
        <w:rPr>
          <w:sz w:val="20"/>
          <w:szCs w:val="20"/>
          <w:color w:val="auto"/>
        </w:rPr>
      </w:pPr>
    </w:p>
    <w:p>
      <w:pPr>
        <w:ind w:right="120" w:firstLine="318"/>
        <w:spacing w:after="0" w:line="276" w:lineRule="auto"/>
        <w:rPr>
          <w:sz w:val="20"/>
          <w:szCs w:val="20"/>
          <w:color w:val="auto"/>
        </w:rPr>
      </w:pPr>
      <w:r>
        <w:rPr>
          <w:rFonts w:ascii="Arial" w:cs="Arial" w:eastAsia="Arial" w:hAnsi="Arial"/>
          <w:sz w:val="18"/>
          <w:szCs w:val="18"/>
          <w:b w:val="1"/>
          <w:bCs w:val="1"/>
          <w:i w:val="1"/>
          <w:iCs w:val="1"/>
          <w:color w:val="auto"/>
        </w:rPr>
        <w:t>Our business, operations and financial performance may be materially adversely affected by the ongoing and evolving COVID-19 pandemic.</w:t>
      </w:r>
    </w:p>
    <w:p>
      <w:pPr>
        <w:spacing w:after="0" w:line="169" w:lineRule="exact"/>
        <w:rPr>
          <w:sz w:val="20"/>
          <w:szCs w:val="20"/>
          <w:color w:val="auto"/>
        </w:rPr>
      </w:pPr>
    </w:p>
    <w:p>
      <w:pPr>
        <w:ind w:right="40" w:firstLine="318"/>
        <w:spacing w:after="0" w:line="217" w:lineRule="auto"/>
        <w:rPr>
          <w:sz w:val="20"/>
          <w:szCs w:val="20"/>
          <w:color w:val="auto"/>
        </w:rPr>
      </w:pPr>
      <w:r>
        <w:rPr>
          <w:rFonts w:ascii="Arial" w:cs="Arial" w:eastAsia="Arial" w:hAnsi="Arial"/>
          <w:sz w:val="18"/>
          <w:szCs w:val="18"/>
          <w:color w:val="auto"/>
        </w:rPr>
        <w:t>Our business, operations and financial performance could be adversely affected by the effects of the ongoing and evolving COVID-19 pandemic, and such effects could be material; however, as of June 30, 2021, we have not seen a significant adverse impact to our financial position, results of operations, cash flows and liquidity as a result of the COVID-19 pandemic. The COVID-19 pandemic resulted in travel and other restrictions in order to reduce the spread of the disease, including state and local orders across the United States and in countries in which we operate that, among other things, directed individuals to follow social distancing guidelines and or to shelter at their places of residence, directed businesses and governmental agencies to cease non-essential operations at physical locations, prohibited certain non-essential gatherings and events and ordered cessation of non-essential travel. In response to public health directives and orders, we implemented work-from-home policies for our global workforce, including at our headquarters in Columbia, Maryland. As these restrictions have eased, we have begun to resume some activities, including limited business travel, and implemented hybrid work environments that permit in-person work at the option of the employee at certain of our global office locations, including at our headquarters. Re-opening our offices could expose our employees to health risks, and us to associated liability. We expect many employees to continue to work remotely or a hybrid of in-person and remote work, which presents risks, uncertainties and costs that could affect our performance, including operational and workplace culture challenges, uncertainty regarding office space needs and heightened vulnerability to cyber attacks.</w:t>
      </w:r>
    </w:p>
    <w:p>
      <w:pPr>
        <w:spacing w:after="0" w:line="23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Further developments in the COVID-19 pandemic could result in changes to our remote and hybrid work policies, and additional quarantines, shelter-in-place or similar government orders, shutdowns or other restrictions on the conduct of business operations which may adversely affect our business and our ability to generate sales of, and revenues from, our platform offerings. For example, since the onset of the COVID-19 pandemic substantially all of our field sales and other professional services were conducted remotely. As health and safety restrictions have eased, we have begun to permit in-person field sales and professional services activity in limited circumstances, and while we did not see a significant adverse impact from remote operations in our ability to attract, retain or upsell customers, we anticipate that our revenue growth could be adversely impacted by developments in the COVID-19 pandemic that negatively impact global economic conditions, including, for example, as a result of the tightening of health and safety restrictions in the United States or globally.</w:t>
      </w:r>
    </w:p>
    <w:p>
      <w:pPr>
        <w:spacing w:after="0" w:line="211"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also do not yet know the full effects of the ongoing COVID-19 pandemic on our partners, customers and service providers. Health concerns and political or governmental developments in response to COVID-19 could create or contribute to economic, social or labor instability or prolonged contractions in the industries in which our customers or partners operate. As a result, existing and potential customers have and may continue to choose to reduce or delay technology spending in response to the COVID-19 pandemic, or may attempt to renegotiate contracts and obtain concessions, which could materially and negatively impact our operating results, financial condition and prospects. Because our platform offerings are primarily sold on a subscription basis, any such adverse effects may not be fully reflected in our operating results until future periods, and such effects may be offset by temporary decreases in our expenses related to restrictions on the conduct of our business. We expect to incur additional costs as we resume business-related travel and return to the office, the timing and extent of which remains subject to ongoing developments in the COVID-19 pandemic.</w:t>
      </w:r>
    </w:p>
    <w:p>
      <w:pPr>
        <w:spacing w:after="0" w:line="21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COVID-19 pandemic continues to rapidly evolve. The full extent to which the COVID-19 pandemic impacts our business and operations will depend on future developments that are highly uncertain and cannot be predicted with confidence at the time of this Form 10-Q, such as the duration of the outbreak, the duration and effect of business disruptions, the ongoing effectiveness and widespread adoption of vaccines, both domestically and globally, the duration and ultimate effectiveness of the travel restrictions, quarantines, social distancing requirements and business closures in the United States and other countries to contain and treat the disease, and the impact of new variants or mutations of the coronavirus, such as the Delta variant. Accordingly, we do not yet know the full extent of potential impacts on our business and operations, or those of our partners and customers, or the global economy as a whole. Weak global economic conditions also may exacerbate the ongoing impact of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have historically incurred net losses, including net losses of $19.4 million and $34.9 million in the six months ended June 30, 2021 and 2020, respectively. As of June 30, 2021, we had an accumulated deficit of $627.2 million. Because the market for our offerings is highly competitive and rapidly evolving and these solutions have not yet reached widespread adoption, it is difficult for us to predict our future results of operations. Further, we do not yet know the full effects of the COVID-19 pandemic, which increases the difficulty in predicting future results of operations.</w:t>
      </w:r>
    </w:p>
    <w:p>
      <w:pPr>
        <w:spacing w:after="0" w:line="101"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102"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1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71" w:lineRule="exact"/>
        <w:rPr>
          <w:sz w:val="20"/>
          <w:szCs w:val="20"/>
          <w:color w:val="auto"/>
        </w:rPr>
      </w:pPr>
    </w:p>
    <w:p>
      <w:pPr>
        <w:ind w:right="620" w:firstLine="318"/>
        <w:spacing w:after="0" w:line="276"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offer solutions that address the dynamic cybersecurity landscape, we may not remain competitive.</w:t>
      </w:r>
    </w:p>
    <w:p>
      <w:pPr>
        <w:spacing w:after="0" w:line="182"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market for cybersecurity solutions is fragmented, intensely competitive and constantly evolving. We compete with a range of established and emerging cybersecurity software and services vendors, as well as homegrown solutions. Our competitors include: vulnerability management and assessment vendors, including Qualys and Rapid7; diversified security software and services vendors;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19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in 2019 Microsoft introduced a vulnerability management offering as part of their existing endpoint security platform. Smaller companies could also launch new products and services that we do not offer and that could gain market acceptance quickly.</w:t>
      </w:r>
    </w:p>
    <w:p>
      <w:pPr>
        <w:spacing w:after="0" w:line="194"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auto"/>
        </w:rPr>
        <w:t>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3"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during the COVID-19 pandemic. Developing new solutions and product enhancements is uncertain, 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spacing w:after="0" w:line="21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From the six months ended June 30, 2020 to the six months ended June 30, 2021, our revenue grew from $209.9 million to $253.4 million, representing year over year growth of 21%.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101"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17"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If we are unable to maintain consistent revenue or revenue growth, including as a result of the COVID-19 pandemic, our stock price could be volatile, and it may be difficult to achieve and maintain profitability. You should not rely on our revenue for any prior quarterly or annual periods as any indication of our future revenue or revenue growth.</w:t>
      </w:r>
    </w:p>
    <w:p>
      <w:pPr>
        <w:spacing w:after="0" w:line="206"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81" w:lineRule="exact"/>
        <w:rPr>
          <w:sz w:val="20"/>
          <w:szCs w:val="20"/>
          <w:color w:val="auto"/>
        </w:rPr>
      </w:pPr>
    </w:p>
    <w:p>
      <w:pPr>
        <w:ind w:right="40" w:firstLine="318"/>
        <w:spacing w:after="0" w:line="261"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5"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the COVID-19 pandemic, may not be immediately reflected in our revenue results for that period. This decline, however, would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88" w:lineRule="exact"/>
        <w:rPr>
          <w:sz w:val="20"/>
          <w:szCs w:val="20"/>
          <w:color w:val="auto"/>
        </w:rPr>
      </w:pPr>
    </w:p>
    <w:p>
      <w:pPr>
        <w:ind w:right="80" w:firstLine="318"/>
        <w:spacing w:after="0" w:line="276"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82" w:lineRule="exact"/>
        <w:rPr>
          <w:sz w:val="20"/>
          <w:szCs w:val="20"/>
          <w:color w:val="auto"/>
        </w:rPr>
      </w:pPr>
    </w:p>
    <w:p>
      <w:pPr>
        <w:ind w:right="200" w:firstLine="318"/>
        <w:spacing w:after="0" w:line="246" w:lineRule="auto"/>
        <w:rPr>
          <w:sz w:val="20"/>
          <w:szCs w:val="20"/>
          <w:color w:val="auto"/>
        </w:rPr>
      </w:pPr>
      <w:r>
        <w:rPr>
          <w:rFonts w:ascii="Arial" w:cs="Arial" w:eastAsia="Arial" w:hAnsi="Arial"/>
          <w:sz w:val="18"/>
          <w:szCs w:val="18"/>
          <w:color w:val="auto"/>
        </w:rPr>
        <w:t>Our enterprise platform offerings, Tenable.io, Tenable.sc and Tenable.ot,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work during the COVID-19 pandemic,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0"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5" w:lineRule="exact"/>
        <w:rPr>
          <w:sz w:val="20"/>
          <w:szCs w:val="20"/>
          <w:color w:val="auto"/>
        </w:rPr>
      </w:pPr>
    </w:p>
    <w:p>
      <w:pPr>
        <w:ind w:right="100" w:firstLine="318"/>
        <w:spacing w:after="0" w:line="256"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and accurate performance of our solutions, infrastructure and third-party suppliers. If we experience performance problems as a result of security breaches of our systems or otherwise, or if our solutions fail to detect vulnerabilities or incorrectly detect vulnerabilities, or if they contain undetected errors or defects, or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or our third party service providers experience a security breach or unauthorized parties otherwise obtain access to our customers' data or systems, our brand and reputation could be harmed.</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deliberate or unintentional human or software errors, capacity constraints and fraud or cybersecurity attacks. Any disruptions or other performance problems with our solutions could harm our reputation and business and may damage our customers’ businesses, including by interrupting their networking traffic or operational technology environments. Interruptions in our service delivery might reduce our revenue, cause us to issue credits to customers, subject us to potential liability and cause customers to not renew their purchases of our solutions.</w:t>
      </w:r>
    </w:p>
    <w:p>
      <w:pPr>
        <w:spacing w:after="0" w:line="21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addition, if our solutions fail to detect vulnerabilities in our customers’ cybersecurity infrastructure, including for remote devices,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including as a result of the increased remote work environment during the COVID-19 pandemic.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adversely impact market acceptance of our products and could result in negative publicity, loss of customers and sales and increased costs to remedy any problem.</w:t>
      </w:r>
    </w:p>
    <w:p>
      <w:pPr>
        <w:spacing w:after="0" w:line="21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experienced errors or defects in the past in connection with the release of new solutions and product upgrades, and we expect that these errors or defects will be found from time to time in the future in new or enhanced solutions after commercial release. In addition, we use third parties to assist in the development of our products and these third parties could be a source of errors or defects. Defects may cause our solutions to be vulnerable to attacks, cause them to fail to detect vulnerabilities, or temporarily interrupt customers’ networking traffic or operational technology environments, any of which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Computer malware, viruses, social engineering (phishing attacks), threats from insiders, and increasingly, threats from bad actors and advanced new attacks against information systems increase risk of cybersecurity incidents. These incidents can include, but are not limited to, gaining unauthorized access to digital systems for purposes of misappropriating assets or sensitive information, corrupting data or causing operational disruption. Because the techniques used to obtain unauthorized access, insert malicious code or other otherwise sabotage systems change frequently and may not immediately produce signs of intrusion, we may be unable to implement adequate preventative measures or timely discover these intrusions. An actual or perceived security breach or theft of the sensitive data of ours, one of our customers or partners, regardless of whether the breach is attributable to the failure of our solutions or employee error, could adversely affect the market’s perception of our brand and our offerings and subject us to legal claims.</w:t>
      </w:r>
    </w:p>
    <w:p>
      <w:pPr>
        <w:spacing w:after="0" w:line="21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sell cybersecurity products and, as a result, may be at increased risk of being a target of cyber attacks designed to penetrate our platform or internal systems or to otherwise impede the performance of our products. We may be required to expend additional, significant resources, fundamentally change our business activities or practices, or modify our operations or information technology in an effort to protect against security breaches. Additionally, applicable data protection requirements may require us to implement specific security measures or use new or different industry-standard measures designed to protect against security breaches. Data protection requirements may also require us to notify relevant stakeholders of security breaches, including affected individuals, partners, collaborators, customers, regulators, law enforcement agencies and others. Such disclosures are costly, and the disclosures or failure to comply with such requirements could lead to adverse impacts, including reputational harm or fines and penalties. There can be no assurance that any limitations or exclusions of liabilities in our contracts would be enforceable or adequate or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otherwise protect us from liabilities or damages if we fail to comply with data protection requirements related to information security or security breaches. We cannot be sure that our insurance coverage, if any, will be adequate or otherwise protect us from or adequately mitigate liabilities or damages with respect to claims, costs, expenses, litigation, fines, penalties, business loss, data loss, regulatory actions or other impacts arising out of security breaches.</w:t>
      </w:r>
    </w:p>
    <w:p>
      <w:pPr>
        <w:spacing w:after="0" w:line="212" w:lineRule="exact"/>
        <w:rPr>
          <w:sz w:val="20"/>
          <w:szCs w:val="20"/>
          <w:color w:val="auto"/>
        </w:rPr>
      </w:pPr>
    </w:p>
    <w:p>
      <w:pPr>
        <w:ind w:right="420" w:firstLine="318"/>
        <w:spacing w:after="0" w:line="276"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82"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7"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that of our partners and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5" w:lineRule="exact"/>
        <w:rPr>
          <w:rFonts w:ascii="Arial" w:cs="Arial" w:eastAsia="Arial" w:hAnsi="Arial"/>
          <w:sz w:val="18"/>
          <w:szCs w:val="18"/>
          <w:color w:val="auto"/>
        </w:rPr>
      </w:pPr>
    </w:p>
    <w:p>
      <w:pPr>
        <w:ind w:left="640" w:right="220" w:hanging="316"/>
        <w:spacing w:after="0" w:line="24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 including remote devices;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5" w:lineRule="exact"/>
        <w:rPr>
          <w:rFonts w:ascii="Arial" w:cs="Arial" w:eastAsia="Arial" w:hAnsi="Arial"/>
          <w:sz w:val="18"/>
          <w:szCs w:val="18"/>
          <w:color w:val="auto"/>
        </w:rPr>
      </w:pPr>
    </w:p>
    <w:p>
      <w:pPr>
        <w:ind w:left="640" w:right="120" w:hanging="316"/>
        <w:spacing w:after="0" w:line="24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 (including security breaches by our service providers or vendors);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customers delaying purchasing decisions in anticipation of new developments or enhancements by us or our competitors or otherwise;</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5" w:lineRule="exact"/>
        <w:rPr>
          <w:rFonts w:ascii="Arial" w:cs="Arial" w:eastAsia="Arial" w:hAnsi="Arial"/>
          <w:sz w:val="18"/>
          <w:szCs w:val="18"/>
          <w:color w:val="auto"/>
        </w:rPr>
      </w:pPr>
    </w:p>
    <w:p>
      <w:pPr>
        <w:ind w:left="640" w:right="100" w:hanging="316"/>
        <w:spacing w:after="0" w:line="24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cloud infrastructure costs and facilities costs;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5" w:lineRule="exact"/>
        <w:rPr>
          <w:rFonts w:ascii="Arial" w:cs="Arial" w:eastAsia="Arial" w:hAnsi="Arial"/>
          <w:sz w:val="18"/>
          <w:szCs w:val="18"/>
          <w:color w:val="auto"/>
        </w:rPr>
      </w:pPr>
    </w:p>
    <w:p>
      <w:pPr>
        <w:ind w:left="640" w:right="260" w:hanging="316"/>
        <w:spacing w:after="0" w:line="24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17"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9" w:lineRule="exact"/>
        <w:rPr>
          <w:sz w:val="20"/>
          <w:szCs w:val="20"/>
          <w:color w:val="auto"/>
        </w:rPr>
      </w:pPr>
    </w:p>
    <w:p>
      <w:pPr>
        <w:ind w:right="60" w:firstLine="318"/>
        <w:spacing w:after="0" w:line="256"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resulting from the ongoing COVID-19 pandemic,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39"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11"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8"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6" w:lineRule="exact"/>
        <w:rPr>
          <w:sz w:val="20"/>
          <w:szCs w:val="20"/>
          <w:color w:val="auto"/>
        </w:rPr>
      </w:pPr>
    </w:p>
    <w:p>
      <w:pPr>
        <w:ind w:right="100" w:firstLine="318"/>
        <w:spacing w:after="0" w:line="276"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82"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and to the extent we continue to enter into larger deals, our average sales cycle is likely to increase. Further, the length of time that potential customers devote to their testing and evaluation, contract negotiation and budgeting processes varies significantly, depending on the size of the organization and nature of the product or service under consideration. The COVID-19 pandemic has also impacted the budgets and 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sales cycle.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88" w:lineRule="exact"/>
        <w:rPr>
          <w:sz w:val="20"/>
          <w:szCs w:val="20"/>
          <w:color w:val="auto"/>
        </w:rPr>
      </w:pPr>
    </w:p>
    <w:p>
      <w:pPr>
        <w:ind w:right="360" w:firstLine="318"/>
        <w:spacing w:after="0" w:line="261" w:lineRule="auto"/>
        <w:rPr>
          <w:sz w:val="20"/>
          <w:szCs w:val="20"/>
          <w:color w:val="auto"/>
        </w:rPr>
      </w:pPr>
      <w:r>
        <w:rPr>
          <w:rFonts w:ascii="Arial" w:cs="Arial" w:eastAsia="Arial" w:hAnsi="Arial"/>
          <w:sz w:val="18"/>
          <w:szCs w:val="18"/>
          <w:b w:val="1"/>
          <w:bCs w:val="1"/>
          <w:i w:val="1"/>
          <w:iCs w:val="1"/>
          <w:color w:val="auto"/>
        </w:rPr>
        <w:t>We are subject to stringent and changing privacy and data security laws, as well as contractual obligations, self-regulatory schemes, government regulation, and standards related to data privacy and security. Compliance with, or the failure or perceived failure to comply with such obligations, could adversely affect our ability to conduct our business.</w:t>
      </w:r>
    </w:p>
    <w:p>
      <w:pPr>
        <w:spacing w:after="0" w:line="208" w:lineRule="exact"/>
        <w:rPr>
          <w:sz w:val="20"/>
          <w:szCs w:val="20"/>
          <w:color w:val="auto"/>
        </w:rPr>
      </w:pPr>
    </w:p>
    <w:p>
      <w:pPr>
        <w:ind w:right="80" w:firstLine="318"/>
        <w:spacing w:after="0" w:line="230" w:lineRule="auto"/>
        <w:rPr>
          <w:sz w:val="20"/>
          <w:szCs w:val="20"/>
          <w:color w:val="auto"/>
        </w:rPr>
      </w:pPr>
      <w:r>
        <w:rPr>
          <w:rFonts w:ascii="Arial" w:cs="Arial" w:eastAsia="Arial" w:hAnsi="Arial"/>
          <w:sz w:val="17"/>
          <w:szCs w:val="17"/>
          <w:color w:val="auto"/>
        </w:rPr>
        <w:t>We, along with a significant number of our customers, vendors and other third parties upon whom we rely are subject to laws, rules, regulations, and industry standards related to data privacy and cyber security, and restrictions or technological requirements regarding the collection, use, storage, protection, retention or transfer of data. For example,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Post-Brexit, the UK also issued its own similar version of the GDPR. We have an internal data privacy function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oversees and supervises our compliance with European and UK data protection regulations but, despite our efforts, we may fail, or be perceived to have failed, to comply. Further, local data protection authorities may have different interpretations of the GDPR, leading to potential inconsistencies amongst various EU states.</w:t>
      </w:r>
    </w:p>
    <w:p>
      <w:pPr>
        <w:spacing w:after="0" w:line="22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198" w:lineRule="exact"/>
        <w:rPr>
          <w:sz w:val="20"/>
          <w:szCs w:val="20"/>
          <w:color w:val="auto"/>
        </w:rPr>
      </w:pPr>
    </w:p>
    <w:p>
      <w:pPr>
        <w:ind w:firstLine="318"/>
        <w:spacing w:after="0" w:line="229" w:lineRule="auto"/>
        <w:rPr>
          <w:sz w:val="20"/>
          <w:szCs w:val="20"/>
          <w:color w:val="auto"/>
        </w:rPr>
      </w:pPr>
      <w:r>
        <w:rPr>
          <w:rFonts w:ascii="Arial" w:cs="Arial" w:eastAsia="Arial" w:hAnsi="Arial"/>
          <w:sz w:val="17"/>
          <w:szCs w:val="17"/>
          <w:color w:val="auto"/>
        </w:rPr>
        <w:t>The GDPR generally restricts the transfer of personal data to countries outside of the European Economic Area, or EEA, that the EU does not deem to have adequate data protection legislation (such as the United States) without the use of an appropriate transfer mechanism. While we have taken steps to lawfully transfer personal data, such as implementing standard contractual clauses as appropriate, the efficacy and longevity of these mechanisms remains uncertain. For example, the European Court of Justice, or EJC, recently invalidated the use of the EU-US Privacy Shield, or the Privacy Shield, which had enabled the transfer of personal data from the European Union to the United States for companies like us that were self-certified under the Privacy Shield. The ECJ also called into question the use of the standard contractual clauses. As we are no longer able to rely on the Privacy Shield, if we are unable to implement a valid compliance mechanism for cross-border transfers of personal data, we may face increased exposure to regulatory actions, substantial fines and injunctions against processing or transferring personal data from the EEA. Recently, the European Commission adopted new standard contractual clauses under the GDPR for personal data transfers from the EEA to outside of the EEA, and the European Data Protection Board also issued guidelines for companies to identify and implement appropriate supplementary measures, if applicable, for transferring personal data of European Union data subjects across borders. In connection with these developments, we may have obligations to conduct transfer impact assessments for such cross-border data transfers and may need to implement additional security or other supplementary measures. If we elect to rely on the standard contractual clauses for data transfers, we may be required to expend significant time and resources to update our contractual arrangements and to comply with such obligations. Additionally, the new standard contractual clauses could be invalidated, which could require us to implement costly substitutions for the data transfers we undertake in order to perform our services or prevent such transfers entirely.</w:t>
      </w:r>
    </w:p>
    <w:p>
      <w:pPr>
        <w:spacing w:after="0" w:line="236"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Additionally, the exit by the United Kingdom from the EU, or Brexit, took effect in January 2020, which will lead to further legislative and regulatory changes. The Data Protection Act of 2018, that “implements” and complements the GDPR achieved Royal Assent on May 23, 2018 and is now effective in the United Kingdom. With the expiration of the transition period on December 31, 2020, companies will have to comply with both the GDPR and the GDPR as incorporated into United Kingdom national law, which has the ability to separately fine up to the greater of £17.5 million or 4% of global turnover, which exposes us to further compliance risk. While the European Commission recently adopted an adequacy decision for the UK, meaning data may freely flow from the EU to the UK, the adequacy decision is subject to a “sunset clause”, which provides uncertainty on the ability to rely on the adequacy decision in the long-term. We may incur liabilities, expenses, costs, and other operational losses under GDPR and applicable EU Member States and the United Kingdom privacy laws in connection with any measures we take to comply with them.</w:t>
      </w:r>
    </w:p>
    <w:p>
      <w:pPr>
        <w:spacing w:after="0" w:line="237"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Similarly, there are a number of new state consumer data privacy laws as well as federal and state level legislative proposals in the United States that could impose new obligations on us. For example, the California Consumer Privacy Act, or the CCPA, went into effect on January 1, 2020 and creates new individual privacy rights for consumers and places increased privacy and security obligations on entities handling the personal data of consumers or households. The CCPA requires covered businesses to provide new disclosures to California consumers, which could include our employees residing in California based on the broad definitions in the law, to provide such consumers new ways to opt out of certain sales of personal information and to allow for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37"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Further, California voters approved a new privacy law, the California Privacy Rights Act, or CPRA, in November 2020. Effective on January 1, 2023, the CPRA will significantly modify the CCPA, including by expanding consumers’ rights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For example, Virginia recently passed its Consumer Data Protection Act and Colorado recently passed the Colorado Privacy Act, both of which differ from the CPRA and go into effect on January 1, 2023 and July 1, 2023 respectively.</w:t>
      </w:r>
    </w:p>
    <w:p>
      <w:pPr>
        <w:spacing w:after="0" w:line="238"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We are also subject to the terms of our external and internal privacy and security policies, representations, certifications, standards, publications and frameworks, and contractual obligations to third parties related to privacy, information and security including, without limitation, operating rules and standards imposed by industry organizations.</w:t>
      </w:r>
    </w:p>
    <w:p>
      <w:pPr>
        <w:spacing w:after="0" w:line="233"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If we fail, or are perceived to have failed, to address or comply with applicable data protection laws, privacy policies and data protection obligations, or if our privacy policies are, in whole or part, found to be inaccurate, incomplete deceptive, unfair or misrepresentative of our actual practices, it could: result in fines and other penalties; result in reputational harm; lead to a loss of customers; reduce the use of our products; result in litigation and liability; result in an inability to process personal data or operate in certain jurisdictions; cause a material adverse impact to our business operations or financial results or otherwise harm our business. Moreover, any such investigation or charges by applicable data protection authorities could have a negative effect on our existing business and on our ability to attract and retain new customers, even if the investigation determines we have not committed any violations. Existing and proposed laws and regulations can be costly to comply with,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rely on our third-party channel partner network of distributors and resellers to generate a substantial amount of our revenue.</w:t>
      </w:r>
    </w:p>
    <w:p>
      <w:pPr>
        <w:spacing w:after="0" w:line="251"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the six months ended June 30, 2021 and 2020, we derived 92% and 91%, respectively, of our revenue from subscriptions and perpetual licenses sold through channel partners, and the percentage of revenue derived from channel partners may continue to increase in future periods. Ingram Micro, Inc., a distributor, accounted for 40% and 43% of our revenue in the six months ended June 30, 2021 and 2020, respectively, and 37% of our accounts receivable as of June 30, 2021.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the COVID-19 pandemic,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firstLine="318"/>
        <w:spacing w:after="0" w:line="276"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82"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1" w:lineRule="exact"/>
        <w:rPr>
          <w:sz w:val="20"/>
          <w:szCs w:val="20"/>
          <w:color w:val="auto"/>
        </w:rPr>
      </w:pPr>
    </w:p>
    <w:p>
      <w:pPr>
        <w:ind w:right="20" w:firstLine="318"/>
        <w:spacing w:after="0" w:line="261" w:lineRule="auto"/>
        <w:rPr>
          <w:sz w:val="20"/>
          <w:szCs w:val="20"/>
          <w:color w:val="auto"/>
        </w:rPr>
      </w:pPr>
      <w:r>
        <w:rPr>
          <w:rFonts w:ascii="Arial" w:cs="Arial" w:eastAsia="Arial" w:hAnsi="Arial"/>
          <w:sz w:val="17"/>
          <w:szCs w:val="17"/>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00" w:lineRule="exact"/>
        <w:rPr>
          <w:sz w:val="20"/>
          <w:szCs w:val="20"/>
          <w:color w:val="auto"/>
        </w:rPr>
      </w:pPr>
    </w:p>
    <w:p>
      <w:pPr>
        <w:spacing w:after="0" w:line="214"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11"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80" w:firstLine="318"/>
        <w:spacing w:after="0" w:line="276"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82"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11"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5" w:lineRule="exact"/>
        <w:rPr>
          <w:sz w:val="20"/>
          <w:szCs w:val="20"/>
          <w:color w:val="auto"/>
        </w:rPr>
      </w:pPr>
    </w:p>
    <w:p>
      <w:pPr>
        <w:ind w:right="680" w:firstLine="318"/>
        <w:spacing w:after="0" w:line="276"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82"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 Lumin does not garner widespread market adoption and implementation, our operating results and competitive position could suffer.</w:t>
      </w:r>
    </w:p>
    <w:p>
      <w:pPr>
        <w:spacing w:after="0" w:line="211" w:lineRule="exact"/>
        <w:rPr>
          <w:sz w:val="20"/>
          <w:szCs w:val="20"/>
          <w:color w:val="auto"/>
        </w:rPr>
      </w:pPr>
    </w:p>
    <w:p>
      <w:pPr>
        <w:jc w:val="both"/>
        <w:ind w:right="340" w:firstLine="318"/>
        <w:spacing w:after="0" w:line="280"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8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97" w:lineRule="exact"/>
        <w:rPr>
          <w:sz w:val="20"/>
          <w:szCs w:val="20"/>
          <w:color w:val="auto"/>
        </w:rPr>
      </w:pPr>
    </w:p>
    <w:p>
      <w:pPr>
        <w:ind w:left="640" w:right="880" w:hanging="316"/>
        <w:spacing w:after="0" w:line="24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predict market demand accurately, including changes in demand as a result of the COVID-19 pandemic, in terms of functionality and to supply offerings that meets this demand in a timely fashion;</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5" w:lineRule="exact"/>
        <w:rPr>
          <w:rFonts w:ascii="Arial" w:cs="Arial" w:eastAsia="Arial" w:hAnsi="Arial"/>
          <w:sz w:val="18"/>
          <w:szCs w:val="18"/>
          <w:color w:val="auto"/>
        </w:rPr>
      </w:pPr>
    </w:p>
    <w:p>
      <w:pPr>
        <w:ind w:left="640" w:right="720" w:hanging="316"/>
        <w:spacing w:after="0" w:line="24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the COVID-19 pandemic, causing them to delay or forgo IT purchases; and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17" w:lineRule="exact"/>
        <w:rPr>
          <w:sz w:val="20"/>
          <w:szCs w:val="20"/>
          <w:color w:val="auto"/>
        </w:rPr>
      </w:pPr>
    </w:p>
    <w:p>
      <w:pPr>
        <w:ind w:right="460" w:firstLine="318"/>
        <w:spacing w:after="0" w:line="248"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firstLine="318"/>
        <w:spacing w:after="0" w:line="276"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82"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1" w:lineRule="exact"/>
        <w:rPr>
          <w:sz w:val="20"/>
          <w:szCs w:val="20"/>
          <w:color w:val="auto"/>
        </w:rPr>
      </w:pPr>
    </w:p>
    <w:p>
      <w:pPr>
        <w:ind w:right="520" w:firstLine="318"/>
        <w:spacing w:after="0" w:line="276"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82"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9" w:lineRule="exact"/>
        <w:rPr>
          <w:sz w:val="20"/>
          <w:szCs w:val="20"/>
          <w:color w:val="auto"/>
        </w:rPr>
      </w:pPr>
    </w:p>
    <w:p>
      <w:pPr>
        <w:ind w:right="620" w:firstLine="318"/>
        <w:spacing w:after="0" w:line="276"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82"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41% and 38% of our revenue in the six months ended June 30, 2021 and 2020,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105"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w:t>
      </w:r>
    </w:p>
    <w:p>
      <w:pPr>
        <w:spacing w:after="0" w:line="5" w:lineRule="exact"/>
        <w:rPr>
          <w:rFonts w:ascii="Arial" w:cs="Arial" w:eastAsia="Arial" w:hAnsi="Arial"/>
          <w:sz w:val="18"/>
          <w:szCs w:val="18"/>
          <w:color w:val="auto"/>
        </w:rPr>
      </w:pPr>
    </w:p>
    <w:p>
      <w:pPr>
        <w:ind w:left="640" w:right="320" w:hanging="316"/>
        <w:spacing w:after="0" w:line="260"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economic or political instability in foreign markets, including instability related to the United Kingdom’s recent exit from the European Union and the corresponding impact on its ongoing legal, political, and economic relationship with the European Union;</w:t>
      </w: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travel restrictions resulting from the COVID-19 pandemic, including restrictions on U.S. travelers entering some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5" w:lineRule="exact"/>
        <w:rPr>
          <w:rFonts w:ascii="Arial" w:cs="Arial" w:eastAsia="Arial" w:hAnsi="Arial"/>
          <w:sz w:val="18"/>
          <w:szCs w:val="18"/>
          <w:color w:val="auto"/>
        </w:rPr>
      </w:pPr>
    </w:p>
    <w:p>
      <w:pPr>
        <w:ind w:left="640" w:right="220" w:hanging="316"/>
        <w:spacing w:after="0" w:line="24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spacing w:after="0" w:line="1" w:lineRule="exact"/>
        <w:rPr>
          <w:rFonts w:ascii="Arial" w:cs="Arial" w:eastAsia="Arial" w:hAnsi="Arial"/>
          <w:sz w:val="18"/>
          <w:szCs w:val="18"/>
          <w:color w:val="auto"/>
        </w:rPr>
      </w:pPr>
    </w:p>
    <w:p>
      <w:pPr>
        <w:ind w:left="640" w:right="80" w:hanging="316"/>
        <w:spacing w:after="0" w:line="24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2" w:lineRule="exact"/>
        <w:rPr>
          <w:rFonts w:ascii="Arial" w:cs="Arial" w:eastAsia="Arial" w:hAnsi="Arial"/>
          <w:sz w:val="18"/>
          <w:szCs w:val="18"/>
          <w:color w:val="auto"/>
        </w:rPr>
      </w:pPr>
    </w:p>
    <w:p>
      <w:pPr>
        <w:ind w:left="640" w:right="300" w:hanging="316"/>
        <w:spacing w:after="0" w:line="24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1" w:lineRule="exact"/>
        <w:rPr>
          <w:rFonts w:ascii="Arial" w:cs="Arial" w:eastAsia="Arial" w:hAnsi="Arial"/>
          <w:sz w:val="18"/>
          <w:szCs w:val="18"/>
          <w:color w:val="auto"/>
        </w:rPr>
      </w:pPr>
    </w:p>
    <w:p>
      <w:pPr>
        <w:ind w:left="640" w:right="240" w:hanging="316"/>
        <w:spacing w:after="0" w:line="24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 and regimes.</w:t>
      </w:r>
    </w:p>
    <w:p>
      <w:pPr>
        <w:spacing w:after="0" w:line="21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8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95"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could adversely affect our ability to execute our business plan, and we may not be able to find adequate replacements. We cannot ensure that we will be able to retain the services of any members of our senior management or other key employees.</w:t>
      </w:r>
    </w:p>
    <w:p>
      <w:pPr>
        <w:spacing w:after="0" w:line="21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is intense. The recent move by companies to offer a remote or hybrid work environment may increase competition for such employees outside of our traditional office locations. In addition, employee turnover rates in the broader global economy have increased during the COVID-19 pandemic and may continue to be elevated, which could lead to increased recruiting, training and retention costs if we experience a similar increase in turnover. If we do not succeed in attracting well-qualified employees or retaining and motivating existing employees, our business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 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210"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39"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w:t>
      </w:r>
    </w:p>
    <w:p>
      <w:pPr>
        <w:spacing w:after="0" w:line="193" w:lineRule="exact"/>
        <w:rPr>
          <w:sz w:val="20"/>
          <w:szCs w:val="20"/>
          <w:color w:val="auto"/>
        </w:rPr>
      </w:pPr>
    </w:p>
    <w:p>
      <w:pPr>
        <w:ind w:firstLine="318"/>
        <w:spacing w:after="0" w:line="220" w:lineRule="auto"/>
        <w:rPr>
          <w:sz w:val="20"/>
          <w:szCs w:val="20"/>
          <w:color w:val="auto"/>
        </w:rPr>
      </w:pPr>
      <w:r>
        <w:rPr>
          <w:rFonts w:ascii="Arial" w:cs="Arial" w:eastAsia="Arial" w:hAnsi="Arial"/>
          <w:sz w:val="18"/>
          <w:szCs w:val="18"/>
          <w:color w:val="auto"/>
        </w:rPr>
        <w:t>While we have begun to initiate hybrid remote and in-person work policies, substantially all of our employees have been working remotely due to the COVID-19 pandemic, which may pose additional security risks. Additionally,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prohibit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In the event of a major hurricane, earthquake or other catastrophic event such as fire, power loss, telecommunications failure, cyberattack, war or terrorist attack, or epidemic or pandemic, such as the COVID-19 pandemic, that impacts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39"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We have in the past acquired products, technologies and businesses from other parties, such as our recent acquisition of Alsid SAS in April 2021, and we may choose to expand our current business by acquiring additional businesses or technologies in the future. Acquisitions involve many risks, including the following:</w:t>
      </w:r>
    </w:p>
    <w:p>
      <w:pPr>
        <w:spacing w:after="0" w:line="100" w:lineRule="exact"/>
        <w:rPr>
          <w:sz w:val="20"/>
          <w:szCs w:val="20"/>
          <w:color w:val="auto"/>
        </w:rPr>
      </w:pPr>
    </w:p>
    <w:p>
      <w:pPr>
        <w:ind w:left="640" w:right="40" w:hanging="316"/>
        <w:spacing w:after="0" w:line="24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5" w:lineRule="exact"/>
        <w:rPr>
          <w:rFonts w:ascii="Arial" w:cs="Arial" w:eastAsia="Arial" w:hAnsi="Arial"/>
          <w:sz w:val="18"/>
          <w:szCs w:val="18"/>
          <w:color w:val="auto"/>
        </w:rPr>
      </w:pPr>
    </w:p>
    <w:p>
      <w:pPr>
        <w:ind w:left="640" w:right="680" w:hanging="316"/>
        <w:spacing w:after="0" w:line="24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5" w:lineRule="exact"/>
        <w:rPr>
          <w:rFonts w:ascii="Arial" w:cs="Arial" w:eastAsia="Arial" w:hAnsi="Arial"/>
          <w:sz w:val="18"/>
          <w:szCs w:val="18"/>
          <w:color w:val="auto"/>
        </w:rPr>
      </w:pPr>
    </w:p>
    <w:p>
      <w:pPr>
        <w:ind w:left="640" w:right="640" w:hanging="316"/>
        <w:spacing w:after="0" w:line="24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5" w:lineRule="exact"/>
        <w:rPr>
          <w:rFonts w:ascii="Arial" w:cs="Arial" w:eastAsia="Arial" w:hAnsi="Arial"/>
          <w:sz w:val="18"/>
          <w:szCs w:val="18"/>
          <w:color w:val="auto"/>
        </w:rPr>
      </w:pPr>
    </w:p>
    <w:p>
      <w:pPr>
        <w:ind w:left="640" w:right="80" w:hanging="316"/>
        <w:spacing w:after="0" w:line="251"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203"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17"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current loan agreement includes, and we expect that any future agreements governing our indebtedness will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do not generate sufficient cash flows, we may be unable to service all of our indebtedness.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To service our indebtedness, we will require a significant amount of cash. Our ability to generate cash, make scheduled payments or to refinance our debt obligations depends on our successful financial and operating performance, which may be affected by a range of economic, competitive and business factors, many of which are outside of our control and some of which are described elsewhere in the “Risk Factors” section of this report.</w:t>
      </w:r>
    </w:p>
    <w:p>
      <w:pPr>
        <w:spacing w:after="0" w:line="208"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If our cash flows and capital resources are insufficient to fund our debt service obligations, or to repay the Term Loan when it matures, we may have to undertake alternative financing plans, such as refinancing or restructuring our debt, selling assets or operations, reducing or delaying capital investments, or seeking to raise additional capital. We may not be able to refinance our debt, or any refinancing of our debt could be at higher interest rates and may require us to comply with more restrictive covenants that could further restrict our business operations. Our ability to implement successfully any such alternative financing plans will depend on a range of factors, including general economic conditions, the level of activity in capital markets generally, and the terms of our various debt instruments then in effect.</w:t>
      </w:r>
    </w:p>
    <w:p>
      <w:pPr>
        <w:spacing w:after="0" w:line="189" w:lineRule="exact"/>
        <w:rPr>
          <w:sz w:val="20"/>
          <w:szCs w:val="20"/>
          <w:color w:val="auto"/>
        </w:rPr>
      </w:pPr>
    </w:p>
    <w:p>
      <w:pPr>
        <w:ind w:right="420" w:firstLine="318"/>
        <w:spacing w:after="0" w:line="276" w:lineRule="auto"/>
        <w:rPr>
          <w:sz w:val="20"/>
          <w:szCs w:val="20"/>
          <w:color w:val="auto"/>
        </w:rPr>
      </w:pPr>
      <w:r>
        <w:rPr>
          <w:rFonts w:ascii="Arial" w:cs="Arial" w:eastAsia="Arial" w:hAnsi="Arial"/>
          <w:sz w:val="18"/>
          <w:szCs w:val="18"/>
          <w:b w:val="1"/>
          <w:bCs w:val="1"/>
          <w:i w:val="1"/>
          <w:iCs w:val="1"/>
          <w:color w:val="auto"/>
        </w:rPr>
        <w:t>Covenants under our Credit Agreement may restrict our business and operations in many ways, and if we do not effectively manage our covenants, our financial conditions and results of operations could be adversely affected.</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Credit Agreement imposes various covenants that limit our ability and/or our restricted subsidiaries’ ability to, among other things:</w:t>
      </w:r>
    </w:p>
    <w:p>
      <w:pPr>
        <w:spacing w:after="0" w:line="68"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pay dividends or distributions, repurchase equity, prepay, redeem or repurchase certain debt, and make certain investments;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incur additional debt and issue certain preferred stock;</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provide guarantees in respect of obligations of other persons;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incur liens on assets;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engage in certain asset sales, including capital stock of our subsidiaries;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merge, consolidate with, or sell all or substantially all our assets to another person;</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enter into transactions with affiliates;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enter into agreements that restrict distributions from our subsidiaries;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designate subsidiaries as unrestricted subsidiaries; and</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prohibit certain restrictions on the ability of restricted subsidiaries to pay dividends or make other payments to us.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covenants may:</w:t>
      </w:r>
    </w:p>
    <w:p>
      <w:pPr>
        <w:spacing w:after="0" w:line="68"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2" w:lineRule="exact"/>
        <w:rPr>
          <w:rFonts w:ascii="Arial" w:cs="Arial" w:eastAsia="Arial" w:hAnsi="Arial"/>
          <w:sz w:val="21"/>
          <w:szCs w:val="21"/>
          <w:color w:val="auto"/>
        </w:rPr>
      </w:pPr>
    </w:p>
    <w:p>
      <w:pPr>
        <w:ind w:left="640" w:right="80" w:hanging="316"/>
        <w:spacing w:after="0" w:line="226"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require us to use a substantial portion of our cash flow from operations to make debt service payments;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limit our flexibility to plan for, or react to, changes in our business and industry;</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place us at a competitive disadvantage compared to less leveraged competitors; and</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increase our vulnerability to the impact of adverse economic and industry conditions.</w:t>
      </w:r>
    </w:p>
    <w:p>
      <w:pPr>
        <w:spacing w:after="0" w:line="212"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If we are unable to successfully manage the limitations and decreased flexibility on our business due to our significant debt obligations, we may not be able to capitalize on strategic opportunities or grow our business to the extent we would be able to without these limitations.</w:t>
      </w:r>
    </w:p>
    <w:p>
      <w:pPr>
        <w:spacing w:after="0" w:line="203"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failure to comply with any of the covenants could result in a default under the Credit Agreement, which could permit the administrative agent or the lenders to cause the administrative agent to declare all or part of any of our outstanding senior secured term loans or revolving loans to be immediately due and payable or to exercise any remedies provided to the administrative agent, including, proceeding against the collateral granted to secure our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the credit agreement. An event of default under the credit agreement could also lead to an event of default under the terms of certain of our other agreements. Any such event of default or any exercise of rights and remedies by our creditors could seriously harm our business.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LIBOR calculation method may change, and LIBOR is expected to be phased out after 2021.</w:t>
      </w:r>
    </w:p>
    <w:p>
      <w:pPr>
        <w:spacing w:after="0" w:line="239" w:lineRule="exact"/>
        <w:rPr>
          <w:sz w:val="20"/>
          <w:szCs w:val="20"/>
          <w:color w:val="auto"/>
        </w:rPr>
      </w:pPr>
    </w:p>
    <w:p>
      <w:pPr>
        <w:ind w:right="240" w:firstLine="318"/>
        <w:spacing w:after="0" w:line="246" w:lineRule="auto"/>
        <w:rPr>
          <w:sz w:val="20"/>
          <w:szCs w:val="20"/>
          <w:color w:val="auto"/>
        </w:rPr>
      </w:pPr>
      <w:r>
        <w:rPr>
          <w:rFonts w:ascii="Arial" w:cs="Arial" w:eastAsia="Arial" w:hAnsi="Arial"/>
          <w:sz w:val="18"/>
          <w:szCs w:val="18"/>
          <w:color w:val="auto"/>
        </w:rPr>
        <w:t>Loans under the Credit Agreement bear interest at a rate based on the London Interbank Offered Rate, or LIBOR. On July 27, 2017, the U.K. Financial Conduct Authority, or the FCA, announced that it will no longer require banks to submit rates for the calculation of LIBOR after 2021. In the meantime, actions by the FCA, other regulators, or law enforcement agencies may result in changes to the method by which LIBOR is calculated. If changes to LIBOR result in an increase in rates, our interest expense under the Credit Agreement would increase. Further, if LIBOR is no longer available, our Credit Agreement provides a process to determine a substitute rate, and if such substitute rate is higher than LIBOR, our interest expense under the Credit Agreement would increase.</w:t>
      </w:r>
    </w:p>
    <w:p>
      <w:pPr>
        <w:spacing w:after="0" w:line="189" w:lineRule="exact"/>
        <w:rPr>
          <w:sz w:val="20"/>
          <w:szCs w:val="20"/>
          <w:color w:val="auto"/>
        </w:rPr>
      </w:pPr>
    </w:p>
    <w:p>
      <w:pPr>
        <w:ind w:right="80" w:firstLine="318"/>
        <w:spacing w:after="0" w:line="256"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If there are significant changes in current principles, financial reporting standards or interpretations, or if our estimates or judgments relating to our critical accounting policies prove to be incorrect, we may experience unexpected financial reporting fluctuations and our results of operations could be adversely affected.</w:t>
      </w:r>
    </w:p>
    <w:p>
      <w:pPr>
        <w:spacing w:after="0" w:line="199"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0"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We might be required to change our accounting policies, alter our operational policies and implement new or enhance existing systems, or we may be required to restate our published financial statements, as a result of new standards, changes to existing standards and changes in their interpretation.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17" w:lineRule="exact"/>
        <w:rPr>
          <w:sz w:val="20"/>
          <w:szCs w:val="20"/>
          <w:color w:val="auto"/>
        </w:rPr>
      </w:pPr>
    </w:p>
    <w:p>
      <w:pPr>
        <w:ind w:right="20" w:firstLine="318"/>
        <w:spacing w:after="0" w:line="276"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82" w:lineRule="exact"/>
        <w:rPr>
          <w:sz w:val="20"/>
          <w:szCs w:val="20"/>
          <w:color w:val="auto"/>
        </w:rPr>
      </w:pPr>
    </w:p>
    <w:p>
      <w:pPr>
        <w:jc w:val="both"/>
        <w:ind w:right="400" w:firstLine="318"/>
        <w:spacing w:after="0" w:line="247"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6" w:lineRule="exact"/>
        <w:rPr>
          <w:sz w:val="20"/>
          <w:szCs w:val="20"/>
          <w:color w:val="auto"/>
        </w:rPr>
      </w:pPr>
    </w:p>
    <w:p>
      <w:pPr>
        <w:ind w:right="540" w:firstLine="318"/>
        <w:spacing w:after="0" w:line="276"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82"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8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of June 30, 2021, we had 22 issued patents and 14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 certain other countries. We have registrations and/or pending applications for additional trademarks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10"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19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71" w:lineRule="exact"/>
        <w:rPr>
          <w:sz w:val="20"/>
          <w:szCs w:val="20"/>
          <w:color w:val="auto"/>
        </w:rPr>
      </w:pPr>
    </w:p>
    <w:p>
      <w:pPr>
        <w:ind w:right="20" w:firstLine="318"/>
        <w:spacing w:after="0" w:line="276"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1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8" w:lineRule="exact"/>
        <w:rPr>
          <w:sz w:val="20"/>
          <w:szCs w:val="20"/>
          <w:color w:val="auto"/>
        </w:rPr>
      </w:pPr>
    </w:p>
    <w:p>
      <w:pPr>
        <w:ind w:right="420" w:firstLine="318"/>
        <w:spacing w:after="0" w:line="276"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82"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19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39" w:lineRule="exact"/>
        <w:rPr>
          <w:sz w:val="20"/>
          <w:szCs w:val="20"/>
          <w:color w:val="auto"/>
        </w:rPr>
      </w:pPr>
    </w:p>
    <w:p>
      <w:pPr>
        <w:jc w:val="both"/>
        <w:ind w:right="260" w:firstLine="318"/>
        <w:spacing w:after="0" w:line="248"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100"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5"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5" w:lineRule="exact"/>
        <w:rPr>
          <w:rFonts w:ascii="Arial" w:cs="Arial" w:eastAsia="Arial" w:hAnsi="Arial"/>
          <w:sz w:val="18"/>
          <w:szCs w:val="18"/>
          <w:color w:val="auto"/>
        </w:rPr>
      </w:pPr>
    </w:p>
    <w:p>
      <w:pPr>
        <w:ind w:left="640" w:right="380" w:hanging="316"/>
        <w:spacing w:after="0" w:line="24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compy with the terms of the Credit Agreement;</w:t>
      </w:r>
    </w:p>
    <w:p>
      <w:pPr>
        <w:spacing w:after="0" w:line="5" w:lineRule="exact"/>
        <w:rPr>
          <w:rFonts w:ascii="Arial" w:cs="Arial" w:eastAsia="Arial" w:hAnsi="Arial"/>
          <w:sz w:val="18"/>
          <w:szCs w:val="18"/>
          <w:color w:val="auto"/>
        </w:rPr>
      </w:pPr>
    </w:p>
    <w:p>
      <w:pPr>
        <w:ind w:left="640" w:right="140" w:hanging="316"/>
        <w:spacing w:after="0" w:line="260"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ind w:left="640" w:right="620" w:hanging="316"/>
        <w:spacing w:after="0" w:line="24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5" w:lineRule="exact"/>
        <w:rPr>
          <w:rFonts w:ascii="Arial" w:cs="Arial" w:eastAsia="Arial" w:hAnsi="Arial"/>
          <w:sz w:val="18"/>
          <w:szCs w:val="18"/>
          <w:color w:val="auto"/>
        </w:rPr>
      </w:pPr>
    </w:p>
    <w:p>
      <w:pPr>
        <w:ind w:left="640" w:right="740" w:hanging="316"/>
        <w:spacing w:after="0" w:line="24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or proposed laws or regulations or new interpretations of existing laws or regulations applicable to our business, including proposed changes to the U.S. corporate income tax rate and capital gains tax rates;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17"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including in connection with the COVID-19 pandemic.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9" w:lineRule="exact"/>
        <w:rPr>
          <w:sz w:val="20"/>
          <w:szCs w:val="20"/>
          <w:color w:val="auto"/>
        </w:rPr>
      </w:pPr>
    </w:p>
    <w:p>
      <w:pPr>
        <w:ind w:right="340" w:firstLine="318"/>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89" w:lineRule="exact"/>
        <w:rPr>
          <w:sz w:val="20"/>
          <w:szCs w:val="20"/>
          <w:color w:val="auto"/>
        </w:rPr>
      </w:pPr>
    </w:p>
    <w:p>
      <w:pPr>
        <w:ind w:firstLine="318"/>
        <w:spacing w:after="0" w:line="276"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by us or our stockholders, or the perception such sales might occur, could reduce the price that our common stock might otherwise attain.</w:t>
      </w:r>
    </w:p>
    <w:p>
      <w:pPr>
        <w:spacing w:after="0" w:line="182"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spacing w:after="0" w:line="211"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9" w:lineRule="exact"/>
        <w:rPr>
          <w:sz w:val="20"/>
          <w:szCs w:val="20"/>
          <w:color w:val="auto"/>
        </w:rPr>
      </w:pPr>
    </w:p>
    <w:p>
      <w:pPr>
        <w:ind w:right="180" w:firstLine="318"/>
        <w:spacing w:after="0" w:line="276"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contains restrictive covenants that prohibit us, subject to certain exceptions, from paying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firstLine="318"/>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5"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02" w:lineRule="exact"/>
        <w:rPr>
          <w:sz w:val="20"/>
          <w:szCs w:val="20"/>
          <w:color w:val="auto"/>
        </w:rPr>
      </w:pPr>
    </w:p>
    <w:p>
      <w:pPr>
        <w:ind w:left="640" w:right="20" w:hanging="316"/>
        <w:spacing w:after="0" w:line="24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 w:lineRule="exact"/>
        <w:rPr>
          <w:rFonts w:ascii="Arial" w:cs="Arial" w:eastAsia="Arial" w:hAnsi="Arial"/>
          <w:sz w:val="18"/>
          <w:szCs w:val="18"/>
          <w:color w:val="auto"/>
        </w:rPr>
      </w:pPr>
    </w:p>
    <w:p>
      <w:pPr>
        <w:ind w:left="640" w:right="380" w:hanging="316"/>
        <w:spacing w:after="0" w:line="24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 w:lineRule="exact"/>
        <w:rPr>
          <w:rFonts w:ascii="Arial" w:cs="Arial" w:eastAsia="Arial" w:hAnsi="Arial"/>
          <w:sz w:val="18"/>
          <w:szCs w:val="18"/>
          <w:color w:val="auto"/>
        </w:rPr>
      </w:pPr>
    </w:p>
    <w:p>
      <w:pPr>
        <w:ind w:left="640" w:right="20" w:hanging="316"/>
        <w:spacing w:after="0" w:line="260"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40" w:right="240" w:hanging="316"/>
        <w:spacing w:after="0" w:line="24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2"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2" w:lineRule="exact"/>
        <w:rPr>
          <w:rFonts w:ascii="Arial" w:cs="Arial" w:eastAsia="Arial" w:hAnsi="Arial"/>
          <w:sz w:val="18"/>
          <w:szCs w:val="18"/>
          <w:color w:val="auto"/>
        </w:rPr>
      </w:pPr>
    </w:p>
    <w:p>
      <w:pPr>
        <w:ind w:left="640" w:right="180" w:hanging="316"/>
        <w:spacing w:after="0" w:line="24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2" w:lineRule="exact"/>
        <w:rPr>
          <w:rFonts w:ascii="Arial" w:cs="Arial" w:eastAsia="Arial" w:hAnsi="Arial"/>
          <w:sz w:val="18"/>
          <w:szCs w:val="18"/>
          <w:color w:val="auto"/>
        </w:rPr>
      </w:pPr>
    </w:p>
    <w:p>
      <w:pPr>
        <w:ind w:left="640" w:right="120" w:hanging="316"/>
        <w:spacing w:after="0" w:line="248"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6"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81" w:lineRule="exact"/>
        <w:rPr>
          <w:sz w:val="20"/>
          <w:szCs w:val="20"/>
          <w:color w:val="auto"/>
        </w:rPr>
      </w:pPr>
    </w:p>
    <w:p>
      <w:pPr>
        <w:ind w:right="180" w:firstLine="318"/>
        <w:spacing w:after="0" w:line="283"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79" w:lineRule="exact"/>
        <w:rPr>
          <w:sz w:val="20"/>
          <w:szCs w:val="20"/>
          <w:color w:val="auto"/>
        </w:rPr>
      </w:pPr>
    </w:p>
    <w:p>
      <w:pPr>
        <w:ind w:right="720" w:firstLine="318"/>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97"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5" w:lineRule="exact"/>
        <w:rPr>
          <w:rFonts w:ascii="Arial" w:cs="Arial" w:eastAsia="Arial" w:hAnsi="Arial"/>
          <w:sz w:val="18"/>
          <w:szCs w:val="18"/>
          <w:color w:val="auto"/>
        </w:rPr>
      </w:pPr>
    </w:p>
    <w:p>
      <w:pPr>
        <w:ind w:left="640" w:right="60" w:hanging="316"/>
        <w:spacing w:after="0" w:line="245"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7"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1"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17" w:lineRule="exact"/>
        <w:rPr>
          <w:sz w:val="20"/>
          <w:szCs w:val="20"/>
          <w:color w:val="auto"/>
        </w:rPr>
      </w:pPr>
    </w:p>
    <w:p>
      <w:pPr>
        <w:ind w:right="180" w:firstLine="318"/>
        <w:spacing w:after="0" w:line="307" w:lineRule="auto"/>
        <w:rPr>
          <w:sz w:val="20"/>
          <w:szCs w:val="20"/>
          <w:color w:val="auto"/>
        </w:rPr>
      </w:pPr>
      <w:r>
        <w:rPr>
          <w:rFonts w:ascii="Arial" w:cs="Arial" w:eastAsia="Arial" w:hAnsi="Arial"/>
          <w:sz w:val="17"/>
          <w:szCs w:val="17"/>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58" w:lineRule="exact"/>
        <w:rPr>
          <w:sz w:val="20"/>
          <w:szCs w:val="20"/>
          <w:color w:val="auto"/>
        </w:rPr>
      </w:pPr>
    </w:p>
    <w:p>
      <w:pPr>
        <w:ind w:right="20" w:firstLine="318"/>
        <w:spacing w:after="0" w:line="261" w:lineRule="auto"/>
        <w:rPr>
          <w:sz w:val="20"/>
          <w:szCs w:val="20"/>
          <w:color w:val="auto"/>
        </w:rPr>
      </w:pPr>
      <w:r>
        <w:rPr>
          <w:rFonts w:ascii="Arial" w:cs="Arial" w:eastAsia="Arial" w:hAnsi="Arial"/>
          <w:sz w:val="17"/>
          <w:szCs w:val="17"/>
          <w:color w:val="auto"/>
        </w:rPr>
        <w:t>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0" w:lineRule="exact"/>
        <w:rPr>
          <w:sz w:val="20"/>
          <w:szCs w:val="20"/>
          <w:color w:val="auto"/>
        </w:rPr>
      </w:pPr>
    </w:p>
    <w:p>
      <w:pPr>
        <w:jc w:val="center"/>
        <w:ind w:right="60"/>
        <w:spacing w:after="0" w:line="307"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58" w:lineRule="exact"/>
        <w:rPr>
          <w:sz w:val="20"/>
          <w:szCs w:val="20"/>
          <w:color w:val="auto"/>
        </w:rPr>
      </w:pPr>
    </w:p>
    <w:p>
      <w:pPr>
        <w:ind w:right="320" w:firstLine="318"/>
        <w:spacing w:after="0" w:line="247"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1" w:lineRule="exact"/>
        <w:rPr>
          <w:sz w:val="20"/>
          <w:szCs w:val="20"/>
          <w:color w:val="auto"/>
        </w:rPr>
      </w:pPr>
    </w:p>
    <w:p>
      <w:pPr>
        <w:ind w:right="140" w:firstLine="318"/>
        <w:spacing w:after="0" w:line="270" w:lineRule="auto"/>
        <w:rPr>
          <w:sz w:val="20"/>
          <w:szCs w:val="20"/>
          <w:color w:val="auto"/>
        </w:rPr>
      </w:pPr>
      <w:r>
        <w:rPr>
          <w:rFonts w:ascii="Arial" w:cs="Arial" w:eastAsia="Arial" w:hAnsi="Arial"/>
          <w:sz w:val="17"/>
          <w:szCs w:val="17"/>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66" w:lineRule="exact"/>
        <w:rPr>
          <w:sz w:val="20"/>
          <w:szCs w:val="20"/>
          <w:color w:val="auto"/>
        </w:rPr>
      </w:pPr>
    </w:p>
    <w:p>
      <w:pPr>
        <w:ind w:right="320" w:firstLine="318"/>
        <w:spacing w:after="0" w:line="256" w:lineRule="auto"/>
        <w:rPr>
          <w:sz w:val="20"/>
          <w:szCs w:val="20"/>
          <w:color w:val="auto"/>
        </w:rPr>
      </w:pPr>
      <w:r>
        <w:rPr>
          <w:rFonts w:ascii="Arial" w:cs="Arial" w:eastAsia="Arial" w:hAnsi="Arial"/>
          <w:sz w:val="18"/>
          <w:szCs w:val="18"/>
          <w:b w:val="1"/>
          <w:bCs w:val="1"/>
          <w:i w:val="1"/>
          <w:iCs w:val="1"/>
          <w:color w:val="auto"/>
        </w:rPr>
        <w:t>Uncertainties in the interpretation and application of existing, new and proposed tax laws could materially affect our tax obligations and effective tax rate. Our operating results may be negatively affected if we are required to pay additional taxes, including sales and use tax, value added tax, or other transaction taxes, and we could be subject to liability with respect to all or a portion of past or future sales.</w:t>
      </w:r>
    </w:p>
    <w:p>
      <w:pPr>
        <w:spacing w:after="0" w:line="19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and may be subject to significant change. For example, the 2017 Tax Cuts and Jobs Act, or the Tax Act, as modified in 2020 by the Coronavirus Aid, Relief, and Economic Security Act, or the CARES Act, made broad and complex changes to the U.S. tax code, including changes to U.S. federal tax rates, additional limitations on the deductibility of interest, both positive and negative changes to the utilization of future net operating loss, or NOL, carryforwards, allowing for the expensing of certain capital expenditures, and adopting a modified territorial system. The issuance of additional regulatory or accounting guidance related to the Tax Act, or changes proposed or implemented by the current U.S. administration or otherwise, could materially affect our tax obligations and effective tax rate.</w:t>
      </w:r>
    </w:p>
    <w:p>
      <w:pPr>
        <w:spacing w:after="0" w:line="21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In addition, 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and tax expense by jurisdiction. If the mix of profits and losses, our ability to use tax assets and attributes, our assessment of the need for valuation allowances, effective tax rates by jurisdiction or other factors are different than those estimated, our actual tax rate could be materially different than forecasted, which could have a material impact on our business, financial condition and results of operations.</w:t>
      </w:r>
    </w:p>
    <w:p>
      <w:pPr>
        <w:spacing w:after="0" w:line="194"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or the interpretation of existing laws and regulations requiring the payment of additional taxes, would create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or future sales or otherwise harm our business and operating results.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39"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As of December 31, 2020 we had U.S. federal, state and foreign NOLs, of $254.7 million, $188.5 million, and $209.8 million, respectively, available to offset future taxable income, some of which begin to expire in 2030. Federal NOLs incurred in taxable years beginning after December 31, 2017 can be carried forward indefinitely, but the deductibility of federal NOLs in taxable years beginning after December 31, 2020, is subject to certain limitations. A lack of future taxable income would adversely affect our ability to utilize these NOLs before they expire.</w:t>
      </w:r>
    </w:p>
    <w:p>
      <w:pPr>
        <w:spacing w:after="0" w:line="19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if one or more stockholders or groups of stockholders that own at least 5% of the company’s stock increase their ownership by more than 50 percentage points over their lowest ownership percentage within a rolling three-year period. Similar rules may apply under state tax laws. Based upon an analysis as of December 31, 2020, we determined that we do not expect these limitations to materially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or state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the NOLs, even if we achieve profitability.</w:t>
      </w:r>
    </w:p>
    <w:p>
      <w:pPr>
        <w:spacing w:after="0" w:line="188" w:lineRule="exact"/>
        <w:rPr>
          <w:sz w:val="20"/>
          <w:szCs w:val="20"/>
          <w:color w:val="auto"/>
        </w:rPr>
      </w:pPr>
    </w:p>
    <w:p>
      <w:pPr>
        <w:jc w:val="both"/>
        <w:ind w:right="620" w:firstLine="318"/>
        <w:spacing w:after="0" w:line="261"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5"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20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5"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18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8" w:lineRule="exact"/>
        <w:rPr>
          <w:sz w:val="20"/>
          <w:szCs w:val="20"/>
          <w:color w:val="auto"/>
        </w:rPr>
      </w:pPr>
    </w:p>
    <w:p>
      <w:pPr>
        <w:jc w:val="both"/>
        <w:ind w:right="140" w:firstLine="318"/>
        <w:spacing w:after="0" w:line="248"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6" w:lineRule="exact"/>
        <w:rPr>
          <w:sz w:val="20"/>
          <w:szCs w:val="20"/>
          <w:color w:val="auto"/>
        </w:rPr>
      </w:pPr>
    </w:p>
    <w:p>
      <w:pPr>
        <w:jc w:val="both"/>
        <w:ind w:right="140" w:firstLine="318"/>
        <w:spacing w:after="0" w:line="251"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ectPr>
          <w:pgSz w:w="11900" w:h="16838" w:orient="portrait"/>
          <w:cols w:equalWidth="0" w:num="1">
            <w:col w:w="11340"/>
          </w:cols>
          <w:pgMar w:left="32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160" w:type="dxa"/>
            <w:vAlign w:val="bottom"/>
            <w:gridSpan w:val="2"/>
          </w:tcPr>
          <w:p>
            <w:pPr>
              <w:ind w:left="440"/>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8"/>
                <w:szCs w:val="18"/>
                <w:color w:val="auto"/>
              </w:rPr>
            </w:pPr>
          </w:p>
        </w:tc>
        <w:tc>
          <w:tcPr>
            <w:tcW w:w="6180" w:type="dxa"/>
            <w:vAlign w:val="bottom"/>
            <w:gridSpan w:val="4"/>
          </w:tcPr>
          <w:p>
            <w:pPr>
              <w:ind w:left="2640"/>
              <w:spacing w:after="0"/>
              <w:rPr>
                <w:sz w:val="20"/>
                <w:szCs w:val="20"/>
                <w:color w:val="auto"/>
              </w:rPr>
            </w:pPr>
            <w:r>
              <w:rPr>
                <w:rFonts w:ascii="Arial" w:cs="Arial" w:eastAsia="Arial" w:hAnsi="Arial"/>
                <w:sz w:val="18"/>
                <w:szCs w:val="18"/>
                <w:color w:val="auto"/>
              </w:rPr>
              <w:t>Description</w:t>
            </w:r>
          </w:p>
        </w:tc>
      </w:tr>
      <w:tr>
        <w:trPr>
          <w:trHeight w:val="219"/>
        </w:trPr>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180" w:type="dxa"/>
            <w:vAlign w:val="bottom"/>
            <w:tcBorders>
              <w:top w:val="single" w:sz="8" w:color="auto"/>
            </w:tcBorders>
            <w:gridSpan w:val="4"/>
          </w:tcPr>
          <w:p>
            <w:pPr>
              <w:spacing w:after="0"/>
              <w:rPr>
                <w:rFonts w:ascii="Arial" w:cs="Arial" w:eastAsia="Arial" w:hAnsi="Arial"/>
                <w:sz w:val="18"/>
                <w:szCs w:val="18"/>
                <w:color w:val="0000FF"/>
              </w:rPr>
            </w:pPr>
            <w:hyperlink r:id="rId78">
              <w:r>
                <w:rPr>
                  <w:rFonts w:ascii="Arial" w:cs="Arial" w:eastAsia="Arial" w:hAnsi="Arial"/>
                  <w:sz w:val="18"/>
                  <w:szCs w:val="18"/>
                  <w:color w:val="0000FF"/>
                </w:rPr>
                <w:t>Amended and Restated Certificate of Incorporation of Tenable Holdings, Inc.</w:t>
              </w:r>
            </w:hyperlink>
          </w:p>
        </w:tc>
      </w:tr>
      <w:tr>
        <w:trPr>
          <w:trHeight w:val="550"/>
        </w:trPr>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7"/>
              </w:rPr>
            </w:pPr>
            <w:hyperlink r:id="rId79">
              <w:r>
                <w:rPr>
                  <w:rFonts w:ascii="Arial" w:cs="Arial" w:eastAsia="Arial" w:hAnsi="Arial"/>
                  <w:sz w:val="18"/>
                  <w:szCs w:val="18"/>
                  <w:color w:val="0000FF"/>
                  <w:w w:val="97"/>
                </w:rPr>
                <w:t>Amended and Restated Bylaws of Tenable Holdings, Inc.</w:t>
              </w:r>
            </w:hyperlink>
          </w:p>
        </w:tc>
        <w:tc>
          <w:tcPr>
            <w:tcW w:w="15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r>
      <w:tr>
        <w:trPr>
          <w:trHeight w:val="722"/>
        </w:trPr>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tcBorders>
              <w:bottom w:val="single" w:sz="8" w:color="0000FF"/>
            </w:tcBorders>
          </w:tcPr>
          <w:p>
            <w:pPr>
              <w:spacing w:after="0"/>
              <w:rPr>
                <w:rFonts w:ascii="Arial" w:cs="Arial" w:eastAsia="Arial" w:hAnsi="Arial"/>
                <w:sz w:val="18"/>
                <w:szCs w:val="18"/>
                <w:color w:val="0000FF"/>
                <w:w w:val="97"/>
              </w:rPr>
            </w:pPr>
            <w:hyperlink r:id="rId80">
              <w:r>
                <w:rPr>
                  <w:rFonts w:ascii="Arial" w:cs="Arial" w:eastAsia="Arial" w:hAnsi="Arial"/>
                  <w:sz w:val="18"/>
                  <w:szCs w:val="18"/>
                  <w:color w:val="0000FF"/>
                  <w:w w:val="97"/>
                </w:rPr>
                <w:t>Common Stock Certificate of Tenable Holdings, Inc.</w:t>
              </w:r>
            </w:hyperlink>
          </w:p>
        </w:tc>
        <w:tc>
          <w:tcPr>
            <w:tcW w:w="214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356" w:lineRule="exact"/>
        <w:rPr>
          <w:sz w:val="20"/>
          <w:szCs w:val="20"/>
          <w:color w:val="auto"/>
        </w:rPr>
      </w:pPr>
    </w:p>
    <w:p>
      <w:pPr>
        <w:ind w:left="1500" w:right="300" w:hanging="471"/>
        <w:spacing w:after="0" w:line="207"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81">
        <w:r>
          <w:rPr>
            <w:rFonts w:ascii="Arial" w:cs="Arial" w:eastAsia="Arial" w:hAnsi="Arial"/>
            <w:sz w:val="18"/>
            <w:szCs w:val="18"/>
            <w:u w:val="single" w:color="auto"/>
            <w:color w:val="0000FF"/>
          </w:rPr>
          <w:t>Share Purchase Agreement, dated as of February 10, 2021, by and among</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Tenable Network Security Ireland Limited, Alsid SAS, the shareholders and</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warrantholders of Alsid identified in the Purchase Agreement or joined to the</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Purchase Agreement pursuant to a joinder agreement, and Shareholder</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Representative Services LLC, as the representative of Alsid’s shareholders and</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warrantholders thereunder.</w:t>
        </w:r>
      </w:hyperlink>
    </w:p>
    <w:p>
      <w:pPr>
        <w:spacing w:after="0" w:line="15" w:lineRule="exact"/>
        <w:rPr>
          <w:rFonts w:ascii="Arial" w:cs="Arial" w:eastAsia="Arial" w:hAnsi="Arial"/>
          <w:sz w:val="18"/>
          <w:szCs w:val="18"/>
          <w:u w:val="single" w:color="auto"/>
          <w:color w:val="0000FF"/>
        </w:rPr>
      </w:pPr>
    </w:p>
    <w:p>
      <w:pPr>
        <w:ind w:left="1500" w:right="200" w:hanging="471"/>
        <w:spacing w:after="0" w:line="22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67">
        <w:r>
          <w:rPr>
            <w:rFonts w:ascii="Arial" w:cs="Arial" w:eastAsia="Arial" w:hAnsi="Arial"/>
            <w:sz w:val="18"/>
            <w:szCs w:val="18"/>
            <w:u w:val="single" w:color="auto"/>
            <w:color w:val="0000FF"/>
          </w:rPr>
          <w:t>Credit Agreement, dated as of July 7, 2021, by and among Tenable, Inc., the</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lenders party thereto and JPMorgan Chase Bank, N.A., as administrative agent</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and collateral agent.</w:t>
        </w:r>
      </w:hyperlink>
    </w:p>
    <w:p>
      <w:pPr>
        <w:spacing w:after="0" w:line="27" w:lineRule="exact"/>
        <w:rPr>
          <w:rFonts w:ascii="Arial" w:cs="Arial" w:eastAsia="Arial" w:hAnsi="Arial"/>
          <w:sz w:val="18"/>
          <w:szCs w:val="18"/>
          <w:u w:val="single" w:color="auto"/>
          <w:color w:val="0000FF"/>
        </w:rPr>
      </w:pPr>
    </w:p>
    <w:p>
      <w:pPr>
        <w:ind w:left="1500" w:right="60" w:hanging="471"/>
        <w:spacing w:after="0" w:line="21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275">
        <w:r>
          <w:rPr>
            <w:rFonts w:ascii="Arial" w:cs="Arial" w:eastAsia="Arial" w:hAnsi="Arial"/>
            <w:sz w:val="18"/>
            <w:szCs w:val="18"/>
            <w:u w:val="single" w:color="auto"/>
            <w:color w:val="0000FF"/>
          </w:rPr>
          <w:t>Certification of the Principal Executive Officer pursuant to Rules 13a-14(a) and</w:t>
        </w:r>
      </w:hyperlink>
      <w:r>
        <w:rPr>
          <w:rFonts w:ascii="Arial" w:cs="Arial" w:eastAsia="Arial" w:hAnsi="Arial"/>
          <w:sz w:val="18"/>
          <w:szCs w:val="18"/>
          <w:u w:val="single" w:color="auto"/>
          <w:color w:val="0000FF"/>
        </w:rPr>
        <w:t xml:space="preserve"> </w:t>
      </w:r>
      <w:hyperlink w:anchor="page275">
        <w:r>
          <w:rPr>
            <w:rFonts w:ascii="Arial" w:cs="Arial" w:eastAsia="Arial" w:hAnsi="Arial"/>
            <w:sz w:val="18"/>
            <w:szCs w:val="18"/>
            <w:u w:val="single" w:color="auto"/>
            <w:color w:val="0000FF"/>
          </w:rPr>
          <w:t>15d-14(a) under the Exchange Act, as adopted pursuant to Section 302 of the</w:t>
        </w:r>
      </w:hyperlink>
      <w:r>
        <w:rPr>
          <w:rFonts w:ascii="Arial" w:cs="Arial" w:eastAsia="Arial" w:hAnsi="Arial"/>
          <w:sz w:val="18"/>
          <w:szCs w:val="18"/>
          <w:u w:val="single" w:color="auto"/>
          <w:color w:val="0000FF"/>
        </w:rPr>
        <w:t xml:space="preserve"> </w:t>
      </w:r>
      <w:hyperlink w:anchor="page275">
        <w:r>
          <w:rPr>
            <w:rFonts w:ascii="Arial" w:cs="Arial" w:eastAsia="Arial" w:hAnsi="Arial"/>
            <w:sz w:val="18"/>
            <w:szCs w:val="18"/>
            <w:u w:val="single" w:color="auto"/>
            <w:color w:val="0000FF"/>
          </w:rPr>
          <w:t>Sarbanes-Oxley Act of 2002</w:t>
        </w:r>
      </w:hyperlink>
    </w:p>
    <w:p>
      <w:pPr>
        <w:spacing w:after="0" w:line="13" w:lineRule="exact"/>
        <w:rPr>
          <w:rFonts w:ascii="Arial" w:cs="Arial" w:eastAsia="Arial" w:hAnsi="Arial"/>
          <w:sz w:val="18"/>
          <w:szCs w:val="18"/>
          <w:u w:val="single" w:color="auto"/>
          <w:color w:val="0000FF"/>
        </w:rPr>
      </w:pPr>
    </w:p>
    <w:p>
      <w:pPr>
        <w:ind w:left="1500" w:right="120" w:hanging="471"/>
        <w:spacing w:after="0" w:line="21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276">
        <w:r>
          <w:rPr>
            <w:rFonts w:ascii="Arial" w:cs="Arial" w:eastAsia="Arial" w:hAnsi="Arial"/>
            <w:sz w:val="18"/>
            <w:szCs w:val="18"/>
            <w:u w:val="single" w:color="auto"/>
            <w:color w:val="0000FF"/>
          </w:rPr>
          <w:t>Certification of the Principal Financial Officer pursuant to Rules 13a-14(a) and</w:t>
        </w:r>
      </w:hyperlink>
      <w:r>
        <w:rPr>
          <w:rFonts w:ascii="Arial" w:cs="Arial" w:eastAsia="Arial" w:hAnsi="Arial"/>
          <w:sz w:val="18"/>
          <w:szCs w:val="18"/>
          <w:u w:val="single" w:color="auto"/>
          <w:color w:val="0000FF"/>
        </w:rPr>
        <w:t xml:space="preserve"> </w:t>
      </w:r>
      <w:hyperlink w:anchor="page276">
        <w:r>
          <w:rPr>
            <w:rFonts w:ascii="Arial" w:cs="Arial" w:eastAsia="Arial" w:hAnsi="Arial"/>
            <w:sz w:val="18"/>
            <w:szCs w:val="18"/>
            <w:u w:val="single" w:color="auto"/>
            <w:color w:val="0000FF"/>
          </w:rPr>
          <w:t>15d-14(a) under the Exchange Act, as adopted pursuant to Section 302 of the</w:t>
        </w:r>
      </w:hyperlink>
      <w:r>
        <w:rPr>
          <w:rFonts w:ascii="Arial" w:cs="Arial" w:eastAsia="Arial" w:hAnsi="Arial"/>
          <w:sz w:val="18"/>
          <w:szCs w:val="18"/>
          <w:u w:val="single" w:color="auto"/>
          <w:color w:val="0000FF"/>
        </w:rPr>
        <w:t xml:space="preserve"> </w:t>
      </w:r>
      <w:hyperlink w:anchor="page276">
        <w:r>
          <w:rPr>
            <w:rFonts w:ascii="Arial" w:cs="Arial" w:eastAsia="Arial" w:hAnsi="Arial"/>
            <w:sz w:val="18"/>
            <w:szCs w:val="18"/>
            <w:u w:val="single" w:color="auto"/>
            <w:color w:val="0000FF"/>
          </w:rPr>
          <w:t>Sarbanes-Oxley Act of 2002</w:t>
        </w:r>
      </w:hyperlink>
    </w:p>
    <w:p>
      <w:pPr>
        <w:spacing w:after="0" w:line="13" w:lineRule="exact"/>
        <w:rPr>
          <w:rFonts w:ascii="Arial" w:cs="Arial" w:eastAsia="Arial" w:hAnsi="Arial"/>
          <w:sz w:val="18"/>
          <w:szCs w:val="18"/>
          <w:u w:val="single" w:color="auto"/>
          <w:color w:val="0000FF"/>
        </w:rPr>
      </w:pPr>
    </w:p>
    <w:p>
      <w:pPr>
        <w:ind w:left="1500" w:right="60" w:hanging="539"/>
        <w:spacing w:after="0" w:line="215"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277">
        <w:r>
          <w:rPr>
            <w:rFonts w:ascii="Arial" w:cs="Arial" w:eastAsia="Arial" w:hAnsi="Arial"/>
            <w:sz w:val="18"/>
            <w:szCs w:val="18"/>
            <w:u w:val="single" w:color="auto"/>
            <w:color w:val="0000FF"/>
          </w:rPr>
          <w:t>Certification of the Principal Executive Officer and the Principal Financial</w:t>
        </w:r>
      </w:hyperlink>
      <w:r>
        <w:rPr>
          <w:rFonts w:ascii="Arial" w:cs="Arial" w:eastAsia="Arial" w:hAnsi="Arial"/>
          <w:sz w:val="18"/>
          <w:szCs w:val="18"/>
          <w:u w:val="single" w:color="auto"/>
          <w:color w:val="0000FF"/>
        </w:rPr>
        <w:t xml:space="preserve"> </w:t>
      </w:r>
      <w:hyperlink w:anchor="page277">
        <w:r>
          <w:rPr>
            <w:rFonts w:ascii="Arial" w:cs="Arial" w:eastAsia="Arial" w:hAnsi="Arial"/>
            <w:sz w:val="18"/>
            <w:szCs w:val="18"/>
            <w:u w:val="single" w:color="auto"/>
            <w:color w:val="0000FF"/>
          </w:rPr>
          <w:t>Officer pursuant to 18 U.S.C. Section 1350, as adopted pursuant to Section 906 of</w:t>
        </w:r>
      </w:hyperlink>
      <w:r>
        <w:rPr>
          <w:rFonts w:ascii="Arial" w:cs="Arial" w:eastAsia="Arial" w:hAnsi="Arial"/>
          <w:sz w:val="18"/>
          <w:szCs w:val="18"/>
          <w:u w:val="single" w:color="auto"/>
          <w:color w:val="0000FF"/>
        </w:rPr>
        <w:t xml:space="preserve"> </w:t>
      </w:r>
      <w:hyperlink w:anchor="page277">
        <w:r>
          <w:rPr>
            <w:rFonts w:ascii="Arial" w:cs="Arial" w:eastAsia="Arial" w:hAnsi="Arial"/>
            <w:sz w:val="18"/>
            <w:szCs w:val="18"/>
            <w:u w:val="single" w:color="auto"/>
            <w:color w:val="0000FF"/>
          </w:rPr>
          <w:t>the Sarbanes-Oxley Act of 2002</w:t>
        </w:r>
      </w:hyperlink>
    </w:p>
    <w:p>
      <w:pPr>
        <w:spacing w:after="0" w:line="13" w:lineRule="exact"/>
        <w:rPr>
          <w:rFonts w:ascii="Arial" w:cs="Arial" w:eastAsia="Arial" w:hAnsi="Arial"/>
          <w:sz w:val="18"/>
          <w:szCs w:val="18"/>
          <w:u w:val="single" w:color="auto"/>
          <w:color w:val="0000FF"/>
        </w:rPr>
      </w:pPr>
    </w:p>
    <w:tbl>
      <w:tblPr>
        <w:tblLayout w:type="fixed"/>
        <w:tblInd w:w="660" w:type="dxa"/>
        <w:tblCellMar>
          <w:top w:w="0" w:type="dxa"/>
          <w:left w:w="0" w:type="dxa"/>
          <w:bottom w:w="0" w:type="dxa"/>
          <w:right w:w="0" w:type="dxa"/>
        </w:tblCellMar>
      </w:tblPr>
      <w:tr>
        <w:trPr>
          <w:trHeight w:val="212"/>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5"/>
              </w:rPr>
              <w:t>101.SCH</w:t>
            </w:r>
          </w:p>
        </w:tc>
        <w:tc>
          <w:tcPr>
            <w:tcW w:w="5480" w:type="dxa"/>
            <w:vAlign w:val="bottom"/>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9"/>
              </w:rPr>
              <w:t>101.CAL</w:t>
            </w:r>
          </w:p>
        </w:tc>
        <w:tc>
          <w:tcPr>
            <w:tcW w:w="5480" w:type="dxa"/>
            <w:vAlign w:val="bottom"/>
          </w:tcPr>
          <w:p>
            <w:pPr>
              <w:ind w:left="220"/>
              <w:spacing w:after="0"/>
              <w:rPr>
                <w:sz w:val="20"/>
                <w:szCs w:val="20"/>
                <w:color w:val="auto"/>
              </w:rPr>
            </w:pPr>
            <w:r>
              <w:rPr>
                <w:rFonts w:ascii="Arial" w:cs="Arial" w:eastAsia="Arial" w:hAnsi="Arial"/>
                <w:sz w:val="18"/>
                <w:szCs w:val="18"/>
                <w:color w:val="auto"/>
                <w:w w:val="99"/>
              </w:rPr>
              <w:t>Inline XBRL Taxonomy Extension Calculation Linkbase Document</w:t>
            </w:r>
          </w:p>
        </w:tc>
      </w:tr>
      <w:tr>
        <w:trPr>
          <w:trHeight w:val="225"/>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8"/>
              </w:rPr>
              <w:t>101.DEF</w:t>
            </w:r>
          </w:p>
        </w:tc>
        <w:tc>
          <w:tcPr>
            <w:tcW w:w="548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5"/>
        </w:trPr>
        <w:tc>
          <w:tcPr>
            <w:tcW w:w="940" w:type="dxa"/>
            <w:vAlign w:val="bottom"/>
          </w:tcPr>
          <w:p>
            <w:pPr>
              <w:jc w:val="right"/>
              <w:ind w:right="132"/>
              <w:spacing w:after="0"/>
              <w:rPr>
                <w:sz w:val="20"/>
                <w:szCs w:val="20"/>
                <w:color w:val="auto"/>
              </w:rPr>
            </w:pPr>
            <w:r>
              <w:rPr>
                <w:rFonts w:ascii="Arial" w:cs="Arial" w:eastAsia="Arial" w:hAnsi="Arial"/>
                <w:sz w:val="18"/>
                <w:szCs w:val="18"/>
                <w:color w:val="auto"/>
              </w:rPr>
              <w:t>101.LAB</w:t>
            </w:r>
          </w:p>
        </w:tc>
        <w:tc>
          <w:tcPr>
            <w:tcW w:w="54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7"/>
              </w:rPr>
              <w:t>101.PRE</w:t>
            </w:r>
          </w:p>
        </w:tc>
        <w:tc>
          <w:tcPr>
            <w:tcW w:w="5480" w:type="dxa"/>
            <w:vAlign w:val="bottom"/>
          </w:tcPr>
          <w:p>
            <w:pPr>
              <w:ind w:left="220"/>
              <w:spacing w:after="0"/>
              <w:rPr>
                <w:sz w:val="20"/>
                <w:szCs w:val="20"/>
                <w:color w:val="auto"/>
              </w:rPr>
            </w:pPr>
            <w:r>
              <w:rPr>
                <w:rFonts w:ascii="Arial" w:cs="Arial" w:eastAsia="Arial" w:hAnsi="Arial"/>
                <w:sz w:val="18"/>
                <w:szCs w:val="18"/>
                <w:color w:val="auto"/>
                <w:w w:val="97"/>
              </w:rPr>
              <w:t>Inline XBRL Taxonomy Extension Presentation Linkbase Document</w:t>
            </w: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6" w:lineRule="exact"/>
        <w:rPr>
          <w:rFonts w:ascii="Arial" w:cs="Arial" w:eastAsia="Arial" w:hAnsi="Arial"/>
          <w:sz w:val="18"/>
          <w:szCs w:val="18"/>
          <w:u w:val="single" w:color="auto"/>
          <w:color w:val="0000FF"/>
        </w:rPr>
      </w:pPr>
    </w:p>
    <w:p>
      <w:pPr>
        <w:ind w:left="1520"/>
        <w:spacing w:after="0"/>
        <w:rPr>
          <w:sz w:val="20"/>
          <w:szCs w:val="20"/>
          <w:color w:val="auto"/>
        </w:rPr>
      </w:pPr>
      <w:r>
        <w:rPr>
          <w:rFonts w:ascii="Arial" w:cs="Arial" w:eastAsia="Arial" w:hAnsi="Arial"/>
          <w:sz w:val="18"/>
          <w:szCs w:val="18"/>
          <w:color w:val="auto"/>
        </w:rPr>
        <w:t>Location</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-15240</wp:posOffset>
            </wp:positionH>
            <wp:positionV relativeFrom="paragraph">
              <wp:posOffset>3810</wp:posOffset>
            </wp:positionV>
            <wp:extent cx="20478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047875" cy="8255"/>
                    </a:xfrm>
                    <a:prstGeom prst="rect">
                      <a:avLst/>
                    </a:prstGeom>
                    <a:noFill/>
                  </pic:spPr>
                </pic:pic>
              </a:graphicData>
            </a:graphic>
          </wp:anchor>
        </w:drawing>
      </w:r>
    </w:p>
    <w:p>
      <w:pPr>
        <w:spacing w:after="0" w:line="51" w:lineRule="exact"/>
        <w:rPr>
          <w:rFonts w:ascii="Arial" w:cs="Arial" w:eastAsia="Arial" w:hAnsi="Arial"/>
          <w:sz w:val="18"/>
          <w:szCs w:val="18"/>
          <w:u w:val="single" w:color="auto"/>
          <w:color w:val="0000FF"/>
        </w:rPr>
      </w:pPr>
    </w:p>
    <w:p>
      <w:pPr>
        <w:jc w:val="both"/>
        <w:ind w:right="80" w:firstLine="318"/>
        <w:spacing w:after="0" w:line="227" w:lineRule="auto"/>
        <w:rPr>
          <w:sz w:val="20"/>
          <w:szCs w:val="20"/>
          <w:color w:val="auto"/>
        </w:rPr>
      </w:pPr>
      <w:r>
        <w:rPr>
          <w:rFonts w:ascii="Arial" w:cs="Arial" w:eastAsia="Arial" w:hAnsi="Arial"/>
          <w:sz w:val="17"/>
          <w:szCs w:val="17"/>
          <w:color w:val="auto"/>
        </w:rPr>
        <w:t>Previously filed as Exhibit 3.1 to the Company's Current Report on Form 8-K (File No. 001-38600) on July 30, 2018</w:t>
      </w:r>
    </w:p>
    <w:p>
      <w:pPr>
        <w:spacing w:after="0" w:line="15" w:lineRule="exact"/>
        <w:rPr>
          <w:rFonts w:ascii="Arial" w:cs="Arial" w:eastAsia="Arial" w:hAnsi="Arial"/>
          <w:sz w:val="18"/>
          <w:szCs w:val="18"/>
          <w:u w:val="single" w:color="auto"/>
          <w:color w:val="0000FF"/>
        </w:rPr>
      </w:pPr>
    </w:p>
    <w:p>
      <w:pPr>
        <w:ind w:right="20" w:firstLine="318"/>
        <w:spacing w:after="0" w:line="211" w:lineRule="auto"/>
        <w:rPr>
          <w:sz w:val="20"/>
          <w:szCs w:val="20"/>
          <w:color w:val="auto"/>
        </w:rPr>
      </w:pPr>
      <w:r>
        <w:rPr>
          <w:rFonts w:ascii="Arial" w:cs="Arial" w:eastAsia="Arial" w:hAnsi="Arial"/>
          <w:sz w:val="18"/>
          <w:szCs w:val="18"/>
          <w:color w:val="auto"/>
        </w:rPr>
        <w:t>Previously filed as Exhibit 3.4 to the Company's Registration Statement on Form S-1 (File No. 333-226002) on June 29, 2018</w:t>
      </w:r>
    </w:p>
    <w:p>
      <w:pPr>
        <w:spacing w:after="0" w:line="14" w:lineRule="exact"/>
        <w:rPr>
          <w:rFonts w:ascii="Arial" w:cs="Arial" w:eastAsia="Arial" w:hAnsi="Arial"/>
          <w:sz w:val="18"/>
          <w:szCs w:val="18"/>
          <w:u w:val="single" w:color="auto"/>
          <w:color w:val="0000FF"/>
        </w:rPr>
      </w:pPr>
    </w:p>
    <w:p>
      <w:pPr>
        <w:ind w:right="100" w:firstLine="318"/>
        <w:spacing w:after="0" w:line="211" w:lineRule="auto"/>
        <w:rPr>
          <w:sz w:val="20"/>
          <w:szCs w:val="20"/>
          <w:color w:val="auto"/>
        </w:rPr>
      </w:pPr>
      <w:r>
        <w:rPr>
          <w:rFonts w:ascii="Arial" w:cs="Arial" w:eastAsia="Arial" w:hAnsi="Arial"/>
          <w:sz w:val="18"/>
          <w:szCs w:val="18"/>
          <w:color w:val="auto"/>
        </w:rPr>
        <w:t>Previously filed as Exhibit 4.1 to the Company's Registration Statement on Form S-1 (File No. 333-226002) on July 2018</w:t>
      </w:r>
    </w:p>
    <w:p>
      <w:pPr>
        <w:spacing w:after="0" w:line="14" w:lineRule="exact"/>
        <w:rPr>
          <w:rFonts w:ascii="Arial" w:cs="Arial" w:eastAsia="Arial" w:hAnsi="Arial"/>
          <w:sz w:val="18"/>
          <w:szCs w:val="18"/>
          <w:u w:val="single" w:color="auto"/>
          <w:color w:val="0000FF"/>
        </w:rPr>
      </w:pPr>
    </w:p>
    <w:p>
      <w:pPr>
        <w:jc w:val="both"/>
        <w:ind w:firstLine="318"/>
        <w:spacing w:after="0" w:line="227" w:lineRule="auto"/>
        <w:rPr>
          <w:sz w:val="20"/>
          <w:szCs w:val="20"/>
          <w:color w:val="auto"/>
        </w:rPr>
      </w:pPr>
      <w:r>
        <w:rPr>
          <w:rFonts w:ascii="Arial" w:cs="Arial" w:eastAsia="Arial" w:hAnsi="Arial"/>
          <w:sz w:val="17"/>
          <w:szCs w:val="17"/>
          <w:color w:val="auto"/>
        </w:rPr>
        <w:t>Previously filed as Exhibit 10.1 to the Company's Current Report on Form 8-K (File No. 001-38600) on February 10, 20</w:t>
      </w:r>
    </w:p>
    <w:p>
      <w:pPr>
        <w:spacing w:after="0" w:line="200" w:lineRule="exact"/>
        <w:rPr>
          <w:rFonts w:ascii="Arial" w:cs="Arial" w:eastAsia="Arial" w:hAnsi="Arial"/>
          <w:sz w:val="18"/>
          <w:szCs w:val="18"/>
          <w:u w:val="single" w:color="auto"/>
          <w:color w:val="0000FF"/>
        </w:rPr>
      </w:pPr>
    </w:p>
    <w:p>
      <w:pPr>
        <w:spacing w:after="0" w:line="332"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8"/>
          <w:szCs w:val="18"/>
          <w:color w:val="auto"/>
        </w:rPr>
        <w:t>Filed herewith</w:t>
      </w:r>
    </w:p>
    <w:p>
      <w:pPr>
        <w:spacing w:after="0" w:line="363"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8"/>
          <w:szCs w:val="18"/>
          <w:color w:val="auto"/>
        </w:rPr>
        <w:t>Filed herewith</w:t>
      </w:r>
    </w:p>
    <w:p>
      <w:pPr>
        <w:spacing w:after="0" w:line="363"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8"/>
          <w:szCs w:val="18"/>
          <w:color w:val="auto"/>
        </w:rPr>
        <w:t>Furnished herewith</w:t>
      </w:r>
    </w:p>
    <w:p>
      <w:pPr>
        <w:spacing w:after="0" w:line="1488" w:lineRule="exact"/>
        <w:rPr>
          <w:rFonts w:ascii="Arial" w:cs="Arial" w:eastAsia="Arial" w:hAnsi="Arial"/>
          <w:sz w:val="18"/>
          <w:szCs w:val="18"/>
          <w:u w:val="single" w:color="auto"/>
          <w:color w:val="0000FF"/>
        </w:rPr>
      </w:pPr>
    </w:p>
    <w:p>
      <w:pPr>
        <w:sectPr>
          <w:pgSz w:w="11900" w:h="16838" w:orient="portrait"/>
          <w:cols w:equalWidth="0" w:num="2">
            <w:col w:w="8000" w:space="140"/>
            <w:col w:w="3200"/>
          </w:cols>
          <w:pgMar w:left="320" w:top="140" w:right="239" w:bottom="1440" w:gutter="0" w:footer="0" w:header="0"/>
          <w:type w:val="continuous"/>
        </w:sectPr>
      </w:pPr>
    </w:p>
    <w:p>
      <w:pPr>
        <w:ind w:left="1500" w:right="3680" w:hanging="415"/>
        <w:spacing w:after="0" w:line="215" w:lineRule="auto"/>
        <w:tabs>
          <w:tab w:leader="none" w:pos="18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101.SCH, 101.CAL, 101.DEF, 101.LAB and 101.PRE)</w:t>
      </w:r>
    </w:p>
    <w:p>
      <w:pPr>
        <w:spacing w:after="0" w:line="20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1"/>
          <w:szCs w:val="11"/>
          <w:color w:val="auto"/>
        </w:rPr>
        <w:t>________________</w:t>
      </w:r>
    </w:p>
    <w:p>
      <w:pPr>
        <w:spacing w:after="0" w:line="2" w:lineRule="exact"/>
        <w:rPr>
          <w:rFonts w:ascii="Arial" w:cs="Arial" w:eastAsia="Arial" w:hAnsi="Arial"/>
          <w:sz w:val="18"/>
          <w:szCs w:val="18"/>
          <w:u w:val="single" w:color="auto"/>
          <w:color w:val="0000FF"/>
        </w:rPr>
      </w:pPr>
    </w:p>
    <w:p>
      <w:pPr>
        <w:ind w:right="500" w:firstLine="324"/>
        <w:spacing w:after="0" w:line="248" w:lineRule="auto"/>
        <w:tabs>
          <w:tab w:leader="none" w:pos="6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0" w:lineRule="exact"/>
        <w:rPr>
          <w:rFonts w:ascii="Arial" w:cs="Arial" w:eastAsia="Arial" w:hAnsi="Arial"/>
          <w:sz w:val="18"/>
          <w:szCs w:val="18"/>
          <w:u w:val="single" w:color="auto"/>
          <w:color w:val="0000FF"/>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20" w:type="dxa"/>
            <w:vAlign w:val="bottom"/>
            <w:gridSpan w:val="2"/>
          </w:tcPr>
          <w:p>
            <w:pPr>
              <w:ind w:left="1220"/>
              <w:spacing w:after="0"/>
              <w:rPr>
                <w:sz w:val="20"/>
                <w:szCs w:val="20"/>
                <w:color w:val="auto"/>
              </w:rPr>
            </w:pPr>
            <w:r>
              <w:rPr>
                <w:rFonts w:ascii="Arial" w:cs="Arial" w:eastAsia="Arial" w:hAnsi="Arial"/>
                <w:sz w:val="18"/>
                <w:szCs w:val="18"/>
                <w:b w:val="1"/>
                <w:bCs w:val="1"/>
                <w:color w:val="auto"/>
              </w:rPr>
              <w:t>TENABLE HOLDINGS, INC.</w:t>
            </w:r>
          </w:p>
        </w:tc>
      </w:tr>
      <w:tr>
        <w:trPr>
          <w:trHeight w:val="53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ind w:left="100"/>
              <w:spacing w:after="0"/>
              <w:rPr>
                <w:sz w:val="20"/>
                <w:szCs w:val="20"/>
                <w:color w:val="auto"/>
              </w:rPr>
            </w:pPr>
            <w:r>
              <w:rPr>
                <w:rFonts w:ascii="Arial" w:cs="Arial" w:eastAsia="Arial" w:hAnsi="Arial"/>
                <w:sz w:val="18"/>
                <w:szCs w:val="18"/>
                <w:color w:val="auto"/>
              </w:rPr>
              <w:t>July 30, 2021</w:t>
            </w:r>
          </w:p>
        </w:tc>
        <w:tc>
          <w:tcPr>
            <w:tcW w:w="1640" w:type="dxa"/>
            <w:vAlign w:val="bottom"/>
          </w:tcPr>
          <w:p>
            <w:pPr>
              <w:ind w:left="12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r>
      <w:tr>
        <w:trPr>
          <w:trHeight w:val="244"/>
        </w:trPr>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Amit Yoran</w:t>
            </w:r>
          </w:p>
        </w:tc>
      </w:tr>
      <w:tr>
        <w:trPr>
          <w:trHeight w:val="265"/>
        </w:trPr>
        <w:tc>
          <w:tcPr>
            <w:tcW w:w="5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65"/>
        </w:trPr>
        <w:tc>
          <w:tcPr>
            <w:tcW w:w="5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w w:val="98"/>
              </w:rPr>
              <w:t>(On Behalf of the Registrant and as Principal Executive Officer)</w:t>
            </w:r>
          </w:p>
        </w:tc>
      </w:tr>
      <w:tr>
        <w:trPr>
          <w:trHeight w:val="53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ind w:left="100"/>
              <w:spacing w:after="0"/>
              <w:rPr>
                <w:sz w:val="20"/>
                <w:szCs w:val="20"/>
                <w:color w:val="auto"/>
              </w:rPr>
            </w:pPr>
            <w:r>
              <w:rPr>
                <w:rFonts w:ascii="Arial" w:cs="Arial" w:eastAsia="Arial" w:hAnsi="Arial"/>
                <w:sz w:val="18"/>
                <w:szCs w:val="18"/>
                <w:color w:val="auto"/>
              </w:rPr>
              <w:t>July 30, 2021</w:t>
            </w:r>
          </w:p>
        </w:tc>
        <w:tc>
          <w:tcPr>
            <w:tcW w:w="1640" w:type="dxa"/>
            <w:vAlign w:val="bottom"/>
          </w:tcPr>
          <w:p>
            <w:pPr>
              <w:ind w:left="12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44"/>
        </w:trPr>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65"/>
        </w:trPr>
        <w:tc>
          <w:tcPr>
            <w:tcW w:w="5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65"/>
        </w:trPr>
        <w:tc>
          <w:tcPr>
            <w:tcW w:w="5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CREDIT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July 7, 2021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TENABLE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Holdings,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TENABLE,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Borrower,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Lenders and Issuing Banks from time to time party hereto,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Administrative Agent and as Collateral Agent,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MORGAN STANLEY SENIOR FUNDING,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BANK OF AMERICA, N.A., and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BARCLAYS BANK PLC,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Lead Arrangers and Bookrunners</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80" w:type="dxa"/>
            <w:vAlign w:val="bottom"/>
          </w:tcPr>
          <w:p>
            <w:pPr>
              <w:spacing w:after="0"/>
              <w:rPr>
                <w:sz w:val="20"/>
                <w:szCs w:val="20"/>
                <w:color w:val="auto"/>
              </w:rPr>
            </w:pPr>
            <w:r>
              <w:rPr>
                <w:rFonts w:ascii="Arial" w:cs="Arial" w:eastAsia="Arial" w:hAnsi="Arial"/>
                <w:sz w:val="19"/>
                <w:szCs w:val="19"/>
                <w:color w:val="auto"/>
              </w:rPr>
              <w:t>itions</w:t>
            </w:r>
          </w:p>
        </w:tc>
        <w:tc>
          <w:tcPr>
            <w:tcW w:w="840" w:type="dxa"/>
            <w:vAlign w:val="bottom"/>
          </w:tcPr>
          <w:p>
            <w:pPr>
              <w:spacing w:after="0"/>
              <w:rPr>
                <w:sz w:val="21"/>
                <w:szCs w:val="21"/>
                <w:color w:val="auto"/>
              </w:rPr>
            </w:pP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Defined Terms.</w:t>
            </w:r>
          </w:p>
        </w:tc>
        <w:tc>
          <w:tcPr>
            <w:tcW w:w="840" w:type="dxa"/>
            <w:vAlign w:val="bottom"/>
          </w:tcPr>
          <w:p>
            <w:pPr>
              <w:ind w:left="560"/>
              <w:spacing w:after="0"/>
              <w:rPr>
                <w:sz w:val="20"/>
                <w:szCs w:val="20"/>
                <w:color w:val="auto"/>
              </w:rPr>
            </w:pPr>
            <w:r>
              <w:rPr>
                <w:rFonts w:ascii="Arial" w:cs="Arial" w:eastAsia="Arial" w:hAnsi="Arial"/>
                <w:sz w:val="19"/>
                <w:szCs w:val="19"/>
                <w:color w:val="auto"/>
              </w:rPr>
              <w:t>1</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Classification of Loans and Borrowings.</w:t>
            </w:r>
          </w:p>
        </w:tc>
        <w:tc>
          <w:tcPr>
            <w:tcW w:w="840" w:type="dxa"/>
            <w:vAlign w:val="bottom"/>
          </w:tcPr>
          <w:p>
            <w:pPr>
              <w:ind w:left="560"/>
              <w:spacing w:after="0"/>
              <w:rPr>
                <w:sz w:val="20"/>
                <w:szCs w:val="20"/>
                <w:color w:val="auto"/>
              </w:rPr>
            </w:pPr>
            <w:r>
              <w:rPr>
                <w:rFonts w:ascii="Arial" w:cs="Arial" w:eastAsia="Arial" w:hAnsi="Arial"/>
                <w:sz w:val="19"/>
                <w:szCs w:val="19"/>
                <w:color w:val="auto"/>
              </w:rPr>
              <w:t>66</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Terms Generally.</w:t>
            </w:r>
          </w:p>
        </w:tc>
        <w:tc>
          <w:tcPr>
            <w:tcW w:w="840" w:type="dxa"/>
            <w:vAlign w:val="bottom"/>
          </w:tcPr>
          <w:p>
            <w:pPr>
              <w:ind w:left="560"/>
              <w:spacing w:after="0"/>
              <w:rPr>
                <w:sz w:val="20"/>
                <w:szCs w:val="20"/>
                <w:color w:val="auto"/>
              </w:rPr>
            </w:pPr>
            <w:r>
              <w:rPr>
                <w:rFonts w:ascii="Arial" w:cs="Arial" w:eastAsia="Arial" w:hAnsi="Arial"/>
                <w:sz w:val="19"/>
                <w:szCs w:val="19"/>
                <w:color w:val="auto"/>
              </w:rPr>
              <w:t>66</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Accounting Terms; GAAP.</w:t>
            </w:r>
          </w:p>
        </w:tc>
        <w:tc>
          <w:tcPr>
            <w:tcW w:w="840" w:type="dxa"/>
            <w:vAlign w:val="bottom"/>
          </w:tcPr>
          <w:p>
            <w:pPr>
              <w:ind w:left="560"/>
              <w:spacing w:after="0"/>
              <w:rPr>
                <w:sz w:val="20"/>
                <w:szCs w:val="20"/>
                <w:color w:val="auto"/>
              </w:rPr>
            </w:pPr>
            <w:r>
              <w:rPr>
                <w:rFonts w:ascii="Arial" w:cs="Arial" w:eastAsia="Arial" w:hAnsi="Arial"/>
                <w:sz w:val="19"/>
                <w:szCs w:val="19"/>
                <w:color w:val="auto"/>
              </w:rPr>
              <w:t>66</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Effectuation of Transactions.</w:t>
            </w:r>
          </w:p>
        </w:tc>
        <w:tc>
          <w:tcPr>
            <w:tcW w:w="840" w:type="dxa"/>
            <w:vAlign w:val="bottom"/>
          </w:tcPr>
          <w:p>
            <w:pPr>
              <w:ind w:left="560"/>
              <w:spacing w:after="0"/>
              <w:rPr>
                <w:sz w:val="20"/>
                <w:szCs w:val="20"/>
                <w:color w:val="auto"/>
              </w:rPr>
            </w:pPr>
            <w:r>
              <w:rPr>
                <w:rFonts w:ascii="Arial" w:cs="Arial" w:eastAsia="Arial" w:hAnsi="Arial"/>
                <w:sz w:val="19"/>
                <w:szCs w:val="19"/>
                <w:color w:val="auto"/>
              </w:rPr>
              <w:t>67</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Limited Conditionality Acquisition.</w:t>
            </w:r>
          </w:p>
        </w:tc>
        <w:tc>
          <w:tcPr>
            <w:tcW w:w="840" w:type="dxa"/>
            <w:vAlign w:val="bottom"/>
          </w:tcPr>
          <w:p>
            <w:pPr>
              <w:ind w:left="560"/>
              <w:spacing w:after="0"/>
              <w:rPr>
                <w:sz w:val="20"/>
                <w:szCs w:val="20"/>
                <w:color w:val="auto"/>
              </w:rPr>
            </w:pPr>
            <w:r>
              <w:rPr>
                <w:rFonts w:ascii="Arial" w:cs="Arial" w:eastAsia="Arial" w:hAnsi="Arial"/>
                <w:sz w:val="19"/>
                <w:szCs w:val="19"/>
                <w:color w:val="auto"/>
              </w:rPr>
              <w:t>67</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Certain Determinations.</w:t>
            </w:r>
          </w:p>
        </w:tc>
        <w:tc>
          <w:tcPr>
            <w:tcW w:w="840" w:type="dxa"/>
            <w:vAlign w:val="bottom"/>
          </w:tcPr>
          <w:p>
            <w:pPr>
              <w:ind w:left="560"/>
              <w:spacing w:after="0"/>
              <w:rPr>
                <w:sz w:val="20"/>
                <w:szCs w:val="20"/>
                <w:color w:val="auto"/>
              </w:rPr>
            </w:pPr>
            <w:r>
              <w:rPr>
                <w:rFonts w:ascii="Arial" w:cs="Arial" w:eastAsia="Arial" w:hAnsi="Arial"/>
                <w:sz w:val="19"/>
                <w:szCs w:val="19"/>
                <w:color w:val="auto"/>
              </w:rPr>
              <w:t>68</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Divisions.</w:t>
            </w:r>
          </w:p>
        </w:tc>
        <w:tc>
          <w:tcPr>
            <w:tcW w:w="840" w:type="dxa"/>
            <w:vAlign w:val="bottom"/>
          </w:tcPr>
          <w:p>
            <w:pPr>
              <w:ind w:left="560"/>
              <w:spacing w:after="0"/>
              <w:rPr>
                <w:sz w:val="20"/>
                <w:szCs w:val="20"/>
                <w:color w:val="auto"/>
              </w:rPr>
            </w:pPr>
            <w:r>
              <w:rPr>
                <w:rFonts w:ascii="Arial" w:cs="Arial" w:eastAsia="Arial" w:hAnsi="Arial"/>
                <w:sz w:val="19"/>
                <w:szCs w:val="19"/>
                <w:color w:val="auto"/>
              </w:rPr>
              <w:t>69</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Interest Rates; LIBOR Notification.</w:t>
            </w:r>
          </w:p>
        </w:tc>
        <w:tc>
          <w:tcPr>
            <w:tcW w:w="840" w:type="dxa"/>
            <w:vAlign w:val="bottom"/>
          </w:tcPr>
          <w:p>
            <w:pPr>
              <w:ind w:left="560"/>
              <w:spacing w:after="0"/>
              <w:rPr>
                <w:sz w:val="20"/>
                <w:szCs w:val="20"/>
                <w:color w:val="auto"/>
              </w:rPr>
            </w:pPr>
            <w:r>
              <w:rPr>
                <w:rFonts w:ascii="Arial" w:cs="Arial" w:eastAsia="Arial" w:hAnsi="Arial"/>
                <w:sz w:val="19"/>
                <w:szCs w:val="19"/>
                <w:color w:val="auto"/>
              </w:rPr>
              <w:t>69</w:t>
            </w:r>
          </w:p>
        </w:tc>
      </w:tr>
      <w:tr>
        <w:trPr>
          <w:trHeight w:val="278"/>
        </w:trPr>
        <w:tc>
          <w:tcPr>
            <w:tcW w:w="6180" w:type="dxa"/>
            <w:vAlign w:val="bottom"/>
          </w:tcPr>
          <w:p>
            <w:pPr>
              <w:spacing w:after="0"/>
              <w:rPr>
                <w:sz w:val="20"/>
                <w:szCs w:val="20"/>
                <w:color w:val="auto"/>
              </w:rPr>
            </w:pPr>
            <w:r>
              <w:rPr>
                <w:rFonts w:ascii="Arial" w:cs="Arial" w:eastAsia="Arial" w:hAnsi="Arial"/>
                <w:sz w:val="19"/>
                <w:szCs w:val="19"/>
                <w:color w:val="auto"/>
              </w:rPr>
              <w:t>Credits</w:t>
            </w:r>
          </w:p>
        </w:tc>
        <w:tc>
          <w:tcPr>
            <w:tcW w:w="840" w:type="dxa"/>
            <w:vAlign w:val="bottom"/>
          </w:tcPr>
          <w:p>
            <w:pPr>
              <w:spacing w:after="0"/>
              <w:rPr>
                <w:sz w:val="24"/>
                <w:szCs w:val="24"/>
                <w:color w:val="auto"/>
              </w:rPr>
            </w:pP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Commitments.</w:t>
            </w:r>
          </w:p>
        </w:tc>
        <w:tc>
          <w:tcPr>
            <w:tcW w:w="840" w:type="dxa"/>
            <w:vAlign w:val="bottom"/>
          </w:tcPr>
          <w:p>
            <w:pPr>
              <w:ind w:left="560"/>
              <w:spacing w:after="0"/>
              <w:rPr>
                <w:sz w:val="20"/>
                <w:szCs w:val="20"/>
                <w:color w:val="auto"/>
              </w:rPr>
            </w:pPr>
            <w:r>
              <w:rPr>
                <w:rFonts w:ascii="Arial" w:cs="Arial" w:eastAsia="Arial" w:hAnsi="Arial"/>
                <w:sz w:val="19"/>
                <w:szCs w:val="19"/>
                <w:color w:val="auto"/>
              </w:rPr>
              <w:t>70</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Loans and Borrowings.</w:t>
            </w:r>
          </w:p>
        </w:tc>
        <w:tc>
          <w:tcPr>
            <w:tcW w:w="840" w:type="dxa"/>
            <w:vAlign w:val="bottom"/>
          </w:tcPr>
          <w:p>
            <w:pPr>
              <w:ind w:left="560"/>
              <w:spacing w:after="0"/>
              <w:rPr>
                <w:sz w:val="20"/>
                <w:szCs w:val="20"/>
                <w:color w:val="auto"/>
              </w:rPr>
            </w:pPr>
            <w:r>
              <w:rPr>
                <w:rFonts w:ascii="Arial" w:cs="Arial" w:eastAsia="Arial" w:hAnsi="Arial"/>
                <w:sz w:val="19"/>
                <w:szCs w:val="19"/>
                <w:color w:val="auto"/>
              </w:rPr>
              <w:t>70</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Requests for Borrowings.</w:t>
            </w:r>
          </w:p>
        </w:tc>
        <w:tc>
          <w:tcPr>
            <w:tcW w:w="840" w:type="dxa"/>
            <w:vAlign w:val="bottom"/>
          </w:tcPr>
          <w:p>
            <w:pPr>
              <w:ind w:left="560"/>
              <w:spacing w:after="0"/>
              <w:rPr>
                <w:sz w:val="20"/>
                <w:szCs w:val="20"/>
                <w:color w:val="auto"/>
              </w:rPr>
            </w:pPr>
            <w:r>
              <w:rPr>
                <w:rFonts w:ascii="Arial" w:cs="Arial" w:eastAsia="Arial" w:hAnsi="Arial"/>
                <w:sz w:val="19"/>
                <w:szCs w:val="19"/>
                <w:color w:val="auto"/>
              </w:rPr>
              <w:t>70</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[Reserved].</w:t>
            </w:r>
          </w:p>
        </w:tc>
        <w:tc>
          <w:tcPr>
            <w:tcW w:w="840" w:type="dxa"/>
            <w:vAlign w:val="bottom"/>
          </w:tcPr>
          <w:p>
            <w:pPr>
              <w:ind w:left="560"/>
              <w:spacing w:after="0"/>
              <w:rPr>
                <w:sz w:val="20"/>
                <w:szCs w:val="20"/>
                <w:color w:val="auto"/>
              </w:rPr>
            </w:pPr>
            <w:r>
              <w:rPr>
                <w:rFonts w:ascii="Arial" w:cs="Arial" w:eastAsia="Arial" w:hAnsi="Arial"/>
                <w:sz w:val="19"/>
                <w:szCs w:val="19"/>
                <w:color w:val="auto"/>
              </w:rPr>
              <w:t>71</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Letters of Credit.</w:t>
            </w:r>
          </w:p>
        </w:tc>
        <w:tc>
          <w:tcPr>
            <w:tcW w:w="840" w:type="dxa"/>
            <w:vAlign w:val="bottom"/>
          </w:tcPr>
          <w:p>
            <w:pPr>
              <w:ind w:left="560"/>
              <w:spacing w:after="0"/>
              <w:rPr>
                <w:sz w:val="20"/>
                <w:szCs w:val="20"/>
                <w:color w:val="auto"/>
              </w:rPr>
            </w:pPr>
            <w:r>
              <w:rPr>
                <w:rFonts w:ascii="Arial" w:cs="Arial" w:eastAsia="Arial" w:hAnsi="Arial"/>
                <w:sz w:val="19"/>
                <w:szCs w:val="19"/>
                <w:color w:val="auto"/>
              </w:rPr>
              <w:t>71</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Funding of Borrowings.</w:t>
            </w:r>
          </w:p>
        </w:tc>
        <w:tc>
          <w:tcPr>
            <w:tcW w:w="840" w:type="dxa"/>
            <w:vAlign w:val="bottom"/>
          </w:tcPr>
          <w:p>
            <w:pPr>
              <w:ind w:left="560"/>
              <w:spacing w:after="0"/>
              <w:rPr>
                <w:sz w:val="20"/>
                <w:szCs w:val="20"/>
                <w:color w:val="auto"/>
              </w:rPr>
            </w:pPr>
            <w:r>
              <w:rPr>
                <w:rFonts w:ascii="Arial" w:cs="Arial" w:eastAsia="Arial" w:hAnsi="Arial"/>
                <w:sz w:val="19"/>
                <w:szCs w:val="19"/>
                <w:color w:val="auto"/>
              </w:rPr>
              <w:t>78</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Interest Elections.</w:t>
            </w:r>
          </w:p>
        </w:tc>
        <w:tc>
          <w:tcPr>
            <w:tcW w:w="840" w:type="dxa"/>
            <w:vAlign w:val="bottom"/>
          </w:tcPr>
          <w:p>
            <w:pPr>
              <w:ind w:left="560"/>
              <w:spacing w:after="0"/>
              <w:rPr>
                <w:sz w:val="20"/>
                <w:szCs w:val="20"/>
                <w:color w:val="auto"/>
              </w:rPr>
            </w:pPr>
            <w:r>
              <w:rPr>
                <w:rFonts w:ascii="Arial" w:cs="Arial" w:eastAsia="Arial" w:hAnsi="Arial"/>
                <w:sz w:val="19"/>
                <w:szCs w:val="19"/>
                <w:color w:val="auto"/>
              </w:rPr>
              <w:t>78</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Termination and Reduction of Commitments.</w:t>
            </w:r>
          </w:p>
        </w:tc>
        <w:tc>
          <w:tcPr>
            <w:tcW w:w="840" w:type="dxa"/>
            <w:vAlign w:val="bottom"/>
          </w:tcPr>
          <w:p>
            <w:pPr>
              <w:ind w:left="560"/>
              <w:spacing w:after="0"/>
              <w:rPr>
                <w:sz w:val="20"/>
                <w:szCs w:val="20"/>
                <w:color w:val="auto"/>
              </w:rPr>
            </w:pPr>
            <w:r>
              <w:rPr>
                <w:rFonts w:ascii="Arial" w:cs="Arial" w:eastAsia="Arial" w:hAnsi="Arial"/>
                <w:sz w:val="19"/>
                <w:szCs w:val="19"/>
                <w:color w:val="auto"/>
              </w:rPr>
              <w:t>79</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Repayment of Loans; Evidence of Debt.</w:t>
            </w:r>
          </w:p>
        </w:tc>
        <w:tc>
          <w:tcPr>
            <w:tcW w:w="840" w:type="dxa"/>
            <w:vAlign w:val="bottom"/>
          </w:tcPr>
          <w:p>
            <w:pPr>
              <w:ind w:left="560"/>
              <w:spacing w:after="0"/>
              <w:rPr>
                <w:sz w:val="20"/>
                <w:szCs w:val="20"/>
                <w:color w:val="auto"/>
              </w:rPr>
            </w:pPr>
            <w:r>
              <w:rPr>
                <w:rFonts w:ascii="Arial" w:cs="Arial" w:eastAsia="Arial" w:hAnsi="Arial"/>
                <w:sz w:val="19"/>
                <w:szCs w:val="19"/>
                <w:color w:val="auto"/>
              </w:rPr>
              <w:t>80</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Amortization of Term Loans.</w:t>
            </w:r>
          </w:p>
        </w:tc>
        <w:tc>
          <w:tcPr>
            <w:tcW w:w="840" w:type="dxa"/>
            <w:vAlign w:val="bottom"/>
          </w:tcPr>
          <w:p>
            <w:pPr>
              <w:ind w:left="560"/>
              <w:spacing w:after="0"/>
              <w:rPr>
                <w:sz w:val="20"/>
                <w:szCs w:val="20"/>
                <w:color w:val="auto"/>
              </w:rPr>
            </w:pPr>
            <w:r>
              <w:rPr>
                <w:rFonts w:ascii="Arial" w:cs="Arial" w:eastAsia="Arial" w:hAnsi="Arial"/>
                <w:sz w:val="19"/>
                <w:szCs w:val="19"/>
                <w:color w:val="auto"/>
              </w:rPr>
              <w:t>80</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Prepayment of Loans.</w:t>
            </w:r>
          </w:p>
        </w:tc>
        <w:tc>
          <w:tcPr>
            <w:tcW w:w="840" w:type="dxa"/>
            <w:vAlign w:val="bottom"/>
          </w:tcPr>
          <w:p>
            <w:pPr>
              <w:ind w:left="560"/>
              <w:spacing w:after="0"/>
              <w:rPr>
                <w:sz w:val="20"/>
                <w:szCs w:val="20"/>
                <w:color w:val="auto"/>
              </w:rPr>
            </w:pPr>
            <w:r>
              <w:rPr>
                <w:rFonts w:ascii="Arial" w:cs="Arial" w:eastAsia="Arial" w:hAnsi="Arial"/>
                <w:sz w:val="19"/>
                <w:szCs w:val="19"/>
                <w:color w:val="auto"/>
              </w:rPr>
              <w:t>81</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Fees.</w:t>
            </w:r>
          </w:p>
        </w:tc>
        <w:tc>
          <w:tcPr>
            <w:tcW w:w="840" w:type="dxa"/>
            <w:vAlign w:val="bottom"/>
          </w:tcPr>
          <w:p>
            <w:pPr>
              <w:ind w:left="560"/>
              <w:spacing w:after="0"/>
              <w:rPr>
                <w:sz w:val="20"/>
                <w:szCs w:val="20"/>
                <w:color w:val="auto"/>
              </w:rPr>
            </w:pPr>
            <w:r>
              <w:rPr>
                <w:rFonts w:ascii="Arial" w:cs="Arial" w:eastAsia="Arial" w:hAnsi="Arial"/>
                <w:sz w:val="19"/>
                <w:szCs w:val="19"/>
                <w:color w:val="auto"/>
              </w:rPr>
              <w:t>92</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Interest.</w:t>
            </w:r>
          </w:p>
        </w:tc>
        <w:tc>
          <w:tcPr>
            <w:tcW w:w="840" w:type="dxa"/>
            <w:vAlign w:val="bottom"/>
          </w:tcPr>
          <w:p>
            <w:pPr>
              <w:ind w:left="560"/>
              <w:spacing w:after="0"/>
              <w:rPr>
                <w:sz w:val="20"/>
                <w:szCs w:val="20"/>
                <w:color w:val="auto"/>
              </w:rPr>
            </w:pPr>
            <w:r>
              <w:rPr>
                <w:rFonts w:ascii="Arial" w:cs="Arial" w:eastAsia="Arial" w:hAnsi="Arial"/>
                <w:sz w:val="19"/>
                <w:szCs w:val="19"/>
                <w:color w:val="auto"/>
              </w:rPr>
              <w:t>93</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Alternate Rate of Interest.</w:t>
            </w:r>
          </w:p>
        </w:tc>
        <w:tc>
          <w:tcPr>
            <w:tcW w:w="840" w:type="dxa"/>
            <w:vAlign w:val="bottom"/>
          </w:tcPr>
          <w:p>
            <w:pPr>
              <w:ind w:left="560"/>
              <w:spacing w:after="0"/>
              <w:rPr>
                <w:sz w:val="20"/>
                <w:szCs w:val="20"/>
                <w:color w:val="auto"/>
              </w:rPr>
            </w:pPr>
            <w:r>
              <w:rPr>
                <w:rFonts w:ascii="Arial" w:cs="Arial" w:eastAsia="Arial" w:hAnsi="Arial"/>
                <w:sz w:val="19"/>
                <w:szCs w:val="19"/>
                <w:color w:val="auto"/>
              </w:rPr>
              <w:t>94</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Increased Costs.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100</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Break Funding Payments.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102</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Taxes.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102</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Payments Generally; Pro Rata Treatment; Sharing of Setoffs.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105</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Mitigation Obligations; Replacement of Lenders.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107</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Incremental Credit Extensions.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108</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Refinancing Amendments.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110</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Defaulting Lenders.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111</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Illegality.</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113</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Loan Modification Offers.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113</w:t>
            </w:r>
          </w:p>
        </w:tc>
      </w:tr>
      <w:tr>
        <w:trPr>
          <w:trHeight w:val="278"/>
        </w:trPr>
        <w:tc>
          <w:tcPr>
            <w:tcW w:w="6180" w:type="dxa"/>
            <w:vAlign w:val="bottom"/>
          </w:tcPr>
          <w:p>
            <w:pPr>
              <w:spacing w:after="0"/>
              <w:rPr>
                <w:sz w:val="20"/>
                <w:szCs w:val="20"/>
                <w:color w:val="auto"/>
              </w:rPr>
            </w:pPr>
            <w:r>
              <w:rPr>
                <w:rFonts w:ascii="Arial" w:cs="Arial" w:eastAsia="Arial" w:hAnsi="Arial"/>
                <w:sz w:val="19"/>
                <w:szCs w:val="19"/>
                <w:color w:val="auto"/>
              </w:rPr>
              <w:t>resentations and Warranties</w:t>
            </w:r>
          </w:p>
        </w:tc>
        <w:tc>
          <w:tcPr>
            <w:tcW w:w="840" w:type="dxa"/>
            <w:vAlign w:val="bottom"/>
          </w:tcPr>
          <w:p>
            <w:pPr>
              <w:spacing w:after="0"/>
              <w:rPr>
                <w:sz w:val="24"/>
                <w:szCs w:val="24"/>
                <w:color w:val="auto"/>
              </w:rPr>
            </w:pP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Organization; Powers.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115</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Authorization; Enforceability.</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115</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Governmental Approvals; No Conflicts.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115</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Financial Condition; No Material Adverse Effect.</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115</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Properties; Insurance.</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116</w:t>
            </w:r>
          </w:p>
        </w:tc>
      </w:tr>
      <w:tr>
        <w:trPr>
          <w:trHeight w:val="278"/>
        </w:trPr>
        <w:tc>
          <w:tcPr>
            <w:tcW w:w="6180" w:type="dxa"/>
            <w:vAlign w:val="bottom"/>
          </w:tcPr>
          <w:p>
            <w:pPr>
              <w:ind w:left="880"/>
              <w:spacing w:after="0"/>
              <w:rPr>
                <w:sz w:val="20"/>
                <w:szCs w:val="20"/>
                <w:color w:val="auto"/>
              </w:rPr>
            </w:pPr>
            <w:r>
              <w:rPr>
                <w:rFonts w:ascii="Arial" w:cs="Arial" w:eastAsia="Arial" w:hAnsi="Arial"/>
                <w:sz w:val="19"/>
                <w:szCs w:val="19"/>
                <w:color w:val="auto"/>
              </w:rPr>
              <w:t>Litigation and Environmental Matters.</w:t>
            </w:r>
          </w:p>
        </w:tc>
        <w:tc>
          <w:tcPr>
            <w:tcW w:w="840" w:type="dxa"/>
            <w:vAlign w:val="bottom"/>
          </w:tcPr>
          <w:p>
            <w:pPr>
              <w:ind w:left="560"/>
              <w:spacing w:after="0"/>
              <w:rPr>
                <w:sz w:val="20"/>
                <w:szCs w:val="20"/>
                <w:color w:val="auto"/>
              </w:rPr>
            </w:pPr>
            <w:r>
              <w:rPr>
                <w:rFonts w:ascii="Arial" w:cs="Arial" w:eastAsia="Arial" w:hAnsi="Arial"/>
                <w:sz w:val="19"/>
                <w:szCs w:val="19"/>
                <w:color w:val="auto"/>
                <w:w w:val="81"/>
              </w:rPr>
              <w:t>116</w:t>
            </w:r>
          </w:p>
        </w:tc>
      </w:tr>
    </w:tbl>
    <w:p>
      <w:pPr>
        <w:sectPr>
          <w:pgSz w:w="11900" w:h="16838" w:orient="portrait"/>
          <w:cols w:equalWidth="0" w:num="1">
            <w:col w:w="10239"/>
          </w:cols>
          <w:pgMar w:left="220" w:top="1440" w:right="1440" w:bottom="1440" w:gutter="0" w:footer="0" w:header="0"/>
        </w:sectPr>
      </w:pPr>
    </w:p>
    <w:bookmarkStart w:id="68" w:name="page69"/>
    <w:bookmarkEnd w:id="68"/>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60" w:type="dxa"/>
            <w:vAlign w:val="bottom"/>
          </w:tcPr>
          <w:p>
            <w:pPr>
              <w:ind w:left="860"/>
              <w:spacing w:after="0"/>
              <w:rPr>
                <w:sz w:val="20"/>
                <w:szCs w:val="20"/>
                <w:color w:val="auto"/>
              </w:rPr>
            </w:pPr>
            <w:r>
              <w:rPr>
                <w:rFonts w:ascii="Arial" w:cs="Arial" w:eastAsia="Arial" w:hAnsi="Arial"/>
                <w:sz w:val="19"/>
                <w:szCs w:val="19"/>
                <w:color w:val="auto"/>
              </w:rPr>
              <w:t>Compliance with Laws.</w:t>
            </w:r>
          </w:p>
        </w:tc>
        <w:tc>
          <w:tcPr>
            <w:tcW w:w="840" w:type="dxa"/>
            <w:vAlign w:val="bottom"/>
          </w:tcPr>
          <w:p>
            <w:pPr>
              <w:jc w:val="right"/>
              <w:spacing w:after="0"/>
              <w:rPr>
                <w:sz w:val="20"/>
                <w:szCs w:val="20"/>
                <w:color w:val="auto"/>
              </w:rPr>
            </w:pPr>
            <w:r>
              <w:rPr>
                <w:rFonts w:ascii="Arial" w:cs="Arial" w:eastAsia="Arial" w:hAnsi="Arial"/>
                <w:sz w:val="19"/>
                <w:szCs w:val="19"/>
                <w:color w:val="auto"/>
              </w:rPr>
              <w:t>116</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Investment Company Status.</w:t>
            </w:r>
          </w:p>
        </w:tc>
        <w:tc>
          <w:tcPr>
            <w:tcW w:w="840" w:type="dxa"/>
            <w:vAlign w:val="bottom"/>
          </w:tcPr>
          <w:p>
            <w:pPr>
              <w:jc w:val="right"/>
              <w:spacing w:after="0"/>
              <w:rPr>
                <w:sz w:val="20"/>
                <w:szCs w:val="20"/>
                <w:color w:val="auto"/>
              </w:rPr>
            </w:pPr>
            <w:r>
              <w:rPr>
                <w:rFonts w:ascii="Arial" w:cs="Arial" w:eastAsia="Arial" w:hAnsi="Arial"/>
                <w:sz w:val="19"/>
                <w:szCs w:val="19"/>
                <w:color w:val="auto"/>
              </w:rPr>
              <w:t>116</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Taxes.</w:t>
            </w:r>
          </w:p>
        </w:tc>
        <w:tc>
          <w:tcPr>
            <w:tcW w:w="84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ERISA; Labor Matters.</w:t>
            </w:r>
          </w:p>
        </w:tc>
        <w:tc>
          <w:tcPr>
            <w:tcW w:w="84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Disclosure.</w:t>
            </w:r>
          </w:p>
        </w:tc>
        <w:tc>
          <w:tcPr>
            <w:tcW w:w="84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Subsidiaries.</w:t>
            </w:r>
          </w:p>
        </w:tc>
        <w:tc>
          <w:tcPr>
            <w:tcW w:w="84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Intellectual Property; Licenses, Etc.</w:t>
            </w:r>
          </w:p>
        </w:tc>
        <w:tc>
          <w:tcPr>
            <w:tcW w:w="84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Solvency.</w:t>
            </w:r>
          </w:p>
        </w:tc>
        <w:tc>
          <w:tcPr>
            <w:tcW w:w="84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Federal Reserve Regulations.</w:t>
            </w:r>
          </w:p>
        </w:tc>
        <w:tc>
          <w:tcPr>
            <w:tcW w:w="84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Use of Proceeds.</w:t>
            </w:r>
          </w:p>
        </w:tc>
        <w:tc>
          <w:tcPr>
            <w:tcW w:w="84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Anti-Corruption Laws and Sanctions.</w:t>
            </w:r>
          </w:p>
        </w:tc>
        <w:tc>
          <w:tcPr>
            <w:tcW w:w="84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Security Documents.</w:t>
            </w:r>
          </w:p>
        </w:tc>
        <w:tc>
          <w:tcPr>
            <w:tcW w:w="84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78"/>
        </w:trPr>
        <w:tc>
          <w:tcPr>
            <w:tcW w:w="6160" w:type="dxa"/>
            <w:vAlign w:val="bottom"/>
          </w:tcPr>
          <w:p>
            <w:pPr>
              <w:ind w:left="20"/>
              <w:spacing w:after="0"/>
              <w:rPr>
                <w:sz w:val="20"/>
                <w:szCs w:val="20"/>
                <w:color w:val="auto"/>
              </w:rPr>
            </w:pPr>
            <w:r>
              <w:rPr>
                <w:rFonts w:ascii="Arial" w:cs="Arial" w:eastAsia="Arial" w:hAnsi="Arial"/>
                <w:sz w:val="19"/>
                <w:szCs w:val="19"/>
                <w:color w:val="auto"/>
              </w:rPr>
              <w:t>ditions</w:t>
            </w:r>
          </w:p>
        </w:tc>
        <w:tc>
          <w:tcPr>
            <w:tcW w:w="840" w:type="dxa"/>
            <w:vAlign w:val="bottom"/>
          </w:tcPr>
          <w:p>
            <w:pPr>
              <w:spacing w:after="0"/>
              <w:rPr>
                <w:sz w:val="24"/>
                <w:szCs w:val="24"/>
                <w:color w:val="auto"/>
              </w:rPr>
            </w:pP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Effective Date.</w:t>
            </w:r>
          </w:p>
        </w:tc>
        <w:tc>
          <w:tcPr>
            <w:tcW w:w="840" w:type="dxa"/>
            <w:vAlign w:val="bottom"/>
          </w:tcPr>
          <w:p>
            <w:pPr>
              <w:jc w:val="right"/>
              <w:spacing w:after="0"/>
              <w:rPr>
                <w:sz w:val="20"/>
                <w:szCs w:val="20"/>
                <w:color w:val="auto"/>
              </w:rPr>
            </w:pPr>
            <w:r>
              <w:rPr>
                <w:rFonts w:ascii="Arial" w:cs="Arial" w:eastAsia="Arial" w:hAnsi="Arial"/>
                <w:sz w:val="19"/>
                <w:szCs w:val="19"/>
                <w:color w:val="auto"/>
              </w:rPr>
              <w:t>120</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Each Credit Event after the Effective Date.</w:t>
            </w:r>
          </w:p>
        </w:tc>
        <w:tc>
          <w:tcPr>
            <w:tcW w:w="84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78"/>
        </w:trPr>
        <w:tc>
          <w:tcPr>
            <w:tcW w:w="6160" w:type="dxa"/>
            <w:vAlign w:val="bottom"/>
          </w:tcPr>
          <w:p>
            <w:pPr>
              <w:spacing w:after="0"/>
              <w:rPr>
                <w:sz w:val="20"/>
                <w:szCs w:val="20"/>
                <w:color w:val="auto"/>
              </w:rPr>
            </w:pPr>
            <w:r>
              <w:rPr>
                <w:rFonts w:ascii="Arial" w:cs="Arial" w:eastAsia="Arial" w:hAnsi="Arial"/>
                <w:sz w:val="19"/>
                <w:szCs w:val="19"/>
                <w:color w:val="auto"/>
              </w:rPr>
              <w:t>mative Covenants</w:t>
            </w:r>
          </w:p>
        </w:tc>
        <w:tc>
          <w:tcPr>
            <w:tcW w:w="840" w:type="dxa"/>
            <w:vAlign w:val="bottom"/>
          </w:tcPr>
          <w:p>
            <w:pPr>
              <w:spacing w:after="0"/>
              <w:rPr>
                <w:sz w:val="24"/>
                <w:szCs w:val="24"/>
                <w:color w:val="auto"/>
              </w:rPr>
            </w:pP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Financial Statements and Other Information.</w:t>
            </w:r>
          </w:p>
        </w:tc>
        <w:tc>
          <w:tcPr>
            <w:tcW w:w="84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Notices of Material Events.</w:t>
            </w:r>
          </w:p>
        </w:tc>
        <w:tc>
          <w:tcPr>
            <w:tcW w:w="840" w:type="dxa"/>
            <w:vAlign w:val="bottom"/>
          </w:tcPr>
          <w:p>
            <w:pPr>
              <w:jc w:val="right"/>
              <w:spacing w:after="0"/>
              <w:rPr>
                <w:sz w:val="20"/>
                <w:szCs w:val="20"/>
                <w:color w:val="auto"/>
              </w:rPr>
            </w:pPr>
            <w:r>
              <w:rPr>
                <w:rFonts w:ascii="Arial" w:cs="Arial" w:eastAsia="Arial" w:hAnsi="Arial"/>
                <w:sz w:val="19"/>
                <w:szCs w:val="19"/>
                <w:color w:val="auto"/>
              </w:rPr>
              <w:t>125</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Information Regarding Collateral.</w:t>
            </w:r>
          </w:p>
        </w:tc>
        <w:tc>
          <w:tcPr>
            <w:tcW w:w="840" w:type="dxa"/>
            <w:vAlign w:val="bottom"/>
          </w:tcPr>
          <w:p>
            <w:pPr>
              <w:jc w:val="right"/>
              <w:spacing w:after="0"/>
              <w:rPr>
                <w:sz w:val="20"/>
                <w:szCs w:val="20"/>
                <w:color w:val="auto"/>
              </w:rPr>
            </w:pPr>
            <w:r>
              <w:rPr>
                <w:rFonts w:ascii="Arial" w:cs="Arial" w:eastAsia="Arial" w:hAnsi="Arial"/>
                <w:sz w:val="19"/>
                <w:szCs w:val="19"/>
                <w:color w:val="auto"/>
              </w:rPr>
              <w:t>125</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Existence; Conduct of Business.</w:t>
            </w:r>
          </w:p>
        </w:tc>
        <w:tc>
          <w:tcPr>
            <w:tcW w:w="840" w:type="dxa"/>
            <w:vAlign w:val="bottom"/>
          </w:tcPr>
          <w:p>
            <w:pPr>
              <w:jc w:val="right"/>
              <w:spacing w:after="0"/>
              <w:rPr>
                <w:sz w:val="20"/>
                <w:szCs w:val="20"/>
                <w:color w:val="auto"/>
              </w:rPr>
            </w:pPr>
            <w:r>
              <w:rPr>
                <w:rFonts w:ascii="Arial" w:cs="Arial" w:eastAsia="Arial" w:hAnsi="Arial"/>
                <w:sz w:val="19"/>
                <w:szCs w:val="19"/>
                <w:color w:val="auto"/>
              </w:rPr>
              <w:t>126</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Payment of Taxes, etc.</w:t>
            </w:r>
          </w:p>
        </w:tc>
        <w:tc>
          <w:tcPr>
            <w:tcW w:w="840" w:type="dxa"/>
            <w:vAlign w:val="bottom"/>
          </w:tcPr>
          <w:p>
            <w:pPr>
              <w:jc w:val="right"/>
              <w:spacing w:after="0"/>
              <w:rPr>
                <w:sz w:val="20"/>
                <w:szCs w:val="20"/>
                <w:color w:val="auto"/>
              </w:rPr>
            </w:pPr>
            <w:r>
              <w:rPr>
                <w:rFonts w:ascii="Arial" w:cs="Arial" w:eastAsia="Arial" w:hAnsi="Arial"/>
                <w:sz w:val="19"/>
                <w:szCs w:val="19"/>
                <w:color w:val="auto"/>
              </w:rPr>
              <w:t>126</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Maintenance of Properties.</w:t>
            </w:r>
          </w:p>
        </w:tc>
        <w:tc>
          <w:tcPr>
            <w:tcW w:w="840" w:type="dxa"/>
            <w:vAlign w:val="bottom"/>
          </w:tcPr>
          <w:p>
            <w:pPr>
              <w:jc w:val="right"/>
              <w:spacing w:after="0"/>
              <w:rPr>
                <w:sz w:val="20"/>
                <w:szCs w:val="20"/>
                <w:color w:val="auto"/>
              </w:rPr>
            </w:pPr>
            <w:r>
              <w:rPr>
                <w:rFonts w:ascii="Arial" w:cs="Arial" w:eastAsia="Arial" w:hAnsi="Arial"/>
                <w:sz w:val="19"/>
                <w:szCs w:val="19"/>
                <w:color w:val="auto"/>
              </w:rPr>
              <w:t>126</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Insurance.</w:t>
            </w:r>
          </w:p>
        </w:tc>
        <w:tc>
          <w:tcPr>
            <w:tcW w:w="840" w:type="dxa"/>
            <w:vAlign w:val="bottom"/>
          </w:tcPr>
          <w:p>
            <w:pPr>
              <w:jc w:val="right"/>
              <w:spacing w:after="0"/>
              <w:rPr>
                <w:sz w:val="20"/>
                <w:szCs w:val="20"/>
                <w:color w:val="auto"/>
              </w:rPr>
            </w:pPr>
            <w:r>
              <w:rPr>
                <w:rFonts w:ascii="Arial" w:cs="Arial" w:eastAsia="Arial" w:hAnsi="Arial"/>
                <w:sz w:val="19"/>
                <w:szCs w:val="19"/>
                <w:color w:val="auto"/>
              </w:rPr>
              <w:t>126</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Books and Records; Inspection and Audit Rights.</w:t>
            </w:r>
          </w:p>
        </w:tc>
        <w:tc>
          <w:tcPr>
            <w:tcW w:w="840" w:type="dxa"/>
            <w:vAlign w:val="bottom"/>
          </w:tcPr>
          <w:p>
            <w:pPr>
              <w:jc w:val="right"/>
              <w:spacing w:after="0"/>
              <w:rPr>
                <w:sz w:val="20"/>
                <w:szCs w:val="20"/>
                <w:color w:val="auto"/>
              </w:rPr>
            </w:pPr>
            <w:r>
              <w:rPr>
                <w:rFonts w:ascii="Arial" w:cs="Arial" w:eastAsia="Arial" w:hAnsi="Arial"/>
                <w:sz w:val="19"/>
                <w:szCs w:val="19"/>
                <w:color w:val="auto"/>
              </w:rPr>
              <w:t>127</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Compliance with Laws.</w:t>
            </w:r>
          </w:p>
        </w:tc>
        <w:tc>
          <w:tcPr>
            <w:tcW w:w="840" w:type="dxa"/>
            <w:vAlign w:val="bottom"/>
          </w:tcPr>
          <w:p>
            <w:pPr>
              <w:jc w:val="right"/>
              <w:spacing w:after="0"/>
              <w:rPr>
                <w:sz w:val="20"/>
                <w:szCs w:val="20"/>
                <w:color w:val="auto"/>
              </w:rPr>
            </w:pPr>
            <w:r>
              <w:rPr>
                <w:rFonts w:ascii="Arial" w:cs="Arial" w:eastAsia="Arial" w:hAnsi="Arial"/>
                <w:sz w:val="19"/>
                <w:szCs w:val="19"/>
                <w:color w:val="auto"/>
              </w:rPr>
              <w:t>127</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Use of Proceeds and Letters of Credit.</w:t>
            </w:r>
          </w:p>
        </w:tc>
        <w:tc>
          <w:tcPr>
            <w:tcW w:w="840" w:type="dxa"/>
            <w:vAlign w:val="bottom"/>
          </w:tcPr>
          <w:p>
            <w:pPr>
              <w:jc w:val="right"/>
              <w:spacing w:after="0"/>
              <w:rPr>
                <w:sz w:val="20"/>
                <w:szCs w:val="20"/>
                <w:color w:val="auto"/>
              </w:rPr>
            </w:pPr>
            <w:r>
              <w:rPr>
                <w:rFonts w:ascii="Arial" w:cs="Arial" w:eastAsia="Arial" w:hAnsi="Arial"/>
                <w:sz w:val="19"/>
                <w:szCs w:val="19"/>
                <w:color w:val="auto"/>
              </w:rPr>
              <w:t>128</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Additional Subsidiaries.</w:t>
            </w:r>
          </w:p>
        </w:tc>
        <w:tc>
          <w:tcPr>
            <w:tcW w:w="840" w:type="dxa"/>
            <w:vAlign w:val="bottom"/>
          </w:tcPr>
          <w:p>
            <w:pPr>
              <w:jc w:val="right"/>
              <w:spacing w:after="0"/>
              <w:rPr>
                <w:sz w:val="20"/>
                <w:szCs w:val="20"/>
                <w:color w:val="auto"/>
              </w:rPr>
            </w:pPr>
            <w:r>
              <w:rPr>
                <w:rFonts w:ascii="Arial" w:cs="Arial" w:eastAsia="Arial" w:hAnsi="Arial"/>
                <w:sz w:val="19"/>
                <w:szCs w:val="19"/>
                <w:color w:val="auto"/>
              </w:rPr>
              <w:t>128</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Further Assurances.</w:t>
            </w:r>
          </w:p>
        </w:tc>
        <w:tc>
          <w:tcPr>
            <w:tcW w:w="840" w:type="dxa"/>
            <w:vAlign w:val="bottom"/>
          </w:tcPr>
          <w:p>
            <w:pPr>
              <w:jc w:val="right"/>
              <w:spacing w:after="0"/>
              <w:rPr>
                <w:sz w:val="20"/>
                <w:szCs w:val="20"/>
                <w:color w:val="auto"/>
              </w:rPr>
            </w:pPr>
            <w:r>
              <w:rPr>
                <w:rFonts w:ascii="Arial" w:cs="Arial" w:eastAsia="Arial" w:hAnsi="Arial"/>
                <w:sz w:val="19"/>
                <w:szCs w:val="19"/>
                <w:color w:val="auto"/>
              </w:rPr>
              <w:t>129</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Designation of Subsidiaries.</w:t>
            </w:r>
          </w:p>
        </w:tc>
        <w:tc>
          <w:tcPr>
            <w:tcW w:w="840" w:type="dxa"/>
            <w:vAlign w:val="bottom"/>
          </w:tcPr>
          <w:p>
            <w:pPr>
              <w:jc w:val="right"/>
              <w:spacing w:after="0"/>
              <w:rPr>
                <w:sz w:val="20"/>
                <w:szCs w:val="20"/>
                <w:color w:val="auto"/>
              </w:rPr>
            </w:pPr>
            <w:r>
              <w:rPr>
                <w:rFonts w:ascii="Arial" w:cs="Arial" w:eastAsia="Arial" w:hAnsi="Arial"/>
                <w:sz w:val="19"/>
                <w:szCs w:val="19"/>
                <w:color w:val="auto"/>
              </w:rPr>
              <w:t>129</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Certain Post-Closing Obligations.</w:t>
            </w:r>
          </w:p>
        </w:tc>
        <w:tc>
          <w:tcPr>
            <w:tcW w:w="840" w:type="dxa"/>
            <w:vAlign w:val="bottom"/>
          </w:tcPr>
          <w:p>
            <w:pPr>
              <w:jc w:val="right"/>
              <w:spacing w:after="0"/>
              <w:rPr>
                <w:sz w:val="20"/>
                <w:szCs w:val="20"/>
                <w:color w:val="auto"/>
              </w:rPr>
            </w:pPr>
            <w:r>
              <w:rPr>
                <w:rFonts w:ascii="Arial" w:cs="Arial" w:eastAsia="Arial" w:hAnsi="Arial"/>
                <w:sz w:val="19"/>
                <w:szCs w:val="19"/>
                <w:color w:val="auto"/>
              </w:rPr>
              <w:t>130</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Maintenance of Ratings.</w:t>
            </w:r>
          </w:p>
        </w:tc>
        <w:tc>
          <w:tcPr>
            <w:tcW w:w="840" w:type="dxa"/>
            <w:vAlign w:val="bottom"/>
          </w:tcPr>
          <w:p>
            <w:pPr>
              <w:jc w:val="right"/>
              <w:spacing w:after="0"/>
              <w:rPr>
                <w:sz w:val="20"/>
                <w:szCs w:val="20"/>
                <w:color w:val="auto"/>
              </w:rPr>
            </w:pPr>
            <w:r>
              <w:rPr>
                <w:rFonts w:ascii="Arial" w:cs="Arial" w:eastAsia="Arial" w:hAnsi="Arial"/>
                <w:sz w:val="19"/>
                <w:szCs w:val="19"/>
                <w:color w:val="auto"/>
              </w:rPr>
              <w:t>130</w:t>
            </w:r>
          </w:p>
        </w:tc>
      </w:tr>
      <w:tr>
        <w:trPr>
          <w:trHeight w:val="278"/>
        </w:trPr>
        <w:tc>
          <w:tcPr>
            <w:tcW w:w="6160" w:type="dxa"/>
            <w:vAlign w:val="bottom"/>
          </w:tcPr>
          <w:p>
            <w:pPr>
              <w:ind w:left="20"/>
              <w:spacing w:after="0"/>
              <w:rPr>
                <w:sz w:val="20"/>
                <w:szCs w:val="20"/>
                <w:color w:val="auto"/>
              </w:rPr>
            </w:pPr>
            <w:r>
              <w:rPr>
                <w:rFonts w:ascii="Arial" w:cs="Arial" w:eastAsia="Arial" w:hAnsi="Arial"/>
                <w:sz w:val="19"/>
                <w:szCs w:val="19"/>
                <w:color w:val="auto"/>
              </w:rPr>
              <w:t>ative Covenants</w:t>
            </w:r>
          </w:p>
        </w:tc>
        <w:tc>
          <w:tcPr>
            <w:tcW w:w="840" w:type="dxa"/>
            <w:vAlign w:val="bottom"/>
          </w:tcPr>
          <w:p>
            <w:pPr>
              <w:spacing w:after="0"/>
              <w:rPr>
                <w:sz w:val="24"/>
                <w:szCs w:val="24"/>
                <w:color w:val="auto"/>
              </w:rPr>
            </w:pP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Indebtedness; Certain Equity Securities.</w:t>
            </w:r>
          </w:p>
        </w:tc>
        <w:tc>
          <w:tcPr>
            <w:tcW w:w="840" w:type="dxa"/>
            <w:vAlign w:val="bottom"/>
          </w:tcPr>
          <w:p>
            <w:pPr>
              <w:jc w:val="right"/>
              <w:spacing w:after="0"/>
              <w:rPr>
                <w:sz w:val="20"/>
                <w:szCs w:val="20"/>
                <w:color w:val="auto"/>
              </w:rPr>
            </w:pPr>
            <w:r>
              <w:rPr>
                <w:rFonts w:ascii="Arial" w:cs="Arial" w:eastAsia="Arial" w:hAnsi="Arial"/>
                <w:sz w:val="19"/>
                <w:szCs w:val="19"/>
                <w:color w:val="auto"/>
              </w:rPr>
              <w:t>130</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Liens.</w:t>
            </w:r>
          </w:p>
        </w:tc>
        <w:tc>
          <w:tcPr>
            <w:tcW w:w="840" w:type="dxa"/>
            <w:vAlign w:val="bottom"/>
          </w:tcPr>
          <w:p>
            <w:pPr>
              <w:jc w:val="right"/>
              <w:spacing w:after="0"/>
              <w:rPr>
                <w:sz w:val="20"/>
                <w:szCs w:val="20"/>
                <w:color w:val="auto"/>
              </w:rPr>
            </w:pPr>
            <w:r>
              <w:rPr>
                <w:rFonts w:ascii="Arial" w:cs="Arial" w:eastAsia="Arial" w:hAnsi="Arial"/>
                <w:sz w:val="19"/>
                <w:szCs w:val="19"/>
                <w:color w:val="auto"/>
              </w:rPr>
              <w:t>136</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Fundamental Changes; Holdings Covenant.</w:t>
            </w:r>
          </w:p>
        </w:tc>
        <w:tc>
          <w:tcPr>
            <w:tcW w:w="84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Investments, Loans, Advances, Guarantees and Acquisitions.</w:t>
            </w:r>
          </w:p>
        </w:tc>
        <w:tc>
          <w:tcPr>
            <w:tcW w:w="840" w:type="dxa"/>
            <w:vAlign w:val="bottom"/>
          </w:tcPr>
          <w:p>
            <w:pPr>
              <w:jc w:val="right"/>
              <w:spacing w:after="0"/>
              <w:rPr>
                <w:sz w:val="20"/>
                <w:szCs w:val="20"/>
                <w:color w:val="auto"/>
              </w:rPr>
            </w:pPr>
            <w:r>
              <w:rPr>
                <w:rFonts w:ascii="Arial" w:cs="Arial" w:eastAsia="Arial" w:hAnsi="Arial"/>
                <w:sz w:val="19"/>
                <w:szCs w:val="19"/>
                <w:color w:val="auto"/>
              </w:rPr>
              <w:t>142</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Asset Sales.</w:t>
            </w:r>
          </w:p>
        </w:tc>
        <w:tc>
          <w:tcPr>
            <w:tcW w:w="840" w:type="dxa"/>
            <w:vAlign w:val="bottom"/>
          </w:tcPr>
          <w:p>
            <w:pPr>
              <w:jc w:val="right"/>
              <w:spacing w:after="0"/>
              <w:rPr>
                <w:sz w:val="20"/>
                <w:szCs w:val="20"/>
                <w:color w:val="auto"/>
              </w:rPr>
            </w:pPr>
            <w:r>
              <w:rPr>
                <w:rFonts w:ascii="Arial" w:cs="Arial" w:eastAsia="Arial" w:hAnsi="Arial"/>
                <w:sz w:val="19"/>
                <w:szCs w:val="19"/>
                <w:color w:val="auto"/>
              </w:rPr>
              <w:t>145</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Sale and Leaseback Transactions.</w:t>
            </w:r>
          </w:p>
        </w:tc>
        <w:tc>
          <w:tcPr>
            <w:tcW w:w="840" w:type="dxa"/>
            <w:vAlign w:val="bottom"/>
          </w:tcPr>
          <w:p>
            <w:pPr>
              <w:jc w:val="right"/>
              <w:spacing w:after="0"/>
              <w:rPr>
                <w:sz w:val="20"/>
                <w:szCs w:val="20"/>
                <w:color w:val="auto"/>
              </w:rPr>
            </w:pPr>
            <w:r>
              <w:rPr>
                <w:rFonts w:ascii="Arial" w:cs="Arial" w:eastAsia="Arial" w:hAnsi="Arial"/>
                <w:sz w:val="19"/>
                <w:szCs w:val="19"/>
                <w:color w:val="auto"/>
              </w:rPr>
              <w:t>147</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Restricted Payments; Certain Payments of Indebtedness.</w:t>
            </w:r>
          </w:p>
        </w:tc>
        <w:tc>
          <w:tcPr>
            <w:tcW w:w="840" w:type="dxa"/>
            <w:vAlign w:val="bottom"/>
          </w:tcPr>
          <w:p>
            <w:pPr>
              <w:jc w:val="right"/>
              <w:spacing w:after="0"/>
              <w:rPr>
                <w:sz w:val="20"/>
                <w:szCs w:val="20"/>
                <w:color w:val="auto"/>
              </w:rPr>
            </w:pPr>
            <w:r>
              <w:rPr>
                <w:rFonts w:ascii="Arial" w:cs="Arial" w:eastAsia="Arial" w:hAnsi="Arial"/>
                <w:sz w:val="19"/>
                <w:szCs w:val="19"/>
                <w:color w:val="auto"/>
              </w:rPr>
              <w:t>147</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Transactions with Affiliates.</w:t>
            </w:r>
          </w:p>
        </w:tc>
        <w:tc>
          <w:tcPr>
            <w:tcW w:w="840" w:type="dxa"/>
            <w:vAlign w:val="bottom"/>
          </w:tcPr>
          <w:p>
            <w:pPr>
              <w:jc w:val="right"/>
              <w:spacing w:after="0"/>
              <w:rPr>
                <w:sz w:val="20"/>
                <w:szCs w:val="20"/>
                <w:color w:val="auto"/>
              </w:rPr>
            </w:pPr>
            <w:r>
              <w:rPr>
                <w:rFonts w:ascii="Arial" w:cs="Arial" w:eastAsia="Arial" w:hAnsi="Arial"/>
                <w:sz w:val="19"/>
                <w:szCs w:val="19"/>
                <w:color w:val="auto"/>
              </w:rPr>
              <w:t>153</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Restrictive Agreements.</w:t>
            </w:r>
          </w:p>
        </w:tc>
        <w:tc>
          <w:tcPr>
            <w:tcW w:w="840" w:type="dxa"/>
            <w:vAlign w:val="bottom"/>
          </w:tcPr>
          <w:p>
            <w:pPr>
              <w:jc w:val="right"/>
              <w:spacing w:after="0"/>
              <w:rPr>
                <w:sz w:val="20"/>
                <w:szCs w:val="20"/>
                <w:color w:val="auto"/>
              </w:rPr>
            </w:pPr>
            <w:r>
              <w:rPr>
                <w:rFonts w:ascii="Arial" w:cs="Arial" w:eastAsia="Arial" w:hAnsi="Arial"/>
                <w:sz w:val="19"/>
                <w:szCs w:val="19"/>
                <w:color w:val="auto"/>
              </w:rPr>
              <w:t>153</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Financial Performance Covenant.</w:t>
            </w:r>
          </w:p>
        </w:tc>
        <w:tc>
          <w:tcPr>
            <w:tcW w:w="840" w:type="dxa"/>
            <w:vAlign w:val="bottom"/>
          </w:tcPr>
          <w:p>
            <w:pPr>
              <w:jc w:val="right"/>
              <w:spacing w:after="0"/>
              <w:rPr>
                <w:sz w:val="20"/>
                <w:szCs w:val="20"/>
                <w:color w:val="auto"/>
              </w:rPr>
            </w:pPr>
            <w:r>
              <w:rPr>
                <w:rFonts w:ascii="Arial" w:cs="Arial" w:eastAsia="Arial" w:hAnsi="Arial"/>
                <w:sz w:val="19"/>
                <w:szCs w:val="19"/>
                <w:color w:val="auto"/>
              </w:rPr>
              <w:t>155</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Changes in Fiscal Periods.</w:t>
            </w:r>
          </w:p>
        </w:tc>
        <w:tc>
          <w:tcPr>
            <w:tcW w:w="840" w:type="dxa"/>
            <w:vAlign w:val="bottom"/>
          </w:tcPr>
          <w:p>
            <w:pPr>
              <w:jc w:val="right"/>
              <w:spacing w:after="0"/>
              <w:rPr>
                <w:sz w:val="20"/>
                <w:szCs w:val="20"/>
                <w:color w:val="auto"/>
              </w:rPr>
            </w:pPr>
            <w:r>
              <w:rPr>
                <w:rFonts w:ascii="Arial" w:cs="Arial" w:eastAsia="Arial" w:hAnsi="Arial"/>
                <w:sz w:val="19"/>
                <w:szCs w:val="19"/>
                <w:color w:val="auto"/>
              </w:rPr>
              <w:t>155</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Amendment of Junior Financing Documents.</w:t>
            </w:r>
          </w:p>
        </w:tc>
        <w:tc>
          <w:tcPr>
            <w:tcW w:w="840" w:type="dxa"/>
            <w:vAlign w:val="bottom"/>
          </w:tcPr>
          <w:p>
            <w:pPr>
              <w:jc w:val="right"/>
              <w:spacing w:after="0"/>
              <w:rPr>
                <w:sz w:val="20"/>
                <w:szCs w:val="20"/>
                <w:color w:val="auto"/>
              </w:rPr>
            </w:pPr>
            <w:r>
              <w:rPr>
                <w:rFonts w:ascii="Arial" w:cs="Arial" w:eastAsia="Arial" w:hAnsi="Arial"/>
                <w:sz w:val="19"/>
                <w:szCs w:val="19"/>
                <w:color w:val="auto"/>
              </w:rPr>
              <w:t>155</w:t>
            </w:r>
          </w:p>
        </w:tc>
      </w:tr>
      <w:tr>
        <w:trPr>
          <w:trHeight w:val="278"/>
        </w:trPr>
        <w:tc>
          <w:tcPr>
            <w:tcW w:w="6160" w:type="dxa"/>
            <w:vAlign w:val="bottom"/>
          </w:tcPr>
          <w:p>
            <w:pPr>
              <w:ind w:left="860"/>
              <w:spacing w:after="0"/>
              <w:rPr>
                <w:sz w:val="20"/>
                <w:szCs w:val="20"/>
                <w:color w:val="auto"/>
              </w:rPr>
            </w:pPr>
            <w:r>
              <w:rPr>
                <w:rFonts w:ascii="Arial" w:cs="Arial" w:eastAsia="Arial" w:hAnsi="Arial"/>
                <w:sz w:val="19"/>
                <w:szCs w:val="19"/>
                <w:color w:val="auto"/>
              </w:rPr>
              <w:t>Changes in Line of Business.</w:t>
            </w:r>
          </w:p>
        </w:tc>
        <w:tc>
          <w:tcPr>
            <w:tcW w:w="840" w:type="dxa"/>
            <w:vAlign w:val="bottom"/>
          </w:tcPr>
          <w:p>
            <w:pPr>
              <w:jc w:val="right"/>
              <w:spacing w:after="0"/>
              <w:rPr>
                <w:sz w:val="20"/>
                <w:szCs w:val="20"/>
                <w:color w:val="auto"/>
              </w:rPr>
            </w:pPr>
            <w:r>
              <w:rPr>
                <w:rFonts w:ascii="Arial" w:cs="Arial" w:eastAsia="Arial" w:hAnsi="Arial"/>
                <w:sz w:val="19"/>
                <w:szCs w:val="19"/>
                <w:color w:val="auto"/>
              </w:rPr>
              <w:t>155</w:t>
            </w:r>
          </w:p>
        </w:tc>
      </w:tr>
    </w:tbl>
    <w:p>
      <w:pPr>
        <w:sectPr>
          <w:pgSz w:w="11900" w:h="16838" w:orient="portrait"/>
          <w:cols w:equalWidth="0" w:num="1">
            <w:col w:w="10219"/>
          </w:cols>
          <w:pgMar w:left="240" w:top="1440" w:right="1440" w:bottom="1440" w:gutter="0" w:footer="0" w:header="0"/>
        </w:sectPr>
      </w:pPr>
    </w:p>
    <w:bookmarkStart w:id="69" w:name="page70"/>
    <w:bookmarkEnd w:id="69"/>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60" w:type="dxa"/>
            <w:vAlign w:val="bottom"/>
          </w:tcPr>
          <w:p>
            <w:pPr>
              <w:spacing w:after="0"/>
              <w:rPr>
                <w:sz w:val="20"/>
                <w:szCs w:val="20"/>
                <w:color w:val="auto"/>
              </w:rPr>
            </w:pPr>
            <w:r>
              <w:rPr>
                <w:rFonts w:ascii="Arial" w:cs="Arial" w:eastAsia="Arial" w:hAnsi="Arial"/>
                <w:sz w:val="19"/>
                <w:szCs w:val="19"/>
                <w:color w:val="auto"/>
              </w:rPr>
              <w:t>ents of Default</w:t>
            </w:r>
          </w:p>
        </w:tc>
        <w:tc>
          <w:tcPr>
            <w:tcW w:w="860" w:type="dxa"/>
            <w:vAlign w:val="bottom"/>
          </w:tcPr>
          <w:p>
            <w:pPr>
              <w:spacing w:after="0"/>
              <w:rPr>
                <w:sz w:val="21"/>
                <w:szCs w:val="21"/>
                <w:color w:val="auto"/>
              </w:rPr>
            </w:pP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Events of Default.</w:t>
            </w:r>
          </w:p>
        </w:tc>
        <w:tc>
          <w:tcPr>
            <w:tcW w:w="860" w:type="dxa"/>
            <w:vAlign w:val="bottom"/>
          </w:tcPr>
          <w:p>
            <w:pPr>
              <w:jc w:val="right"/>
              <w:spacing w:after="0"/>
              <w:rPr>
                <w:sz w:val="20"/>
                <w:szCs w:val="20"/>
                <w:color w:val="auto"/>
              </w:rPr>
            </w:pPr>
            <w:r>
              <w:rPr>
                <w:rFonts w:ascii="Arial" w:cs="Arial" w:eastAsia="Arial" w:hAnsi="Arial"/>
                <w:sz w:val="19"/>
                <w:szCs w:val="19"/>
                <w:color w:val="auto"/>
              </w:rPr>
              <w:t>155</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[Reserved].</w:t>
            </w:r>
          </w:p>
        </w:tc>
        <w:tc>
          <w:tcPr>
            <w:tcW w:w="860" w:type="dxa"/>
            <w:vAlign w:val="bottom"/>
          </w:tcPr>
          <w:p>
            <w:pPr>
              <w:jc w:val="right"/>
              <w:spacing w:after="0"/>
              <w:rPr>
                <w:sz w:val="20"/>
                <w:szCs w:val="20"/>
                <w:color w:val="auto"/>
              </w:rPr>
            </w:pPr>
            <w:r>
              <w:rPr>
                <w:rFonts w:ascii="Arial" w:cs="Arial" w:eastAsia="Arial" w:hAnsi="Arial"/>
                <w:sz w:val="19"/>
                <w:szCs w:val="19"/>
                <w:color w:val="auto"/>
              </w:rPr>
              <w:t>158</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Application of Proceeds.</w:t>
            </w:r>
          </w:p>
        </w:tc>
        <w:tc>
          <w:tcPr>
            <w:tcW w:w="860" w:type="dxa"/>
            <w:vAlign w:val="bottom"/>
          </w:tcPr>
          <w:p>
            <w:pPr>
              <w:jc w:val="right"/>
              <w:spacing w:after="0"/>
              <w:rPr>
                <w:sz w:val="20"/>
                <w:szCs w:val="20"/>
                <w:color w:val="auto"/>
              </w:rPr>
            </w:pPr>
            <w:r>
              <w:rPr>
                <w:rFonts w:ascii="Arial" w:cs="Arial" w:eastAsia="Arial" w:hAnsi="Arial"/>
                <w:sz w:val="19"/>
                <w:szCs w:val="19"/>
                <w:color w:val="auto"/>
              </w:rPr>
              <w:t>158</w:t>
            </w:r>
          </w:p>
        </w:tc>
      </w:tr>
      <w:tr>
        <w:trPr>
          <w:trHeight w:val="278"/>
        </w:trPr>
        <w:tc>
          <w:tcPr>
            <w:tcW w:w="6160" w:type="dxa"/>
            <w:vAlign w:val="bottom"/>
          </w:tcPr>
          <w:p>
            <w:pPr>
              <w:spacing w:after="0"/>
              <w:rPr>
                <w:sz w:val="20"/>
                <w:szCs w:val="20"/>
                <w:color w:val="auto"/>
              </w:rPr>
            </w:pPr>
            <w:r>
              <w:rPr>
                <w:rFonts w:ascii="Arial" w:cs="Arial" w:eastAsia="Arial" w:hAnsi="Arial"/>
                <w:sz w:val="19"/>
                <w:szCs w:val="19"/>
                <w:color w:val="auto"/>
              </w:rPr>
              <w:t>dministrative Agent</w:t>
            </w:r>
          </w:p>
        </w:tc>
        <w:tc>
          <w:tcPr>
            <w:tcW w:w="860" w:type="dxa"/>
            <w:vAlign w:val="bottom"/>
          </w:tcPr>
          <w:p>
            <w:pPr>
              <w:spacing w:after="0"/>
              <w:rPr>
                <w:sz w:val="24"/>
                <w:szCs w:val="24"/>
                <w:color w:val="auto"/>
              </w:rPr>
            </w:pP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Appointment and Authority.</w:t>
            </w:r>
          </w:p>
        </w:tc>
        <w:tc>
          <w:tcPr>
            <w:tcW w:w="860" w:type="dxa"/>
            <w:vAlign w:val="bottom"/>
          </w:tcPr>
          <w:p>
            <w:pPr>
              <w:jc w:val="right"/>
              <w:spacing w:after="0"/>
              <w:rPr>
                <w:sz w:val="20"/>
                <w:szCs w:val="20"/>
                <w:color w:val="auto"/>
              </w:rPr>
            </w:pPr>
            <w:r>
              <w:rPr>
                <w:rFonts w:ascii="Arial" w:cs="Arial" w:eastAsia="Arial" w:hAnsi="Arial"/>
                <w:sz w:val="19"/>
                <w:szCs w:val="19"/>
                <w:color w:val="auto"/>
              </w:rPr>
              <w:t>159</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Rights as a Lender.</w:t>
            </w:r>
          </w:p>
        </w:tc>
        <w:tc>
          <w:tcPr>
            <w:tcW w:w="860" w:type="dxa"/>
            <w:vAlign w:val="bottom"/>
          </w:tcPr>
          <w:p>
            <w:pPr>
              <w:jc w:val="right"/>
              <w:spacing w:after="0"/>
              <w:rPr>
                <w:sz w:val="20"/>
                <w:szCs w:val="20"/>
                <w:color w:val="auto"/>
              </w:rPr>
            </w:pPr>
            <w:r>
              <w:rPr>
                <w:rFonts w:ascii="Arial" w:cs="Arial" w:eastAsia="Arial" w:hAnsi="Arial"/>
                <w:sz w:val="19"/>
                <w:szCs w:val="19"/>
                <w:color w:val="auto"/>
              </w:rPr>
              <w:t>159</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Exculpatory Provisions.</w:t>
            </w:r>
          </w:p>
        </w:tc>
        <w:tc>
          <w:tcPr>
            <w:tcW w:w="860" w:type="dxa"/>
            <w:vAlign w:val="bottom"/>
          </w:tcPr>
          <w:p>
            <w:pPr>
              <w:jc w:val="right"/>
              <w:spacing w:after="0"/>
              <w:rPr>
                <w:sz w:val="20"/>
                <w:szCs w:val="20"/>
                <w:color w:val="auto"/>
              </w:rPr>
            </w:pPr>
            <w:r>
              <w:rPr>
                <w:rFonts w:ascii="Arial" w:cs="Arial" w:eastAsia="Arial" w:hAnsi="Arial"/>
                <w:sz w:val="19"/>
                <w:szCs w:val="19"/>
                <w:color w:val="auto"/>
              </w:rPr>
              <w:t>160</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Reliance by Agents.</w:t>
            </w:r>
          </w:p>
        </w:tc>
        <w:tc>
          <w:tcPr>
            <w:tcW w:w="860" w:type="dxa"/>
            <w:vAlign w:val="bottom"/>
          </w:tcPr>
          <w:p>
            <w:pPr>
              <w:jc w:val="right"/>
              <w:spacing w:after="0"/>
              <w:rPr>
                <w:sz w:val="20"/>
                <w:szCs w:val="20"/>
                <w:color w:val="auto"/>
              </w:rPr>
            </w:pPr>
            <w:r>
              <w:rPr>
                <w:rFonts w:ascii="Arial" w:cs="Arial" w:eastAsia="Arial" w:hAnsi="Arial"/>
                <w:sz w:val="19"/>
                <w:szCs w:val="19"/>
                <w:color w:val="auto"/>
              </w:rPr>
              <w:t>161</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Delegation of Duties.</w:t>
            </w:r>
          </w:p>
        </w:tc>
        <w:tc>
          <w:tcPr>
            <w:tcW w:w="860" w:type="dxa"/>
            <w:vAlign w:val="bottom"/>
          </w:tcPr>
          <w:p>
            <w:pPr>
              <w:jc w:val="right"/>
              <w:spacing w:after="0"/>
              <w:rPr>
                <w:sz w:val="20"/>
                <w:szCs w:val="20"/>
                <w:color w:val="auto"/>
              </w:rPr>
            </w:pPr>
            <w:r>
              <w:rPr>
                <w:rFonts w:ascii="Arial" w:cs="Arial" w:eastAsia="Arial" w:hAnsi="Arial"/>
                <w:sz w:val="19"/>
                <w:szCs w:val="19"/>
                <w:color w:val="auto"/>
              </w:rPr>
              <w:t>162</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Resignation of Administrative Agent; Mergers.</w:t>
            </w:r>
          </w:p>
        </w:tc>
        <w:tc>
          <w:tcPr>
            <w:tcW w:w="860" w:type="dxa"/>
            <w:vAlign w:val="bottom"/>
          </w:tcPr>
          <w:p>
            <w:pPr>
              <w:jc w:val="right"/>
              <w:spacing w:after="0"/>
              <w:rPr>
                <w:sz w:val="20"/>
                <w:szCs w:val="20"/>
                <w:color w:val="auto"/>
              </w:rPr>
            </w:pPr>
            <w:r>
              <w:rPr>
                <w:rFonts w:ascii="Arial" w:cs="Arial" w:eastAsia="Arial" w:hAnsi="Arial"/>
                <w:sz w:val="19"/>
                <w:szCs w:val="19"/>
                <w:color w:val="auto"/>
              </w:rPr>
              <w:t>162</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Non-Reliance on Agents and Lenders.</w:t>
            </w:r>
          </w:p>
        </w:tc>
        <w:tc>
          <w:tcPr>
            <w:tcW w:w="860" w:type="dxa"/>
            <w:vAlign w:val="bottom"/>
          </w:tcPr>
          <w:p>
            <w:pPr>
              <w:jc w:val="right"/>
              <w:spacing w:after="0"/>
              <w:rPr>
                <w:sz w:val="20"/>
                <w:szCs w:val="20"/>
                <w:color w:val="auto"/>
              </w:rPr>
            </w:pPr>
            <w:r>
              <w:rPr>
                <w:rFonts w:ascii="Arial" w:cs="Arial" w:eastAsia="Arial" w:hAnsi="Arial"/>
                <w:sz w:val="19"/>
                <w:szCs w:val="19"/>
                <w:color w:val="auto"/>
              </w:rPr>
              <w:t>163</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No Other Duties, Etc.</w:t>
            </w:r>
          </w:p>
        </w:tc>
        <w:tc>
          <w:tcPr>
            <w:tcW w:w="860" w:type="dxa"/>
            <w:vAlign w:val="bottom"/>
          </w:tcPr>
          <w:p>
            <w:pPr>
              <w:jc w:val="right"/>
              <w:spacing w:after="0"/>
              <w:rPr>
                <w:sz w:val="20"/>
                <w:szCs w:val="20"/>
                <w:color w:val="auto"/>
              </w:rPr>
            </w:pPr>
            <w:r>
              <w:rPr>
                <w:rFonts w:ascii="Arial" w:cs="Arial" w:eastAsia="Arial" w:hAnsi="Arial"/>
                <w:sz w:val="19"/>
                <w:szCs w:val="19"/>
                <w:color w:val="auto"/>
              </w:rPr>
              <w:t>164</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Administrative Agent May File Proofs of Claim.</w:t>
            </w:r>
          </w:p>
        </w:tc>
        <w:tc>
          <w:tcPr>
            <w:tcW w:w="860" w:type="dxa"/>
            <w:vAlign w:val="bottom"/>
          </w:tcPr>
          <w:p>
            <w:pPr>
              <w:jc w:val="right"/>
              <w:spacing w:after="0"/>
              <w:rPr>
                <w:sz w:val="20"/>
                <w:szCs w:val="20"/>
                <w:color w:val="auto"/>
              </w:rPr>
            </w:pPr>
            <w:r>
              <w:rPr>
                <w:rFonts w:ascii="Arial" w:cs="Arial" w:eastAsia="Arial" w:hAnsi="Arial"/>
                <w:sz w:val="19"/>
                <w:szCs w:val="19"/>
                <w:color w:val="auto"/>
              </w:rPr>
              <w:t>164</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No Waiver; Cumulative Remedies; Enforcement.</w:t>
            </w:r>
          </w:p>
        </w:tc>
        <w:tc>
          <w:tcPr>
            <w:tcW w:w="860" w:type="dxa"/>
            <w:vAlign w:val="bottom"/>
          </w:tcPr>
          <w:p>
            <w:pPr>
              <w:jc w:val="right"/>
              <w:spacing w:after="0"/>
              <w:rPr>
                <w:sz w:val="20"/>
                <w:szCs w:val="20"/>
                <w:color w:val="auto"/>
              </w:rPr>
            </w:pPr>
            <w:r>
              <w:rPr>
                <w:rFonts w:ascii="Arial" w:cs="Arial" w:eastAsia="Arial" w:hAnsi="Arial"/>
                <w:sz w:val="19"/>
                <w:szCs w:val="19"/>
                <w:color w:val="auto"/>
              </w:rPr>
              <w:t>165</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Withholding Taxes.</w:t>
            </w:r>
          </w:p>
        </w:tc>
        <w:tc>
          <w:tcPr>
            <w:tcW w:w="860" w:type="dxa"/>
            <w:vAlign w:val="bottom"/>
          </w:tcPr>
          <w:p>
            <w:pPr>
              <w:jc w:val="right"/>
              <w:spacing w:after="0"/>
              <w:rPr>
                <w:sz w:val="20"/>
                <w:szCs w:val="20"/>
                <w:color w:val="auto"/>
              </w:rPr>
            </w:pPr>
            <w:r>
              <w:rPr>
                <w:rFonts w:ascii="Arial" w:cs="Arial" w:eastAsia="Arial" w:hAnsi="Arial"/>
                <w:sz w:val="19"/>
                <w:szCs w:val="19"/>
                <w:color w:val="auto"/>
              </w:rPr>
              <w:t>165</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Credit Bidding.</w:t>
            </w:r>
          </w:p>
        </w:tc>
        <w:tc>
          <w:tcPr>
            <w:tcW w:w="860" w:type="dxa"/>
            <w:vAlign w:val="bottom"/>
          </w:tcPr>
          <w:p>
            <w:pPr>
              <w:jc w:val="right"/>
              <w:spacing w:after="0"/>
              <w:rPr>
                <w:sz w:val="20"/>
                <w:szCs w:val="20"/>
                <w:color w:val="auto"/>
              </w:rPr>
            </w:pPr>
            <w:r>
              <w:rPr>
                <w:rFonts w:ascii="Arial" w:cs="Arial" w:eastAsia="Arial" w:hAnsi="Arial"/>
                <w:sz w:val="19"/>
                <w:szCs w:val="19"/>
                <w:color w:val="auto"/>
              </w:rPr>
              <w:t>166</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Acknowledgements of Lenders and Issuing Banks.</w:t>
            </w:r>
          </w:p>
        </w:tc>
        <w:tc>
          <w:tcPr>
            <w:tcW w:w="860" w:type="dxa"/>
            <w:vAlign w:val="bottom"/>
          </w:tcPr>
          <w:p>
            <w:pPr>
              <w:jc w:val="right"/>
              <w:spacing w:after="0"/>
              <w:rPr>
                <w:sz w:val="20"/>
                <w:szCs w:val="20"/>
                <w:color w:val="auto"/>
              </w:rPr>
            </w:pPr>
            <w:r>
              <w:rPr>
                <w:rFonts w:ascii="Arial" w:cs="Arial" w:eastAsia="Arial" w:hAnsi="Arial"/>
                <w:sz w:val="19"/>
                <w:szCs w:val="19"/>
                <w:color w:val="auto"/>
              </w:rPr>
              <w:t>167</w:t>
            </w:r>
          </w:p>
        </w:tc>
      </w:tr>
      <w:tr>
        <w:trPr>
          <w:trHeight w:val="278"/>
        </w:trPr>
        <w:tc>
          <w:tcPr>
            <w:tcW w:w="6160" w:type="dxa"/>
            <w:vAlign w:val="bottom"/>
          </w:tcPr>
          <w:p>
            <w:pPr>
              <w:spacing w:after="0"/>
              <w:rPr>
                <w:sz w:val="20"/>
                <w:szCs w:val="20"/>
                <w:color w:val="auto"/>
              </w:rPr>
            </w:pPr>
            <w:r>
              <w:rPr>
                <w:rFonts w:ascii="Arial" w:cs="Arial" w:eastAsia="Arial" w:hAnsi="Arial"/>
                <w:sz w:val="19"/>
                <w:szCs w:val="19"/>
                <w:color w:val="auto"/>
              </w:rPr>
              <w:t>cellaneous</w:t>
            </w:r>
          </w:p>
        </w:tc>
        <w:tc>
          <w:tcPr>
            <w:tcW w:w="860" w:type="dxa"/>
            <w:vAlign w:val="bottom"/>
          </w:tcPr>
          <w:p>
            <w:pPr>
              <w:spacing w:after="0"/>
              <w:rPr>
                <w:sz w:val="24"/>
                <w:szCs w:val="24"/>
                <w:color w:val="auto"/>
              </w:rPr>
            </w:pP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Notices.</w:t>
            </w:r>
          </w:p>
        </w:tc>
        <w:tc>
          <w:tcPr>
            <w:tcW w:w="860" w:type="dxa"/>
            <w:vAlign w:val="bottom"/>
          </w:tcPr>
          <w:p>
            <w:pPr>
              <w:jc w:val="right"/>
              <w:spacing w:after="0"/>
              <w:rPr>
                <w:sz w:val="20"/>
                <w:szCs w:val="20"/>
                <w:color w:val="auto"/>
              </w:rPr>
            </w:pPr>
            <w:r>
              <w:rPr>
                <w:rFonts w:ascii="Arial" w:cs="Arial" w:eastAsia="Arial" w:hAnsi="Arial"/>
                <w:sz w:val="19"/>
                <w:szCs w:val="19"/>
                <w:color w:val="auto"/>
              </w:rPr>
              <w:t>168</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Waivers; Amendments.</w:t>
            </w:r>
          </w:p>
        </w:tc>
        <w:tc>
          <w:tcPr>
            <w:tcW w:w="860" w:type="dxa"/>
            <w:vAlign w:val="bottom"/>
          </w:tcPr>
          <w:p>
            <w:pPr>
              <w:jc w:val="right"/>
              <w:spacing w:after="0"/>
              <w:rPr>
                <w:sz w:val="20"/>
                <w:szCs w:val="20"/>
                <w:color w:val="auto"/>
              </w:rPr>
            </w:pPr>
            <w:r>
              <w:rPr>
                <w:rFonts w:ascii="Arial" w:cs="Arial" w:eastAsia="Arial" w:hAnsi="Arial"/>
                <w:sz w:val="19"/>
                <w:szCs w:val="19"/>
                <w:color w:val="auto"/>
              </w:rPr>
              <w:t>170</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Expenses; Indemnity; Damage Waiver.</w:t>
            </w:r>
          </w:p>
        </w:tc>
        <w:tc>
          <w:tcPr>
            <w:tcW w:w="860" w:type="dxa"/>
            <w:vAlign w:val="bottom"/>
          </w:tcPr>
          <w:p>
            <w:pPr>
              <w:jc w:val="right"/>
              <w:spacing w:after="0"/>
              <w:rPr>
                <w:sz w:val="20"/>
                <w:szCs w:val="20"/>
                <w:color w:val="auto"/>
              </w:rPr>
            </w:pPr>
            <w:r>
              <w:rPr>
                <w:rFonts w:ascii="Arial" w:cs="Arial" w:eastAsia="Arial" w:hAnsi="Arial"/>
                <w:sz w:val="19"/>
                <w:szCs w:val="19"/>
                <w:color w:val="auto"/>
              </w:rPr>
              <w:t>173</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Successors and Assigns.</w:t>
            </w:r>
          </w:p>
        </w:tc>
        <w:tc>
          <w:tcPr>
            <w:tcW w:w="860" w:type="dxa"/>
            <w:vAlign w:val="bottom"/>
          </w:tcPr>
          <w:p>
            <w:pPr>
              <w:jc w:val="right"/>
              <w:spacing w:after="0"/>
              <w:rPr>
                <w:sz w:val="20"/>
                <w:szCs w:val="20"/>
                <w:color w:val="auto"/>
              </w:rPr>
            </w:pPr>
            <w:r>
              <w:rPr>
                <w:rFonts w:ascii="Arial" w:cs="Arial" w:eastAsia="Arial" w:hAnsi="Arial"/>
                <w:sz w:val="19"/>
                <w:szCs w:val="19"/>
                <w:color w:val="auto"/>
              </w:rPr>
              <w:t>175</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Survival.</w:t>
            </w:r>
          </w:p>
        </w:tc>
        <w:tc>
          <w:tcPr>
            <w:tcW w:w="860" w:type="dxa"/>
            <w:vAlign w:val="bottom"/>
          </w:tcPr>
          <w:p>
            <w:pPr>
              <w:jc w:val="right"/>
              <w:spacing w:after="0"/>
              <w:rPr>
                <w:sz w:val="20"/>
                <w:szCs w:val="20"/>
                <w:color w:val="auto"/>
              </w:rPr>
            </w:pPr>
            <w:r>
              <w:rPr>
                <w:rFonts w:ascii="Arial" w:cs="Arial" w:eastAsia="Arial" w:hAnsi="Arial"/>
                <w:sz w:val="19"/>
                <w:szCs w:val="19"/>
                <w:color w:val="auto"/>
              </w:rPr>
              <w:t>180</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Counterparts; Integration; Effectiveness.</w:t>
            </w:r>
          </w:p>
        </w:tc>
        <w:tc>
          <w:tcPr>
            <w:tcW w:w="860" w:type="dxa"/>
            <w:vAlign w:val="bottom"/>
          </w:tcPr>
          <w:p>
            <w:pPr>
              <w:jc w:val="right"/>
              <w:spacing w:after="0"/>
              <w:rPr>
                <w:sz w:val="20"/>
                <w:szCs w:val="20"/>
                <w:color w:val="auto"/>
              </w:rPr>
            </w:pPr>
            <w:r>
              <w:rPr>
                <w:rFonts w:ascii="Arial" w:cs="Arial" w:eastAsia="Arial" w:hAnsi="Arial"/>
                <w:sz w:val="19"/>
                <w:szCs w:val="19"/>
                <w:color w:val="auto"/>
              </w:rPr>
              <w:t>181</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Severability.</w:t>
            </w:r>
          </w:p>
        </w:tc>
        <w:tc>
          <w:tcPr>
            <w:tcW w:w="860" w:type="dxa"/>
            <w:vAlign w:val="bottom"/>
          </w:tcPr>
          <w:p>
            <w:pPr>
              <w:jc w:val="right"/>
              <w:spacing w:after="0"/>
              <w:rPr>
                <w:sz w:val="20"/>
                <w:szCs w:val="20"/>
                <w:color w:val="auto"/>
              </w:rPr>
            </w:pPr>
            <w:r>
              <w:rPr>
                <w:rFonts w:ascii="Arial" w:cs="Arial" w:eastAsia="Arial" w:hAnsi="Arial"/>
                <w:sz w:val="19"/>
                <w:szCs w:val="19"/>
                <w:color w:val="auto"/>
              </w:rPr>
              <w:t>181</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Right of Setoff.</w:t>
            </w:r>
          </w:p>
        </w:tc>
        <w:tc>
          <w:tcPr>
            <w:tcW w:w="860" w:type="dxa"/>
            <w:vAlign w:val="bottom"/>
          </w:tcPr>
          <w:p>
            <w:pPr>
              <w:jc w:val="right"/>
              <w:spacing w:after="0"/>
              <w:rPr>
                <w:sz w:val="20"/>
                <w:szCs w:val="20"/>
                <w:color w:val="auto"/>
              </w:rPr>
            </w:pPr>
            <w:r>
              <w:rPr>
                <w:rFonts w:ascii="Arial" w:cs="Arial" w:eastAsia="Arial" w:hAnsi="Arial"/>
                <w:sz w:val="19"/>
                <w:szCs w:val="19"/>
                <w:color w:val="auto"/>
              </w:rPr>
              <w:t>181</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Governing Law; Jurisdiction; Consent to Service of Process.</w:t>
            </w:r>
          </w:p>
        </w:tc>
        <w:tc>
          <w:tcPr>
            <w:tcW w:w="860" w:type="dxa"/>
            <w:vAlign w:val="bottom"/>
          </w:tcPr>
          <w:p>
            <w:pPr>
              <w:jc w:val="right"/>
              <w:spacing w:after="0"/>
              <w:rPr>
                <w:sz w:val="20"/>
                <w:szCs w:val="20"/>
                <w:color w:val="auto"/>
              </w:rPr>
            </w:pPr>
            <w:r>
              <w:rPr>
                <w:rFonts w:ascii="Arial" w:cs="Arial" w:eastAsia="Arial" w:hAnsi="Arial"/>
                <w:sz w:val="19"/>
                <w:szCs w:val="19"/>
                <w:color w:val="auto"/>
              </w:rPr>
              <w:t>182</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WAIVER OF JURY TRIAL.</w:t>
            </w:r>
          </w:p>
        </w:tc>
        <w:tc>
          <w:tcPr>
            <w:tcW w:w="860" w:type="dxa"/>
            <w:vAlign w:val="bottom"/>
          </w:tcPr>
          <w:p>
            <w:pPr>
              <w:jc w:val="right"/>
              <w:spacing w:after="0"/>
              <w:rPr>
                <w:sz w:val="20"/>
                <w:szCs w:val="20"/>
                <w:color w:val="auto"/>
              </w:rPr>
            </w:pPr>
            <w:r>
              <w:rPr>
                <w:rFonts w:ascii="Arial" w:cs="Arial" w:eastAsia="Arial" w:hAnsi="Arial"/>
                <w:sz w:val="19"/>
                <w:szCs w:val="19"/>
                <w:color w:val="auto"/>
              </w:rPr>
              <w:t>182</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Headings.</w:t>
            </w:r>
          </w:p>
        </w:tc>
        <w:tc>
          <w:tcPr>
            <w:tcW w:w="860" w:type="dxa"/>
            <w:vAlign w:val="bottom"/>
          </w:tcPr>
          <w:p>
            <w:pPr>
              <w:jc w:val="right"/>
              <w:spacing w:after="0"/>
              <w:rPr>
                <w:sz w:val="20"/>
                <w:szCs w:val="20"/>
                <w:color w:val="auto"/>
              </w:rPr>
            </w:pPr>
            <w:r>
              <w:rPr>
                <w:rFonts w:ascii="Arial" w:cs="Arial" w:eastAsia="Arial" w:hAnsi="Arial"/>
                <w:sz w:val="19"/>
                <w:szCs w:val="19"/>
                <w:color w:val="auto"/>
              </w:rPr>
              <w:t>183</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Confidentiality.</w:t>
            </w:r>
          </w:p>
        </w:tc>
        <w:tc>
          <w:tcPr>
            <w:tcW w:w="860" w:type="dxa"/>
            <w:vAlign w:val="bottom"/>
          </w:tcPr>
          <w:p>
            <w:pPr>
              <w:jc w:val="right"/>
              <w:spacing w:after="0"/>
              <w:rPr>
                <w:sz w:val="20"/>
                <w:szCs w:val="20"/>
                <w:color w:val="auto"/>
              </w:rPr>
            </w:pPr>
            <w:r>
              <w:rPr>
                <w:rFonts w:ascii="Arial" w:cs="Arial" w:eastAsia="Arial" w:hAnsi="Arial"/>
                <w:sz w:val="19"/>
                <w:szCs w:val="19"/>
                <w:color w:val="auto"/>
              </w:rPr>
              <w:t>183</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USA PATRIOT Act.</w:t>
            </w:r>
          </w:p>
        </w:tc>
        <w:tc>
          <w:tcPr>
            <w:tcW w:w="860" w:type="dxa"/>
            <w:vAlign w:val="bottom"/>
          </w:tcPr>
          <w:p>
            <w:pPr>
              <w:jc w:val="right"/>
              <w:spacing w:after="0"/>
              <w:rPr>
                <w:sz w:val="20"/>
                <w:szCs w:val="20"/>
                <w:color w:val="auto"/>
              </w:rPr>
            </w:pPr>
            <w:r>
              <w:rPr>
                <w:rFonts w:ascii="Arial" w:cs="Arial" w:eastAsia="Arial" w:hAnsi="Arial"/>
                <w:sz w:val="19"/>
                <w:szCs w:val="19"/>
                <w:color w:val="auto"/>
              </w:rPr>
              <w:t>184</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Release of Liens and Guarantees.</w:t>
            </w:r>
          </w:p>
        </w:tc>
        <w:tc>
          <w:tcPr>
            <w:tcW w:w="860" w:type="dxa"/>
            <w:vAlign w:val="bottom"/>
          </w:tcPr>
          <w:p>
            <w:pPr>
              <w:jc w:val="right"/>
              <w:spacing w:after="0"/>
              <w:rPr>
                <w:sz w:val="20"/>
                <w:szCs w:val="20"/>
                <w:color w:val="auto"/>
              </w:rPr>
            </w:pPr>
            <w:r>
              <w:rPr>
                <w:rFonts w:ascii="Arial" w:cs="Arial" w:eastAsia="Arial" w:hAnsi="Arial"/>
                <w:sz w:val="19"/>
                <w:szCs w:val="19"/>
                <w:color w:val="auto"/>
              </w:rPr>
              <w:t>185</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No Advisory or Fiduciary Responsibility.</w:t>
            </w:r>
          </w:p>
        </w:tc>
        <w:tc>
          <w:tcPr>
            <w:tcW w:w="860" w:type="dxa"/>
            <w:vAlign w:val="bottom"/>
          </w:tcPr>
          <w:p>
            <w:pPr>
              <w:jc w:val="right"/>
              <w:spacing w:after="0"/>
              <w:rPr>
                <w:sz w:val="20"/>
                <w:szCs w:val="20"/>
                <w:color w:val="auto"/>
              </w:rPr>
            </w:pPr>
            <w:r>
              <w:rPr>
                <w:rFonts w:ascii="Arial" w:cs="Arial" w:eastAsia="Arial" w:hAnsi="Arial"/>
                <w:sz w:val="19"/>
                <w:szCs w:val="19"/>
                <w:color w:val="auto"/>
              </w:rPr>
              <w:t>186</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Interest Rate Limitation.</w:t>
            </w:r>
          </w:p>
        </w:tc>
        <w:tc>
          <w:tcPr>
            <w:tcW w:w="860" w:type="dxa"/>
            <w:vAlign w:val="bottom"/>
          </w:tcPr>
          <w:p>
            <w:pPr>
              <w:jc w:val="right"/>
              <w:spacing w:after="0"/>
              <w:rPr>
                <w:sz w:val="20"/>
                <w:szCs w:val="20"/>
                <w:color w:val="auto"/>
              </w:rPr>
            </w:pPr>
            <w:r>
              <w:rPr>
                <w:rFonts w:ascii="Arial" w:cs="Arial" w:eastAsia="Arial" w:hAnsi="Arial"/>
                <w:sz w:val="19"/>
                <w:szCs w:val="19"/>
                <w:color w:val="auto"/>
              </w:rPr>
              <w:t>186</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Intercreditor Agreement</w:t>
            </w:r>
          </w:p>
        </w:tc>
        <w:tc>
          <w:tcPr>
            <w:tcW w:w="860" w:type="dxa"/>
            <w:vAlign w:val="bottom"/>
          </w:tcPr>
          <w:p>
            <w:pPr>
              <w:jc w:val="right"/>
              <w:spacing w:after="0"/>
              <w:rPr>
                <w:sz w:val="20"/>
                <w:szCs w:val="20"/>
                <w:color w:val="auto"/>
              </w:rPr>
            </w:pPr>
            <w:r>
              <w:rPr>
                <w:rFonts w:ascii="Arial" w:cs="Arial" w:eastAsia="Arial" w:hAnsi="Arial"/>
                <w:sz w:val="19"/>
                <w:szCs w:val="19"/>
                <w:color w:val="auto"/>
              </w:rPr>
              <w:t>186</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Judgment Currency</w:t>
            </w:r>
          </w:p>
        </w:tc>
        <w:tc>
          <w:tcPr>
            <w:tcW w:w="860" w:type="dxa"/>
            <w:vAlign w:val="bottom"/>
          </w:tcPr>
          <w:p>
            <w:pPr>
              <w:jc w:val="right"/>
              <w:spacing w:after="0"/>
              <w:rPr>
                <w:sz w:val="20"/>
                <w:szCs w:val="20"/>
                <w:color w:val="auto"/>
              </w:rPr>
            </w:pPr>
            <w:r>
              <w:rPr>
                <w:rFonts w:ascii="Arial" w:cs="Arial" w:eastAsia="Arial" w:hAnsi="Arial"/>
                <w:sz w:val="19"/>
                <w:szCs w:val="19"/>
                <w:color w:val="auto"/>
              </w:rPr>
              <w:t>187</w:t>
            </w:r>
          </w:p>
        </w:tc>
      </w:tr>
      <w:tr>
        <w:trPr>
          <w:trHeight w:val="278"/>
        </w:trPr>
        <w:tc>
          <w:tcPr>
            <w:tcW w:w="7020" w:type="dxa"/>
            <w:vAlign w:val="bottom"/>
            <w:gridSpan w:val="2"/>
          </w:tcPr>
          <w:p>
            <w:pPr>
              <w:ind w:left="880"/>
              <w:spacing w:after="0"/>
              <w:rPr>
                <w:sz w:val="20"/>
                <w:szCs w:val="20"/>
                <w:color w:val="auto"/>
              </w:rPr>
            </w:pPr>
            <w:r>
              <w:rPr>
                <w:rFonts w:ascii="Arial" w:cs="Arial" w:eastAsia="Arial" w:hAnsi="Arial"/>
                <w:sz w:val="19"/>
                <w:szCs w:val="19"/>
                <w:color w:val="auto"/>
                <w:w w:val="93"/>
              </w:rPr>
              <w:t>Acknowledgement and Consent to Bail-In of Affected Financial Institutions187</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Acknowledgement Regarding Any Supported QFCs</w:t>
            </w:r>
          </w:p>
        </w:tc>
        <w:tc>
          <w:tcPr>
            <w:tcW w:w="860" w:type="dxa"/>
            <w:vAlign w:val="bottom"/>
          </w:tcPr>
          <w:p>
            <w:pPr>
              <w:jc w:val="right"/>
              <w:spacing w:after="0"/>
              <w:rPr>
                <w:sz w:val="20"/>
                <w:szCs w:val="20"/>
                <w:color w:val="auto"/>
              </w:rPr>
            </w:pPr>
            <w:r>
              <w:rPr>
                <w:rFonts w:ascii="Arial" w:cs="Arial" w:eastAsia="Arial" w:hAnsi="Arial"/>
                <w:sz w:val="19"/>
                <w:szCs w:val="19"/>
                <w:color w:val="auto"/>
              </w:rPr>
              <w:t>187</w:t>
            </w:r>
          </w:p>
        </w:tc>
      </w:tr>
      <w:tr>
        <w:trPr>
          <w:trHeight w:val="278"/>
        </w:trPr>
        <w:tc>
          <w:tcPr>
            <w:tcW w:w="6160" w:type="dxa"/>
            <w:vAlign w:val="bottom"/>
          </w:tcPr>
          <w:p>
            <w:pPr>
              <w:ind w:left="880"/>
              <w:spacing w:after="0"/>
              <w:rPr>
                <w:sz w:val="20"/>
                <w:szCs w:val="20"/>
                <w:color w:val="auto"/>
              </w:rPr>
            </w:pPr>
            <w:r>
              <w:rPr>
                <w:rFonts w:ascii="Arial" w:cs="Arial" w:eastAsia="Arial" w:hAnsi="Arial"/>
                <w:sz w:val="19"/>
                <w:szCs w:val="19"/>
                <w:color w:val="auto"/>
              </w:rPr>
              <w:t>Certain ERISA Matters</w:t>
            </w:r>
          </w:p>
        </w:tc>
        <w:tc>
          <w:tcPr>
            <w:tcW w:w="860" w:type="dxa"/>
            <w:vAlign w:val="bottom"/>
          </w:tcPr>
          <w:p>
            <w:pPr>
              <w:jc w:val="right"/>
              <w:spacing w:after="0"/>
              <w:rPr>
                <w:sz w:val="20"/>
                <w:szCs w:val="20"/>
                <w:color w:val="auto"/>
              </w:rPr>
            </w:pPr>
            <w:r>
              <w:rPr>
                <w:rFonts w:ascii="Arial" w:cs="Arial" w:eastAsia="Arial" w:hAnsi="Arial"/>
                <w:sz w:val="19"/>
                <w:szCs w:val="19"/>
                <w:color w:val="auto"/>
              </w:rPr>
              <w:t>188</w:t>
            </w:r>
          </w:p>
        </w:tc>
      </w:tr>
    </w:tbl>
    <w:p>
      <w:pPr>
        <w:sectPr>
          <w:pgSz w:w="11900" w:h="16838" w:orient="portrait"/>
          <w:cols w:equalWidth="0" w:num="1">
            <w:col w:w="10239"/>
          </w:cols>
          <w:pgMar w:left="220" w:top="1440" w:right="1440" w:bottom="1440" w:gutter="0" w:footer="0" w:header="0"/>
        </w:sectPr>
      </w:pPr>
    </w:p>
    <w:bookmarkStart w:id="70" w:name="page71"/>
    <w:bookmarkEnd w:id="70"/>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80" w:type="dxa"/>
            <w:vAlign w:val="bottom"/>
          </w:tcPr>
          <w:p>
            <w:pPr>
              <w:spacing w:after="0"/>
              <w:rPr>
                <w:sz w:val="20"/>
                <w:szCs w:val="20"/>
                <w:color w:val="auto"/>
              </w:rPr>
            </w:pPr>
            <w:r>
              <w:rPr>
                <w:rFonts w:ascii="Arial" w:cs="Arial" w:eastAsia="Arial" w:hAnsi="Arial"/>
                <w:sz w:val="19"/>
                <w:szCs w:val="19"/>
                <w:color w:val="auto"/>
              </w:rPr>
              <w:t>SCHEDULES:</w:t>
            </w:r>
          </w:p>
        </w:tc>
        <w:tc>
          <w:tcPr>
            <w:tcW w:w="920" w:type="dxa"/>
            <w:vAlign w:val="bottom"/>
          </w:tcPr>
          <w:p>
            <w:pPr>
              <w:spacing w:after="0"/>
              <w:rPr>
                <w:sz w:val="21"/>
                <w:szCs w:val="21"/>
                <w:color w:val="auto"/>
              </w:rPr>
            </w:pPr>
          </w:p>
        </w:tc>
        <w:tc>
          <w:tcPr>
            <w:tcW w:w="4500" w:type="dxa"/>
            <w:vAlign w:val="bottom"/>
          </w:tcPr>
          <w:p>
            <w:pPr>
              <w:spacing w:after="0"/>
              <w:rPr>
                <w:sz w:val="21"/>
                <w:szCs w:val="21"/>
                <w:color w:val="auto"/>
              </w:rPr>
            </w:pP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2.01</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Commitments and Loans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3.03</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Government Approvals; No Conflicts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3.06</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Litigation and Environmental Matters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3.12</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Subsidiaries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5.14</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Certain Post-Closing Obligations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6.01</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Existing Indebtedness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6.02</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Existing Liens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6.04(e)</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Existing Investments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6.08</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Existing Affiliate Transactions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6.09</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Existing Restrictions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Schedule 9.01</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Notices</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EXHIBITS:</w:t>
            </w:r>
          </w:p>
        </w:tc>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A</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Assignment and Assumption</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B</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Guarantee Agreement</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C</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Perfection Certificate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D</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Collateral Agreement</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E</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Compliance Certificate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F</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[Reserved]</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G</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Solvency Certificate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H</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Closing Certificate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I</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Master Intercompany Note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J</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Specified Discount Prepayment Notice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K</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w w:val="94"/>
              </w:rPr>
              <w:t>Form of Specified Discount Prepayment Response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L</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Discount Range Prepayment Notice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M</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Discount Range Prepayment Offer</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N</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w w:val="98"/>
              </w:rPr>
              <w:t>Form of Solicited Discounted Prepayment Notice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O</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Solicited Discounted Prepayment Offer</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P</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Acceptance and Prepayment Notice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Q-1</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w w:val="93"/>
              </w:rPr>
              <w:t>Form of United States Tax Compliance Certificate 1</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Q-2</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w w:val="93"/>
              </w:rPr>
              <w:t>Form of United States Tax Compliance Certificate 2</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Q-3</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w w:val="93"/>
              </w:rPr>
              <w:t>Form of United States Tax Compliance Certificate 3</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Q-4</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w w:val="93"/>
              </w:rPr>
              <w:t>Form of United States Tax Compliance Certificate 4</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R</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Note</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S</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Notice of Borrowing</w:t>
            </w:r>
          </w:p>
        </w:tc>
      </w:tr>
      <w:tr>
        <w:trPr>
          <w:trHeight w:val="278"/>
        </w:trPr>
        <w:tc>
          <w:tcPr>
            <w:tcW w:w="1580" w:type="dxa"/>
            <w:vAlign w:val="bottom"/>
          </w:tcPr>
          <w:p>
            <w:pPr>
              <w:spacing w:after="0"/>
              <w:rPr>
                <w:sz w:val="20"/>
                <w:szCs w:val="20"/>
                <w:color w:val="auto"/>
              </w:rPr>
            </w:pPr>
            <w:r>
              <w:rPr>
                <w:rFonts w:ascii="Arial" w:cs="Arial" w:eastAsia="Arial" w:hAnsi="Arial"/>
                <w:sz w:val="19"/>
                <w:szCs w:val="19"/>
                <w:color w:val="auto"/>
              </w:rPr>
              <w:t>Exhibit T</w:t>
            </w:r>
          </w:p>
        </w:tc>
        <w:tc>
          <w:tcPr>
            <w:tcW w:w="920" w:type="dxa"/>
            <w:vAlign w:val="bottom"/>
          </w:tcPr>
          <w:p>
            <w:pPr>
              <w:ind w:left="280"/>
              <w:spacing w:after="0"/>
              <w:rPr>
                <w:sz w:val="20"/>
                <w:szCs w:val="20"/>
                <w:color w:val="auto"/>
              </w:rPr>
            </w:pPr>
            <w:r>
              <w:rPr>
                <w:rFonts w:ascii="Arial" w:cs="Arial" w:eastAsia="Arial" w:hAnsi="Arial"/>
                <w:sz w:val="19"/>
                <w:szCs w:val="19"/>
                <w:color w:val="auto"/>
              </w:rPr>
              <w:t>—</w:t>
            </w:r>
          </w:p>
        </w:tc>
        <w:tc>
          <w:tcPr>
            <w:tcW w:w="4500" w:type="dxa"/>
            <w:vAlign w:val="bottom"/>
          </w:tcPr>
          <w:p>
            <w:pPr>
              <w:ind w:left="440"/>
              <w:spacing w:after="0"/>
              <w:rPr>
                <w:sz w:val="20"/>
                <w:szCs w:val="20"/>
                <w:color w:val="auto"/>
              </w:rPr>
            </w:pPr>
            <w:r>
              <w:rPr>
                <w:rFonts w:ascii="Arial" w:cs="Arial" w:eastAsia="Arial" w:hAnsi="Arial"/>
                <w:sz w:val="19"/>
                <w:szCs w:val="19"/>
                <w:color w:val="auto"/>
              </w:rPr>
              <w:t>Form of Letter of Credit Request</w:t>
            </w:r>
          </w:p>
        </w:tc>
      </w:tr>
    </w:tbl>
    <w:p>
      <w:pPr>
        <w:sectPr>
          <w:pgSz w:w="11900" w:h="16838" w:orient="portrait"/>
          <w:cols w:equalWidth="0" w:num="1">
            <w:col w:w="10119"/>
          </w:cols>
          <w:pgMar w:left="340" w:top="1440" w:right="1440" w:bottom="1440" w:gutter="0" w:footer="0" w:header="0"/>
        </w:sectPr>
      </w:pPr>
    </w:p>
    <w:bookmarkStart w:id="71" w:name="page72"/>
    <w:bookmarkEnd w:id="71"/>
    <w:p>
      <w:pPr>
        <w:spacing w:after="0" w:line="194"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CREDIT AGREEMENT, dated as of July 7, 2021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TENABLE,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TENABLE HOLDINGS, INC.,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the Lenders and Issuing Banks from time to time party hereto and JPMORGAN CHASE BANK, N.A. (“</w:t>
      </w:r>
      <w:r>
        <w:rPr>
          <w:rFonts w:ascii="Arial" w:cs="Arial" w:eastAsia="Arial" w:hAnsi="Arial"/>
          <w:sz w:val="19"/>
          <w:szCs w:val="19"/>
          <w:u w:val="single" w:color="auto"/>
          <w:color w:val="auto"/>
        </w:rPr>
        <w:t>JPMorgan</w:t>
      </w:r>
      <w:r>
        <w:rPr>
          <w:rFonts w:ascii="Arial" w:cs="Arial" w:eastAsia="Arial" w:hAnsi="Arial"/>
          <w:sz w:val="19"/>
          <w:szCs w:val="19"/>
          <w:color w:val="auto"/>
        </w:rPr>
        <w:t>”), as Administrative Agent and as Collateral Agent.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The parties hereto agree as follows: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1.01</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As used in this Agreement, the following terms have the meanings specified below:</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Alternate Base Rate.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Acceptable Discount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2.11(a)(ii)(D)(2)</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Acceptable Prepayment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2.11(a)(ii)(D)(3)</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Acceptance and Prepayment Notice</w:t>
      </w:r>
      <w:r>
        <w:rPr>
          <w:rFonts w:ascii="Arial" w:cs="Arial" w:eastAsia="Arial" w:hAnsi="Arial"/>
          <w:sz w:val="19"/>
          <w:szCs w:val="19"/>
          <w:color w:val="auto"/>
        </w:rPr>
        <w:t xml:space="preserve">” means an irrevocable written notice from a Term Lender accepting a Solicited Discounted Prepayment Offer to make a Discounted Term Loan Prepayment at the Acceptable Discount specified therein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2.11(a)(ii)(D)(2)</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P</w:t>
      </w:r>
      <w:r>
        <w:rPr>
          <w:rFonts w:ascii="Arial" w:cs="Arial" w:eastAsia="Arial" w:hAnsi="Arial"/>
          <w:sz w:val="19"/>
          <w:szCs w:val="19"/>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Acceptance Date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2.11(a)(ii)(D)(2)</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Accepting Lenders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2.24(a)</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EBITDA</w:t>
      </w:r>
      <w:r>
        <w:rPr>
          <w:rFonts w:ascii="Arial" w:cs="Arial" w:eastAsia="Arial" w:hAnsi="Arial"/>
          <w:sz w:val="19"/>
          <w:szCs w:val="19"/>
          <w:color w:val="auto"/>
        </w:rPr>
        <w:t>” means, with respect to any Pro Forma Entity, for any period, the amount of Consolidated EBITDA of such Pro Forma Entity (determined as if references to Holdings, any Intermediate Parent, the Borrower and its Restricted Subsidiaries in the definition of “Consolidated EBITDA” were references to such Pro Forma Entity and its subsidiaries that will become Restricted Subsidiaries), all as determined on a consolidated basis for such Pro Forma Entity.</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Entity or Business</w:t>
      </w:r>
      <w:r>
        <w:rPr>
          <w:rFonts w:ascii="Arial" w:cs="Arial" w:eastAsia="Arial" w:hAnsi="Arial"/>
          <w:sz w:val="19"/>
          <w:szCs w:val="19"/>
          <w:color w:val="auto"/>
        </w:rPr>
        <w:t>” has the meaning given such term in the definition of “Consolidated EBITDA.”</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Lender</w:t>
      </w:r>
      <w:r>
        <w:rPr>
          <w:rFonts w:ascii="Arial" w:cs="Arial" w:eastAsia="Arial" w:hAnsi="Arial"/>
          <w:sz w:val="19"/>
          <w:szCs w:val="19"/>
          <w:color w:val="auto"/>
        </w:rPr>
        <w:t>” means any Additional Revolving Lender or any Additional Term Lender, as applicable.</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Revolving Commitment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2.20(a)</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sectPr>
      </w:pPr>
    </w:p>
    <w:bookmarkStart w:id="72" w:name="page73"/>
    <w:bookmarkEnd w:id="72"/>
    <w:p>
      <w:pPr>
        <w:jc w:val="both"/>
        <w:ind w:firstLine="1272"/>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Revolving Lender</w:t>
      </w:r>
      <w:r>
        <w:rPr>
          <w:rFonts w:ascii="Arial" w:cs="Arial" w:eastAsia="Arial" w:hAnsi="Arial"/>
          <w:sz w:val="19"/>
          <w:szCs w:val="19"/>
          <w:color w:val="auto"/>
        </w:rPr>
        <w:t xml:space="preserve">” means any bank, financial institution or other institutional lender or investor that agrees to provide any portion of any (a) Incremental Revolving Commitment Increase or Additional Revolving Commitment pursuant to an Incremental Facility Amendment in accordance with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or (b) Credit Agreement Refinancing Indebtedness with respect to any existing Revolving Loans or Revolving Commitments pursuant to a Refinancing Amendment in accordance with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Additional Revolving Lender shall be subject to the approval of the Administrative Agent (and, if such Additional Revolving Lender will provide an Incremental Revolving Commitment Increase or Additional Revolving Commitment, each Issuing Bank), in each case only if such consent would be required under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183" w:lineRule="exact"/>
        <w:rPr>
          <w:sz w:val="20"/>
          <w:szCs w:val="20"/>
          <w:color w:val="auto"/>
        </w:rPr>
      </w:pPr>
    </w:p>
    <w:p>
      <w:pPr>
        <w:jc w:val="both"/>
        <w:ind w:firstLine="127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Term Lender</w:t>
      </w:r>
      <w:r>
        <w:rPr>
          <w:rFonts w:ascii="Arial" w:cs="Arial" w:eastAsia="Arial" w:hAnsi="Arial"/>
          <w:sz w:val="17"/>
          <w:szCs w:val="17"/>
          <w:color w:val="auto"/>
        </w:rPr>
        <w:t xml:space="preserve">” means, at any time, any bank, financial institution or other institutional lender or investor that agrees to provide any portion of any (a) Incremental Term Loans pursuant to an Incremental Facility Amendment in accordance with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or</w:t>
      </w:r>
    </w:p>
    <w:p>
      <w:pPr>
        <w:spacing w:after="0" w:line="1" w:lineRule="exact"/>
        <w:rPr>
          <w:sz w:val="20"/>
          <w:szCs w:val="20"/>
          <w:color w:val="auto"/>
        </w:rPr>
      </w:pPr>
    </w:p>
    <w:p>
      <w:pPr>
        <w:jc w:val="both"/>
        <w:ind w:firstLine="6"/>
        <w:spacing w:after="0" w:line="250" w:lineRule="auto"/>
        <w:tabs>
          <w:tab w:leader="none" w:pos="292"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Credit Agreement Refinancing Indebtedness with respect to any existing Term Loans or Term Commitments, as applicable, pursuant to a Refinancing Amendment in accordance with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Additional Term Lender shall be subject to the approval of the Administrative Agent if such consent would be required under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for an assignment of Term Loans or Term Commitments, as applicable, to such bank, financial institution or other institutional lender or investor (such approval not to be unreasonably withheld, conditioned or delayed) and the Borrower.</w:t>
      </w:r>
    </w:p>
    <w:p>
      <w:pPr>
        <w:spacing w:after="0" w:line="184"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LIBO Rate</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with respect to any Eurodollar Borrowing, for any Interest Period, a rate per annum equal to the product of (i) the LIBO Rate as in effect at such time for such Interest Period and (ii) the Statutory Reserve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Adjusted LIBO Rate for any Interest Period shall not: (A) with respect to the Term Loans, be less than 0.50% per annum and (B) with respect to the Revolving Loans, be less than 0.00% per annum.</w:t>
      </w:r>
    </w:p>
    <w:p>
      <w:pPr>
        <w:spacing w:after="0" w:line="177"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means JPMorgan, in its capacity as administrative agent hereunder and under the other Loan Documents, and its successors in such capacity as provided in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Class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2.24(a)</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specified Person, another Person that directly or indirectly Controls or is Controlled by or is under common Control with the Person specified.</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After Year End Payment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2.11(d)</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w:t>
      </w:r>
      <w:r>
        <w:rPr>
          <w:rFonts w:ascii="Arial" w:cs="Arial" w:eastAsia="Arial" w:hAnsi="Arial"/>
          <w:sz w:val="19"/>
          <w:szCs w:val="19"/>
          <w:color w:val="auto"/>
        </w:rPr>
        <w:t>” means the Administrative Agent, the Collateral Agent, the Lead Arrangers, the Bookrunners and any successors and assigns in such capacity, and “</w:t>
      </w:r>
      <w:r>
        <w:rPr>
          <w:rFonts w:ascii="Arial" w:cs="Arial" w:eastAsia="Arial" w:hAnsi="Arial"/>
          <w:sz w:val="19"/>
          <w:szCs w:val="19"/>
          <w:u w:val="single" w:color="auto"/>
          <w:color w:val="auto"/>
        </w:rPr>
        <w:t>Agents</w:t>
      </w:r>
      <w:r>
        <w:rPr>
          <w:rFonts w:ascii="Arial" w:cs="Arial" w:eastAsia="Arial" w:hAnsi="Arial"/>
          <w:sz w:val="19"/>
          <w:szCs w:val="19"/>
          <w:color w:val="auto"/>
        </w:rPr>
        <w:t>” means two or more of them.</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has the meaning given to such term in </w:t>
      </w:r>
      <w:r>
        <w:rPr>
          <w:rFonts w:ascii="Arial" w:cs="Arial" w:eastAsia="Arial" w:hAnsi="Arial"/>
          <w:sz w:val="19"/>
          <w:szCs w:val="19"/>
          <w:u w:val="single" w:color="auto"/>
          <w:color w:val="auto"/>
        </w:rPr>
        <w:t>Section 9.01(c)</w:t>
      </w:r>
      <w:r>
        <w:rPr>
          <w:rFonts w:ascii="Arial" w:cs="Arial" w:eastAsia="Arial" w:hAnsi="Arial"/>
          <w:sz w:val="19"/>
          <w:szCs w:val="19"/>
          <w:color w:val="auto"/>
        </w:rPr>
        <w:t>.</w:t>
      </w:r>
    </w:p>
    <w:p>
      <w:pPr>
        <w:sectPr>
          <w:pgSz w:w="11900" w:h="16838" w:orient="portrait"/>
          <w:cols w:equalWidth="0" w:num="1">
            <w:col w:w="11240"/>
          </w:cols>
          <w:pgMar w:left="320" w:top="1395" w:right="339" w:bottom="1440" w:gutter="0" w:footer="0" w:header="0"/>
        </w:sectPr>
      </w:pPr>
    </w:p>
    <w:bookmarkStart w:id="73" w:name="page74"/>
    <w:bookmarkEnd w:id="73"/>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has the meaning given to such term in the preliminary statements hereto.</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 Currency</w:t>
      </w:r>
      <w:r>
        <w:rPr>
          <w:rFonts w:ascii="Arial" w:cs="Arial" w:eastAsia="Arial" w:hAnsi="Arial"/>
          <w:sz w:val="19"/>
          <w:szCs w:val="19"/>
          <w:color w:val="auto"/>
        </w:rPr>
        <w:t xml:space="preserve">” has the meaning given to such term in </w:t>
      </w:r>
      <w:r>
        <w:rPr>
          <w:rFonts w:ascii="Arial" w:cs="Arial" w:eastAsia="Arial" w:hAnsi="Arial"/>
          <w:sz w:val="19"/>
          <w:szCs w:val="19"/>
          <w:u w:val="single" w:color="auto"/>
          <w:color w:val="auto"/>
        </w:rPr>
        <w:t>Section 9.18</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greatest of (a) the Prime Rate in effect on such day, (b) the NYFRB Rate in effect on such day plus ½ of 1.00% and (c) the Adjusted LIBO Rate for a one month Interest Period on such day (or if such day is not a Business Day, the immediately preceding Business Day) plus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Adjusted LIBO Rate for any Interest Period shall not be less than (x) with respect to Term Loans, 0.50% per annum, and (y) with respect to Revolving Loans, 0.00% per annum.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hereof (for the avoidance of doubt, only until the Benchmark Replacement has been determined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then the Alternate Base Rate shall be the greater of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shall be determined without reference to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w:t>
      </w:r>
    </w:p>
    <w:p>
      <w:pPr>
        <w:spacing w:after="0" w:line="17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the U.S. Foreign Corrupt Practices Act of 1977, as amended, the U.K. Bribery Act 2010, and all other applicable laws, rules, and regulations concerning or relating to bribery, corruption or anti-money laundering.</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Account</w:t>
      </w:r>
      <w:r>
        <w:rPr>
          <w:rFonts w:ascii="Arial" w:cs="Arial" w:eastAsia="Arial" w:hAnsi="Arial"/>
          <w:sz w:val="19"/>
          <w:szCs w:val="19"/>
          <w:color w:val="auto"/>
        </w:rPr>
        <w:t>” means, with respect to any payment to be made to the Administrative Agent hereunder, the account specified by the Administrative Agent from time to time for the purpose of receiving payments of such type.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Discount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2.11(a)(ii)(C)(2)</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Fronting Exposure</w:t>
      </w:r>
      <w:r>
        <w:rPr>
          <w:rFonts w:ascii="Arial" w:cs="Arial" w:eastAsia="Arial" w:hAnsi="Arial"/>
          <w:sz w:val="19"/>
          <w:szCs w:val="19"/>
          <w:color w:val="auto"/>
        </w:rPr>
        <w:t>” means, with respect to any Person that is an Issuing Bank at any time, the sum of (a) the aggregate amount of all Letters of Credit issued by such Person in its capacity as an Issuing Bank (if applicable) that remains available for drawing at such time and (b) the aggregate amount of all LC Disbursements made by such Person in its capacity as an Issuing Bank (if applicable) that have not yet been reimbursed by or on behalf of the Borrower at such time.</w:t>
      </w:r>
    </w:p>
    <w:p>
      <w:pPr>
        <w:spacing w:after="0" w:line="177" w:lineRule="exact"/>
        <w:rPr>
          <w:sz w:val="20"/>
          <w:szCs w:val="20"/>
          <w:color w:val="auto"/>
        </w:rPr>
      </w:pPr>
    </w:p>
    <w:p>
      <w:pPr>
        <w:jc w:val="both"/>
        <w:ind w:firstLine="127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spacing w:after="0" w:line="171"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with respect to (i) any Term Loan, 1.75% with respect to ABR Loans and 2.75% with respect to Eurodollar Loans, as the case may be, and (ii) any Revolving Loans, the</w:t>
      </w:r>
    </w:p>
    <w:p>
      <w:pPr>
        <w:sectPr>
          <w:pgSz w:w="11900" w:h="16838" w:orient="portrait"/>
          <w:cols w:equalWidth="0" w:num="1">
            <w:col w:w="11240"/>
          </w:cols>
          <w:pgMar w:left="320" w:top="1395" w:right="339" w:bottom="1440" w:gutter="0" w:footer="0" w:header="0"/>
        </w:sectPr>
      </w:pPr>
    </w:p>
    <w:bookmarkStart w:id="74" w:name="page75"/>
    <w:bookmarkEnd w:id="74"/>
    <w:p>
      <w:pPr>
        <w:jc w:val="both"/>
        <w:spacing w:after="0" w:line="255" w:lineRule="auto"/>
        <w:rPr>
          <w:sz w:val="20"/>
          <w:szCs w:val="20"/>
          <w:color w:val="auto"/>
        </w:rPr>
      </w:pPr>
      <w:r>
        <w:rPr>
          <w:rFonts w:ascii="Arial" w:cs="Arial" w:eastAsia="Arial" w:hAnsi="Arial"/>
          <w:sz w:val="19"/>
          <w:szCs w:val="19"/>
          <w:color w:val="auto"/>
        </w:rPr>
        <w:t xml:space="preserve">applicable rate per annum based upon the First Lien Net Leverage Ratio as of last day of the most recently ended Test Period for which financial statements, and the related Compliance Certificate, have been delivered pursuant to Section 5.01(a) or (b) and Section 5.01(e);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the financial statements, and the related Compliance Certificate, for the fiscal quarter of the Borrower ending after the Effective Date are delivered pursuant to Section 5.01(b) and Section 5.01(e), the “Applicable Rate” for each Revolving Loan shall be the applicable rate per annum set forth below in Category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60" w:type="dxa"/>
            <w:vAlign w:val="bottom"/>
            <w:tcBorders>
              <w:top w:val="single" w:sz="8" w:color="auto"/>
              <w:left w:val="single" w:sz="8" w:color="auto"/>
            </w:tcBorders>
            <w:shd w:val="clear" w:color="auto" w:fill="D9D9D9"/>
          </w:tcPr>
          <w:p>
            <w:pPr>
              <w:spacing w:after="0"/>
              <w:rPr>
                <w:sz w:val="21"/>
                <w:szCs w:val="21"/>
                <w:color w:val="auto"/>
              </w:rPr>
            </w:pPr>
          </w:p>
        </w:tc>
        <w:tc>
          <w:tcPr>
            <w:tcW w:w="40" w:type="dxa"/>
            <w:vAlign w:val="bottom"/>
            <w:tcBorders>
              <w:top w:val="single" w:sz="8" w:color="auto"/>
            </w:tcBorders>
            <w:shd w:val="clear" w:color="auto" w:fill="D9D9D9"/>
          </w:tcPr>
          <w:p>
            <w:pPr>
              <w:spacing w:after="0"/>
              <w:rPr>
                <w:sz w:val="21"/>
                <w:szCs w:val="21"/>
                <w:color w:val="auto"/>
              </w:rPr>
            </w:pPr>
          </w:p>
        </w:tc>
        <w:tc>
          <w:tcPr>
            <w:tcW w:w="40" w:type="dxa"/>
            <w:vAlign w:val="bottom"/>
            <w:tcBorders>
              <w:top w:val="single" w:sz="8" w:color="auto"/>
            </w:tcBorders>
            <w:shd w:val="clear" w:color="auto" w:fill="D9D9D9"/>
          </w:tcPr>
          <w:p>
            <w:pPr>
              <w:spacing w:after="0"/>
              <w:rPr>
                <w:sz w:val="21"/>
                <w:szCs w:val="21"/>
                <w:color w:val="auto"/>
              </w:rPr>
            </w:pPr>
          </w:p>
        </w:tc>
        <w:tc>
          <w:tcPr>
            <w:tcW w:w="820" w:type="dxa"/>
            <w:vAlign w:val="bottom"/>
            <w:tcBorders>
              <w:top w:val="single" w:sz="8" w:color="auto"/>
            </w:tcBorders>
            <w:shd w:val="clear" w:color="auto" w:fill="D9D9D9"/>
          </w:tcPr>
          <w:p>
            <w:pPr>
              <w:spacing w:after="0"/>
              <w:rPr>
                <w:sz w:val="21"/>
                <w:szCs w:val="21"/>
                <w:color w:val="auto"/>
              </w:rPr>
            </w:pPr>
          </w:p>
        </w:tc>
        <w:tc>
          <w:tcPr>
            <w:tcW w:w="40" w:type="dxa"/>
            <w:vAlign w:val="bottom"/>
            <w:tcBorders>
              <w:top w:val="single" w:sz="8" w:color="auto"/>
            </w:tcBorders>
            <w:shd w:val="clear" w:color="auto" w:fill="D9D9D9"/>
          </w:tcPr>
          <w:p>
            <w:pPr>
              <w:spacing w:after="0"/>
              <w:rPr>
                <w:sz w:val="21"/>
                <w:szCs w:val="21"/>
                <w:color w:val="auto"/>
              </w:rPr>
            </w:pPr>
          </w:p>
        </w:tc>
        <w:tc>
          <w:tcPr>
            <w:tcW w:w="20" w:type="dxa"/>
            <w:vAlign w:val="bottom"/>
            <w:tcBorders>
              <w:top w:val="single" w:sz="8" w:color="auto"/>
            </w:tcBorders>
            <w:shd w:val="clear" w:color="auto" w:fill="D9D9D9"/>
          </w:tcPr>
          <w:p>
            <w:pPr>
              <w:spacing w:after="0"/>
              <w:rPr>
                <w:sz w:val="21"/>
                <w:szCs w:val="21"/>
                <w:color w:val="auto"/>
              </w:rPr>
            </w:pPr>
          </w:p>
        </w:tc>
        <w:tc>
          <w:tcPr>
            <w:tcW w:w="480" w:type="dxa"/>
            <w:vAlign w:val="bottom"/>
            <w:tcBorders>
              <w:top w:val="single" w:sz="8" w:color="auto"/>
              <w:right w:val="single" w:sz="8" w:color="auto"/>
            </w:tcBorders>
            <w:shd w:val="clear" w:color="auto" w:fill="D9D9D9"/>
          </w:tcPr>
          <w:p>
            <w:pPr>
              <w:spacing w:after="0"/>
              <w:rPr>
                <w:sz w:val="21"/>
                <w:szCs w:val="21"/>
                <w:color w:val="auto"/>
              </w:rPr>
            </w:pPr>
          </w:p>
        </w:tc>
        <w:tc>
          <w:tcPr>
            <w:tcW w:w="2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9"/>
                <w:szCs w:val="19"/>
                <w:b w:val="1"/>
                <w:bCs w:val="1"/>
                <w:color w:val="auto"/>
                <w:w w:val="93"/>
              </w:rPr>
              <w:t>First Lien Net Leverage</w:t>
            </w:r>
          </w:p>
        </w:tc>
        <w:tc>
          <w:tcPr>
            <w:tcW w:w="3180" w:type="dxa"/>
            <w:vAlign w:val="bottom"/>
            <w:tcBorders>
              <w:top w:val="single" w:sz="8" w:color="auto"/>
            </w:tcBorders>
            <w:gridSpan w:val="2"/>
            <w:shd w:val="clear" w:color="auto" w:fill="D9D9D9"/>
          </w:tcPr>
          <w:p>
            <w:pPr>
              <w:ind w:left="1760"/>
              <w:spacing w:after="0"/>
              <w:rPr>
                <w:sz w:val="20"/>
                <w:szCs w:val="20"/>
                <w:color w:val="auto"/>
              </w:rPr>
            </w:pPr>
            <w:r>
              <w:rPr>
                <w:rFonts w:ascii="Arial" w:cs="Arial" w:eastAsia="Arial" w:hAnsi="Arial"/>
                <w:sz w:val="19"/>
                <w:szCs w:val="19"/>
                <w:b w:val="1"/>
                <w:bCs w:val="1"/>
                <w:color w:val="auto"/>
                <w:w w:val="92"/>
              </w:rPr>
              <w:t>Revolving Loans</w:t>
            </w:r>
          </w:p>
        </w:tc>
        <w:tc>
          <w:tcPr>
            <w:tcW w:w="1780" w:type="dxa"/>
            <w:vAlign w:val="bottom"/>
            <w:tcBorders>
              <w:top w:val="single" w:sz="8" w:color="auto"/>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460" w:type="dxa"/>
            <w:vAlign w:val="bottom"/>
            <w:tcBorders>
              <w:left w:val="single" w:sz="8" w:color="auto"/>
              <w:bottom w:val="single" w:sz="8" w:color="D9D9D9"/>
            </w:tcBorders>
            <w:shd w:val="clear" w:color="auto" w:fill="D9D9D9"/>
          </w:tcPr>
          <w:p>
            <w:pPr>
              <w:spacing w:after="0"/>
              <w:rPr>
                <w:sz w:val="5"/>
                <w:szCs w:val="5"/>
                <w:color w:val="auto"/>
              </w:rPr>
            </w:pPr>
          </w:p>
        </w:tc>
        <w:tc>
          <w:tcPr>
            <w:tcW w:w="40" w:type="dxa"/>
            <w:vAlign w:val="bottom"/>
            <w:tcBorders>
              <w:bottom w:val="single" w:sz="8" w:color="D9D9D9"/>
            </w:tcBorders>
            <w:shd w:val="clear" w:color="auto" w:fill="D9D9D9"/>
          </w:tcPr>
          <w:p>
            <w:pPr>
              <w:spacing w:after="0"/>
              <w:rPr>
                <w:sz w:val="5"/>
                <w:szCs w:val="5"/>
                <w:color w:val="auto"/>
              </w:rPr>
            </w:pPr>
          </w:p>
        </w:tc>
        <w:tc>
          <w:tcPr>
            <w:tcW w:w="40" w:type="dxa"/>
            <w:vAlign w:val="bottom"/>
            <w:tcBorders>
              <w:bottom w:val="single" w:sz="8" w:color="D9D9D9"/>
            </w:tcBorders>
            <w:shd w:val="clear" w:color="auto" w:fill="D9D9D9"/>
          </w:tcPr>
          <w:p>
            <w:pPr>
              <w:spacing w:after="0"/>
              <w:rPr>
                <w:sz w:val="5"/>
                <w:szCs w:val="5"/>
                <w:color w:val="auto"/>
              </w:rPr>
            </w:pPr>
          </w:p>
        </w:tc>
        <w:tc>
          <w:tcPr>
            <w:tcW w:w="820" w:type="dxa"/>
            <w:vAlign w:val="bottom"/>
            <w:tcBorders>
              <w:bottom w:val="single" w:sz="8" w:color="D9D9D9"/>
            </w:tcBorders>
            <w:shd w:val="clear" w:color="auto" w:fill="D9D9D9"/>
          </w:tcPr>
          <w:p>
            <w:pPr>
              <w:spacing w:after="0"/>
              <w:rPr>
                <w:sz w:val="5"/>
                <w:szCs w:val="5"/>
                <w:color w:val="auto"/>
              </w:rPr>
            </w:pPr>
          </w:p>
        </w:tc>
        <w:tc>
          <w:tcPr>
            <w:tcW w:w="40" w:type="dxa"/>
            <w:vAlign w:val="bottom"/>
            <w:tcBorders>
              <w:bottom w:val="single" w:sz="8" w:color="D9D9D9"/>
            </w:tcBorders>
            <w:shd w:val="clear" w:color="auto" w:fill="D9D9D9"/>
          </w:tcPr>
          <w:p>
            <w:pPr>
              <w:spacing w:after="0"/>
              <w:rPr>
                <w:sz w:val="5"/>
                <w:szCs w:val="5"/>
                <w:color w:val="auto"/>
              </w:rPr>
            </w:pPr>
          </w:p>
        </w:tc>
        <w:tc>
          <w:tcPr>
            <w:tcW w:w="20" w:type="dxa"/>
            <w:vAlign w:val="bottom"/>
            <w:tcBorders>
              <w:bottom w:val="single" w:sz="8" w:color="D9D9D9"/>
            </w:tcBorders>
            <w:shd w:val="clear" w:color="auto" w:fill="D9D9D9"/>
          </w:tcPr>
          <w:p>
            <w:pPr>
              <w:spacing w:after="0"/>
              <w:rPr>
                <w:sz w:val="5"/>
                <w:szCs w:val="5"/>
                <w:color w:val="auto"/>
              </w:rPr>
            </w:pPr>
          </w:p>
        </w:tc>
        <w:tc>
          <w:tcPr>
            <w:tcW w:w="480" w:type="dxa"/>
            <w:vAlign w:val="bottom"/>
            <w:tcBorders>
              <w:bottom w:val="single" w:sz="8" w:color="D9D9D9"/>
              <w:right w:val="single" w:sz="8" w:color="auto"/>
            </w:tcBorders>
            <w:shd w:val="clear" w:color="auto" w:fill="D9D9D9"/>
          </w:tcPr>
          <w:p>
            <w:pPr>
              <w:spacing w:after="0"/>
              <w:rPr>
                <w:sz w:val="5"/>
                <w:szCs w:val="5"/>
                <w:color w:val="auto"/>
              </w:rPr>
            </w:pPr>
          </w:p>
        </w:tc>
        <w:tc>
          <w:tcPr>
            <w:tcW w:w="2560" w:type="dxa"/>
            <w:vAlign w:val="bottom"/>
            <w:tcBorders>
              <w:bottom w:val="single" w:sz="8" w:color="D9D9D9"/>
              <w:right w:val="single" w:sz="8" w:color="auto"/>
            </w:tcBorders>
            <w:vMerge w:val="restart"/>
            <w:shd w:val="clear" w:color="auto" w:fill="D9D9D9"/>
          </w:tcPr>
          <w:p>
            <w:pPr>
              <w:jc w:val="center"/>
              <w:spacing w:after="0"/>
              <w:rPr>
                <w:sz w:val="20"/>
                <w:szCs w:val="20"/>
                <w:color w:val="auto"/>
              </w:rPr>
            </w:pPr>
            <w:r>
              <w:rPr>
                <w:rFonts w:ascii="Arial" w:cs="Arial" w:eastAsia="Arial" w:hAnsi="Arial"/>
                <w:sz w:val="19"/>
                <w:szCs w:val="19"/>
                <w:b w:val="1"/>
                <w:bCs w:val="1"/>
                <w:color w:val="auto"/>
                <w:w w:val="92"/>
              </w:rPr>
              <w:t>Ratio</w:t>
            </w:r>
          </w:p>
        </w:tc>
        <w:tc>
          <w:tcPr>
            <w:tcW w:w="2460" w:type="dxa"/>
            <w:vAlign w:val="bottom"/>
            <w:tcBorders>
              <w:bottom w:val="single" w:sz="8" w:color="auto"/>
              <w:right w:val="single" w:sz="8" w:color="D9D9D9"/>
            </w:tcBorders>
            <w:shd w:val="clear" w:color="auto" w:fill="D9D9D9"/>
          </w:tcPr>
          <w:p>
            <w:pPr>
              <w:spacing w:after="0"/>
              <w:rPr>
                <w:sz w:val="5"/>
                <w:szCs w:val="5"/>
                <w:color w:val="auto"/>
              </w:rPr>
            </w:pPr>
          </w:p>
        </w:tc>
        <w:tc>
          <w:tcPr>
            <w:tcW w:w="720" w:type="dxa"/>
            <w:vAlign w:val="bottom"/>
            <w:tcBorders>
              <w:bottom w:val="single" w:sz="8" w:color="auto"/>
            </w:tcBorders>
            <w:shd w:val="clear" w:color="auto" w:fill="D9D9D9"/>
          </w:tcPr>
          <w:p>
            <w:pPr>
              <w:spacing w:after="0"/>
              <w:rPr>
                <w:sz w:val="5"/>
                <w:szCs w:val="5"/>
                <w:color w:val="auto"/>
              </w:rPr>
            </w:pPr>
          </w:p>
        </w:tc>
        <w:tc>
          <w:tcPr>
            <w:tcW w:w="178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60" w:type="dxa"/>
            <w:vAlign w:val="bottom"/>
            <w:tcBorders>
              <w:left w:val="single" w:sz="8" w:color="auto"/>
            </w:tcBorders>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1360" w:type="dxa"/>
            <w:vAlign w:val="bottom"/>
            <w:tcBorders>
              <w:right w:val="single" w:sz="8" w:color="auto"/>
            </w:tcBorders>
            <w:gridSpan w:val="4"/>
            <w:vMerge w:val="restart"/>
            <w:shd w:val="clear" w:color="auto" w:fill="D9D9D9"/>
          </w:tcPr>
          <w:p>
            <w:pPr>
              <w:jc w:val="center"/>
              <w:ind w:right="560"/>
              <w:spacing w:after="0"/>
              <w:rPr>
                <w:sz w:val="20"/>
                <w:szCs w:val="20"/>
                <w:color w:val="auto"/>
              </w:rPr>
            </w:pPr>
            <w:r>
              <w:rPr>
                <w:rFonts w:ascii="Arial" w:cs="Arial" w:eastAsia="Arial" w:hAnsi="Arial"/>
                <w:sz w:val="19"/>
                <w:szCs w:val="19"/>
                <w:b w:val="1"/>
                <w:bCs w:val="1"/>
                <w:color w:val="auto"/>
                <w:w w:val="92"/>
              </w:rPr>
              <w:t>Category</w:t>
            </w:r>
          </w:p>
        </w:tc>
        <w:tc>
          <w:tcPr>
            <w:tcW w:w="2560" w:type="dxa"/>
            <w:vAlign w:val="bottom"/>
            <w:tcBorders>
              <w:right w:val="single" w:sz="8" w:color="auto"/>
            </w:tcBorders>
            <w:vMerge w:val="continue"/>
            <w:shd w:val="clear" w:color="auto" w:fill="D9D9D9"/>
          </w:tcPr>
          <w:p>
            <w:pPr>
              <w:spacing w:after="0"/>
              <w:rPr>
                <w:sz w:val="14"/>
                <w:szCs w:val="14"/>
                <w:color w:val="auto"/>
              </w:rPr>
            </w:pPr>
          </w:p>
        </w:tc>
        <w:tc>
          <w:tcPr>
            <w:tcW w:w="24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9"/>
                <w:szCs w:val="19"/>
                <w:b w:val="1"/>
                <w:bCs w:val="1"/>
                <w:color w:val="auto"/>
                <w:w w:val="94"/>
              </w:rPr>
              <w:t>Eurodollar Loans</w:t>
            </w:r>
          </w:p>
        </w:tc>
        <w:tc>
          <w:tcPr>
            <w:tcW w:w="720" w:type="dxa"/>
            <w:vAlign w:val="bottom"/>
            <w:shd w:val="clear" w:color="auto" w:fill="D9D9D9"/>
          </w:tcPr>
          <w:p>
            <w:pPr>
              <w:spacing w:after="0"/>
              <w:rPr>
                <w:sz w:val="14"/>
                <w:szCs w:val="14"/>
                <w:color w:val="auto"/>
              </w:rPr>
            </w:pPr>
          </w:p>
        </w:tc>
        <w:tc>
          <w:tcPr>
            <w:tcW w:w="1780" w:type="dxa"/>
            <w:vAlign w:val="bottom"/>
            <w:tcBorders>
              <w:right w:val="single" w:sz="8" w:color="auto"/>
            </w:tcBorders>
            <w:vMerge w:val="restart"/>
            <w:shd w:val="clear" w:color="auto" w:fill="D9D9D9"/>
          </w:tcPr>
          <w:p>
            <w:pPr>
              <w:jc w:val="center"/>
              <w:ind w:right="643"/>
              <w:spacing w:after="0"/>
              <w:rPr>
                <w:sz w:val="20"/>
                <w:szCs w:val="20"/>
                <w:color w:val="auto"/>
              </w:rPr>
            </w:pPr>
            <w:r>
              <w:rPr>
                <w:rFonts w:ascii="Arial" w:cs="Arial" w:eastAsia="Arial" w:hAnsi="Arial"/>
                <w:sz w:val="19"/>
                <w:szCs w:val="19"/>
                <w:b w:val="1"/>
                <w:bCs w:val="1"/>
                <w:color w:val="auto"/>
                <w:w w:val="93"/>
              </w:rPr>
              <w:t>ABR Loans</w:t>
            </w:r>
          </w:p>
        </w:tc>
        <w:tc>
          <w:tcPr>
            <w:tcW w:w="0" w:type="dxa"/>
            <w:vAlign w:val="bottom"/>
          </w:tcPr>
          <w:p>
            <w:pPr>
              <w:spacing w:after="0"/>
              <w:rPr>
                <w:sz w:val="1"/>
                <w:szCs w:val="1"/>
                <w:color w:val="auto"/>
              </w:rPr>
            </w:pPr>
          </w:p>
        </w:tc>
      </w:tr>
      <w:tr>
        <w:trPr>
          <w:trHeight w:val="128"/>
        </w:trPr>
        <w:tc>
          <w:tcPr>
            <w:tcW w:w="460" w:type="dxa"/>
            <w:vAlign w:val="bottom"/>
            <w:tcBorders>
              <w:left w:val="single" w:sz="8" w:color="auto"/>
              <w:bottom w:val="single" w:sz="8" w:color="D9D9D9"/>
            </w:tcBorders>
            <w:shd w:val="clear" w:color="auto" w:fill="D9D9D9"/>
          </w:tcPr>
          <w:p>
            <w:pPr>
              <w:spacing w:after="0"/>
              <w:rPr>
                <w:sz w:val="11"/>
                <w:szCs w:val="11"/>
                <w:color w:val="auto"/>
              </w:rPr>
            </w:pPr>
          </w:p>
        </w:tc>
        <w:tc>
          <w:tcPr>
            <w:tcW w:w="40" w:type="dxa"/>
            <w:vAlign w:val="bottom"/>
            <w:tcBorders>
              <w:bottom w:val="single" w:sz="8" w:color="D9D9D9"/>
            </w:tcBorders>
            <w:shd w:val="clear" w:color="auto" w:fill="D9D9D9"/>
          </w:tcPr>
          <w:p>
            <w:pPr>
              <w:spacing w:after="0"/>
              <w:rPr>
                <w:sz w:val="11"/>
                <w:szCs w:val="11"/>
                <w:color w:val="auto"/>
              </w:rPr>
            </w:pPr>
          </w:p>
        </w:tc>
        <w:tc>
          <w:tcPr>
            <w:tcW w:w="40" w:type="dxa"/>
            <w:vAlign w:val="bottom"/>
            <w:tcBorders>
              <w:bottom w:val="single" w:sz="8" w:color="D9D9D9"/>
            </w:tcBorders>
            <w:shd w:val="clear" w:color="auto" w:fill="D9D9D9"/>
          </w:tcPr>
          <w:p>
            <w:pPr>
              <w:spacing w:after="0"/>
              <w:rPr>
                <w:sz w:val="11"/>
                <w:szCs w:val="11"/>
                <w:color w:val="auto"/>
              </w:rPr>
            </w:pPr>
          </w:p>
        </w:tc>
        <w:tc>
          <w:tcPr>
            <w:tcW w:w="1360" w:type="dxa"/>
            <w:vAlign w:val="bottom"/>
            <w:tcBorders>
              <w:bottom w:val="single" w:sz="8" w:color="D9D9D9"/>
              <w:right w:val="single" w:sz="8" w:color="auto"/>
            </w:tcBorders>
            <w:gridSpan w:val="4"/>
            <w:vMerge w:val="continue"/>
            <w:shd w:val="clear" w:color="auto" w:fill="D9D9D9"/>
          </w:tcPr>
          <w:p>
            <w:pPr>
              <w:spacing w:after="0"/>
              <w:rPr>
                <w:sz w:val="11"/>
                <w:szCs w:val="11"/>
                <w:color w:val="auto"/>
              </w:rPr>
            </w:pPr>
          </w:p>
        </w:tc>
        <w:tc>
          <w:tcPr>
            <w:tcW w:w="2560" w:type="dxa"/>
            <w:vAlign w:val="bottom"/>
            <w:tcBorders>
              <w:bottom w:val="single" w:sz="8" w:color="D9D9D9"/>
              <w:right w:val="single" w:sz="8" w:color="auto"/>
            </w:tcBorders>
            <w:shd w:val="clear" w:color="auto" w:fill="D9D9D9"/>
          </w:tcPr>
          <w:p>
            <w:pPr>
              <w:spacing w:after="0"/>
              <w:rPr>
                <w:sz w:val="11"/>
                <w:szCs w:val="11"/>
                <w:color w:val="auto"/>
              </w:rPr>
            </w:pPr>
          </w:p>
        </w:tc>
        <w:tc>
          <w:tcPr>
            <w:tcW w:w="246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720" w:type="dxa"/>
            <w:vAlign w:val="bottom"/>
            <w:tcBorders>
              <w:bottom w:val="single" w:sz="8" w:color="D9D9D9"/>
            </w:tcBorders>
            <w:shd w:val="clear" w:color="auto" w:fill="D9D9D9"/>
          </w:tcPr>
          <w:p>
            <w:pPr>
              <w:spacing w:after="0"/>
              <w:rPr>
                <w:sz w:val="11"/>
                <w:szCs w:val="11"/>
                <w:color w:val="auto"/>
              </w:rPr>
            </w:pPr>
          </w:p>
        </w:tc>
        <w:tc>
          <w:tcPr>
            <w:tcW w:w="178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60" w:type="dxa"/>
            <w:vAlign w:val="bottom"/>
            <w:tcBorders>
              <w:top w:val="single" w:sz="8" w:color="auto"/>
              <w:lef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360" w:type="dxa"/>
            <w:vAlign w:val="bottom"/>
            <w:tcBorders>
              <w:top w:val="single" w:sz="8" w:color="auto"/>
              <w:right w:val="single" w:sz="8" w:color="auto"/>
            </w:tcBorders>
            <w:gridSpan w:val="4"/>
          </w:tcPr>
          <w:p>
            <w:pPr>
              <w:jc w:val="center"/>
              <w:ind w:right="540"/>
              <w:spacing w:after="0" w:line="205" w:lineRule="exact"/>
              <w:rPr>
                <w:sz w:val="20"/>
                <w:szCs w:val="20"/>
                <w:color w:val="auto"/>
              </w:rPr>
            </w:pPr>
            <w:r>
              <w:rPr>
                <w:rFonts w:ascii="Arial" w:cs="Arial" w:eastAsia="Arial" w:hAnsi="Arial"/>
                <w:sz w:val="19"/>
                <w:szCs w:val="19"/>
                <w:color w:val="auto"/>
                <w:w w:val="93"/>
              </w:rPr>
              <w:t>Category I</w:t>
            </w:r>
          </w:p>
        </w:tc>
        <w:tc>
          <w:tcPr>
            <w:tcW w:w="256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2"/>
              </w:rPr>
              <w:t>Equal to or Greater than 2.50 to</w:t>
            </w:r>
          </w:p>
        </w:tc>
        <w:tc>
          <w:tcPr>
            <w:tcW w:w="246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2"/>
              </w:rPr>
              <w:t>2.50%</w:t>
            </w:r>
          </w:p>
        </w:tc>
        <w:tc>
          <w:tcPr>
            <w:tcW w:w="720" w:type="dxa"/>
            <w:vAlign w:val="bottom"/>
            <w:tcBorders>
              <w:top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jc w:val="center"/>
              <w:ind w:right="623"/>
              <w:spacing w:after="0" w:line="205" w:lineRule="exact"/>
              <w:rPr>
                <w:sz w:val="20"/>
                <w:szCs w:val="20"/>
                <w:color w:val="auto"/>
              </w:rPr>
            </w:pPr>
            <w:r>
              <w:rPr>
                <w:rFonts w:ascii="Arial" w:cs="Arial" w:eastAsia="Arial" w:hAnsi="Arial"/>
                <w:sz w:val="19"/>
                <w:szCs w:val="19"/>
                <w:color w:val="auto"/>
                <w:w w:val="92"/>
              </w:rPr>
              <w:t>1.50%</w:t>
            </w:r>
          </w:p>
        </w:tc>
        <w:tc>
          <w:tcPr>
            <w:tcW w:w="0" w:type="dxa"/>
            <w:vAlign w:val="bottom"/>
          </w:tcPr>
          <w:p>
            <w:pPr>
              <w:spacing w:after="0"/>
              <w:rPr>
                <w:sz w:val="1"/>
                <w:szCs w:val="1"/>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1.00</w:t>
            </w:r>
          </w:p>
        </w:tc>
        <w:tc>
          <w:tcPr>
            <w:tcW w:w="246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spacing w:after="0"/>
              <w:rPr>
                <w:sz w:val="17"/>
                <w:szCs w:val="17"/>
                <w:color w:val="auto"/>
              </w:rPr>
            </w:pPr>
          </w:p>
        </w:tc>
        <w:tc>
          <w:tcPr>
            <w:tcW w:w="1440" w:type="dxa"/>
            <w:vAlign w:val="bottom"/>
            <w:tcBorders>
              <w:right w:val="single" w:sz="8" w:color="auto"/>
            </w:tcBorders>
            <w:gridSpan w:val="6"/>
          </w:tcPr>
          <w:p>
            <w:pPr>
              <w:jc w:val="center"/>
              <w:ind w:right="460"/>
              <w:spacing w:after="0" w:line="205" w:lineRule="exact"/>
              <w:rPr>
                <w:sz w:val="20"/>
                <w:szCs w:val="20"/>
                <w:color w:val="auto"/>
              </w:rPr>
            </w:pPr>
            <w:r>
              <w:rPr>
                <w:rFonts w:ascii="Arial" w:cs="Arial" w:eastAsia="Arial" w:hAnsi="Arial"/>
                <w:sz w:val="19"/>
                <w:szCs w:val="19"/>
                <w:color w:val="auto"/>
                <w:w w:val="96"/>
              </w:rPr>
              <w:t>Category II</w:t>
            </w:r>
          </w:p>
        </w:tc>
        <w:tc>
          <w:tcPr>
            <w:tcW w:w="256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1"/>
              </w:rPr>
              <w:t>Less than 2.50 to 1.00 but equal</w:t>
            </w:r>
          </w:p>
        </w:tc>
        <w:tc>
          <w:tcPr>
            <w:tcW w:w="246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2"/>
              </w:rPr>
              <w:t>2.25%</w:t>
            </w:r>
          </w:p>
        </w:tc>
        <w:tc>
          <w:tcPr>
            <w:tcW w:w="720" w:type="dxa"/>
            <w:vAlign w:val="bottom"/>
          </w:tcPr>
          <w:p>
            <w:pPr>
              <w:spacing w:after="0"/>
              <w:rPr>
                <w:sz w:val="17"/>
                <w:szCs w:val="17"/>
                <w:color w:val="auto"/>
              </w:rPr>
            </w:pPr>
          </w:p>
        </w:tc>
        <w:tc>
          <w:tcPr>
            <w:tcW w:w="1780" w:type="dxa"/>
            <w:vAlign w:val="bottom"/>
            <w:tcBorders>
              <w:right w:val="single" w:sz="8" w:color="auto"/>
            </w:tcBorders>
          </w:tcPr>
          <w:p>
            <w:pPr>
              <w:jc w:val="center"/>
              <w:ind w:right="623"/>
              <w:spacing w:after="0" w:line="205" w:lineRule="exact"/>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to or greater than 2.00 to 1.00</w:t>
            </w:r>
          </w:p>
        </w:tc>
        <w:tc>
          <w:tcPr>
            <w:tcW w:w="246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spacing w:after="0"/>
              <w:rPr>
                <w:sz w:val="17"/>
                <w:szCs w:val="17"/>
                <w:color w:val="auto"/>
              </w:rPr>
            </w:pPr>
          </w:p>
        </w:tc>
        <w:tc>
          <w:tcPr>
            <w:tcW w:w="1440" w:type="dxa"/>
            <w:vAlign w:val="bottom"/>
            <w:tcBorders>
              <w:right w:val="single" w:sz="8" w:color="auto"/>
            </w:tcBorders>
            <w:gridSpan w:val="6"/>
          </w:tcPr>
          <w:p>
            <w:pPr>
              <w:jc w:val="center"/>
              <w:ind w:right="480"/>
              <w:spacing w:after="0" w:line="205" w:lineRule="exact"/>
              <w:rPr>
                <w:sz w:val="20"/>
                <w:szCs w:val="20"/>
                <w:color w:val="auto"/>
              </w:rPr>
            </w:pPr>
            <w:r>
              <w:rPr>
                <w:rFonts w:ascii="Arial" w:cs="Arial" w:eastAsia="Arial" w:hAnsi="Arial"/>
                <w:sz w:val="19"/>
                <w:szCs w:val="19"/>
                <w:color w:val="auto"/>
                <w:w w:val="97"/>
              </w:rPr>
              <w:t>Category III</w:t>
            </w:r>
          </w:p>
        </w:tc>
        <w:tc>
          <w:tcPr>
            <w:tcW w:w="256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1"/>
              </w:rPr>
              <w:t>Less than 2.00 to 1.00</w:t>
            </w:r>
          </w:p>
        </w:tc>
        <w:tc>
          <w:tcPr>
            <w:tcW w:w="246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2"/>
              </w:rPr>
              <w:t>2.00%</w:t>
            </w:r>
          </w:p>
        </w:tc>
        <w:tc>
          <w:tcPr>
            <w:tcW w:w="720" w:type="dxa"/>
            <w:vAlign w:val="bottom"/>
          </w:tcPr>
          <w:p>
            <w:pPr>
              <w:spacing w:after="0"/>
              <w:rPr>
                <w:sz w:val="17"/>
                <w:szCs w:val="17"/>
                <w:color w:val="auto"/>
              </w:rPr>
            </w:pPr>
          </w:p>
        </w:tc>
        <w:tc>
          <w:tcPr>
            <w:tcW w:w="1780" w:type="dxa"/>
            <w:vAlign w:val="bottom"/>
            <w:tcBorders>
              <w:right w:val="single" w:sz="8" w:color="auto"/>
            </w:tcBorders>
          </w:tcPr>
          <w:p>
            <w:pPr>
              <w:jc w:val="center"/>
              <w:ind w:right="623"/>
              <w:spacing w:after="0" w:line="205" w:lineRule="exact"/>
              <w:rPr>
                <w:sz w:val="20"/>
                <w:szCs w:val="20"/>
                <w:color w:val="auto"/>
              </w:rPr>
            </w:pPr>
            <w:r>
              <w:rPr>
                <w:rFonts w:ascii="Arial" w:cs="Arial" w:eastAsia="Arial" w:hAnsi="Arial"/>
                <w:sz w:val="19"/>
                <w:szCs w:val="19"/>
                <w:color w:val="auto"/>
                <w:w w:val="92"/>
              </w:rPr>
              <w:t>1.00%</w:t>
            </w:r>
          </w:p>
        </w:tc>
        <w:tc>
          <w:tcPr>
            <w:tcW w:w="0" w:type="dxa"/>
            <w:vAlign w:val="bottom"/>
          </w:tcPr>
          <w:p>
            <w:pPr>
              <w:spacing w:after="0"/>
              <w:rPr>
                <w:sz w:val="1"/>
                <w:szCs w:val="1"/>
                <w:color w:val="auto"/>
              </w:rPr>
            </w:pPr>
          </w:p>
        </w:tc>
      </w:tr>
      <w:tr>
        <w:trPr>
          <w:trHeight w:val="46"/>
        </w:trPr>
        <w:tc>
          <w:tcPr>
            <w:tcW w:w="460" w:type="dxa"/>
            <w:vAlign w:val="bottom"/>
            <w:tcBorders>
              <w:left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7"/>
          <w:szCs w:val="17"/>
          <w:color w:val="auto"/>
        </w:rPr>
        <w:t xml:space="preserve">The Applicable Rate for Revolving Loans shall be re-determined (and set) quarterly commencing on and including the Business Day following the date of delivery to the Administrative Agent of the certified calculation of the First Lien Net Leverage Ratio in a Compliance Certificate delivered in accordance with Section 5.01(e);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provide such certification when such certification is due, at the option of the Administrative Agent or, a Majority in Interest of the Revolving Lenders, the Applicable Rate shall be set at the margin in Category I as of the first day of the fiscal month following the date on which the certification was required to be delivered until the date on which such certification is delivered (on which date (but not retroactively), without constituting a waiver of any Default or Event of Default occasioned by the failure to timely deliver such certification, the Applicable Rate shall be set at the margin based upon the calculations disclosed by such certification). In the event that the information regarding the First Lien Net Leverage Ratio contained in any certificate delivered pursuant to Section 5.01(e) is shown to be inaccurate, and such inaccuracy, if corrected, would have led to the application of a higher Applicable Rate for any period (an “</w:t>
      </w:r>
      <w:r>
        <w:rPr>
          <w:rFonts w:ascii="Arial" w:cs="Arial" w:eastAsia="Arial" w:hAnsi="Arial"/>
          <w:sz w:val="17"/>
          <w:szCs w:val="17"/>
          <w:u w:val="single" w:color="auto"/>
          <w:color w:val="auto"/>
        </w:rPr>
        <w:t>Applicable Period</w:t>
      </w:r>
      <w:r>
        <w:rPr>
          <w:rFonts w:ascii="Arial" w:cs="Arial" w:eastAsia="Arial" w:hAnsi="Arial"/>
          <w:sz w:val="17"/>
          <w:szCs w:val="17"/>
          <w:color w:val="auto"/>
        </w:rPr>
        <w:t>”) than the Applicable Rate actually applied for such Applicable Period, then (i) the Borrower shall, as promptly as practicable, deliver to the Administrative Agent a correct certificate for such Applicable Period, (ii) the Applicable Rate shall be determined as if the correct Applicable Rate (as set forth in the table above) were applicable for such Applicable Period, and (iii) the Borrower shall, within five (5) Business Days of delivery of such correct certificate, deliver to the Administrative Agent full payment in respect of the accrued additional interest as a result of such increased Applicable Rate for such Applicable Period, which payment shall be promptly applied by the Administrative Agent to the affected Loan Document Obligations in accordance with this Agreement.</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Bank</w:t>
      </w:r>
      <w:r>
        <w:rPr>
          <w:rFonts w:ascii="Arial" w:cs="Arial" w:eastAsia="Arial" w:hAnsi="Arial"/>
          <w:sz w:val="19"/>
          <w:szCs w:val="19"/>
          <w:color w:val="auto"/>
        </w:rPr>
        <w:t>” has the meaning assigned to such term in the definition of the term “Permitted Investments.”</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w:t>
      </w:r>
    </w:p>
    <w:p>
      <w:pPr>
        <w:sectPr>
          <w:pgSz w:w="11900" w:h="16838" w:orient="portrait"/>
          <w:cols w:equalWidth="0" w:num="1">
            <w:col w:w="11240"/>
          </w:cols>
          <w:pgMar w:left="320" w:top="1395" w:right="33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Affiliate of a Lender or (c) an entity or an Affiliate of an entity that administers, advises or manages a Lender.</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Eligible Assignee (with the consent of any Person whose consent is required by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any other form reasonably approved by the Administrative Agent.</w:t>
      </w:r>
    </w:p>
    <w:p>
      <w:pPr>
        <w:spacing w:after="0" w:line="16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Auction Agent</w:t>
      </w:r>
      <w:r>
        <w:rPr>
          <w:rFonts w:ascii="Arial" w:cs="Arial" w:eastAsia="Arial" w:hAnsi="Arial"/>
          <w:sz w:val="19"/>
          <w:szCs w:val="19"/>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w:t>
      </w:r>
      <w:r>
        <w:rPr>
          <w:rFonts w:ascii="Arial" w:cs="Arial" w:eastAsia="Arial" w:hAnsi="Arial"/>
          <w:sz w:val="19"/>
          <w:szCs w:val="19"/>
          <w:u w:val="single" w:color="auto"/>
          <w:color w:val="auto"/>
        </w:rPr>
        <w:t>Section 2.11(a)(ii)(A)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178"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means the audited consolidated balance sheet of Holdings and its subsidiaries as of the end of, and the related audited consolidated statements of comprehensive loss, cash flows and members’ equity of Holdings and its subsidiaries for, the fiscal years of Holdings ended as of December 31, 2020, December 31, 2019 and December 31, 2018.</w:t>
      </w:r>
    </w:p>
    <w:p>
      <w:pPr>
        <w:spacing w:after="0" w:line="16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w:t>
      </w:r>
      <w:r>
        <w:rPr>
          <w:rFonts w:ascii="Arial" w:cs="Arial" w:eastAsia="Arial" w:hAnsi="Arial"/>
          <w:sz w:val="19"/>
          <w:szCs w:val="19"/>
          <w:color w:val="auto"/>
        </w:rPr>
        <w:t>” means, as of any date of determination, a cumulative amount equal to (without duplication and without duplication of any amount included in the Available Equity Amount):</w:t>
      </w:r>
    </w:p>
    <w:p>
      <w:pPr>
        <w:spacing w:after="0" w:line="156" w:lineRule="exact"/>
        <w:rPr>
          <w:sz w:val="20"/>
          <w:szCs w:val="20"/>
          <w:color w:val="auto"/>
        </w:rPr>
      </w:pPr>
    </w:p>
    <w:p>
      <w:pPr>
        <w:ind w:left="640" w:firstLine="638"/>
        <w:spacing w:after="0" w:line="278" w:lineRule="auto"/>
        <w:tabs>
          <w:tab w:leader="none" w:pos="173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greater of $50,000,000 and 40.0% of Consolidated EBITDA for the most recently ended Test Period as of such time (the “</w:t>
      </w:r>
      <w:r>
        <w:rPr>
          <w:rFonts w:ascii="Arial" w:cs="Arial" w:eastAsia="Arial" w:hAnsi="Arial"/>
          <w:sz w:val="19"/>
          <w:szCs w:val="19"/>
          <w:u w:val="single" w:color="auto"/>
          <w:color w:val="auto"/>
        </w:rPr>
        <w:t>Starter Basket</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p>
    <w:p>
      <w:pPr>
        <w:spacing w:after="0" w:line="156" w:lineRule="exact"/>
        <w:rPr>
          <w:rFonts w:ascii="Arial" w:cs="Arial" w:eastAsia="Arial" w:hAnsi="Arial"/>
          <w:sz w:val="19"/>
          <w:szCs w:val="19"/>
          <w:color w:val="auto"/>
        </w:rPr>
      </w:pPr>
    </w:p>
    <w:p>
      <w:pPr>
        <w:jc w:val="both"/>
        <w:ind w:left="640" w:firstLine="638"/>
        <w:spacing w:after="0" w:line="257" w:lineRule="auto"/>
        <w:tabs>
          <w:tab w:leader="none" w:pos="1731"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the sum of an amount (which amount shall not be less than zero) equal to the sum of (x) Excess Cash Flow (but not less than zero in any period) for the fiscal year ending on or about December 31, 2022 and (y) Excess Cash Flow for each succeeding completed fiscal year as of such date, in each case, that was not required to prepay Term Borrowings pursuant to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(this clause </w:t>
      </w:r>
      <w:r>
        <w:rPr>
          <w:rFonts w:ascii="Arial" w:cs="Arial" w:eastAsia="Arial" w:hAnsi="Arial"/>
          <w:sz w:val="19"/>
          <w:szCs w:val="19"/>
          <w:u w:val="single" w:color="auto"/>
          <w:color w:val="auto"/>
        </w:rPr>
        <w:t>(b)</w:t>
      </w:r>
      <w:r>
        <w:rPr>
          <w:rFonts w:ascii="Arial" w:cs="Arial" w:eastAsia="Arial" w:hAnsi="Arial"/>
          <w:sz w:val="19"/>
          <w:szCs w:val="19"/>
          <w:color w:val="auto"/>
        </w:rPr>
        <w:t>, the “</w:t>
      </w:r>
      <w:r>
        <w:rPr>
          <w:rFonts w:ascii="Arial" w:cs="Arial" w:eastAsia="Arial" w:hAnsi="Arial"/>
          <w:sz w:val="19"/>
          <w:szCs w:val="19"/>
          <w:u w:val="single" w:color="auto"/>
          <w:color w:val="auto"/>
        </w:rPr>
        <w:t>Retained ECF Basket</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p>
    <w:p>
      <w:pPr>
        <w:spacing w:after="0" w:line="177" w:lineRule="exact"/>
        <w:rPr>
          <w:rFonts w:ascii="Arial" w:cs="Arial" w:eastAsia="Arial" w:hAnsi="Arial"/>
          <w:sz w:val="19"/>
          <w:szCs w:val="19"/>
          <w:color w:val="auto"/>
        </w:rPr>
      </w:pPr>
    </w:p>
    <w:p>
      <w:pPr>
        <w:jc w:val="both"/>
        <w:ind w:left="640" w:firstLine="638"/>
        <w:spacing w:after="0" w:line="263" w:lineRule="auto"/>
        <w:tabs>
          <w:tab w:leader="none" w:pos="1731"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returns, profits, distributions and similar amounts received in (or converted into) cash or Permitted Investments (and the fair market value (as determined in good faith by the Borrower) of non-cash returns, profits, distributions and similar amounts) by the Borrower and its Restricted Subsidiaries on Investments made using the Available Amount, </w:t>
      </w:r>
      <w:r>
        <w:rPr>
          <w:rFonts w:ascii="Arial" w:cs="Arial" w:eastAsia="Arial" w:hAnsi="Arial"/>
          <w:sz w:val="19"/>
          <w:szCs w:val="19"/>
          <w:u w:val="single" w:color="auto"/>
          <w:color w:val="auto"/>
        </w:rPr>
        <w:t>plus</w:t>
      </w:r>
    </w:p>
    <w:p>
      <w:pPr>
        <w:spacing w:after="0" w:line="169" w:lineRule="exact"/>
        <w:rPr>
          <w:rFonts w:ascii="Arial" w:cs="Arial" w:eastAsia="Arial" w:hAnsi="Arial"/>
          <w:sz w:val="19"/>
          <w:szCs w:val="19"/>
          <w:color w:val="auto"/>
        </w:rPr>
      </w:pPr>
    </w:p>
    <w:p>
      <w:pPr>
        <w:jc w:val="both"/>
        <w:ind w:left="640" w:firstLine="638"/>
        <w:spacing w:after="0" w:line="292" w:lineRule="auto"/>
        <w:tabs>
          <w:tab w:leader="none" w:pos="1709"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Investments of the Borrower or any of its Restricted Subsidiaries in any Unrestricted Subsidiary made using the Available Amount that has been re-designated as a Restricted Subsidiary or that has been merged or consolidated with or into the Borrower or any of its Restricted Subsidiaries (in an amount equal to the fair market value (as determined in good faith by the Borrower) of the Investments of the Borrower and its Restricted Subsidiaries in such Unrestricted Subsidiary at the time of such re-designation or merger or consolidation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original investments made in cash, the fair market value shall be such cash value)), </w:t>
      </w:r>
      <w:r>
        <w:rPr>
          <w:rFonts w:ascii="Arial" w:cs="Arial" w:eastAsia="Arial" w:hAnsi="Arial"/>
          <w:sz w:val="17"/>
          <w:szCs w:val="17"/>
          <w:u w:val="single" w:color="auto"/>
          <w:color w:val="auto"/>
        </w:rPr>
        <w:t>plus</w:t>
      </w:r>
    </w:p>
    <w:p>
      <w:pPr>
        <w:spacing w:after="0" w:line="149" w:lineRule="exact"/>
        <w:rPr>
          <w:rFonts w:ascii="Arial" w:cs="Arial" w:eastAsia="Arial" w:hAnsi="Arial"/>
          <w:sz w:val="17"/>
          <w:szCs w:val="17"/>
          <w:color w:val="auto"/>
        </w:rPr>
      </w:pPr>
    </w:p>
    <w:p>
      <w:pPr>
        <w:jc w:val="both"/>
        <w:ind w:left="640" w:firstLine="638"/>
        <w:spacing w:after="0" w:line="263" w:lineRule="auto"/>
        <w:tabs>
          <w:tab w:leader="none" w:pos="1797"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the Net Proceeds of a sale or other Disposition received by Holdings, any Intermediate Parent, the Borrower or any Restricted Subsidiary (i) of any Unrestricted Subsidiary (including the issuance of stock of an Unrestricted Subsidiary) or (ii) of Investments made using the Available Amount, </w:t>
      </w:r>
      <w:r>
        <w:rPr>
          <w:rFonts w:ascii="Arial" w:cs="Arial" w:eastAsia="Arial" w:hAnsi="Arial"/>
          <w:sz w:val="19"/>
          <w:szCs w:val="19"/>
          <w:u w:val="single" w:color="auto"/>
          <w:color w:val="auto"/>
        </w:rPr>
        <w:t>plus</w:t>
      </w:r>
    </w:p>
    <w:p>
      <w:pPr>
        <w:sectPr>
          <w:pgSz w:w="11900" w:h="16838" w:orient="portrait"/>
          <w:cols w:equalWidth="0" w:num="1">
            <w:col w:w="11240"/>
          </w:cols>
          <w:pgMar w:left="320" w:top="1395" w:right="339" w:bottom="1440" w:gutter="0" w:footer="0" w:header="0"/>
        </w:sectPr>
      </w:pPr>
    </w:p>
    <w:bookmarkStart w:id="76" w:name="page77"/>
    <w:bookmarkEnd w:id="76"/>
    <w:p>
      <w:pPr>
        <w:jc w:val="both"/>
        <w:ind w:left="640" w:firstLine="638"/>
        <w:spacing w:after="0" w:line="263" w:lineRule="auto"/>
        <w:tabs>
          <w:tab w:leader="none" w:pos="1722"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to the extent not included in Consolidated Net Income, dividends or other distributions or returns on capital received in cash or Permitted Investments by Holdings, any Intermediate Parent, the Borrower or any Restricted Subsidiary from an Unrestricted Subsidiary, </w:t>
      </w:r>
      <w:r>
        <w:rPr>
          <w:rFonts w:ascii="Arial" w:cs="Arial" w:eastAsia="Arial" w:hAnsi="Arial"/>
          <w:sz w:val="19"/>
          <w:szCs w:val="19"/>
          <w:u w:val="single" w:color="auto"/>
          <w:color w:val="auto"/>
        </w:rPr>
        <w:t>plus</w:t>
      </w:r>
    </w:p>
    <w:p>
      <w:pPr>
        <w:spacing w:after="0" w:line="169" w:lineRule="exact"/>
        <w:rPr>
          <w:rFonts w:ascii="Arial" w:cs="Arial" w:eastAsia="Arial" w:hAnsi="Arial"/>
          <w:sz w:val="19"/>
          <w:szCs w:val="19"/>
          <w:color w:val="auto"/>
        </w:rPr>
      </w:pPr>
    </w:p>
    <w:p>
      <w:pPr>
        <w:jc w:val="both"/>
        <w:ind w:left="640" w:firstLine="638"/>
        <w:spacing w:after="0" w:line="272" w:lineRule="auto"/>
        <w:tabs>
          <w:tab w:leader="none" w:pos="17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without duplication of any amount included in the Available Equity Amount, the fair market value (as determined in good faith by the Borrower) of other property (other than contributions in the form of cash or Permitted Investments) received by Holdings, any Intermediate Parent, or the Borrower since the Effective Date from any Person (other than a Loan Party or Restricted Subsidiary) as a capital contribution or in exchange for Qualified Equity Interests of the Borrower or any of its direct or indirect parent entities which are then contributed to the Borrower after the Effective Date for Qualified Equity Interests of the Borrower, </w:t>
      </w:r>
      <w:r>
        <w:rPr>
          <w:rFonts w:ascii="Arial" w:cs="Arial" w:eastAsia="Arial" w:hAnsi="Arial"/>
          <w:sz w:val="18"/>
          <w:szCs w:val="18"/>
          <w:u w:val="single" w:color="auto"/>
          <w:color w:val="auto"/>
        </w:rPr>
        <w:t>plus</w:t>
      </w:r>
    </w:p>
    <w:p>
      <w:pPr>
        <w:spacing w:after="0" w:line="165" w:lineRule="exact"/>
        <w:rPr>
          <w:rFonts w:ascii="Arial" w:cs="Arial" w:eastAsia="Arial" w:hAnsi="Arial"/>
          <w:sz w:val="18"/>
          <w:szCs w:val="18"/>
          <w:color w:val="auto"/>
        </w:rPr>
      </w:pPr>
    </w:p>
    <w:p>
      <w:pPr>
        <w:ind w:left="1700" w:hanging="422"/>
        <w:spacing w:after="0"/>
        <w:tabs>
          <w:tab w:leader="none" w:pos="17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aggregate amount of any Retained Declined Proceeds since the Effective Date.</w:t>
      </w:r>
    </w:p>
    <w:p>
      <w:pPr>
        <w:spacing w:after="0" w:line="219" w:lineRule="exact"/>
        <w:rPr>
          <w:sz w:val="20"/>
          <w:szCs w:val="20"/>
          <w:color w:val="auto"/>
        </w:rPr>
      </w:pPr>
    </w:p>
    <w:p>
      <w:pPr>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Equity Amount</w:t>
      </w:r>
      <w:r>
        <w:rPr>
          <w:rFonts w:ascii="Arial" w:cs="Arial" w:eastAsia="Arial" w:hAnsi="Arial"/>
          <w:sz w:val="19"/>
          <w:szCs w:val="19"/>
          <w:color w:val="auto"/>
        </w:rPr>
        <w:t>” means a cumulative amount equal to (without duplication, and without duplication of any amount included in the Available Amount):</w:t>
      </w:r>
    </w:p>
    <w:p>
      <w:pPr>
        <w:spacing w:after="0" w:line="156" w:lineRule="exact"/>
        <w:rPr>
          <w:sz w:val="20"/>
          <w:szCs w:val="20"/>
          <w:color w:val="auto"/>
        </w:rPr>
      </w:pPr>
    </w:p>
    <w:p>
      <w:pPr>
        <w:jc w:val="both"/>
        <w:ind w:left="640" w:firstLine="638"/>
        <w:spacing w:after="0" w:line="308"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without duplication of any amount included in the Available Amount, the Net Proceeds of new public or private issuances after the Effective Date of Qualified Equity Interests (excluding any Qualified Equity Interests used for, or otherwise having the effect of increasing, any other basket under this Agreement) of any parent of the Borrower which are contributed to the Borrower, </w:t>
      </w:r>
      <w:r>
        <w:rPr>
          <w:rFonts w:ascii="Arial" w:cs="Arial" w:eastAsia="Arial" w:hAnsi="Arial"/>
          <w:sz w:val="17"/>
          <w:szCs w:val="17"/>
          <w:u w:val="single" w:color="auto"/>
          <w:color w:val="auto"/>
        </w:rPr>
        <w:t>plus</w:t>
      </w:r>
    </w:p>
    <w:p>
      <w:pPr>
        <w:spacing w:after="0" w:line="135" w:lineRule="exact"/>
        <w:rPr>
          <w:rFonts w:ascii="Arial" w:cs="Arial" w:eastAsia="Arial" w:hAnsi="Arial"/>
          <w:sz w:val="17"/>
          <w:szCs w:val="17"/>
          <w:color w:val="auto"/>
        </w:rPr>
      </w:pPr>
    </w:p>
    <w:p>
      <w:pPr>
        <w:jc w:val="both"/>
        <w:ind w:left="640" w:firstLine="638"/>
        <w:spacing w:after="0" w:line="276" w:lineRule="auto"/>
        <w:tabs>
          <w:tab w:leader="none" w:pos="18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capital contributions received by Holdings or any Intermediate Parent (in each case, to the extent contributed to the Borrower) or the Borrower after the Effective Date in cash or Permitted Investments (and the fair market value (as determined in good faith by the Borrower) of non-cash capital contributions) in respect of Qualified Equity Interests (excluding any Qualified Equity Interests used for, or otherwise having the effect of increasing, any other basket under this Agreement), </w:t>
      </w:r>
      <w:r>
        <w:rPr>
          <w:rFonts w:ascii="Arial" w:cs="Arial" w:eastAsia="Arial" w:hAnsi="Arial"/>
          <w:sz w:val="18"/>
          <w:szCs w:val="18"/>
          <w:u w:val="single" w:color="auto"/>
          <w:color w:val="auto"/>
        </w:rPr>
        <w:t>plus</w:t>
      </w:r>
    </w:p>
    <w:p>
      <w:pPr>
        <w:spacing w:after="0" w:line="160" w:lineRule="exact"/>
        <w:rPr>
          <w:rFonts w:ascii="Arial" w:cs="Arial" w:eastAsia="Arial" w:hAnsi="Arial"/>
          <w:sz w:val="18"/>
          <w:szCs w:val="18"/>
          <w:color w:val="auto"/>
        </w:rPr>
      </w:pPr>
    </w:p>
    <w:p>
      <w:pPr>
        <w:jc w:val="both"/>
        <w:ind w:left="640" w:firstLine="638"/>
        <w:spacing w:after="0" w:line="263" w:lineRule="auto"/>
        <w:tabs>
          <w:tab w:leader="none" w:pos="1771"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net cash proceeds received by Holdings, any Intermediate Parent, the Borrower or any Restricted Subsidiary from Indebtedness and Disqualified Equity Interest issuances issued after the Effective Date and which have been exchanged or converted into Qualified Equity Interests, </w:t>
      </w:r>
      <w:r>
        <w:rPr>
          <w:rFonts w:ascii="Arial" w:cs="Arial" w:eastAsia="Arial" w:hAnsi="Arial"/>
          <w:sz w:val="19"/>
          <w:szCs w:val="19"/>
          <w:u w:val="single" w:color="auto"/>
          <w:color w:val="auto"/>
        </w:rPr>
        <w:t>plus</w:t>
      </w:r>
    </w:p>
    <w:p>
      <w:pPr>
        <w:spacing w:after="0" w:line="169" w:lineRule="exact"/>
        <w:rPr>
          <w:rFonts w:ascii="Arial" w:cs="Arial" w:eastAsia="Arial" w:hAnsi="Arial"/>
          <w:sz w:val="19"/>
          <w:szCs w:val="19"/>
          <w:color w:val="auto"/>
        </w:rPr>
      </w:pPr>
    </w:p>
    <w:p>
      <w:pPr>
        <w:jc w:val="both"/>
        <w:ind w:left="640" w:firstLine="638"/>
        <w:spacing w:after="0" w:line="339" w:lineRule="auto"/>
        <w:tabs>
          <w:tab w:leader="none" w:pos="18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returns, profits, distributions and similar amounts received in cash or Permitted Investments by the Borrower or any Restricted Subsidiary on Investments made using the Available Equity Amount (not to exceed the original amount of such Investments).</w:t>
      </w:r>
    </w:p>
    <w:p>
      <w:pPr>
        <w:spacing w:after="0" w:line="110" w:lineRule="exact"/>
        <w:rPr>
          <w:sz w:val="20"/>
          <w:szCs w:val="20"/>
          <w:color w:val="auto"/>
        </w:rPr>
      </w:pPr>
    </w:p>
    <w:p>
      <w:pPr>
        <w:jc w:val="both"/>
        <w:ind w:firstLine="127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General RP Capacity Amount</w:t>
      </w:r>
      <w:r>
        <w:rPr>
          <w:rFonts w:ascii="Arial" w:cs="Arial" w:eastAsia="Arial" w:hAnsi="Arial"/>
          <w:sz w:val="18"/>
          <w:szCs w:val="18"/>
          <w:color w:val="auto"/>
        </w:rPr>
        <w:t xml:space="preserve">” shall mean (i) the amount of Restricted Payments that may be made at the time of determination pursuant to </w:t>
      </w:r>
      <w:r>
        <w:rPr>
          <w:rFonts w:ascii="Arial" w:cs="Arial" w:eastAsia="Arial" w:hAnsi="Arial"/>
          <w:sz w:val="18"/>
          <w:szCs w:val="18"/>
          <w:u w:val="single" w:color="auto"/>
          <w:color w:val="auto"/>
        </w:rPr>
        <w:t>Section 6.07(a)(xv) plus</w:t>
      </w:r>
      <w:r>
        <w:rPr>
          <w:rFonts w:ascii="Arial" w:cs="Arial" w:eastAsia="Arial" w:hAnsi="Arial"/>
          <w:sz w:val="18"/>
          <w:szCs w:val="18"/>
          <w:color w:val="auto"/>
        </w:rPr>
        <w:t xml:space="preserve"> (ii) the amount of prepayments, redemptions, purchases, defeasances and other payments in respect of any Junior Financing that may be made at the time of determination pursuant to </w:t>
      </w:r>
      <w:r>
        <w:rPr>
          <w:rFonts w:ascii="Arial" w:cs="Arial" w:eastAsia="Arial" w:hAnsi="Arial"/>
          <w:sz w:val="18"/>
          <w:szCs w:val="18"/>
          <w:u w:val="single" w:color="auto"/>
          <w:color w:val="auto"/>
        </w:rPr>
        <w:t>Section 6.07(b)(vi)(A) minus</w:t>
      </w:r>
      <w:r>
        <w:rPr>
          <w:rFonts w:ascii="Arial" w:cs="Arial" w:eastAsia="Arial" w:hAnsi="Arial"/>
          <w:sz w:val="18"/>
          <w:szCs w:val="18"/>
          <w:color w:val="auto"/>
        </w:rPr>
        <w:t xml:space="preserve"> (iii) the sum of the amount of the Available General RP Capacity Amount utilized by the Borrower or any Restricted Subsidiary prior to such time to make (a) Restricted Payments pursuant to </w:t>
      </w:r>
      <w:r>
        <w:rPr>
          <w:rFonts w:ascii="Arial" w:cs="Arial" w:eastAsia="Arial" w:hAnsi="Arial"/>
          <w:sz w:val="18"/>
          <w:szCs w:val="18"/>
          <w:u w:val="single" w:color="auto"/>
          <w:color w:val="auto"/>
        </w:rPr>
        <w:t>Section 6.07(a)(xv)</w:t>
      </w:r>
      <w:r>
        <w:rPr>
          <w:rFonts w:ascii="Arial" w:cs="Arial" w:eastAsia="Arial" w:hAnsi="Arial"/>
          <w:sz w:val="18"/>
          <w:szCs w:val="18"/>
          <w:color w:val="auto"/>
        </w:rPr>
        <w:t xml:space="preserve">, (b) prepayments, redemptions, purchases, defeasances and other payments in respect of any Junior Financing pursuant to </w:t>
      </w:r>
      <w:r>
        <w:rPr>
          <w:rFonts w:ascii="Arial" w:cs="Arial" w:eastAsia="Arial" w:hAnsi="Arial"/>
          <w:sz w:val="18"/>
          <w:szCs w:val="18"/>
          <w:u w:val="single" w:color="auto"/>
          <w:color w:val="auto"/>
        </w:rPr>
        <w:t>Section 6.07(b)(vi)(A), (c)</w:t>
      </w:r>
      <w:r>
        <w:rPr>
          <w:rFonts w:ascii="Arial" w:cs="Arial" w:eastAsia="Arial" w:hAnsi="Arial"/>
          <w:sz w:val="18"/>
          <w:szCs w:val="18"/>
          <w:color w:val="auto"/>
        </w:rPr>
        <w:t xml:space="preserve"> Investments pursuant to </w:t>
      </w:r>
      <w:r>
        <w:rPr>
          <w:rFonts w:ascii="Arial" w:cs="Arial" w:eastAsia="Arial" w:hAnsi="Arial"/>
          <w:sz w:val="18"/>
          <w:szCs w:val="18"/>
          <w:u w:val="single" w:color="auto"/>
          <w:color w:val="auto"/>
        </w:rPr>
        <w:t>Section 6.04(m)(A)(ii)</w:t>
      </w:r>
      <w:r>
        <w:rPr>
          <w:rFonts w:ascii="Arial" w:cs="Arial" w:eastAsia="Arial" w:hAnsi="Arial"/>
          <w:sz w:val="18"/>
          <w:szCs w:val="18"/>
          <w:color w:val="auto"/>
        </w:rPr>
        <w:t xml:space="preserve"> utilizing the Available General RP Capacity Amount or (d) prepayments, redemptions, purchases, defeasances and</w:t>
      </w:r>
    </w:p>
    <w:p>
      <w:pPr>
        <w:sectPr>
          <w:pgSz w:w="11900" w:h="16838" w:orient="portrait"/>
          <w:cols w:equalWidth="0" w:num="1">
            <w:col w:w="11240"/>
          </w:cols>
          <w:pgMar w:left="320" w:top="139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other payments in respect of any Junior Financing pursuant to </w:t>
      </w:r>
      <w:r>
        <w:rPr>
          <w:rFonts w:ascii="Arial" w:cs="Arial" w:eastAsia="Arial" w:hAnsi="Arial"/>
          <w:sz w:val="18"/>
          <w:szCs w:val="18"/>
          <w:u w:val="single" w:color="auto"/>
          <w:color w:val="auto"/>
        </w:rPr>
        <w:t>Section 6.07(b)(vi)(B)</w:t>
      </w:r>
      <w:r>
        <w:rPr>
          <w:rFonts w:ascii="Arial" w:cs="Arial" w:eastAsia="Arial" w:hAnsi="Arial"/>
          <w:sz w:val="18"/>
          <w:szCs w:val="18"/>
          <w:color w:val="auto"/>
        </w:rPr>
        <w:t xml:space="preserve"> utilizing the Available General RP Capacity Amount.</w:t>
      </w:r>
    </w:p>
    <w:p>
      <w:pPr>
        <w:spacing w:after="0" w:line="230"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Affected Financial Institution.</w:t>
      </w:r>
    </w:p>
    <w:p>
      <w:pPr>
        <w:spacing w:after="0" w:line="156"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amended, or any similar federal or state law for the relief of</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debtors.</w:t>
      </w:r>
    </w:p>
    <w:p>
      <w:pPr>
        <w:spacing w:after="0" w:line="203"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75" w:lineRule="exact"/>
        <w:rPr>
          <w:sz w:val="20"/>
          <w:szCs w:val="20"/>
          <w:color w:val="auto"/>
        </w:rPr>
      </w:pPr>
    </w:p>
    <w:p>
      <w:pPr>
        <w:jc w:val="both"/>
        <w:ind w:firstLine="127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(i)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 (ii)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(iii) any further guidance or standards published by the Basel Committee on Banking Supervision relating to Basel III.</w:t>
      </w:r>
    </w:p>
    <w:p>
      <w:pPr>
        <w:spacing w:after="0" w:line="152"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means a certification regarding beneficial ownership or control as required by the Beneficial Ownership Regulation.</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means 31 C.F.R. § 1010.230.</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Plans</w:t>
      </w:r>
      <w:r>
        <w:rPr>
          <w:rFonts w:ascii="Arial" w:cs="Arial" w:eastAsia="Arial" w:hAnsi="Arial"/>
          <w:sz w:val="19"/>
          <w:szCs w:val="19"/>
          <w:color w:val="auto"/>
        </w:rPr>
        <w:t>” means any of (a) an “employee benefit plan” (as defined in ERISA) that is subject to Title I of ERISA, (b) a “plan” as defined in and subject to Section 4975 of the Code or (c)</w:t>
      </w:r>
    </w:p>
    <w:p>
      <w:pPr>
        <w:sectPr>
          <w:pgSz w:w="11900" w:h="16838" w:orient="portrait"/>
          <w:cols w:equalWidth="0" w:num="1">
            <w:col w:w="11240"/>
          </w:cols>
          <w:pgMar w:left="320" w:top="1395" w:right="339" w:bottom="1440" w:gutter="0" w:footer="0" w:header="0"/>
        </w:sectPr>
      </w:pPr>
    </w:p>
    <w:bookmarkStart w:id="78" w:name="page79"/>
    <w:bookmarkEnd w:id="78"/>
    <w:p>
      <w:pPr>
        <w:jc w:val="both"/>
        <w:spacing w:after="0" w:line="278" w:lineRule="auto"/>
        <w:rPr>
          <w:sz w:val="20"/>
          <w:szCs w:val="20"/>
          <w:color w:val="auto"/>
        </w:rPr>
      </w:pPr>
      <w:r>
        <w:rPr>
          <w:rFonts w:ascii="Arial" w:cs="Arial" w:eastAsia="Arial" w:hAnsi="Arial"/>
          <w:sz w:val="19"/>
          <w:szCs w:val="19"/>
          <w:color w:val="auto"/>
        </w:rPr>
        <w:t>any Person whose assets include (for purposes of ERISA Section 3(42) or otherwise for purposes of Title I of ERISA or Section 4975 of the Code) the assets of any such “employee benefit plan” or “plan”.</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of a party means an ‘affiliate’ (as such term is defined under, and interpreted in accordance with, 12 U.S.C. 1841(k)) of such party.</w:t>
      </w:r>
    </w:p>
    <w:p>
      <w:pPr>
        <w:spacing w:after="0" w:line="156" w:lineRule="exact"/>
        <w:rPr>
          <w:sz w:val="20"/>
          <w:szCs w:val="20"/>
          <w:color w:val="auto"/>
        </w:rPr>
      </w:pPr>
    </w:p>
    <w:p>
      <w:pPr>
        <w:jc w:val="both"/>
        <w:ind w:firstLine="127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Governors</w:t>
      </w:r>
      <w:r>
        <w:rPr>
          <w:rFonts w:ascii="Arial" w:cs="Arial" w:eastAsia="Arial" w:hAnsi="Arial"/>
          <w:sz w:val="19"/>
          <w:szCs w:val="19"/>
          <w:color w:val="auto"/>
        </w:rPr>
        <w:t>” means the Board of Governors of the Federal Reserve System of the United States of America.</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Bookrunner</w:t>
      </w:r>
      <w:r>
        <w:rPr>
          <w:rFonts w:ascii="Arial" w:cs="Arial" w:eastAsia="Arial" w:hAnsi="Arial"/>
          <w:sz w:val="19"/>
          <w:szCs w:val="19"/>
          <w:color w:val="auto"/>
        </w:rPr>
        <w:t>” means each of JPMorgan, Bank of America, N.A., Barclays Bank PLC and Morgan Stanley Senior Funding, Inc., each in its capacity as a bookrunner.</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has the meaning assigned to such term in the preliminary statements hereto.</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Materials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5.01</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Offer of Specified Discount Prepayment</w:t>
      </w:r>
      <w:r>
        <w:rPr>
          <w:rFonts w:ascii="Arial" w:cs="Arial" w:eastAsia="Arial" w:hAnsi="Arial"/>
          <w:sz w:val="19"/>
          <w:szCs w:val="19"/>
          <w:color w:val="auto"/>
        </w:rPr>
        <w:t xml:space="preserve">” means the offer by the Borrower to make a voluntary prepayment of Term Loans at a Specified Discount to par pursuant to </w:t>
      </w:r>
      <w:r>
        <w:rPr>
          <w:rFonts w:ascii="Arial" w:cs="Arial" w:eastAsia="Arial" w:hAnsi="Arial"/>
          <w:sz w:val="19"/>
          <w:szCs w:val="19"/>
          <w:u w:val="single" w:color="auto"/>
          <w:color w:val="auto"/>
        </w:rPr>
        <w:t>Section 2.11(a)(ii)(B)</w:t>
      </w:r>
      <w:r>
        <w:rPr>
          <w:rFonts w:ascii="Arial" w:cs="Arial" w:eastAsia="Arial" w:hAnsi="Arial"/>
          <w:sz w:val="19"/>
          <w:szCs w:val="19"/>
          <w:color w:val="auto"/>
        </w:rPr>
        <w:t>.</w:t>
      </w:r>
    </w:p>
    <w:p>
      <w:pPr>
        <w:spacing w:after="0" w:line="156"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Solicitation of Discount Range Prepayment Offers</w:t>
      </w:r>
      <w:r>
        <w:rPr>
          <w:rFonts w:ascii="Arial" w:cs="Arial" w:eastAsia="Arial" w:hAnsi="Arial"/>
          <w:sz w:val="19"/>
          <w:szCs w:val="19"/>
          <w:color w:val="auto"/>
        </w:rPr>
        <w:t xml:space="preserve">” means the solicitation by the Borrower of offers for, and the corresponding acceptance by a Term Lender of, a voluntary prepayment of Term Loans at a specified range at a discount to par pursuant to </w:t>
      </w:r>
      <w:r>
        <w:rPr>
          <w:rFonts w:ascii="Arial" w:cs="Arial" w:eastAsia="Arial" w:hAnsi="Arial"/>
          <w:sz w:val="19"/>
          <w:szCs w:val="19"/>
          <w:u w:val="single" w:color="auto"/>
          <w:color w:val="auto"/>
        </w:rPr>
        <w:t>Section 2.11(a)(ii)(C)</w:t>
      </w:r>
      <w:r>
        <w:rPr>
          <w:rFonts w:ascii="Arial" w:cs="Arial" w:eastAsia="Arial" w:hAnsi="Arial"/>
          <w:sz w:val="19"/>
          <w:szCs w:val="19"/>
          <w:color w:val="auto"/>
        </w:rPr>
        <w:t>.</w:t>
      </w:r>
    </w:p>
    <w:p>
      <w:pPr>
        <w:spacing w:after="0" w:line="16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Solicitation of Discounted Prepayment Offers</w:t>
      </w:r>
      <w:r>
        <w:rPr>
          <w:rFonts w:ascii="Arial" w:cs="Arial" w:eastAsia="Arial" w:hAnsi="Arial"/>
          <w:sz w:val="19"/>
          <w:szCs w:val="19"/>
          <w:color w:val="auto"/>
        </w:rPr>
        <w:t xml:space="preserve">” means the solicitation by the Borrower of offers for, and the subsequent acceptance, if any, by a Term Lender of, a voluntary prepayment of Term Loans at a discount to par pursuant to </w:t>
      </w:r>
      <w:r>
        <w:rPr>
          <w:rFonts w:ascii="Arial" w:cs="Arial" w:eastAsia="Arial" w:hAnsi="Arial"/>
          <w:sz w:val="19"/>
          <w:szCs w:val="19"/>
          <w:u w:val="single" w:color="auto"/>
          <w:color w:val="auto"/>
        </w:rPr>
        <w:t>Section 2.11(a)(ii)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w:t>
      </w:r>
    </w:p>
    <w:p>
      <w:pPr>
        <w:spacing w:after="0" w:line="16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Loans of the same Class and Type, made, converted or continued on the same date and, in the case of Eurodollar Loans, as to which a single Interest Period is in effect.</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Minimum</w:t>
      </w:r>
      <w:r>
        <w:rPr>
          <w:rFonts w:ascii="Arial" w:cs="Arial" w:eastAsia="Arial" w:hAnsi="Arial"/>
          <w:sz w:val="19"/>
          <w:szCs w:val="19"/>
          <w:color w:val="auto"/>
        </w:rPr>
        <w:t>” means (a) in the case of a Eurodollar Revolving Borrowing, $500,000 and (b) in the case of an ABR Revolving Borrowing, $250,000.</w:t>
      </w:r>
    </w:p>
    <w:p>
      <w:pPr>
        <w:spacing w:after="0" w:line="156" w:lineRule="exact"/>
        <w:rPr>
          <w:sz w:val="20"/>
          <w:szCs w:val="20"/>
          <w:color w:val="auto"/>
        </w:rPr>
      </w:pPr>
    </w:p>
    <w:p>
      <w:pPr>
        <w:jc w:val="both"/>
        <w:ind w:right="20"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Multiple</w:t>
      </w:r>
      <w:r>
        <w:rPr>
          <w:rFonts w:ascii="Arial" w:cs="Arial" w:eastAsia="Arial" w:hAnsi="Arial"/>
          <w:sz w:val="19"/>
          <w:szCs w:val="19"/>
          <w:color w:val="auto"/>
        </w:rPr>
        <w:t>” means (a) in the case of a Eurodollar Revolving Borrowing, $500,000 and (b) in the case of an ABR Revolving Borrowing, $250,000.</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Request</w:t>
      </w:r>
      <w:r>
        <w:rPr>
          <w:rFonts w:ascii="Arial" w:cs="Arial" w:eastAsia="Arial" w:hAnsi="Arial"/>
          <w:sz w:val="19"/>
          <w:szCs w:val="19"/>
          <w:color w:val="auto"/>
        </w:rPr>
        <w:t xml:space="preserve">” means a request by the Borrower for a Borrowing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that is not a Saturday, Sunday or other day on which commercial banks in New York City are authorized or required by Requirements of Law to remain</w:t>
      </w:r>
    </w:p>
    <w:p>
      <w:pPr>
        <w:sectPr>
          <w:pgSz w:w="11900" w:h="16838" w:orient="portrait"/>
          <w:cols w:equalWidth="0" w:num="1">
            <w:col w:w="11240"/>
          </w:cols>
          <w:pgMar w:left="320" w:top="1395" w:right="339" w:bottom="1440" w:gutter="0" w:footer="0" w:header="0"/>
        </w:sectPr>
      </w:pPr>
    </w:p>
    <w:bookmarkStart w:id="79" w:name="page80"/>
    <w:bookmarkEnd w:id="79"/>
    <w:p>
      <w:pPr>
        <w:jc w:val="both"/>
        <w:spacing w:after="0" w:line="278" w:lineRule="auto"/>
        <w:rPr>
          <w:sz w:val="20"/>
          <w:szCs w:val="20"/>
          <w:color w:val="auto"/>
        </w:rPr>
      </w:pPr>
      <w:r>
        <w:rPr>
          <w:rFonts w:ascii="Arial" w:cs="Arial" w:eastAsia="Arial" w:hAnsi="Arial"/>
          <w:sz w:val="19"/>
          <w:szCs w:val="19"/>
          <w:color w:val="auto"/>
        </w:rPr>
        <w:t xml:space="preserve">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 used in connection with a Eurodollar Loan, the term “Business Day” shall also exclude any day on which banks are not open for dealings in dollar deposits in the London interbank market.</w:t>
      </w:r>
    </w:p>
    <w:p>
      <w:pPr>
        <w:spacing w:after="0" w:line="156" w:lineRule="exact"/>
        <w:rPr>
          <w:sz w:val="20"/>
          <w:szCs w:val="20"/>
          <w:color w:val="auto"/>
        </w:rPr>
      </w:pPr>
    </w:p>
    <w:p>
      <w:pPr>
        <w:jc w:val="both"/>
        <w:ind w:firstLine="127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For purposes of </w:t>
      </w:r>
      <w:r>
        <w:rPr>
          <w:rFonts w:ascii="Arial" w:cs="Arial" w:eastAsia="Arial" w:hAnsi="Arial"/>
          <w:sz w:val="18"/>
          <w:szCs w:val="18"/>
          <w:u w:val="single" w:color="auto"/>
          <w:color w:val="auto"/>
        </w:rPr>
        <w:t>Section 6.02</w:t>
      </w:r>
      <w:r>
        <w:rPr>
          <w:rFonts w:ascii="Arial" w:cs="Arial" w:eastAsia="Arial" w:hAnsi="Arial"/>
          <w:sz w:val="18"/>
          <w:szCs w:val="18"/>
          <w:color w:val="auto"/>
        </w:rPr>
        <w:t>, a Capital Lease Obligation shall be deemed to be secured by a Lien on the property being leased and such property shall be deemed to be owned by the lessee.</w:t>
      </w:r>
    </w:p>
    <w:p>
      <w:pPr>
        <w:spacing w:after="0" w:line="165"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Leases</w:t>
      </w:r>
      <w:r>
        <w:rPr>
          <w:rFonts w:ascii="Arial" w:cs="Arial" w:eastAsia="Arial" w:hAnsi="Arial"/>
          <w:sz w:val="19"/>
          <w:szCs w:val="19"/>
          <w:color w:val="auto"/>
        </w:rPr>
        <w:t xml:space="preserve">” means all leases that have been or should be, in accordance with GAAP as in effect prior to the adoption of ASU 2016-02, Leases, recorded as capitalized leases;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all purposes hereunder the amount of obligations under any Capitalized Lease shall be the amount thereof accounted for as a liability in accordance with GAAP as in effect prior to the adoption of ASU 2016-02, Leases.</w:t>
      </w:r>
    </w:p>
    <w:p>
      <w:pPr>
        <w:spacing w:after="0" w:line="177" w:lineRule="exact"/>
        <w:rPr>
          <w:sz w:val="20"/>
          <w:szCs w:val="20"/>
          <w:color w:val="auto"/>
        </w:rPr>
      </w:pPr>
    </w:p>
    <w:p>
      <w:pPr>
        <w:jc w:val="both"/>
        <w:ind w:firstLine="127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Software Expenditures</w:t>
      </w:r>
      <w:r>
        <w:rPr>
          <w:rFonts w:ascii="Arial" w:cs="Arial" w:eastAsia="Arial" w:hAnsi="Arial"/>
          <w:sz w:val="17"/>
          <w:szCs w:val="17"/>
          <w:color w:val="auto"/>
        </w:rPr>
        <w:t>” means, for any period, the aggregate of all expenditures (whether paid in cash or accrued as liabilities) by Holdings, any Intermediate Parent,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Holdings, any Intermediate Parent, the Borrower and its Restricted Subsidiaries.</w:t>
      </w:r>
    </w:p>
    <w:p>
      <w:pPr>
        <w:spacing w:after="0" w:line="145"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Obligations</w:t>
      </w:r>
      <w:r>
        <w:rPr>
          <w:rFonts w:ascii="Arial" w:cs="Arial" w:eastAsia="Arial" w:hAnsi="Arial"/>
          <w:sz w:val="19"/>
          <w:szCs w:val="19"/>
          <w:color w:val="auto"/>
        </w:rPr>
        <w:t>”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has the meaning assigned to such term in the definition of “Secured Cash Management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Obligations”.</w:t>
      </w:r>
    </w:p>
    <w:p>
      <w:pPr>
        <w:spacing w:after="0" w:line="203"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Casualty Event</w:t>
      </w:r>
      <w:r>
        <w:rPr>
          <w:rFonts w:ascii="Arial" w:cs="Arial" w:eastAsia="Arial" w:hAnsi="Arial"/>
          <w:sz w:val="19"/>
          <w:szCs w:val="19"/>
          <w:color w:val="auto"/>
        </w:rPr>
        <w:t>” means any event that gives rise to the receipt by the Borrower or any Subsidiary of any insurance proceeds or condemnation awards, in each case, in respect of any equipment, fixed assets or real property (including any improvements thereon) to replace or repair such equipment, fixed assets or real property.</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means a “controlled foreign corporation” within the meaning of Section 957 of the Code.</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 Holdco</w:t>
      </w:r>
      <w:r>
        <w:rPr>
          <w:rFonts w:ascii="Arial" w:cs="Arial" w:eastAsia="Arial" w:hAnsi="Arial"/>
          <w:sz w:val="19"/>
          <w:szCs w:val="19"/>
          <w:color w:val="auto"/>
        </w:rPr>
        <w:t>” means any direct or indirect Domestic Subsidiary that has no material assets other than Equity Interests and debt, if any, in one or more direct or indirect Foreign Subsidiaries that are CFCs.</w:t>
      </w:r>
    </w:p>
    <w:p>
      <w:pPr>
        <w:spacing w:after="0" w:line="156"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w:t>
      </w:r>
    </w:p>
    <w:p>
      <w:pPr>
        <w:sectPr>
          <w:pgSz w:w="11900" w:h="16838" w:orient="portrait"/>
          <w:cols w:equalWidth="0" w:num="1">
            <w:col w:w="11240"/>
          </w:cols>
          <w:pgMar w:left="320" w:top="1395" w:right="339" w:bottom="1440" w:gutter="0" w:footer="0" w:header="0"/>
        </w:sectPr>
      </w:pPr>
    </w:p>
    <w:bookmarkStart w:id="80" w:name="page81"/>
    <w:bookmarkEnd w:id="80"/>
    <w:p>
      <w:pPr>
        <w:jc w:val="both"/>
        <w:spacing w:after="0" w:line="267" w:lineRule="auto"/>
        <w:rPr>
          <w:sz w:val="20"/>
          <w:szCs w:val="20"/>
          <w:color w:val="auto"/>
        </w:rPr>
      </w:pPr>
      <w:r>
        <w:rPr>
          <w:rFonts w:ascii="Arial" w:cs="Arial" w:eastAsia="Arial" w:hAnsi="Arial"/>
          <w:sz w:val="18"/>
          <w:szCs w:val="18"/>
          <w:color w:val="auto"/>
        </w:rPr>
        <w:t xml:space="preserve">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the United States or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Administrative Agent or any Lender in substantially the same manner as applied to other similarly situated borrowers under comparable syndicated credit facilities, including for purposes of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72"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failure of Holdings, directly or indirectly through Wholly Owned Subsidiaries, to own all of the Equity Interests of the Borrower, (b) the acquisition of beneficial ownership, directly or indirectly, by any Person or group, other than the Permitted Holder (directly or indirectly, including through one or more holding companies), of Equity Interests representing 35% or more of the aggregate ordinary voting power represented by the issued and outstanding Equity Interests in Holdings and the percentage of the aggregate ordinary voting power so held is greater than the percentage of the aggregate ordinary voting power represented by the Equity Interests in Holdings held by the Permitted Holder, unless the Permitted Holder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(c) the occurrence of a “Change of Control” (or similar event, however denominated), as defined in the documentation governing any Junior Financing that is Material Indebtedness.</w:t>
      </w:r>
    </w:p>
    <w:p>
      <w:pPr>
        <w:spacing w:after="0" w:line="175"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For purposes of this definition, (i) “beneficial ownership” shall be as defined in Rules 13(d)-3 and 13(d)-5 under the Exchange Act, (ii) the phrase “Person or group” shall be as defined in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 the issued and outstanding Equity Interests of Holdings or the Borrower, as applicable, directly or indirectly owned by the Permitted Holder that are part of such Person or “group” shall not be treated as being owned by such Person or “group” for purposes of determining whether clause (b) of this definition is triggered.</w:t>
      </w:r>
    </w:p>
    <w:p>
      <w:pPr>
        <w:spacing w:after="0" w:line="166"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 any Loan or Borrowing, refers to whether such Loan, or the Loans comprising such Borrowing, are Revolving Loans, Other Revolving Loans, Initial Term Loans, Incremental Term Loans or Other Term Loans, (b) any Commitment, refers to whether such Commitment is a Revolving Commitment, Other Revolving Commitment, Term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and Incremental Term Loans that have different terms and conditions shall be construed to be in different Classes.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w:t>
      </w:r>
    </w:p>
    <w:p>
      <w:pPr>
        <w:sectPr>
          <w:pgSz w:w="11900" w:h="16838" w:orient="portrait"/>
          <w:cols w:equalWidth="0" w:num="1">
            <w:col w:w="11240"/>
          </w:cols>
          <w:pgMar w:left="320" w:top="1395" w:right="339" w:bottom="1440" w:gutter="0" w:footer="0" w:header="0"/>
        </w:sectPr>
      </w:pPr>
    </w:p>
    <w:bookmarkStart w:id="81" w:name="page82"/>
    <w:bookmarkEnd w:id="81"/>
    <w:p>
      <w:pPr>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any and all assets, whether real or personal, tangible or intangible, on which Liens are purported to be granted pursuant to the Security Documents as security for the Secured Obligations.</w:t>
      </w:r>
    </w:p>
    <w:p>
      <w:pPr>
        <w:spacing w:after="0" w:line="156" w:lineRule="exact"/>
        <w:rPr>
          <w:sz w:val="20"/>
          <w:szCs w:val="20"/>
          <w:color w:val="auto"/>
        </w:rPr>
      </w:pPr>
    </w:p>
    <w:p>
      <w:pPr>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Agent</w:t>
      </w:r>
      <w:r>
        <w:rPr>
          <w:rFonts w:ascii="Arial" w:cs="Arial" w:eastAsia="Arial" w:hAnsi="Arial"/>
          <w:sz w:val="19"/>
          <w:szCs w:val="19"/>
          <w:color w:val="auto"/>
        </w:rPr>
        <w:t xml:space="preserve">” means JPMorgan, in its capacity as Collateral Agent hereunder and under the other Loan Documents, and its successors in such capacity as provided in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56" w:lineRule="exact"/>
        <w:rPr>
          <w:sz w:val="20"/>
          <w:szCs w:val="20"/>
          <w:color w:val="auto"/>
        </w:rPr>
      </w:pPr>
    </w:p>
    <w:p>
      <w:pPr>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Agreement</w:t>
      </w:r>
      <w:r>
        <w:rPr>
          <w:rFonts w:ascii="Arial" w:cs="Arial" w:eastAsia="Arial" w:hAnsi="Arial"/>
          <w:sz w:val="19"/>
          <w:szCs w:val="19"/>
          <w:color w:val="auto"/>
        </w:rPr>
        <w:t xml:space="preserve">” means the Collateral Agreement among the Borrower, each other Loan Party and the Collateral Agent,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and Guarantee Requirement</w:t>
      </w:r>
      <w:r>
        <w:rPr>
          <w:rFonts w:ascii="Arial" w:cs="Arial" w:eastAsia="Arial" w:hAnsi="Arial"/>
          <w:sz w:val="19"/>
          <w:szCs w:val="19"/>
          <w:color w:val="auto"/>
        </w:rPr>
        <w:t>” means, at any time, the requirement that:</w:t>
      </w:r>
    </w:p>
    <w:p>
      <w:pPr>
        <w:spacing w:after="0" w:line="219" w:lineRule="exact"/>
        <w:rPr>
          <w:sz w:val="20"/>
          <w:szCs w:val="20"/>
          <w:color w:val="auto"/>
        </w:rPr>
      </w:pPr>
    </w:p>
    <w:p>
      <w:pPr>
        <w:ind w:left="1680" w:hanging="402"/>
        <w:spacing w:after="0"/>
        <w:tabs>
          <w:tab w:leader="none" w:pos="16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Administrative Agent shall have received from</w:t>
      </w:r>
    </w:p>
    <w:p>
      <w:pPr>
        <w:spacing w:after="0" w:line="218" w:lineRule="exact"/>
        <w:rPr>
          <w:rFonts w:ascii="Arial" w:cs="Arial" w:eastAsia="Arial" w:hAnsi="Arial"/>
          <w:sz w:val="19"/>
          <w:szCs w:val="19"/>
          <w:color w:val="auto"/>
        </w:rPr>
      </w:pPr>
    </w:p>
    <w:p>
      <w:pPr>
        <w:jc w:val="both"/>
        <w:ind w:left="1280" w:firstLine="634"/>
        <w:spacing w:after="0" w:line="255" w:lineRule="auto"/>
        <w:tabs>
          <w:tab w:leader="none" w:pos="2472" w:val="left"/>
        </w:tabs>
        <w:numPr>
          <w:ilvl w:val="1"/>
          <w:numId w:val="43"/>
        </w:numPr>
        <w:rPr>
          <w:rFonts w:ascii="Arial" w:cs="Arial" w:eastAsia="Arial" w:hAnsi="Arial"/>
          <w:sz w:val="19"/>
          <w:szCs w:val="19"/>
          <w:color w:val="auto"/>
        </w:rPr>
      </w:pPr>
      <w:r>
        <w:rPr>
          <w:rFonts w:ascii="Arial" w:cs="Arial" w:eastAsia="Arial" w:hAnsi="Arial"/>
          <w:sz w:val="19"/>
          <w:szCs w:val="19"/>
          <w:color w:val="auto"/>
        </w:rPr>
        <w:t>Holdings, any Intermediate Parent, the Borrower, each other Loan Party and each of the other Restricted Subsidiaries (other than any Excluded Subsidiary) either (x) a counterpart of the Guarantee Agreement duly executed and delivered on behalf of such Person or (y) in the case of any Person that becomes a Loan Party after the Effective Date (including by ceasing to be an Excluded Subsidiary), a supplement to the Guarantee Agreement, in substantially the form specified therein, duly executed and delivered on behalf of such Person, and</w:t>
      </w:r>
    </w:p>
    <w:p>
      <w:pPr>
        <w:spacing w:after="0" w:line="177" w:lineRule="exact"/>
        <w:rPr>
          <w:rFonts w:ascii="Arial" w:cs="Arial" w:eastAsia="Arial" w:hAnsi="Arial"/>
          <w:sz w:val="19"/>
          <w:szCs w:val="19"/>
          <w:color w:val="auto"/>
        </w:rPr>
      </w:pPr>
    </w:p>
    <w:p>
      <w:pPr>
        <w:jc w:val="both"/>
        <w:ind w:left="1280" w:firstLine="634"/>
        <w:spacing w:after="0" w:line="276" w:lineRule="auto"/>
        <w:tabs>
          <w:tab w:leader="none" w:pos="24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Holdings, any Intermediate Parent, the Borrower and each other Loan Party either (x) a counterpart of the Collateral Agreement duly executed and delivered on behalf of such Person or (y) in the case of any Person that becomes a Loan Party after the Effective Date (including by ceasing to be an Excluded Subsidiary), a supplement to the Collateral Agreement, in substantially the form specified therein, duly executed and delivered on behalf of such Person;</w:t>
      </w:r>
    </w:p>
    <w:p>
      <w:pPr>
        <w:spacing w:after="0" w:line="161" w:lineRule="exact"/>
        <w:rPr>
          <w:sz w:val="20"/>
          <w:szCs w:val="20"/>
          <w:color w:val="auto"/>
        </w:rPr>
      </w:pPr>
    </w:p>
    <w:p>
      <w:pPr>
        <w:jc w:val="both"/>
        <w:ind w:left="640" w:firstLine="636"/>
        <w:spacing w:after="0" w:line="263" w:lineRule="auto"/>
        <w:rPr>
          <w:sz w:val="20"/>
          <w:szCs w:val="20"/>
          <w:color w:val="auto"/>
        </w:rPr>
      </w:pPr>
      <w:r>
        <w:rPr>
          <w:rFonts w:ascii="Arial" w:cs="Arial" w:eastAsia="Arial" w:hAnsi="Arial"/>
          <w:sz w:val="19"/>
          <w:szCs w:val="19"/>
          <w:color w:val="auto"/>
        </w:rPr>
        <w:t xml:space="preserve">in each case under this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together with, in the case of any such Loan Documents executed and delivered after the Effective Date, to the extent reasonably requested by the Administrative Agent, opinions and documents of the type referred to in </w:t>
      </w:r>
      <w:r>
        <w:rPr>
          <w:rFonts w:ascii="Arial" w:cs="Arial" w:eastAsia="Arial" w:hAnsi="Arial"/>
          <w:sz w:val="19"/>
          <w:szCs w:val="19"/>
          <w:u w:val="single" w:color="auto"/>
          <w:color w:val="auto"/>
        </w:rPr>
        <w:t>Sections 4.01(b)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4.01(d)</w:t>
      </w:r>
      <w:r>
        <w:rPr>
          <w:rFonts w:ascii="Arial" w:cs="Arial" w:eastAsia="Arial" w:hAnsi="Arial"/>
          <w:sz w:val="19"/>
          <w:szCs w:val="19"/>
          <w:color w:val="auto"/>
        </w:rPr>
        <w:t>;</w:t>
      </w:r>
    </w:p>
    <w:p>
      <w:pPr>
        <w:spacing w:after="0" w:line="169" w:lineRule="exact"/>
        <w:rPr>
          <w:sz w:val="20"/>
          <w:szCs w:val="20"/>
          <w:color w:val="auto"/>
        </w:rPr>
      </w:pPr>
    </w:p>
    <w:p>
      <w:pPr>
        <w:jc w:val="both"/>
        <w:ind w:left="640" w:firstLine="638"/>
        <w:spacing w:after="0" w:line="292" w:lineRule="auto"/>
        <w:tabs>
          <w:tab w:leader="none" w:pos="175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5.14</w:t>
      </w:r>
      <w:r>
        <w:rPr>
          <w:rFonts w:ascii="Arial" w:cs="Arial" w:eastAsia="Arial" w:hAnsi="Arial"/>
          <w:sz w:val="17"/>
          <w:szCs w:val="17"/>
          <w:color w:val="auto"/>
        </w:rPr>
        <w:t>, all outstanding Equity Interests of the Borrower and each Restricted Subsidiary (other than any Equity Interests constituting Excluded Assets or Equity Interests of Immaterial Subsidiaries) owned by or on behalf of any Loan Party, shall have been pledged pursuant to the Collateral Agreement, and the Administrative Agent shall have received certificates, if any, of such entity reflecting the pledge, or other instruments, if any, representing all such Equity Interests (other than such Equity Interests in Immaterial Subsidiaries), together with undated stock powers or other instruments of transfer with respect thereto endorsed in blank;</w:t>
      </w:r>
    </w:p>
    <w:p>
      <w:pPr>
        <w:spacing w:after="0" w:line="149" w:lineRule="exact"/>
        <w:rPr>
          <w:rFonts w:ascii="Arial" w:cs="Arial" w:eastAsia="Arial" w:hAnsi="Arial"/>
          <w:sz w:val="17"/>
          <w:szCs w:val="17"/>
          <w:color w:val="auto"/>
        </w:rPr>
      </w:pPr>
    </w:p>
    <w:p>
      <w:pPr>
        <w:jc w:val="both"/>
        <w:ind w:left="640" w:firstLine="638"/>
        <w:spacing w:after="0" w:line="253" w:lineRule="auto"/>
        <w:tabs>
          <w:tab w:leader="none" w:pos="1721"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(i) if any intercompany Indebtedness for borrowed money of Holdings, any Intermediate Parent, the Borrower, any other Loan Party or any Subsidiary in a principal amount of $7,500,000 or more is owing by such obligor to any Loan Party and such Indebtedness shall be evidenced by a promissory note, such promissory note shall be pledged pursuant to the Collateral Agreement, and the Administrative Agent shall have received all such promissory notes, together with undated instruments of transfer with respect thereto endorsed in blank;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foregoing delivery requirement with respect to any intercompany indebtedness may be satisfied by delivery of an omnibus or global</w:t>
      </w:r>
    </w:p>
    <w:p>
      <w:pPr>
        <w:sectPr>
          <w:pgSz w:w="11900" w:h="16838" w:orient="portrait"/>
          <w:cols w:equalWidth="0" w:num="1">
            <w:col w:w="11240"/>
          </w:cols>
          <w:pgMar w:left="320" w:top="1395" w:right="339" w:bottom="1440" w:gutter="0" w:footer="0" w:header="0"/>
        </w:sectPr>
      </w:pPr>
    </w:p>
    <w:bookmarkStart w:id="82" w:name="page83"/>
    <w:bookmarkEnd w:id="82"/>
    <w:p>
      <w:pPr>
        <w:jc w:val="both"/>
        <w:spacing w:after="0" w:line="272" w:lineRule="auto"/>
        <w:rPr>
          <w:sz w:val="20"/>
          <w:szCs w:val="20"/>
          <w:color w:val="auto"/>
        </w:rPr>
      </w:pPr>
      <w:r>
        <w:rPr>
          <w:rFonts w:ascii="Arial" w:cs="Arial" w:eastAsia="Arial" w:hAnsi="Arial"/>
          <w:sz w:val="18"/>
          <w:szCs w:val="18"/>
          <w:color w:val="auto"/>
        </w:rPr>
        <w:t>intercompany note executed by all Loan Parties as payees and all such obligors as payors in the form of the Master Intercompany Note and (ii) if any Indebtedness for borrowed money of any Person that is not a Loan Party or a Restricted Subsidiary in a principal amount of $7,500,000 or more is owing by such obligor to any Loan Party and such Indebtedness is evidenced by a promissory note, such promissory note shall be pledged pursuant to the Collateral Agreement and the Administrative Agent shall have received all such promissory notes, together with undated instruments of transfer with respect thereto endorsed in blank;</w:t>
      </w:r>
    </w:p>
    <w:p>
      <w:pPr>
        <w:spacing w:after="0" w:line="165" w:lineRule="exact"/>
        <w:rPr>
          <w:sz w:val="20"/>
          <w:szCs w:val="20"/>
          <w:color w:val="auto"/>
        </w:rPr>
      </w:pPr>
    </w:p>
    <w:p>
      <w:pPr>
        <w:jc w:val="both"/>
        <w:ind w:firstLine="638"/>
        <w:spacing w:after="0" w:line="252" w:lineRule="auto"/>
        <w:tabs>
          <w:tab w:leader="none" w:pos="1057" w:val="left"/>
        </w:tabs>
        <w:numPr>
          <w:ilvl w:val="0"/>
          <w:numId w:val="45"/>
        </w:numPr>
        <w:rPr>
          <w:rFonts w:ascii="Arial" w:cs="Arial" w:eastAsia="Arial" w:hAnsi="Arial"/>
          <w:sz w:val="19"/>
          <w:szCs w:val="19"/>
          <w:color w:val="auto"/>
        </w:rPr>
      </w:pPr>
      <w:r>
        <w:rPr>
          <w:rFonts w:ascii="Arial" w:cs="Arial" w:eastAsia="Arial" w:hAnsi="Arial"/>
          <w:sz w:val="19"/>
          <w:szCs w:val="19"/>
          <w:color w:val="auto"/>
        </w:rPr>
        <w:t>with respect to any Collateral owned by any Loan Party, all certificates, agreements, documents and instruments, including Uniform Commercial Code financing statements and Intellectual Property Security Agreements required by this Agreement,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Administrative Agent for filing, registration or recording; and</w:t>
      </w:r>
    </w:p>
    <w:p>
      <w:pPr>
        <w:spacing w:after="0" w:line="182" w:lineRule="exact"/>
        <w:rPr>
          <w:rFonts w:ascii="Arial" w:cs="Arial" w:eastAsia="Arial" w:hAnsi="Arial"/>
          <w:sz w:val="19"/>
          <w:szCs w:val="19"/>
          <w:color w:val="auto"/>
        </w:rPr>
      </w:pPr>
    </w:p>
    <w:p>
      <w:pPr>
        <w:jc w:val="both"/>
        <w:ind w:firstLine="638"/>
        <w:spacing w:after="0" w:line="279" w:lineRule="auto"/>
        <w:tabs>
          <w:tab w:leader="none" w:pos="1089"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(i) counterparts of a Mortgage with respect to each Material Real Property duly executed and delivered by the record owner of such Mortgaged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any Mortgaged Property is located in a jurisdiction that imposes mortgage recording taxes, intangibles tax, documentary tax or similar recording fees or taxes, the Administrative Agent will cooperate with the Borrower or the applicable Loan Party in order to minimize the amount of tax payable in connection with such Mortgage as permitted by, and in accordance with, applicable law including, to the extent permitted by applicable law, limiting the amount secured by such Mortgage to the book value of such Mortgaged Property, as reasonably determined by the Borrower, if such limitation results in such mortgage tax being calculated based upon such book value,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together with such customary lender’s endorsements (other than a creditor’s rights endorsement) as the Administrative Agent may reasonably request to the extent available in the applicable jurisdiction at commercially reasonable rates (it being agreed that the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and if any Mortgaged Property is located in an area determined by the Federal Emergency Management Agency (or any successor agency) to be located in special flood hazard area, a duly executed notice about special flood hazard area status and flood disaster assistance and evidence of such flood insurance as provided in </w:t>
      </w:r>
      <w:r>
        <w:rPr>
          <w:rFonts w:ascii="Arial" w:cs="Arial" w:eastAsia="Arial" w:hAnsi="Arial"/>
          <w:sz w:val="17"/>
          <w:szCs w:val="17"/>
          <w:u w:val="single" w:color="auto"/>
          <w:color w:val="auto"/>
        </w:rPr>
        <w:t>Section 5.07(b)</w:t>
      </w:r>
      <w:r>
        <w:rPr>
          <w:rFonts w:ascii="Arial" w:cs="Arial" w:eastAsia="Arial" w:hAnsi="Arial"/>
          <w:sz w:val="17"/>
          <w:szCs w:val="17"/>
          <w:color w:val="auto"/>
        </w:rPr>
        <w:t>, (iv) opinions, addressed to the Administrative Agent and the Secured Parties, from counsel qualified to opine in each jurisdiction where a Mortgaged Property is located regarding the enforceability of the Mortgage such other matters as may be in form and substance reasonably satisfactory to the Administrative Agent, (v) a survey or existing survey together with a no change affidavit of such Mortgaged Property, in compliance with the 2016 Minimum Standard Detail Requirements for</w:t>
      </w:r>
    </w:p>
    <w:p>
      <w:pPr>
        <w:sectPr>
          <w:pgSz w:w="11900" w:h="16838" w:orient="portrait"/>
          <w:cols w:equalWidth="0" w:num="1">
            <w:col w:w="10600"/>
          </w:cols>
          <w:pgMar w:left="960" w:top="1395" w:right="339" w:bottom="1440" w:gutter="0" w:footer="0" w:header="0"/>
        </w:sectPr>
      </w:pPr>
    </w:p>
    <w:bookmarkStart w:id="83" w:name="page84"/>
    <w:bookmarkEnd w:id="83"/>
    <w:p>
      <w:pPr>
        <w:jc w:val="both"/>
        <w:ind w:left="634"/>
        <w:spacing w:after="0" w:line="257" w:lineRule="auto"/>
        <w:rPr>
          <w:sz w:val="20"/>
          <w:szCs w:val="20"/>
          <w:color w:val="auto"/>
        </w:rPr>
      </w:pPr>
      <w:r>
        <w:rPr>
          <w:rFonts w:ascii="Arial" w:cs="Arial" w:eastAsia="Arial" w:hAnsi="Arial"/>
          <w:sz w:val="19"/>
          <w:szCs w:val="19"/>
          <w:color w:val="auto"/>
        </w:rPr>
        <w:t>ALTA/NSPS Land Title Surveys or such other ALTA/NSPS requirements as are in effect on the date of preparation of such survey and otherwise reasonably satisfactory to the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177" w:lineRule="exact"/>
        <w:rPr>
          <w:sz w:val="20"/>
          <w:szCs w:val="20"/>
          <w:color w:val="auto"/>
        </w:rPr>
      </w:pPr>
    </w:p>
    <w:p>
      <w:pPr>
        <w:ind w:left="634"/>
        <w:spacing w:after="0"/>
        <w:rPr>
          <w:sz w:val="20"/>
          <w:szCs w:val="20"/>
          <w:color w:val="auto"/>
        </w:rPr>
      </w:pPr>
      <w:r>
        <w:rPr>
          <w:rFonts w:ascii="Arial" w:cs="Arial" w:eastAsia="Arial" w:hAnsi="Arial"/>
          <w:sz w:val="18"/>
          <w:szCs w:val="18"/>
          <w:color w:val="auto"/>
        </w:rPr>
        <w:t>Notwithstanding the foregoing provisions of this definition or anything in this Agreement or any other Loan Document to the contrary,</w:t>
      </w:r>
    </w:p>
    <w:p>
      <w:pPr>
        <w:spacing w:after="0" w:line="34" w:lineRule="exact"/>
        <w:rPr>
          <w:sz w:val="20"/>
          <w:szCs w:val="20"/>
          <w:color w:val="auto"/>
        </w:rPr>
      </w:pPr>
    </w:p>
    <w:p>
      <w:pPr>
        <w:jc w:val="both"/>
        <w:ind w:left="-6" w:firstLine="6"/>
        <w:spacing w:after="0" w:line="276" w:lineRule="auto"/>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outweighs the benefits to be obtained by the Lenders therefrom;</w:t>
      </w:r>
    </w:p>
    <w:p>
      <w:pPr>
        <w:spacing w:after="0" w:line="2" w:lineRule="exact"/>
        <w:rPr>
          <w:rFonts w:ascii="Arial" w:cs="Arial" w:eastAsia="Arial" w:hAnsi="Arial"/>
          <w:sz w:val="17"/>
          <w:szCs w:val="17"/>
          <w:color w:val="auto"/>
        </w:rPr>
      </w:pPr>
    </w:p>
    <w:p>
      <w:pPr>
        <w:jc w:val="both"/>
        <w:ind w:left="-6" w:firstLine="6"/>
        <w:spacing w:after="0" w:line="278" w:lineRule="auto"/>
        <w:tabs>
          <w:tab w:leader="none" w:pos="279"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Liens required to be granted from time to time pursuant to the term “Collateral and Guarantee Requirement” shall be subject to exceptions and limitations set forth in the Security Documents; (c) [reserved]; (d) in no event shall any Loan Party be required to complete any filings or other action with respect to the perfection of security interests in any jurisdiction outside of the United States, and no actions in any non-U.S. jurisdiction or required by the laws of any non-U.S. jurisdiction shall be required to be taken, nor shall the Administrative Agent be authorized to take any such action, to create any security interests in assets located or titled outside of the United States or to perfect or make enforceable any security interests in any such assets (it being understood that there shall be no security agreements or pledge agreements governed under the laws of any non-U.S.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 non-U.S. Subsidiary ceases to be an Excluded Subsidiary and becomes a guarantor pursuant to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above, the applicable Loan Parties and the Administrative Agent (or its designees) shall enter into such customary local law security agreements and/or make such local law filings as may be reasonably and mutually agreed); (e) in no event shall any Loan Party be required to complete any filings or other action with respect to perfection of security interests in assets subject to certificates of title beyond the filing of UCC financing statements; (f)(i) in the case of intercompany debt described in the first </w:t>
      </w:r>
      <w:r>
        <w:rPr>
          <w:rFonts w:ascii="Arial" w:cs="Arial" w:eastAsia="Arial" w:hAnsi="Arial"/>
          <w:sz w:val="17"/>
          <w:szCs w:val="17"/>
          <w:u w:val="single" w:color="auto"/>
          <w:color w:val="auto"/>
        </w:rPr>
        <w:t>clause (c)(i)</w:t>
      </w:r>
      <w:r>
        <w:rPr>
          <w:rFonts w:ascii="Arial" w:cs="Arial" w:eastAsia="Arial" w:hAnsi="Arial"/>
          <w:sz w:val="17"/>
          <w:szCs w:val="17"/>
          <w:color w:val="auto"/>
        </w:rPr>
        <w:t xml:space="preserve"> of this definition, other than the filing of UCC financing statements and the delivery of the Master Intercompany Note, no perfection shall be required with respect to promissory notes evidencing such debt for borrowed money in a principal amount (individually) of less than $7,500,000 and (ii) in the case of third party debt described in the first </w:t>
      </w:r>
      <w:r>
        <w:rPr>
          <w:rFonts w:ascii="Arial" w:cs="Arial" w:eastAsia="Arial" w:hAnsi="Arial"/>
          <w:sz w:val="17"/>
          <w:szCs w:val="17"/>
          <w:u w:val="single" w:color="auto"/>
          <w:color w:val="auto"/>
        </w:rPr>
        <w:t>clause (c)(ii)</w:t>
      </w:r>
      <w:r>
        <w:rPr>
          <w:rFonts w:ascii="Arial" w:cs="Arial" w:eastAsia="Arial" w:hAnsi="Arial"/>
          <w:sz w:val="17"/>
          <w:szCs w:val="17"/>
          <w:color w:val="auto"/>
        </w:rPr>
        <w:t xml:space="preserve"> of this definition, other than the filing of UCC financing statements, no perfection shall be required with respect to promissory notes evidencing such debt for borrowed money in a principal amount (individually) of less than $7,500,000; (g) in no event shall any Loan Party be required to complete any filings or other action with respect to security interests in Intellectual Property beyond the filing of Intellectual Property Security Agreements with the United States Patent and Trademark Office or the United States Copyright Office; (h) no actions shall be required to perfect a security interest in letter of credit rights (other than the filing of UCC financing statements), except to the extent constituting a supporting obligation for other Collateral as to which perfection is accomplished by the filing a UCC financing statement; and (i) in no event shall the Collateral include any Excluded Assets.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or in connection with assets acquired, or Subsidiaries formed or acquired, after the Effective Date) and any other obligations under this definition where it determines that such action cannot be accomplished</w:t>
      </w:r>
    </w:p>
    <w:p>
      <w:pPr>
        <w:sectPr>
          <w:pgSz w:w="11900" w:h="16838" w:orient="portrait"/>
          <w:cols w:equalWidth="0" w:num="1">
            <w:col w:w="11234"/>
          </w:cols>
          <w:pgMar w:left="326" w:top="1395" w:right="339" w:bottom="1440" w:gutter="0" w:footer="0" w:header="0"/>
        </w:sectPr>
      </w:pPr>
    </w:p>
    <w:bookmarkStart w:id="84" w:name="page85"/>
    <w:bookmarkEnd w:id="84"/>
    <w:p>
      <w:pPr>
        <w:jc w:val="both"/>
        <w:spacing w:after="0" w:line="278" w:lineRule="auto"/>
        <w:rPr>
          <w:sz w:val="20"/>
          <w:szCs w:val="20"/>
          <w:color w:val="auto"/>
        </w:rPr>
      </w:pPr>
      <w:r>
        <w:rPr>
          <w:rFonts w:ascii="Arial" w:cs="Arial" w:eastAsia="Arial" w:hAnsi="Arial"/>
          <w:sz w:val="19"/>
          <w:szCs w:val="19"/>
          <w:color w:val="auto"/>
        </w:rPr>
        <w:t>without undue effort or expense by the time or times at which it would otherwise be required to be accomplished by this Agreement or the Security Documents.</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with respect to any Lender, its Revolving Commitment, Other Revolving Commitment of any Class, Term Commitment, Other Term Commitment of any Class or any combination thereof (as the context requires).</w:t>
      </w:r>
    </w:p>
    <w:p>
      <w:pPr>
        <w:spacing w:after="0" w:line="156"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 Percentage</w:t>
      </w:r>
      <w:r>
        <w:rPr>
          <w:rFonts w:ascii="Arial" w:cs="Arial" w:eastAsia="Arial" w:hAnsi="Arial"/>
          <w:sz w:val="19"/>
          <w:szCs w:val="19"/>
          <w:color w:val="auto"/>
        </w:rPr>
        <w:t>” means 0.375% per annum, or, if at any time following delivery of the consolidated financial statements pursuant to Section 5.01(a) or Section 5.01(b) (commencing with the consolidated financial statements delivered pursuant to Section 5.01(b) for the first fiscal quarter period ending after the Effective Date), the First Lien Net Leverage Ratio is less than (i) 2.50 to 1.00, 0.30% per annum or (ii) 2.00 to 1.00, 0.25% per annum.</w:t>
      </w:r>
    </w:p>
    <w:p>
      <w:pPr>
        <w:spacing w:after="0" w:line="177"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Exchange Act</w:t>
      </w:r>
      <w:r>
        <w:rPr>
          <w:rFonts w:ascii="Arial" w:cs="Arial" w:eastAsia="Arial" w:hAnsi="Arial"/>
          <w:sz w:val="19"/>
          <w:szCs w:val="19"/>
          <w:color w:val="auto"/>
        </w:rPr>
        <w:t xml:space="preserve">” means the Commodity Exchange Act (7 U.S.C. § 1 </w:t>
      </w:r>
      <w:r>
        <w:rPr>
          <w:rFonts w:ascii="Arial" w:cs="Arial" w:eastAsia="Arial" w:hAnsi="Arial"/>
          <w:sz w:val="19"/>
          <w:szCs w:val="19"/>
          <w:u w:val="single" w:color="auto"/>
          <w:color w:val="auto"/>
        </w:rPr>
        <w:t>et seq</w:t>
      </w:r>
      <w:r>
        <w:rPr>
          <w:rFonts w:ascii="Arial" w:cs="Arial" w:eastAsia="Arial" w:hAnsi="Arial"/>
          <w:sz w:val="19"/>
          <w:szCs w:val="19"/>
          <w:color w:val="auto"/>
        </w:rPr>
        <w:t>.), as amended from time to time, and any successor statute.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5.01(e)</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Cash Interest Charges</w:t>
      </w:r>
      <w:r>
        <w:rPr>
          <w:rFonts w:ascii="Arial" w:cs="Arial" w:eastAsia="Arial" w:hAnsi="Arial"/>
          <w:sz w:val="17"/>
          <w:szCs w:val="17"/>
          <w:color w:val="auto"/>
        </w:rPr>
        <w:t>” means, for any period, the total interest expense of Holdings, any Intermediate Parent, the Borrower and its Restricted Subsidiaries for such period determined on a consolidated basis net of any interest income, which shall be determined on a cash basis only and solely in respect of Indebtedness of the type described in the definition of Consolidated Total Indebtedness and excluding, for the avoidance of doubt, (i) any non-cash interest expense and any capitalized interest, whether paid or accrued, (ii) the amortization of original issue discount resulting from the issuance of Indebtedness at less than par, (iii) amortization of deferred financing costs, debt issuance costs, commissions, fees and expenses (including agency costs, amendment, consent or other front end, one-off or similar non-recurring fees), (iv) any expenses resulting from discounting of indebtedness in connection with the application of recapitalization accounting or purchase accounting, (v) penalties or interest related to Taxes and any other amounts of non-cash interest resulting from the effects of acquisition method accounting or pushdown accounting, (vi) the accretion or accrual of, or accrued interest on, discounted liabilities (other than Indebtedness) during such period, (vii) non-cash interest expense attributable to the movement of the mark-to-market valuation of obligations under hedging agreements or other derivative instruments pursuant to FASB Accounting Standards Codification No. 815-Derivatives and Hedging, (viii) any one-time cash costs associated with breakage in respect of Swap Agreements for interest rates, (ix) any payments with respect to make whole premiums, commissions or other breakage costs of any Indebtedness, (x) all non-recurring interest expense consisting of liquidated damages for failure to timely comply with registration rights obligations, all as calculated on a consolidated basis in accordance with GAAP, (xi) expensing of bridge, arrangement, structuring, commitment, fronting or other financing fees, (xii) fees and expenses (including any penalties and interest relating to Taxes but excluding any bona fide interest expense) associated with the consummation of the Transactions,</w:t>
      </w:r>
    </w:p>
    <w:p>
      <w:pPr>
        <w:spacing w:after="0" w:line="10" w:lineRule="exact"/>
        <w:rPr>
          <w:sz w:val="20"/>
          <w:szCs w:val="20"/>
          <w:color w:val="auto"/>
        </w:rPr>
      </w:pPr>
    </w:p>
    <w:p>
      <w:pPr>
        <w:ind w:left="460" w:hanging="454"/>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agency fees paid to the administrative agents and collateral agents under any credit facilities or other debt instruments or documents and</w:t>
      </w:r>
    </w:p>
    <w:p>
      <w:pPr>
        <w:spacing w:after="0" w:line="29" w:lineRule="exact"/>
        <w:rPr>
          <w:rFonts w:ascii="Arial" w:cs="Arial" w:eastAsia="Arial" w:hAnsi="Arial"/>
          <w:sz w:val="17"/>
          <w:szCs w:val="17"/>
          <w:color w:val="auto"/>
        </w:rPr>
      </w:pPr>
    </w:p>
    <w:p>
      <w:pPr>
        <w:ind w:firstLine="6"/>
        <w:spacing w:after="0" w:line="289" w:lineRule="auto"/>
        <w:tabs>
          <w:tab w:leader="none" w:pos="4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fees (including any ticking fees) and expenses (including any penalties and interest relating to Taxes) associated with any Investment not prohibited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the issuance of Equity Interests or Indebtedness (in each case excluding any bona fide interest expense).</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for any period, 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w:t>
      </w:r>
    </w:p>
    <w:p>
      <w:pPr>
        <w:sectPr>
          <w:pgSz w:w="11900" w:h="16838" w:orient="portrait"/>
          <w:cols w:equalWidth="0" w:num="1">
            <w:col w:w="11240"/>
          </w:cols>
          <w:pgMar w:left="320" w:top="1395" w:right="339" w:bottom="1440" w:gutter="0" w:footer="0" w:header="0"/>
        </w:sectPr>
      </w:pPr>
    </w:p>
    <w:bookmarkStart w:id="85" w:name="page86"/>
    <w:bookmarkEnd w:id="85"/>
    <w:p>
      <w:pPr>
        <w:ind w:firstLine="1278"/>
        <w:spacing w:after="0" w:line="278" w:lineRule="auto"/>
        <w:tabs>
          <w:tab w:leader="none" w:pos="1701" w:val="left"/>
        </w:tabs>
        <w:numPr>
          <w:ilvl w:val="0"/>
          <w:numId w:val="48"/>
        </w:numPr>
        <w:rPr>
          <w:rFonts w:ascii="Arial" w:cs="Arial" w:eastAsia="Arial" w:hAnsi="Arial"/>
          <w:sz w:val="19"/>
          <w:szCs w:val="19"/>
          <w:color w:val="auto"/>
        </w:rPr>
      </w:pPr>
      <w:r>
        <w:rPr>
          <w:rFonts w:ascii="Arial" w:cs="Arial" w:eastAsia="Arial" w:hAnsi="Arial"/>
          <w:sz w:val="19"/>
          <w:szCs w:val="19"/>
          <w:color w:val="auto"/>
        </w:rPr>
        <w:t>without duplication and to the extent already deducted (and not added back) in arriving at such Consolidated Net Income, the sum of the following amounts for such period:</w:t>
      </w:r>
    </w:p>
    <w:p>
      <w:pPr>
        <w:spacing w:after="0" w:line="156" w:lineRule="exact"/>
        <w:rPr>
          <w:rFonts w:ascii="Arial" w:cs="Arial" w:eastAsia="Arial" w:hAnsi="Arial"/>
          <w:sz w:val="19"/>
          <w:szCs w:val="19"/>
          <w:color w:val="auto"/>
        </w:rPr>
      </w:pPr>
    </w:p>
    <w:p>
      <w:pPr>
        <w:jc w:val="both"/>
        <w:ind w:firstLine="1914"/>
        <w:spacing w:after="0" w:line="250" w:lineRule="auto"/>
        <w:tabs>
          <w:tab w:leader="none" w:pos="2399"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portion of rent expense with respect to such period under Capitalized Leases that is treated as interest expense in accordance with GAAP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implied interest component of synthetic leases with respect to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bank and letter of credit fees and costs of surety bonds in connection with financing activities,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 amortization or write-off of deferred financing fees, debt issuance costs, debt discount or premium, terminated hedging obligations and other commissions, financing fees and expenses and, adjusted, to the extent included, to exclude any refunds or similar credits received in connection with the purchasing or procurement of goods or services under any purchasing card or similar program;</w:t>
      </w:r>
    </w:p>
    <w:p>
      <w:pPr>
        <w:spacing w:after="0" w:line="188" w:lineRule="exact"/>
        <w:rPr>
          <w:rFonts w:ascii="Arial" w:cs="Arial" w:eastAsia="Arial" w:hAnsi="Arial"/>
          <w:sz w:val="19"/>
          <w:szCs w:val="19"/>
          <w:color w:val="auto"/>
        </w:rPr>
      </w:pPr>
    </w:p>
    <w:p>
      <w:pPr>
        <w:jc w:val="both"/>
        <w:ind w:firstLine="1914"/>
        <w:spacing w:after="0" w:line="263" w:lineRule="auto"/>
        <w:tabs>
          <w:tab w:leader="none" w:pos="2382" w:val="left"/>
        </w:tabs>
        <w:numPr>
          <w:ilvl w:val="1"/>
          <w:numId w:val="48"/>
        </w:numPr>
        <w:rPr>
          <w:rFonts w:ascii="Arial" w:cs="Arial" w:eastAsia="Arial" w:hAnsi="Arial"/>
          <w:sz w:val="19"/>
          <w:szCs w:val="19"/>
          <w:color w:val="auto"/>
        </w:rPr>
      </w:pPr>
      <w:r>
        <w:rPr>
          <w:rFonts w:ascii="Arial" w:cs="Arial" w:eastAsia="Arial" w:hAnsi="Arial"/>
          <w:sz w:val="19"/>
          <w:szCs w:val="19"/>
          <w:color w:val="auto"/>
        </w:rPr>
        <w:t>provision for taxes based on income, profits, revenue or capital and sales taxes, including federal, foreign, state, franchise, excise, and similar taxes paid or accrued during such period (including in respect of repatriated funds) including penalties and interest related to such taxes or arising from any tax examinations;</w:t>
      </w:r>
    </w:p>
    <w:p>
      <w:pPr>
        <w:spacing w:after="0" w:line="169" w:lineRule="exact"/>
        <w:rPr>
          <w:rFonts w:ascii="Arial" w:cs="Arial" w:eastAsia="Arial" w:hAnsi="Arial"/>
          <w:sz w:val="19"/>
          <w:szCs w:val="19"/>
          <w:color w:val="auto"/>
        </w:rPr>
      </w:pPr>
    </w:p>
    <w:p>
      <w:pPr>
        <w:ind w:left="2400" w:hanging="486"/>
        <w:spacing w:after="0"/>
        <w:tabs>
          <w:tab w:leader="none" w:pos="24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Non-Cash Charges;</w:t>
      </w:r>
    </w:p>
    <w:p>
      <w:pPr>
        <w:spacing w:after="0" w:line="218" w:lineRule="exact"/>
        <w:rPr>
          <w:rFonts w:ascii="Arial" w:cs="Arial" w:eastAsia="Arial" w:hAnsi="Arial"/>
          <w:sz w:val="19"/>
          <w:szCs w:val="19"/>
          <w:color w:val="auto"/>
        </w:rPr>
      </w:pPr>
    </w:p>
    <w:p>
      <w:pPr>
        <w:ind w:left="2380" w:hanging="466"/>
        <w:spacing w:after="0"/>
        <w:tabs>
          <w:tab w:leader="none" w:pos="2380" w:val="left"/>
        </w:tabs>
        <w:numPr>
          <w:ilvl w:val="1"/>
          <w:numId w:val="48"/>
        </w:numPr>
        <w:rPr>
          <w:rFonts w:ascii="Arial" w:cs="Arial" w:eastAsia="Arial" w:hAnsi="Arial"/>
          <w:sz w:val="19"/>
          <w:szCs w:val="19"/>
          <w:color w:val="auto"/>
        </w:rPr>
      </w:pPr>
      <w:r>
        <w:rPr>
          <w:rFonts w:ascii="Arial" w:cs="Arial" w:eastAsia="Arial" w:hAnsi="Arial"/>
          <w:sz w:val="19"/>
          <w:szCs w:val="19"/>
          <w:color w:val="auto"/>
        </w:rPr>
        <w:t>[intentionally omitted];</w:t>
      </w:r>
    </w:p>
    <w:p>
      <w:pPr>
        <w:spacing w:after="0" w:line="218" w:lineRule="exact"/>
        <w:rPr>
          <w:rFonts w:ascii="Arial" w:cs="Arial" w:eastAsia="Arial" w:hAnsi="Arial"/>
          <w:sz w:val="19"/>
          <w:szCs w:val="19"/>
          <w:color w:val="auto"/>
        </w:rPr>
      </w:pPr>
    </w:p>
    <w:p>
      <w:pPr>
        <w:ind w:left="2340" w:hanging="426"/>
        <w:spacing w:after="0"/>
        <w:tabs>
          <w:tab w:leader="none" w:pos="23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[intentionally omitted];</w:t>
      </w:r>
    </w:p>
    <w:p>
      <w:pPr>
        <w:spacing w:after="0" w:line="218" w:lineRule="exact"/>
        <w:rPr>
          <w:rFonts w:ascii="Arial" w:cs="Arial" w:eastAsia="Arial" w:hAnsi="Arial"/>
          <w:sz w:val="19"/>
          <w:szCs w:val="19"/>
          <w:color w:val="auto"/>
        </w:rPr>
      </w:pPr>
    </w:p>
    <w:p>
      <w:pPr>
        <w:jc w:val="both"/>
        <w:ind w:firstLine="1914"/>
        <w:spacing w:after="0" w:line="252" w:lineRule="auto"/>
        <w:tabs>
          <w:tab w:leader="none" w:pos="2386" w:val="left"/>
        </w:tabs>
        <w:numPr>
          <w:ilvl w:val="1"/>
          <w:numId w:val="48"/>
        </w:numPr>
        <w:rPr>
          <w:rFonts w:ascii="Arial" w:cs="Arial" w:eastAsia="Arial" w:hAnsi="Arial"/>
          <w:sz w:val="19"/>
          <w:szCs w:val="19"/>
          <w:color w:val="auto"/>
        </w:rPr>
      </w:pPr>
      <w:r>
        <w:rPr>
          <w:rFonts w:ascii="Arial" w:cs="Arial" w:eastAsia="Arial" w:hAnsi="Arial"/>
          <w:sz w:val="19"/>
          <w:szCs w:val="19"/>
          <w:color w:val="auto"/>
        </w:rPr>
        <w:t>severance, relocation costs, integration and facilities’ opening costs and other business optimization expenses and operating improvements (including related to new product introductions and any operating expenses, losses or charges related to the implementation of cost savings initiatives, operating expense reductions and other similar initiatives), recruiting fees, signing costs, reserve, retention, recruiting, relocation and signing bonuses and expenses,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professional and consulting fees incurred in connection with any of the foregoing and other one-time and nonoperational costs and expenses;</w:t>
      </w:r>
    </w:p>
    <w:p>
      <w:pPr>
        <w:spacing w:after="0" w:line="182" w:lineRule="exact"/>
        <w:rPr>
          <w:rFonts w:ascii="Arial" w:cs="Arial" w:eastAsia="Arial" w:hAnsi="Arial"/>
          <w:sz w:val="19"/>
          <w:szCs w:val="19"/>
          <w:color w:val="auto"/>
        </w:rPr>
      </w:pPr>
    </w:p>
    <w:p>
      <w:pPr>
        <w:ind w:firstLine="1914"/>
        <w:spacing w:after="0" w:line="339" w:lineRule="auto"/>
        <w:tabs>
          <w:tab w:leader="none" w:pos="2496" w:val="left"/>
        </w:tabs>
        <w:numPr>
          <w:ilvl w:val="1"/>
          <w:numId w:val="48"/>
        </w:numPr>
        <w:rPr>
          <w:rFonts w:ascii="Arial" w:cs="Arial" w:eastAsia="Arial" w:hAnsi="Arial"/>
          <w:sz w:val="17"/>
          <w:szCs w:val="17"/>
          <w:color w:val="auto"/>
        </w:rPr>
      </w:pPr>
      <w:r>
        <w:rPr>
          <w:rFonts w:ascii="Arial" w:cs="Arial" w:eastAsia="Arial" w:hAnsi="Arial"/>
          <w:sz w:val="17"/>
          <w:szCs w:val="17"/>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110" w:lineRule="exact"/>
        <w:rPr>
          <w:rFonts w:ascii="Arial" w:cs="Arial" w:eastAsia="Arial" w:hAnsi="Arial"/>
          <w:sz w:val="17"/>
          <w:szCs w:val="17"/>
          <w:color w:val="auto"/>
        </w:rPr>
      </w:pPr>
    </w:p>
    <w:p>
      <w:pPr>
        <w:jc w:val="both"/>
        <w:ind w:firstLine="1914"/>
        <w:spacing w:after="0" w:line="263" w:lineRule="auto"/>
        <w:tabs>
          <w:tab w:leader="none" w:pos="2508"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amount of any non-controlling interest consisting of income attributable to non-controlling interests of third parties in any Non-Wholly Owned Subsidiary deducted (and not added back in such period) in calculating Consolidated Net Income, excluding cash distributions in respect thereof;</w:t>
      </w:r>
    </w:p>
    <w:p>
      <w:pPr>
        <w:spacing w:after="0" w:line="169" w:lineRule="exact"/>
        <w:rPr>
          <w:rFonts w:ascii="Arial" w:cs="Arial" w:eastAsia="Arial" w:hAnsi="Arial"/>
          <w:sz w:val="19"/>
          <w:szCs w:val="19"/>
          <w:color w:val="auto"/>
        </w:rPr>
      </w:pPr>
    </w:p>
    <w:p>
      <w:pPr>
        <w:ind w:left="2540" w:hanging="626"/>
        <w:spacing w:after="0"/>
        <w:tabs>
          <w:tab w:leader="none" w:pos="2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losses on asset sales, disposals or abandonments (other than asset sales, disposals or abandonments in the</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ordinary course of business);</w:t>
      </w:r>
    </w:p>
    <w:p>
      <w:pPr>
        <w:sectPr>
          <w:pgSz w:w="11900" w:h="16838" w:orient="portrait"/>
          <w:cols w:equalWidth="0" w:num="1">
            <w:col w:w="11240"/>
          </w:cols>
          <w:pgMar w:left="320" w:top="1395" w:right="339" w:bottom="1440" w:gutter="0" w:footer="0" w:header="0"/>
        </w:sectPr>
      </w:pPr>
    </w:p>
    <w:bookmarkStart w:id="86" w:name="page87"/>
    <w:bookmarkEnd w:id="86"/>
    <w:p>
      <w:pPr>
        <w:jc w:val="both"/>
        <w:ind w:left="-1120" w:firstLine="1914"/>
        <w:spacing w:after="0" w:line="263" w:lineRule="auto"/>
        <w:tabs>
          <w:tab w:leader="none" w:pos="1315"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non-cash loss attributable to the mark to market movement in the valuation of any Equity Interests, and hedging obligations or other derivative instruments (in each case, including pursuant to Financial Accounting Standards Codification No. 815— Derivatives and Hedging);</w:t>
      </w:r>
    </w:p>
    <w:p>
      <w:pPr>
        <w:spacing w:after="0" w:line="169" w:lineRule="exact"/>
        <w:rPr>
          <w:rFonts w:ascii="Arial" w:cs="Arial" w:eastAsia="Arial" w:hAnsi="Arial"/>
          <w:sz w:val="19"/>
          <w:szCs w:val="19"/>
          <w:color w:val="auto"/>
        </w:rPr>
      </w:pPr>
    </w:p>
    <w:p>
      <w:pPr>
        <w:ind w:left="-1120" w:right="20" w:firstLine="1914"/>
        <w:spacing w:after="0" w:line="278" w:lineRule="auto"/>
        <w:tabs>
          <w:tab w:leader="none" w:pos="1325"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loss relating to amounts paid in cash prior to the stated settlement date of any hedging obligation that has been reflected in Consolidated Net Income for such period;</w:t>
      </w:r>
    </w:p>
    <w:p>
      <w:pPr>
        <w:spacing w:after="0" w:line="156" w:lineRule="exact"/>
        <w:rPr>
          <w:rFonts w:ascii="Arial" w:cs="Arial" w:eastAsia="Arial" w:hAnsi="Arial"/>
          <w:sz w:val="19"/>
          <w:szCs w:val="19"/>
          <w:color w:val="auto"/>
        </w:rPr>
      </w:pPr>
    </w:p>
    <w:p>
      <w:pPr>
        <w:ind w:left="-1120" w:firstLine="1914"/>
        <w:spacing w:after="0" w:line="278" w:lineRule="auto"/>
        <w:tabs>
          <w:tab w:leader="none" w:pos="1337"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any gain relating to hedging obligations that has been reflected in Consolidated Net Income in prior periods and excluded from Consolidated EBITDA pursuant to clause </w:t>
      </w:r>
      <w:r>
        <w:rPr>
          <w:rFonts w:ascii="Arial" w:cs="Arial" w:eastAsia="Arial" w:hAnsi="Arial"/>
          <w:sz w:val="19"/>
          <w:szCs w:val="19"/>
          <w:u w:val="single" w:color="auto"/>
          <w:color w:val="auto"/>
        </w:rPr>
        <w:t>(c)(iv)</w:t>
      </w:r>
      <w:r>
        <w:rPr>
          <w:rFonts w:ascii="Arial" w:cs="Arial" w:eastAsia="Arial" w:hAnsi="Arial"/>
          <w:sz w:val="19"/>
          <w:szCs w:val="19"/>
          <w:color w:val="auto"/>
        </w:rPr>
        <w:t xml:space="preserve"> below;</w:t>
      </w:r>
    </w:p>
    <w:p>
      <w:pPr>
        <w:spacing w:after="0" w:line="156" w:lineRule="exact"/>
        <w:rPr>
          <w:rFonts w:ascii="Arial" w:cs="Arial" w:eastAsia="Arial" w:hAnsi="Arial"/>
          <w:sz w:val="19"/>
          <w:szCs w:val="19"/>
          <w:color w:val="auto"/>
        </w:rPr>
      </w:pPr>
    </w:p>
    <w:p>
      <w:pPr>
        <w:jc w:val="both"/>
        <w:ind w:left="-1120" w:firstLine="1914"/>
        <w:spacing w:after="0" w:line="308" w:lineRule="auto"/>
        <w:tabs>
          <w:tab w:leader="none" w:pos="1386"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135" w:lineRule="exact"/>
        <w:rPr>
          <w:rFonts w:ascii="Arial" w:cs="Arial" w:eastAsia="Arial" w:hAnsi="Arial"/>
          <w:sz w:val="17"/>
          <w:szCs w:val="17"/>
          <w:color w:val="auto"/>
        </w:rPr>
      </w:pPr>
    </w:p>
    <w:p>
      <w:pPr>
        <w:jc w:val="both"/>
        <w:ind w:left="-1120" w:firstLine="1914"/>
        <w:spacing w:after="0" w:line="253" w:lineRule="auto"/>
        <w:tabs>
          <w:tab w:leader="none" w:pos="138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charges, losses, lost profits, expenses (including litigation expenses, fee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w:t>
      </w:r>
      <w:r>
        <w:rPr>
          <w:rFonts w:ascii="Arial" w:cs="Arial" w:eastAsia="Arial" w:hAnsi="Arial"/>
          <w:sz w:val="19"/>
          <w:szCs w:val="19"/>
          <w:u w:val="single" w:color="auto"/>
          <w:color w:val="auto"/>
        </w:rPr>
        <w:t>(xiv)</w:t>
      </w:r>
      <w:r>
        <w:rPr>
          <w:rFonts w:ascii="Arial" w:cs="Arial" w:eastAsia="Arial" w:hAnsi="Arial"/>
          <w:sz w:val="19"/>
          <w:szCs w:val="19"/>
          <w:color w:val="auto"/>
        </w:rPr>
        <w:t xml:space="preserve"> (and if not so reimbursed within one year, such amount shall be deducted from Consolidated EBITDA during the next measurement period);</w:t>
      </w:r>
    </w:p>
    <w:p>
      <w:pPr>
        <w:spacing w:after="0" w:line="181" w:lineRule="exact"/>
        <w:rPr>
          <w:rFonts w:ascii="Arial" w:cs="Arial" w:eastAsia="Arial" w:hAnsi="Arial"/>
          <w:sz w:val="19"/>
          <w:szCs w:val="19"/>
          <w:color w:val="auto"/>
        </w:rPr>
      </w:pPr>
    </w:p>
    <w:p>
      <w:pPr>
        <w:jc w:val="both"/>
        <w:ind w:left="-1120" w:firstLine="1914"/>
        <w:spacing w:after="0" w:line="263" w:lineRule="auto"/>
        <w:tabs>
          <w:tab w:leader="none" w:pos="1403"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cash receipts (or any netting arrangements resulting in reduced cash expenses) not included in Consolidated EBITDA in any period to the extent non-cash gains relating to such receipts were deducted in the calculation of Consolidated EBITDA pursuant to clause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below for any previous period and not added back;</w:t>
      </w:r>
    </w:p>
    <w:p>
      <w:pPr>
        <w:spacing w:after="0" w:line="169" w:lineRule="exact"/>
        <w:rPr>
          <w:rFonts w:ascii="Arial" w:cs="Arial" w:eastAsia="Arial" w:hAnsi="Arial"/>
          <w:sz w:val="19"/>
          <w:szCs w:val="19"/>
          <w:color w:val="auto"/>
        </w:rPr>
      </w:pPr>
    </w:p>
    <w:p>
      <w:pPr>
        <w:jc w:val="both"/>
        <w:ind w:left="-1120" w:firstLine="1914"/>
        <w:spacing w:after="0" w:line="308" w:lineRule="auto"/>
        <w:tabs>
          <w:tab w:leader="none" w:pos="1419"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Earn-Out payments, contingent consideration obligations (including to the extent accounted for as bonuses or otherwise) and adjustments thereof and purchase price adjustments incurred in connection with any acquisition or other investment (including any acquisition or other investment consummated prior to the Effective Date) which are paid or accrued during the applicable period;</w:t>
      </w:r>
    </w:p>
    <w:p>
      <w:pPr>
        <w:spacing w:after="0" w:line="135" w:lineRule="exact"/>
        <w:rPr>
          <w:rFonts w:ascii="Arial" w:cs="Arial" w:eastAsia="Arial" w:hAnsi="Arial"/>
          <w:sz w:val="17"/>
          <w:szCs w:val="17"/>
          <w:color w:val="auto"/>
        </w:rPr>
      </w:pPr>
    </w:p>
    <w:p>
      <w:pPr>
        <w:ind w:left="1420" w:hanging="626"/>
        <w:spacing w:after="0"/>
        <w:tabs>
          <w:tab w:leader="none" w:pos="14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[intentionally omitted];</w:t>
      </w:r>
    </w:p>
    <w:p>
      <w:pPr>
        <w:spacing w:after="0" w:line="218" w:lineRule="exact"/>
        <w:rPr>
          <w:rFonts w:ascii="Arial" w:cs="Arial" w:eastAsia="Arial" w:hAnsi="Arial"/>
          <w:sz w:val="19"/>
          <w:szCs w:val="19"/>
          <w:color w:val="auto"/>
        </w:rPr>
      </w:pPr>
    </w:p>
    <w:p>
      <w:pPr>
        <w:ind w:left="-1120" w:firstLine="1914"/>
        <w:spacing w:after="0" w:line="278" w:lineRule="auto"/>
        <w:tabs>
          <w:tab w:leader="none" w:pos="1544" w:val="left"/>
        </w:tabs>
        <w:numPr>
          <w:ilvl w:val="0"/>
          <w:numId w:val="49"/>
        </w:numPr>
        <w:rPr>
          <w:rFonts w:ascii="Arial" w:cs="Arial" w:eastAsia="Arial" w:hAnsi="Arial"/>
          <w:sz w:val="19"/>
          <w:szCs w:val="19"/>
          <w:color w:val="auto"/>
        </w:rPr>
      </w:pPr>
      <w:r>
        <w:rPr>
          <w:rFonts w:ascii="Arial" w:cs="Arial" w:eastAsia="Arial" w:hAnsi="Arial"/>
          <w:sz w:val="19"/>
          <w:szCs w:val="19"/>
          <w:color w:val="auto"/>
        </w:rPr>
        <w:t>costs and expenses incurred relating to environmental remediation, litigation or other disputes in respect of events and exposures that occurred prior to the Effective Date;</w:t>
      </w:r>
    </w:p>
    <w:p>
      <w:pPr>
        <w:spacing w:after="0" w:line="156" w:lineRule="exact"/>
        <w:rPr>
          <w:rFonts w:ascii="Arial" w:cs="Arial" w:eastAsia="Arial" w:hAnsi="Arial"/>
          <w:sz w:val="19"/>
          <w:szCs w:val="19"/>
          <w:color w:val="auto"/>
        </w:rPr>
      </w:pPr>
    </w:p>
    <w:p>
      <w:pPr>
        <w:ind w:left="1360" w:hanging="566"/>
        <w:spacing w:after="0"/>
        <w:tabs>
          <w:tab w:leader="none" w:pos="13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non-recurring professional services costs;</w:t>
      </w:r>
    </w:p>
    <w:p>
      <w:pPr>
        <w:spacing w:after="0" w:line="218" w:lineRule="exact"/>
        <w:rPr>
          <w:rFonts w:ascii="Arial" w:cs="Arial" w:eastAsia="Arial" w:hAnsi="Arial"/>
          <w:sz w:val="19"/>
          <w:szCs w:val="19"/>
          <w:color w:val="auto"/>
        </w:rPr>
      </w:pPr>
    </w:p>
    <w:p>
      <w:pPr>
        <w:ind w:left="1320" w:hanging="526"/>
        <w:spacing w:after="0"/>
        <w:tabs>
          <w:tab w:leader="none" w:pos="13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charges attributable to, and payments of, legal settlements, fines, judgments or orders;</w:t>
      </w:r>
    </w:p>
    <w:p>
      <w:pPr>
        <w:spacing w:after="0" w:line="218" w:lineRule="exact"/>
        <w:rPr>
          <w:rFonts w:ascii="Arial" w:cs="Arial" w:eastAsia="Arial" w:hAnsi="Arial"/>
          <w:sz w:val="19"/>
          <w:szCs w:val="19"/>
          <w:color w:val="auto"/>
        </w:rPr>
      </w:pPr>
    </w:p>
    <w:p>
      <w:pPr>
        <w:ind w:left="1360" w:hanging="566"/>
        <w:spacing w:after="0"/>
        <w:tabs>
          <w:tab w:leader="none" w:pos="1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in deferred revenue to the extent deducted or not included in arriving at Consolidated Net Income;</w:t>
      </w:r>
    </w:p>
    <w:p>
      <w:pPr>
        <w:sectPr>
          <w:pgSz w:w="11900" w:h="16838" w:orient="portrait"/>
          <w:cols w:equalWidth="0" w:num="1">
            <w:col w:w="10120"/>
          </w:cols>
          <w:pgMar w:left="1440" w:top="1395" w:right="339" w:bottom="1440" w:gutter="0" w:footer="0" w:header="0"/>
        </w:sectPr>
      </w:pPr>
    </w:p>
    <w:bookmarkStart w:id="87" w:name="page88"/>
    <w:bookmarkEnd w:id="87"/>
    <w:p>
      <w:pPr>
        <w:ind w:left="2760" w:hanging="846"/>
        <w:spacing w:after="0"/>
        <w:tabs>
          <w:tab w:leader="none" w:pos="2760" w:val="left"/>
        </w:tabs>
        <w:numPr>
          <w:ilvl w:val="1"/>
          <w:numId w:val="50"/>
        </w:numPr>
        <w:rPr>
          <w:rFonts w:ascii="Arial" w:cs="Arial" w:eastAsia="Arial" w:hAnsi="Arial"/>
          <w:sz w:val="19"/>
          <w:szCs w:val="19"/>
          <w:color w:val="auto"/>
        </w:rPr>
      </w:pPr>
      <w:r>
        <w:rPr>
          <w:rFonts w:ascii="Arial" w:cs="Arial" w:eastAsia="Arial" w:hAnsi="Arial"/>
          <w:sz w:val="19"/>
          <w:szCs w:val="19"/>
          <w:color w:val="auto"/>
        </w:rPr>
        <w:t>decreases in deferred contract acquisition costs to the extent deducted or not included in arriving at</w:t>
      </w:r>
    </w:p>
    <w:p>
      <w:pPr>
        <w:spacing w:after="0" w:line="2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 xml:space="preserve">Consolidated Net Income; </w:t>
      </w:r>
      <w:r>
        <w:rPr>
          <w:rFonts w:ascii="Arial" w:cs="Arial" w:eastAsia="Arial" w:hAnsi="Arial"/>
          <w:sz w:val="19"/>
          <w:szCs w:val="19"/>
          <w:u w:val="single" w:color="auto"/>
          <w:color w:val="auto"/>
        </w:rPr>
        <w:t>plus</w:t>
      </w:r>
    </w:p>
    <w:p>
      <w:pPr>
        <w:spacing w:after="0" w:line="202" w:lineRule="exact"/>
        <w:rPr>
          <w:rFonts w:ascii="Arial" w:cs="Arial" w:eastAsia="Arial" w:hAnsi="Arial"/>
          <w:sz w:val="19"/>
          <w:szCs w:val="19"/>
          <w:color w:val="auto"/>
        </w:rPr>
      </w:pPr>
    </w:p>
    <w:p>
      <w:pPr>
        <w:jc w:val="both"/>
        <w:ind w:firstLine="1278"/>
        <w:spacing w:after="0" w:line="280" w:lineRule="auto"/>
        <w:tabs>
          <w:tab w:leader="none" w:pos="17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without duplication, (i) the amount of “run rate” cost savings, operating expense reductions and synergies related to any Specified Transaction, any restructuring, any business optimization activities, cost saving initiatives and operating improvements or other initiatives that are reasonably identifiable and projected by Holdings in good faith to result from actions that either have been taken, with respect to which substantial steps have been taken or that are expected to be taken within 24 months after the end of the relevant Test Period (including actions initiated prior to the Effective Date) (in the good faith determination of the Borrower) (which cost savings, operating expense reductions and synergies shall be added to Consolidated EBITDA until fully realized and calculated on a pro forma basis as though such cost savings, operating expense reductions and synergies had been realized on the first day of the relevant period), net of the amount of actual benefits realized from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cost savings, operating expense reductions or synergies shall be added pursuant to this 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the extent duplicative of any expenses or charges relating to such cost savings, operating expense reductions, other operating improvements or synergies that are included above or in the definition of “Pro Forma Basis” (it being understood and agreed that “run rate” shall mean the full recurring benefit that is associated with any action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amounts added to Consolidated EBITDA pursuant to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for any Test Period, when combined with all amounts added to Consolidated EBITDA pursuant to clause (a) of the definition of “Pro Forma Basis” for such Test Period, shall not exceed 25% of Consolidated EBITDA for such Test Period (such 25% limit to be calculated after giving effect to any amounts added to Consolidated EBITDA pursuant to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or clause (a) of the definition of “Pro Forma Basis” for such Test Period and excluding amounts that would be permitted to be included in pro forma financial statements prepared in accordance with Regulation S-X of the Securities Act of 1933, as amended, and adjustments supported by a quality of earnings report prepared by independent registered public accountants of recognized national standing or any other accounting firm reasonably acceptable to the Administrative Agent (so long as such quality of earnings report is delivered to the Administrative Agent)); </w:t>
      </w:r>
      <w:r>
        <w:rPr>
          <w:rFonts w:ascii="Arial" w:cs="Arial" w:eastAsia="Arial" w:hAnsi="Arial"/>
          <w:sz w:val="17"/>
          <w:szCs w:val="17"/>
          <w:u w:val="single" w:color="auto"/>
          <w:color w:val="auto"/>
        </w:rPr>
        <w:t>less</w:t>
      </w:r>
    </w:p>
    <w:p>
      <w:pPr>
        <w:spacing w:after="0" w:line="161" w:lineRule="exact"/>
        <w:rPr>
          <w:rFonts w:ascii="Arial" w:cs="Arial" w:eastAsia="Arial" w:hAnsi="Arial"/>
          <w:sz w:val="17"/>
          <w:szCs w:val="17"/>
          <w:color w:val="auto"/>
        </w:rPr>
      </w:pPr>
    </w:p>
    <w:p>
      <w:pPr>
        <w:ind w:firstLine="1278"/>
        <w:spacing w:after="0" w:line="278" w:lineRule="auto"/>
        <w:tabs>
          <w:tab w:leader="none" w:pos="1768" w:val="left"/>
        </w:tabs>
        <w:numPr>
          <w:ilvl w:val="0"/>
          <w:numId w:val="51"/>
        </w:numPr>
        <w:rPr>
          <w:rFonts w:ascii="Arial" w:cs="Arial" w:eastAsia="Arial" w:hAnsi="Arial"/>
          <w:sz w:val="19"/>
          <w:szCs w:val="19"/>
          <w:color w:val="auto"/>
        </w:rPr>
      </w:pPr>
      <w:r>
        <w:rPr>
          <w:rFonts w:ascii="Arial" w:cs="Arial" w:eastAsia="Arial" w:hAnsi="Arial"/>
          <w:sz w:val="19"/>
          <w:szCs w:val="19"/>
          <w:color w:val="auto"/>
        </w:rPr>
        <w:t>without duplication and to the extent included in arriving at such Consolidated Net Income, the sum of the following amounts for such period:</w:t>
      </w:r>
    </w:p>
    <w:p>
      <w:pPr>
        <w:spacing w:after="0" w:line="156" w:lineRule="exact"/>
        <w:rPr>
          <w:rFonts w:ascii="Arial" w:cs="Arial" w:eastAsia="Arial" w:hAnsi="Arial"/>
          <w:sz w:val="19"/>
          <w:szCs w:val="19"/>
          <w:color w:val="auto"/>
        </w:rPr>
      </w:pPr>
    </w:p>
    <w:p>
      <w:pPr>
        <w:ind w:firstLine="1914"/>
        <w:spacing w:after="0" w:line="278" w:lineRule="auto"/>
        <w:tabs>
          <w:tab w:leader="none" w:pos="2322" w:val="left"/>
        </w:tabs>
        <w:numPr>
          <w:ilvl w:val="1"/>
          <w:numId w:val="51"/>
        </w:numPr>
        <w:rPr>
          <w:rFonts w:ascii="Arial" w:cs="Arial" w:eastAsia="Arial" w:hAnsi="Arial"/>
          <w:sz w:val="19"/>
          <w:szCs w:val="19"/>
          <w:color w:val="auto"/>
        </w:rPr>
      </w:pPr>
      <w:r>
        <w:rPr>
          <w:rFonts w:ascii="Arial" w:cs="Arial" w:eastAsia="Arial" w:hAnsi="Arial"/>
          <w:sz w:val="19"/>
          <w:szCs w:val="19"/>
          <w:color w:val="auto"/>
        </w:rPr>
        <w:t>non-cash gains (excluding any non-cash gain to the extent it represents the reversal of an accrual or reserve for a potential cash item that reduced Consolidated Net Income or Consolidated EBITDA in any prior period);</w:t>
      </w:r>
    </w:p>
    <w:p>
      <w:pPr>
        <w:spacing w:after="0" w:line="156" w:lineRule="exact"/>
        <w:rPr>
          <w:rFonts w:ascii="Arial" w:cs="Arial" w:eastAsia="Arial" w:hAnsi="Arial"/>
          <w:sz w:val="19"/>
          <w:szCs w:val="19"/>
          <w:color w:val="auto"/>
        </w:rPr>
      </w:pPr>
    </w:p>
    <w:p>
      <w:pPr>
        <w:jc w:val="both"/>
        <w:ind w:firstLine="1914"/>
        <w:spacing w:after="0" w:line="263" w:lineRule="auto"/>
        <w:tabs>
          <w:tab w:leader="none" w:pos="2435"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non-cash gain attributable to the mark to market movement in the valuation of any Equity Interests, and hedging obligations or other derivative instruments (in each case, including pursuant to Financial Accounting Standards Codification No. 815— Derivatives and Hedging);</w:t>
      </w:r>
    </w:p>
    <w:p>
      <w:pPr>
        <w:spacing w:after="0" w:line="169" w:lineRule="exact"/>
        <w:rPr>
          <w:rFonts w:ascii="Arial" w:cs="Arial" w:eastAsia="Arial" w:hAnsi="Arial"/>
          <w:sz w:val="19"/>
          <w:szCs w:val="19"/>
          <w:color w:val="auto"/>
        </w:rPr>
      </w:pPr>
    </w:p>
    <w:p>
      <w:pPr>
        <w:ind w:firstLine="1914"/>
        <w:spacing w:after="0" w:line="278" w:lineRule="auto"/>
        <w:tabs>
          <w:tab w:leader="none" w:pos="2393"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gain relating to amounts received in cash prior to the stated settlement date of any hedging obligation that has been reflected in Consolidated Net Income in such period;</w:t>
      </w:r>
    </w:p>
    <w:p>
      <w:pPr>
        <w:spacing w:after="0" w:line="156" w:lineRule="exact"/>
        <w:rPr>
          <w:rFonts w:ascii="Arial" w:cs="Arial" w:eastAsia="Arial" w:hAnsi="Arial"/>
          <w:sz w:val="19"/>
          <w:szCs w:val="19"/>
          <w:color w:val="auto"/>
        </w:rPr>
      </w:pPr>
    </w:p>
    <w:p>
      <w:pPr>
        <w:ind w:right="20" w:firstLine="1914"/>
        <w:spacing w:after="0" w:line="278" w:lineRule="auto"/>
        <w:tabs>
          <w:tab w:leader="none" w:pos="2418"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any loss relating to hedging obligations that has been reflected in Consolidated Net Income in prior periods and excluded from Consolidated EBITDA pursuant to clauses </w:t>
      </w:r>
      <w:r>
        <w:rPr>
          <w:rFonts w:ascii="Arial" w:cs="Arial" w:eastAsia="Arial" w:hAnsi="Arial"/>
          <w:sz w:val="19"/>
          <w:szCs w:val="19"/>
          <w:u w:val="single" w:color="auto"/>
          <w:color w:val="auto"/>
        </w:rPr>
        <w:t>(a)(xi)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(a)(xii)</w:t>
      </w:r>
      <w:r>
        <w:rPr>
          <w:rFonts w:ascii="Arial" w:cs="Arial" w:eastAsia="Arial" w:hAnsi="Arial"/>
          <w:sz w:val="19"/>
          <w:szCs w:val="19"/>
          <w:color w:val="auto"/>
        </w:rPr>
        <w:t xml:space="preserve"> above;</w:t>
      </w:r>
    </w:p>
    <w:p>
      <w:pPr>
        <w:sectPr>
          <w:pgSz w:w="11900" w:h="16838" w:orient="portrait"/>
          <w:cols w:equalWidth="0" w:num="1">
            <w:col w:w="11240"/>
          </w:cols>
          <w:pgMar w:left="320" w:top="1395" w:right="339" w:bottom="1440" w:gutter="0" w:footer="0" w:header="0"/>
        </w:sectPr>
      </w:pPr>
    </w:p>
    <w:bookmarkStart w:id="88" w:name="page89"/>
    <w:bookmarkEnd w:id="88"/>
    <w:p>
      <w:pPr>
        <w:ind w:firstLine="1914"/>
        <w:spacing w:after="0" w:line="278" w:lineRule="auto"/>
        <w:tabs>
          <w:tab w:leader="none" w:pos="2441"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amount of any non-controlling interest consisting of loss attributable to non-controlling interests of third parties in any Non-Wholly Owned Subsidiary added (and not deducted in such period) to Consolidated Net Income;</w:t>
      </w:r>
    </w:p>
    <w:p>
      <w:pPr>
        <w:spacing w:after="0" w:line="156" w:lineRule="exact"/>
        <w:rPr>
          <w:rFonts w:ascii="Arial" w:cs="Arial" w:eastAsia="Arial" w:hAnsi="Arial"/>
          <w:sz w:val="19"/>
          <w:szCs w:val="19"/>
          <w:color w:val="auto"/>
        </w:rPr>
      </w:pPr>
    </w:p>
    <w:p>
      <w:pPr>
        <w:ind w:left="2380" w:hanging="466"/>
        <w:spacing w:after="0"/>
        <w:tabs>
          <w:tab w:leader="none" w:pos="2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decreases in deferred revenue to the extent included or not deducted in arriving at Consolidated Net Income; and</w:t>
      </w:r>
    </w:p>
    <w:p>
      <w:pPr>
        <w:spacing w:after="0" w:line="241" w:lineRule="exact"/>
        <w:rPr>
          <w:rFonts w:ascii="Arial" w:cs="Arial" w:eastAsia="Arial" w:hAnsi="Arial"/>
          <w:sz w:val="17"/>
          <w:szCs w:val="17"/>
          <w:color w:val="auto"/>
        </w:rPr>
      </w:pPr>
    </w:p>
    <w:p>
      <w:pPr>
        <w:ind w:left="2460" w:hanging="546"/>
        <w:spacing w:after="0"/>
        <w:tabs>
          <w:tab w:leader="none" w:pos="2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increases in deferred contract acquisition costs to the extent included or not deducted in arriving at Consolidated</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Net Income;</w:t>
      </w:r>
    </w:p>
    <w:p>
      <w:pPr>
        <w:spacing w:after="0" w:line="203"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 xml:space="preserve">in each case, as determined on a consolidated basis for Holdings, any Intermediate Parent, the Borrower and its Restricted Subsidiaries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6" w:lineRule="exact"/>
        <w:rPr>
          <w:sz w:val="20"/>
          <w:szCs w:val="20"/>
          <w:color w:val="auto"/>
        </w:rPr>
      </w:pPr>
    </w:p>
    <w:p>
      <w:pPr>
        <w:jc w:val="both"/>
        <w:ind w:left="640" w:firstLine="638"/>
        <w:spacing w:after="0" w:line="263" w:lineRule="auto"/>
        <w:tabs>
          <w:tab w:leader="none" w:pos="167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169" w:lineRule="exact"/>
        <w:rPr>
          <w:sz w:val="20"/>
          <w:szCs w:val="20"/>
          <w:color w:val="auto"/>
        </w:rPr>
      </w:pPr>
    </w:p>
    <w:p>
      <w:pPr>
        <w:jc w:val="both"/>
        <w:ind w:left="640" w:firstLine="638"/>
        <w:spacing w:after="0" w:line="263" w:lineRule="auto"/>
        <w:tabs>
          <w:tab w:leader="none" w:pos="1747"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169" w:lineRule="exact"/>
        <w:rPr>
          <w:sz w:val="20"/>
          <w:szCs w:val="20"/>
          <w:color w:val="auto"/>
        </w:rPr>
      </w:pPr>
    </w:p>
    <w:p>
      <w:pPr>
        <w:jc w:val="both"/>
        <w:ind w:left="640" w:firstLine="638"/>
        <w:spacing w:after="0" w:line="265" w:lineRule="auto"/>
        <w:tabs>
          <w:tab w:leader="none" w:pos="18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shall be included in determining Consolidated EBITDA for any period, without duplication, (A) to the extent not included in Consolidated Net Income, the Acquired EBITDA of any Person, property, business or asset acquired by the Borrower or any Restricted Subsidiary during such period (other than any Unrestricted Subsidiary and, with respect to assets, only assets acquired as part of the acquisition of substantially all of the assets of a Person) to the extent not subsequently sold, transferred or otherwise disposed of (but not including the Acquired EBITDA of any related Person, property, business or assets to the extent not so acquired) (each such Person, property, business or asset acquired, an “</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and the Acquired EBITDA of any Unrestricted Subsidiary that is converted into a Restricted Subsidiary during such period (each, a “</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in each case based on the Acquired EBITDA of such Pro Forma Entity for such period (including the portion thereof occurring prior to such acquisition or conversion) determined on a historical Pro Forma Basis and (B) in the case of any Person that is not a Subsidiary or that is accounted for by the equity method of accounting, the Consolidated EBITDA of such Person multiplied by the ownership percentage of the Borrower or applicable Restricted Subsidiary therein;</w:t>
      </w:r>
    </w:p>
    <w:p>
      <w:pPr>
        <w:spacing w:after="0" w:line="176" w:lineRule="exact"/>
        <w:rPr>
          <w:sz w:val="20"/>
          <w:szCs w:val="20"/>
          <w:color w:val="auto"/>
        </w:rPr>
      </w:pPr>
    </w:p>
    <w:p>
      <w:pPr>
        <w:jc w:val="both"/>
        <w:ind w:left="640" w:firstLine="636"/>
        <w:spacing w:after="0" w:line="267" w:lineRule="auto"/>
        <w:rPr>
          <w:sz w:val="20"/>
          <w:szCs w:val="20"/>
          <w:color w:val="auto"/>
        </w:rPr>
      </w:pPr>
      <w:r>
        <w:rPr>
          <w:rFonts w:ascii="Arial" w:cs="Arial" w:eastAsia="Arial" w:hAnsi="Arial"/>
          <w:sz w:val="18"/>
          <w:szCs w:val="18"/>
          <w:color w:val="auto"/>
        </w:rPr>
        <w:t>(IV) there shall be (A) to the extent included in Consolidated Net Income, excluded in determining Consolidated EBITDA for any period the Disposed EBITDA of any Person, property, business or asset (other than any Unrestricted Subsidiary and, with respect to assets, only assets disposed of as part of the disposition of substantially all of the assets of a Person or assets with a fair market value in excess of $7,500,000)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w:t>
      </w:r>
    </w:p>
    <w:p>
      <w:pPr>
        <w:sectPr>
          <w:pgSz w:w="11900" w:h="16838" w:orient="portrait"/>
          <w:cols w:equalWidth="0" w:num="1">
            <w:col w:w="11240"/>
          </w:cols>
          <w:pgMar w:left="320" w:top="1395" w:right="339" w:bottom="1440" w:gutter="0" w:footer="0" w:header="0"/>
        </w:sectPr>
      </w:pPr>
    </w:p>
    <w:bookmarkStart w:id="89" w:name="page90"/>
    <w:bookmarkEnd w:id="89"/>
    <w:p>
      <w:pPr>
        <w:jc w:val="both"/>
        <w:ind w:left="640"/>
        <w:spacing w:after="0" w:line="251" w:lineRule="auto"/>
        <w:rPr>
          <w:sz w:val="20"/>
          <w:szCs w:val="20"/>
          <w:color w:val="auto"/>
        </w:rPr>
      </w:pPr>
      <w:r>
        <w:rPr>
          <w:rFonts w:ascii="Arial" w:cs="Arial" w:eastAsia="Arial" w:hAnsi="Arial"/>
          <w:sz w:val="19"/>
          <w:szCs w:val="19"/>
          <w:color w:val="auto"/>
        </w:rPr>
        <w:t>property, business or asset so sold, transferred or otherwise disposed of, closed or classified, a “</w:t>
      </w:r>
      <w:r>
        <w:rPr>
          <w:rFonts w:ascii="Arial" w:cs="Arial" w:eastAsia="Arial" w:hAnsi="Arial"/>
          <w:sz w:val="19"/>
          <w:szCs w:val="19"/>
          <w:u w:val="single" w:color="auto"/>
          <w:color w:val="auto"/>
        </w:rPr>
        <w:t>Sold Entity or Business</w:t>
      </w:r>
      <w:r>
        <w:rPr>
          <w:rFonts w:ascii="Arial" w:cs="Arial" w:eastAsia="Arial" w:hAnsi="Arial"/>
          <w:sz w:val="19"/>
          <w:szCs w:val="19"/>
          <w:color w:val="auto"/>
        </w:rPr>
        <w:t>”), and the Disposed EBITDA of any Restricted Subsidiary that is converted into an Unrestricted Subsidiary during such period (each, a “</w:t>
      </w:r>
      <w:r>
        <w:rPr>
          <w:rFonts w:ascii="Arial" w:cs="Arial" w:eastAsia="Arial" w:hAnsi="Arial"/>
          <w:sz w:val="19"/>
          <w:szCs w:val="19"/>
          <w:u w:val="single" w:color="auto"/>
          <w:color w:val="auto"/>
        </w:rPr>
        <w:t>Converted Unrestricted Subsidiary</w:t>
      </w:r>
      <w:r>
        <w:rPr>
          <w:rFonts w:ascii="Arial" w:cs="Arial" w:eastAsia="Arial" w:hAnsi="Arial"/>
          <w:sz w:val="19"/>
          <w:szCs w:val="19"/>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Administrative Agent (for further delivery to the Lenders); and</w:t>
      </w:r>
    </w:p>
    <w:p>
      <w:pPr>
        <w:spacing w:after="0" w:line="183" w:lineRule="exact"/>
        <w:rPr>
          <w:sz w:val="20"/>
          <w:szCs w:val="20"/>
          <w:color w:val="auto"/>
        </w:rPr>
      </w:pPr>
    </w:p>
    <w:p>
      <w:pPr>
        <w:jc w:val="both"/>
        <w:ind w:left="640" w:firstLine="638"/>
        <w:spacing w:after="0" w:line="263" w:lineRule="auto"/>
        <w:tabs>
          <w:tab w:leader="none" w:pos="1811"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permitted hereunder).</w:t>
      </w:r>
    </w:p>
    <w:p>
      <w:pPr>
        <w:spacing w:after="0" w:line="169"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First Lien Indebtedness</w:t>
      </w:r>
      <w:r>
        <w:rPr>
          <w:rFonts w:ascii="Arial" w:cs="Arial" w:eastAsia="Arial" w:hAnsi="Arial"/>
          <w:sz w:val="18"/>
          <w:szCs w:val="18"/>
          <w:color w:val="auto"/>
        </w:rPr>
        <w:t xml:space="preserve">” means, as of any date of determination, Consolidated Total Indebtedness secured by Liens on any asset or other property of Holdings, the Borrower and/or its Restricted Subsidiaries on an equal priority basis (but without regard to the control of remedies) with Liens securing the Secured Obligations,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unrestricted cash and cash equivalents of Holdings, any Intermediate Parent, the Borrower and its Restricted Subsidiaries as of such date in an aggregate amount not to exceed $100 million.</w:t>
      </w:r>
    </w:p>
    <w:p>
      <w:pPr>
        <w:spacing w:after="0" w:line="161" w:lineRule="exact"/>
        <w:rPr>
          <w:sz w:val="20"/>
          <w:szCs w:val="20"/>
          <w:color w:val="auto"/>
        </w:rPr>
      </w:pPr>
    </w:p>
    <w:p>
      <w:pPr>
        <w:jc w:val="both"/>
        <w:ind w:firstLine="1272"/>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(loss) of Holdings, any Intermediate Parent, the Borrower and its Restricted Subsidiaries for such period determined on a consolidated basis in accordance with GAAP, excluding, without duplication,</w:t>
      </w:r>
    </w:p>
    <w:p>
      <w:pPr>
        <w:spacing w:after="0" w:line="133" w:lineRule="exact"/>
        <w:rPr>
          <w:sz w:val="20"/>
          <w:szCs w:val="20"/>
          <w:color w:val="auto"/>
        </w:rPr>
      </w:pPr>
    </w:p>
    <w:p>
      <w:pPr>
        <w:ind w:left="1700" w:hanging="422"/>
        <w:spacing w:after="0"/>
        <w:tabs>
          <w:tab w:leader="none" w:pos="1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extraordinary (as defined under GAAP as in effect prior to FASB Update No. 2015-01) unusual, or non-recurring items for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such period,</w:t>
      </w:r>
    </w:p>
    <w:p>
      <w:pPr>
        <w:spacing w:after="0" w:line="203" w:lineRule="exact"/>
        <w:rPr>
          <w:sz w:val="20"/>
          <w:szCs w:val="20"/>
          <w:color w:val="auto"/>
        </w:rPr>
      </w:pPr>
    </w:p>
    <w:p>
      <w:pPr>
        <w:ind w:left="1700" w:hanging="422"/>
        <w:spacing w:after="0"/>
        <w:tabs>
          <w:tab w:leader="none" w:pos="17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cumulative effect of a change in accounting principles during such period;</w:t>
      </w:r>
    </w:p>
    <w:p>
      <w:pPr>
        <w:spacing w:after="0" w:line="212" w:lineRule="exact"/>
        <w:rPr>
          <w:rFonts w:ascii="Arial" w:cs="Arial" w:eastAsia="Arial" w:hAnsi="Arial"/>
          <w:sz w:val="19"/>
          <w:szCs w:val="19"/>
          <w:color w:val="auto"/>
        </w:rPr>
      </w:pPr>
    </w:p>
    <w:p>
      <w:pPr>
        <w:ind w:left="1680" w:hanging="402"/>
        <w:spacing w:after="0"/>
        <w:tabs>
          <w:tab w:leader="none" w:pos="16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Transaction Costs incurred during such period</w:t>
      </w:r>
      <w:r>
        <w:rPr>
          <w:rFonts w:ascii="Arial" w:cs="Arial" w:eastAsia="Arial" w:hAnsi="Arial"/>
          <w:sz w:val="19"/>
          <w:szCs w:val="19"/>
          <w:b w:val="1"/>
          <w:bCs w:val="1"/>
          <w:color w:val="auto"/>
        </w:rPr>
        <w:t>,</w:t>
      </w:r>
    </w:p>
    <w:p>
      <w:pPr>
        <w:spacing w:after="0" w:line="224" w:lineRule="exact"/>
        <w:rPr>
          <w:rFonts w:ascii="Arial" w:cs="Arial" w:eastAsia="Arial" w:hAnsi="Arial"/>
          <w:sz w:val="19"/>
          <w:szCs w:val="19"/>
          <w:color w:val="auto"/>
        </w:rPr>
      </w:pPr>
    </w:p>
    <w:p>
      <w:pPr>
        <w:jc w:val="both"/>
        <w:ind w:firstLine="1278"/>
        <w:spacing w:after="0" w:line="250" w:lineRule="auto"/>
        <w:tabs>
          <w:tab w:leader="none" w:pos="1804"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fees, costs and expenses (including any transaction or retention bonus or similar payment) incurred during such period, or any amortization thereof for such period, in connection with or in relation to any acquisition (including any acquisition of a franchisee and any non-recurring costs to acquire equipment to the extent not capitalized in accordance with GAAP), Investment, recapitalization, asset disposition, non-competition agreement, incurrence, issuance or repayment of debt or similar transaction, issuance of equity securities, option buyouts, refinancing transaction or amendment or other modification of or waiver or consent relating to any debt instrument or similar transaction (in each case, including the Transaction Costs and any such transaction consummated prior to the Effective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ectPr>
          <w:pgSz w:w="11900" w:h="16838" w:orient="portrait"/>
          <w:cols w:equalWidth="0" w:num="1">
            <w:col w:w="11240"/>
          </w:cols>
          <w:pgMar w:left="320" w:top="1395" w:right="339" w:bottom="1440" w:gutter="0" w:footer="0" w:header="0"/>
        </w:sectPr>
      </w:pPr>
    </w:p>
    <w:bookmarkStart w:id="90" w:name="page91"/>
    <w:bookmarkEnd w:id="90"/>
    <w:p>
      <w:pPr>
        <w:ind w:firstLine="1278"/>
        <w:spacing w:after="0" w:line="278" w:lineRule="auto"/>
        <w:tabs>
          <w:tab w:leader="none" w:pos="1841"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income (loss) (and all fees and expenses or charges relating thereto) for such period attributable to the early extinguishment of Indebtedness, hedging agreements or other derivative instruments,</w:t>
      </w:r>
    </w:p>
    <w:p>
      <w:pPr>
        <w:spacing w:after="0" w:line="156" w:lineRule="exact"/>
        <w:rPr>
          <w:rFonts w:ascii="Arial" w:cs="Arial" w:eastAsia="Arial" w:hAnsi="Arial"/>
          <w:sz w:val="19"/>
          <w:szCs w:val="19"/>
          <w:color w:val="auto"/>
        </w:rPr>
      </w:pPr>
    </w:p>
    <w:p>
      <w:pPr>
        <w:jc w:val="both"/>
        <w:ind w:firstLine="1278"/>
        <w:spacing w:after="0" w:line="263" w:lineRule="auto"/>
        <w:tabs>
          <w:tab w:leader="none" w:pos="169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169" w:lineRule="exact"/>
        <w:rPr>
          <w:rFonts w:ascii="Arial" w:cs="Arial" w:eastAsia="Arial" w:hAnsi="Arial"/>
          <w:sz w:val="19"/>
          <w:szCs w:val="19"/>
          <w:color w:val="auto"/>
        </w:rPr>
      </w:pPr>
    </w:p>
    <w:p>
      <w:pPr>
        <w:ind w:firstLine="1278"/>
        <w:spacing w:after="0" w:line="278" w:lineRule="auto"/>
        <w:tabs>
          <w:tab w:leader="none" w:pos="1716" w:val="left"/>
        </w:tabs>
        <w:numPr>
          <w:ilvl w:val="0"/>
          <w:numId w:val="59"/>
        </w:numPr>
        <w:rPr>
          <w:rFonts w:ascii="Arial" w:cs="Arial" w:eastAsia="Arial" w:hAnsi="Arial"/>
          <w:sz w:val="19"/>
          <w:szCs w:val="19"/>
          <w:color w:val="auto"/>
        </w:rPr>
      </w:pPr>
      <w:r>
        <w:rPr>
          <w:rFonts w:ascii="Arial" w:cs="Arial" w:eastAsia="Arial" w:hAnsi="Arial"/>
          <w:sz w:val="19"/>
          <w:szCs w:val="19"/>
          <w:color w:val="auto"/>
        </w:rPr>
        <w:t>stock-based award compensation expenses (including any one-time compensation related to unvested options outstanding as of the Effective Date),</w:t>
      </w:r>
    </w:p>
    <w:p>
      <w:pPr>
        <w:spacing w:after="0" w:line="156" w:lineRule="exact"/>
        <w:rPr>
          <w:rFonts w:ascii="Arial" w:cs="Arial" w:eastAsia="Arial" w:hAnsi="Arial"/>
          <w:sz w:val="19"/>
          <w:szCs w:val="19"/>
          <w:color w:val="auto"/>
        </w:rPr>
      </w:pPr>
    </w:p>
    <w:p>
      <w:pPr>
        <w:ind w:left="1700" w:hanging="422"/>
        <w:spacing w:after="0"/>
        <w:tabs>
          <w:tab w:leader="none" w:pos="17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income (loss) attributable to deferred compensation plans or trusts,</w:t>
      </w:r>
    </w:p>
    <w:p>
      <w:pPr>
        <w:spacing w:after="0" w:line="218" w:lineRule="exact"/>
        <w:rPr>
          <w:rFonts w:ascii="Arial" w:cs="Arial" w:eastAsia="Arial" w:hAnsi="Arial"/>
          <w:sz w:val="19"/>
          <w:szCs w:val="19"/>
          <w:color w:val="auto"/>
        </w:rPr>
      </w:pPr>
    </w:p>
    <w:p>
      <w:pPr>
        <w:ind w:left="1660" w:hanging="382"/>
        <w:spacing w:after="0"/>
        <w:tabs>
          <w:tab w:leader="none" w:pos="16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income (loss) from Investments recorded using the equity method,</w:t>
      </w:r>
    </w:p>
    <w:p>
      <w:pPr>
        <w:spacing w:after="0" w:line="218" w:lineRule="exact"/>
        <w:rPr>
          <w:rFonts w:ascii="Arial" w:cs="Arial" w:eastAsia="Arial" w:hAnsi="Arial"/>
          <w:sz w:val="19"/>
          <w:szCs w:val="19"/>
          <w:color w:val="auto"/>
        </w:rPr>
      </w:pPr>
    </w:p>
    <w:p>
      <w:pPr>
        <w:ind w:left="1880" w:hanging="602"/>
        <w:spacing w:after="0"/>
        <w:tabs>
          <w:tab w:leader="none" w:pos="18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amount of any expense required to be recorded as compensation expense related to contingent transaction</w:t>
      </w:r>
    </w:p>
    <w:p>
      <w:pPr>
        <w:spacing w:after="0" w:line="2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consideration,</w:t>
      </w:r>
    </w:p>
    <w:p>
      <w:pPr>
        <w:spacing w:after="0" w:line="202" w:lineRule="exact"/>
        <w:rPr>
          <w:rFonts w:ascii="Arial" w:cs="Arial" w:eastAsia="Arial" w:hAnsi="Arial"/>
          <w:sz w:val="19"/>
          <w:szCs w:val="19"/>
          <w:color w:val="auto"/>
        </w:rPr>
      </w:pPr>
    </w:p>
    <w:p>
      <w:pPr>
        <w:ind w:firstLine="1278"/>
        <w:spacing w:after="0" w:line="278" w:lineRule="auto"/>
        <w:tabs>
          <w:tab w:leader="none" w:pos="1832"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unrealized gain or loss due solely to fluctuations in currency values and the related tax effects, determined in accordance with GAAP,</w:t>
      </w:r>
    </w:p>
    <w:p>
      <w:pPr>
        <w:spacing w:after="0" w:line="156" w:lineRule="exact"/>
        <w:rPr>
          <w:rFonts w:ascii="Arial" w:cs="Arial" w:eastAsia="Arial" w:hAnsi="Arial"/>
          <w:sz w:val="19"/>
          <w:szCs w:val="19"/>
          <w:color w:val="auto"/>
        </w:rPr>
      </w:pPr>
    </w:p>
    <w:p>
      <w:pPr>
        <w:jc w:val="both"/>
        <w:ind w:firstLine="1278"/>
        <w:spacing w:after="0" w:line="257" w:lineRule="auto"/>
        <w:tabs>
          <w:tab w:leader="none" w:pos="1702"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(i) the net income of any Person that is an Unrestricted Subsidiary shall be included only to the extent of the amount of dividends or distributions or other payments paid in cash (or to the extent converted into cash) to the referent person or a subsidiary thereof in respect of such period and (ii) the net income shall include any ordinary course dividend distribution or other payment in cash received from any Person in excess of the amounts included in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w:t>
      </w:r>
    </w:p>
    <w:p>
      <w:pPr>
        <w:spacing w:after="0" w:line="177" w:lineRule="exact"/>
        <w:rPr>
          <w:rFonts w:ascii="Arial" w:cs="Arial" w:eastAsia="Arial" w:hAnsi="Arial"/>
          <w:sz w:val="19"/>
          <w:szCs w:val="19"/>
          <w:color w:val="auto"/>
        </w:rPr>
      </w:pPr>
    </w:p>
    <w:p>
      <w:pPr>
        <w:jc w:val="both"/>
        <w:ind w:firstLine="1278"/>
        <w:spacing w:after="0" w:line="270" w:lineRule="auto"/>
        <w:tabs>
          <w:tab w:leader="none" w:pos="18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in the Loan Documents, and</w:t>
      </w:r>
    </w:p>
    <w:p>
      <w:pPr>
        <w:spacing w:after="0" w:line="166" w:lineRule="exact"/>
        <w:rPr>
          <w:rFonts w:ascii="Arial" w:cs="Arial" w:eastAsia="Arial" w:hAnsi="Arial"/>
          <w:sz w:val="18"/>
          <w:szCs w:val="18"/>
          <w:color w:val="auto"/>
        </w:rPr>
      </w:pPr>
    </w:p>
    <w:p>
      <w:pPr>
        <w:jc w:val="both"/>
        <w:ind w:firstLine="1278"/>
        <w:spacing w:after="0" w:line="276" w:lineRule="auto"/>
        <w:tabs>
          <w:tab w:leader="none" w:pos="17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161"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and deferred rent) required or permitted by GAAP and related authoritative</w:t>
      </w:r>
    </w:p>
    <w:p>
      <w:pPr>
        <w:sectPr>
          <w:pgSz w:w="11900" w:h="16838" w:orient="portrait"/>
          <w:cols w:equalWidth="0" w:num="1">
            <w:col w:w="11240"/>
          </w:cols>
          <w:pgMar w:left="320" w:top="1395" w:right="339" w:bottom="1440" w:gutter="0" w:footer="0" w:header="0"/>
        </w:sectPr>
      </w:pPr>
    </w:p>
    <w:bookmarkStart w:id="91" w:name="page92"/>
    <w:bookmarkEnd w:id="91"/>
    <w:p>
      <w:pPr>
        <w:jc w:val="both"/>
        <w:spacing w:after="0" w:line="263" w:lineRule="auto"/>
        <w:rPr>
          <w:sz w:val="20"/>
          <w:szCs w:val="20"/>
          <w:color w:val="auto"/>
        </w:rPr>
      </w:pPr>
      <w:r>
        <w:rPr>
          <w:rFonts w:ascii="Arial" w:cs="Arial" w:eastAsia="Arial" w:hAnsi="Arial"/>
          <w:sz w:val="19"/>
          <w:szCs w:val="19"/>
          <w:color w:val="auto"/>
        </w:rPr>
        <w:t>pronouncements (including the effects of such adjustments pushed down to Holdings, any Intermediate Parent,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169" w:lineRule="exact"/>
        <w:rPr>
          <w:sz w:val="20"/>
          <w:szCs w:val="20"/>
          <w:color w:val="auto"/>
        </w:rPr>
      </w:pPr>
    </w:p>
    <w:p>
      <w:pPr>
        <w:jc w:val="both"/>
        <w:ind w:firstLine="1272"/>
        <w:spacing w:after="0" w:line="272" w:lineRule="auto"/>
        <w:rPr>
          <w:sz w:val="20"/>
          <w:szCs w:val="20"/>
          <w:color w:val="auto"/>
        </w:rPr>
      </w:pPr>
      <w:r>
        <w:rPr>
          <w:rFonts w:ascii="Arial" w:cs="Arial" w:eastAsia="Arial" w:hAnsi="Arial"/>
          <w:sz w:val="18"/>
          <w:szCs w:val="18"/>
          <w:color w:val="auto"/>
        </w:rPr>
        <w:t>In addition, to the extent not already included in Consolidated Net Income, Consolidated Net Income shall include (i) in the case of any Person that is not a Subsidiary or that is accounted for by the equity method of accounting, the Consolidated EBITDA of such Person multiplied by the ownership percentage of the Borrower or applicable Restricted Subsidiary therein and (ii)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w:t>
      </w:r>
    </w:p>
    <w:p>
      <w:pPr>
        <w:spacing w:after="0" w:line="165"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Secured Indebtedness</w:t>
      </w:r>
      <w:r>
        <w:rPr>
          <w:rFonts w:ascii="Arial" w:cs="Arial" w:eastAsia="Arial" w:hAnsi="Arial"/>
          <w:sz w:val="19"/>
          <w:szCs w:val="19"/>
          <w:color w:val="auto"/>
        </w:rPr>
        <w:t xml:space="preserve">” means, as of any date of determination, Consolidated Total Indebtedness secured by Liens on any asset or other property of the Borrower and/or its Restricted Subsidiaries,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unrestricted cash and cash equivalents of Holdings, any Intermediate Parent, the Borrower and its Restricted Subsidiaries as of such date in an aggregate amount not to exceed $100 million.</w:t>
      </w:r>
    </w:p>
    <w:p>
      <w:pPr>
        <w:spacing w:after="0" w:line="177" w:lineRule="exact"/>
        <w:rPr>
          <w:sz w:val="20"/>
          <w:szCs w:val="20"/>
          <w:color w:val="auto"/>
        </w:rPr>
      </w:pPr>
    </w:p>
    <w:p>
      <w:pPr>
        <w:jc w:val="both"/>
        <w:ind w:firstLine="127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Indebtedness</w:t>
      </w:r>
      <w:r>
        <w:rPr>
          <w:rFonts w:ascii="Arial" w:cs="Arial" w:eastAsia="Arial" w:hAnsi="Arial"/>
          <w:sz w:val="17"/>
          <w:szCs w:val="17"/>
          <w:color w:val="auto"/>
        </w:rPr>
        <w:t>” means, as of any date of determination, (i) the aggregate amount of Indebtedness of Holdings, any Intermediate Parent,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third-party Indebtedness for borrowed money, drawn but unreimbursed obligations under letters of credit, letters of guaranty and bankers’ acceptances and third-party debt obligations evidenced by bonds, debentures, loan agreements, promissory notes or similar instruments.</w:t>
      </w:r>
    </w:p>
    <w:p>
      <w:pPr>
        <w:spacing w:after="0" w:line="151"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Holdings, any Intermediate Parent, the Borrower and its Restricted Subsidiaries at such date, excluding the current portion of current and deferred income taxes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sum of all amounts that would, in conformity with GAAP, be set forth opposite the caption “total current liabilities” (or any like caption) on a consolidated balance sheet of Holdings, any Intermediate Parent, the Borrower and its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(iv) the current portion of current and deferred income taxes, (v) the current portion of deferred revenue, and (vi) the current portion of deferred contract acquisition costs;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Excess Cash Flow, increases or decreases in working capital (A) arising from acquisitions or dispositions by Holdings, any Intermediate Parent,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w:t>
      </w:r>
    </w:p>
    <w:p>
      <w:pPr>
        <w:sectPr>
          <w:pgSz w:w="11900" w:h="16838" w:orient="portrait"/>
          <w:cols w:equalWidth="0" w:num="1">
            <w:col w:w="11240"/>
          </w:cols>
          <w:pgMar w:left="320" w:top="1395"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accordance with GAAP of assets or liabilities, as applicable, between current and noncurrent or (z) the effects of acquisition method accounting.</w:t>
      </w: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has the meaning assigned to such term in the definition of “Excess Cash Flow”.</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have meanings correlative thereto.</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Converted Restricted Subsidiary</w:t>
      </w:r>
      <w:r>
        <w:rPr>
          <w:rFonts w:ascii="Arial" w:cs="Arial" w:eastAsia="Arial" w:hAnsi="Arial"/>
          <w:sz w:val="19"/>
          <w:szCs w:val="19"/>
          <w:color w:val="auto"/>
        </w:rPr>
        <w:t>” has the meaning given such term in the definition of “Consolidated EBITDA”.</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Converted Unrestricted Subsidiary</w:t>
      </w:r>
      <w:r>
        <w:rPr>
          <w:rFonts w:ascii="Arial" w:cs="Arial" w:eastAsia="Arial" w:hAnsi="Arial"/>
          <w:sz w:val="19"/>
          <w:szCs w:val="19"/>
          <w:color w:val="auto"/>
        </w:rPr>
        <w:t>” has the meaning given such term in the definition of “Consolidated EBITDA”.</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Debt Securities</w:t>
      </w:r>
      <w:r>
        <w:rPr>
          <w:rFonts w:ascii="Arial" w:cs="Arial" w:eastAsia="Arial" w:hAnsi="Arial"/>
          <w:sz w:val="19"/>
          <w:szCs w:val="19"/>
          <w:color w:val="auto"/>
        </w:rPr>
        <w:t>” means debt securities, the terms of which provide for conversion into, or exchange for, Equity Interests (other than Disqualified Equity Interests) of the issuer, cash (in an amount determined by reference to the price of such Equity Interests) or a combination of Equity Interests (other than Disqualified Equity Interests) and/or cash (in an amount determined by reference to the price of such Equity Interests).</w:t>
      </w:r>
    </w:p>
    <w:p>
      <w:pPr>
        <w:spacing w:after="0" w:line="177"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Party</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9.20</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Refinancing Indebtedness</w:t>
      </w:r>
      <w:r>
        <w:rPr>
          <w:rFonts w:ascii="Arial" w:cs="Arial" w:eastAsia="Arial" w:hAnsi="Arial"/>
          <w:sz w:val="18"/>
          <w:szCs w:val="18"/>
          <w:color w:val="auto"/>
        </w:rPr>
        <w:t>” means Indebtedness issued, incurred or otherwise obtained (including by means of the extension or renewal of existing Indebtedness) by the Borrower or any other Loan Party in exchange for, or to extend, renew, replace or refinance, in whole or part, existing Term Loans, Incremental Term Loans, Additional Revolving Commitments or Revolving Loans (or unused Revolving Commitments) (“</w:t>
      </w:r>
      <w:r>
        <w:rPr>
          <w:rFonts w:ascii="Arial" w:cs="Arial" w:eastAsia="Arial" w:hAnsi="Arial"/>
          <w:sz w:val="18"/>
          <w:szCs w:val="18"/>
          <w:u w:val="single" w:color="auto"/>
          <w:color w:val="auto"/>
        </w:rPr>
        <w:t>Refinanced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does not mature earlier than or, except in the case of Revolving Commitments, have a Weighted Average Life to Maturity shorter than the Refinanced Debt (other than with respect to any customary bridge loan facility, so long as the long-term Indebtedness into which any such customary bridge facility is to be converted or exchanged satisfies the requirements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and such conversion or exchange is subject only to the conditions customary for similar conversions or exchanges), (c) if such Indebtedness is unsecured or secured by the Collateral on a junior lien basis to the Secured Obligations, does not (1) mature prior to the date that is 91 days after the maturity date of the Refinanced Debt (or if later, 91 days after the Latest Maturity Date), (2) have a Weighted Average Life to Maturity shorter than the Refinanced Debt (or any later maturing Credit Facility then in effect) plus 91 days, or (3) have mandatory prepayment, redemption or offer to purchase events more onerous than those set forth in the Refinanced Debt (and shall otherwise be subject to the same terms as the Refinanced Debt) (in each case other than with respect to any customary bridge loan facility, so long as the long-term</w:t>
      </w:r>
    </w:p>
    <w:p>
      <w:pPr>
        <w:sectPr>
          <w:pgSz w:w="11900" w:h="16838" w:orient="portrait"/>
          <w:cols w:equalWidth="0" w:num="1">
            <w:col w:w="11240"/>
          </w:cols>
          <w:pgMar w:left="320" w:top="1395" w:right="339" w:bottom="1440" w:gutter="0" w:footer="0" w:header="0"/>
        </w:sectPr>
      </w:pPr>
    </w:p>
    <w:bookmarkStart w:id="93" w:name="page94"/>
    <w:bookmarkEnd w:id="93"/>
    <w:p>
      <w:pPr>
        <w:jc w:val="both"/>
        <w:spacing w:after="0" w:line="279" w:lineRule="auto"/>
        <w:rPr>
          <w:sz w:val="20"/>
          <w:szCs w:val="20"/>
          <w:color w:val="auto"/>
        </w:rPr>
      </w:pPr>
      <w:r>
        <w:rPr>
          <w:rFonts w:ascii="Arial" w:cs="Arial" w:eastAsia="Arial" w:hAnsi="Arial"/>
          <w:sz w:val="17"/>
          <w:szCs w:val="17"/>
          <w:color w:val="auto"/>
        </w:rPr>
        <w:t xml:space="preserve">Indebtedness into which any such customary bridge facility is to be converted or exchanged satisfies the requirements of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and such conversion or exchange is subject only to the conditions customary for similar conversions or exchanges), (d) with respect to Refinanced Debt consisting of Revolving Commitments, will not require scheduled amortization or mandatory commitment reductions prior to the Latest Maturity Date of such Refinanced Debt, (e) such Indebtedness is not at any time guaranteed by any entity that is not a Loan Party, (f) in the case of any secured Indebtedness (i) is not secured by any assets not securing the Secured Obligations, (ii) if not comprising Indebtedness hereunder, is subject to the relevant Intercreditor Agreement(s) and (iii) in the case of Refinanced Debt that was secured on a junior basis to the Secured Obligations, shall be secured on a junior basis to the Secured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unsecured Refinanced Debt shall not be refinanced with secured Credit Agreement Refinancing Indebtedness, (g) in the case of Refinanced Debt that is subordinated in right of payment to the Secured Obligations, shall be subordinated on the same basis, (h) has covenants, events of default and guarantees of any such Indebtedness, that are not materially more restrictive to the Borrower, when taken as a whole, than the Refinanced Debt (as determined by the Borrower in good faith) unless (1) the Lenders under the Term Loans or Revolving Loans, as applicable, also receive the benefit of such more restrictive terms (it being acknowledged that with respect to any “springing” financial maintenance covenant or other covenant or provision only applicable to, or for the benefit of, a revolving credit facility, shall also be added solely for the benefit of each revolving credit facility hereunder (and not for the benefit of any term loan facility hereunder) (together with, at the election of the Borrower, any applicable “equity cure” provisions with respect to any financial maintenance covenant)) (it being understood to the extent that any covenant is added for the benefit of any such Indebtedness, no consent shall be required from the Administrative Agent or any Lender to the extent that such covenant is also added for the benefit of any corresponding existing Term Loans or Revolving Loans, as applicable), (2) any such provisions apply after the Latest Maturity Date at the time of such refinancing, or (3) such terms shall be reasonably satisfactory to the Administrative Agent and the Borrower, and (i) if such Indebtedness is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Liens securing the Secured Obligations, such Indebtedness may participate on a pro rata basis or a less than a pro rata basis (but not greater than a pro rata basis) in any mandatory repayments or prepayments in respect of the Term Loans or the Revolving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 Responsible Officer delivered to the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(5) Business Day period that it disagrees with such determination (including a reasonably detailed description of the basis upon which it disagrees). For the avoidance of doubt, such Credit Agreement Refinancing Indebtedness shall not be subject to any “most favored nation” pricing provisions.</w:t>
      </w:r>
    </w:p>
    <w:p>
      <w:pPr>
        <w:spacing w:after="0" w:line="38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Facilities</w:t>
      </w:r>
      <w:r>
        <w:rPr>
          <w:rFonts w:ascii="Arial" w:cs="Arial" w:eastAsia="Arial" w:hAnsi="Arial"/>
          <w:sz w:val="19"/>
          <w:szCs w:val="19"/>
          <w:color w:val="auto"/>
        </w:rPr>
        <w:t>” means the Revolving Facility and the Term Facility.</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or condition that constitutes an Event of Default or that upon notice, lapse of time or both would, unless cured or waived, become an Event of Default.</w:t>
      </w:r>
    </w:p>
    <w:p>
      <w:pPr>
        <w:sectPr>
          <w:pgSz w:w="11900" w:h="16838" w:orient="portrait"/>
          <w:cols w:equalWidth="0" w:num="1">
            <w:col w:w="11240"/>
          </w:cols>
          <w:pgMar w:left="320" w:top="1395" w:right="339" w:bottom="1440" w:gutter="0" w:footer="0" w:header="0"/>
        </w:sectPr>
      </w:pPr>
    </w:p>
    <w:bookmarkStart w:id="94" w:name="page95"/>
    <w:bookmarkEnd w:id="94"/>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156"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that (a) has failed, within two (2) Business Days of the date required to be funded or paid, to (i) fund any portion of its Loans, (ii) fund any portion of its participations in Letters of Credit or (iii) pay over to the Administrative Agent, any Issuing Bank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the Administrative Agent, any Issuing Bank or any other Lender, as applicable,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(3) Business Days after request by the Administrative Agent, any Issuing Bank or any other Lender, as applicable,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the Administrative Agent, any Issuing Bank or any other Lender’s, as applicable, receipt of such certification in form and substance satisfactory to it and the Administrative Agent or (d) has become the subject of (i) a Bankruptcy Event or (ii) a Bail-In Action.</w:t>
      </w:r>
    </w:p>
    <w:p>
      <w:pPr>
        <w:spacing w:after="0" w:line="176"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 Fronting Exposure</w:t>
      </w:r>
      <w:r>
        <w:rPr>
          <w:rFonts w:ascii="Arial" w:cs="Arial" w:eastAsia="Arial" w:hAnsi="Arial"/>
          <w:sz w:val="19"/>
          <w:szCs w:val="19"/>
          <w:color w:val="auto"/>
        </w:rPr>
        <w:t>” means, at any time there is a Defaulting Lender, with respect to any Issuing Bank, such Defaulting Lender’s Applicable Percentage of the Obligations with respect to the Letters of Credit issued by such Issuing Bank other than Secured Obligations as to which such Defaulting Lender’s participation obligation has been reallocated to other Lenders or cash collateralized in accordance with the terms hereof.</w:t>
      </w:r>
    </w:p>
    <w:p>
      <w:pPr>
        <w:spacing w:after="0" w:line="177"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xml:space="preserve">” means the fair market value of non-cash consideration received by the Borrower or a Restricted Subsidiary in connection with a Disposition pursuant to </w:t>
      </w:r>
      <w:r>
        <w:rPr>
          <w:rFonts w:ascii="Arial" w:cs="Arial" w:eastAsia="Arial" w:hAnsi="Arial"/>
          <w:sz w:val="18"/>
          <w:szCs w:val="18"/>
          <w:u w:val="single" w:color="auto"/>
          <w:color w:val="auto"/>
        </w:rPr>
        <w:t>Section 6.05(k)</w:t>
      </w:r>
      <w:r>
        <w:rPr>
          <w:rFonts w:ascii="Arial" w:cs="Arial" w:eastAsia="Arial" w:hAnsi="Arial"/>
          <w:sz w:val="18"/>
          <w:szCs w:val="18"/>
          <w:color w:val="auto"/>
        </w:rPr>
        <w:t xml:space="preserve"> that is designated as Designated Non-Cash Consideration pursuant to a certificate of a Responsible Officer of Holdings or the Borrower, setting forth the basis of such valuation (which amount will be reduced by the fair market value of the portion of the non-cash consideration converted to cash within 180 days following the consummation of the applicable Disposition or, if converted to cash after 180 days, the lesser of (a) the consideration in cash or cash equivalents received from such conversion and (b) the fair market value of such non-cash consideration at the time of such conversion).</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 Prepayment Accepting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2.11(a)(ii)(B)(2)</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 Range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 Range Prepayment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2.11(a)(ii)(C)(1)</w:t>
      </w:r>
      <w:r>
        <w:rPr>
          <w:rFonts w:ascii="Arial" w:cs="Arial" w:eastAsia="Arial" w:hAnsi="Arial"/>
          <w:sz w:val="19"/>
          <w:szCs w:val="19"/>
          <w:color w:val="auto"/>
        </w:rPr>
        <w:t>.</w:t>
      </w:r>
    </w:p>
    <w:p>
      <w:pPr>
        <w:sectPr>
          <w:pgSz w:w="11900" w:h="16838" w:orient="portrait"/>
          <w:cols w:equalWidth="0" w:num="1">
            <w:col w:w="11240"/>
          </w:cols>
          <w:pgMar w:left="320" w:top="1395" w:right="339" w:bottom="1440" w:gutter="0" w:footer="0" w:header="0"/>
        </w:sectPr>
      </w:pPr>
    </w:p>
    <w:bookmarkStart w:id="95" w:name="page96"/>
    <w:bookmarkEnd w:id="95"/>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 Range Prepayment Notice</w:t>
      </w:r>
      <w:r>
        <w:rPr>
          <w:rFonts w:ascii="Arial" w:cs="Arial" w:eastAsia="Arial" w:hAnsi="Arial"/>
          <w:sz w:val="19"/>
          <w:szCs w:val="19"/>
          <w:color w:val="auto"/>
        </w:rPr>
        <w:t xml:space="preserve">” means a written notice of a Borrower Solicitation of Discount Range Prepayment Offers made pursuant to </w:t>
      </w:r>
      <w:r>
        <w:rPr>
          <w:rFonts w:ascii="Arial" w:cs="Arial" w:eastAsia="Arial" w:hAnsi="Arial"/>
          <w:sz w:val="19"/>
          <w:szCs w:val="19"/>
          <w:u w:val="single" w:color="auto"/>
          <w:color w:val="auto"/>
        </w:rPr>
        <w:t>Section 2.11(a)(ii)(C)(1)</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w:t>
      </w:r>
    </w:p>
    <w:p>
      <w:pPr>
        <w:spacing w:after="0" w:line="156"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 Range Prepayment Offer</w:t>
      </w:r>
      <w:r>
        <w:rPr>
          <w:rFonts w:ascii="Arial" w:cs="Arial" w:eastAsia="Arial" w:hAnsi="Arial"/>
          <w:sz w:val="19"/>
          <w:szCs w:val="19"/>
          <w:color w:val="auto"/>
        </w:rPr>
        <w:t xml:space="preserve">” means the irrevocable written offer by a Term Lender, substantially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submitted in response to an invitation to submit offers following the Auction Agent’s receipt of a Discount Range Prepayment Notice.</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 Range Prepayment Response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 Range Proration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2.11(a)(ii)(C)(3)</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Discounted Prepayment Determination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2.11(a)(ii)(D)(3)</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Discounted Prepayment Effective Date</w:t>
      </w:r>
      <w:r>
        <w:rPr>
          <w:rFonts w:ascii="Arial" w:cs="Arial" w:eastAsia="Arial" w:hAnsi="Arial"/>
          <w:sz w:val="19"/>
          <w:szCs w:val="19"/>
          <w:color w:val="auto"/>
        </w:rPr>
        <w:t xml:space="preserve">” means in the case of a Borrower Offer of Specified Discount Prepayment or Borrower Solicitation of Discount Range Prepayment Offer, five (5) Business Days following the receipt by each relevant Term Lender of notice from the Auction Agent in accordance with </w:t>
      </w:r>
      <w:r>
        <w:rPr>
          <w:rFonts w:ascii="Arial" w:cs="Arial" w:eastAsia="Arial" w:hAnsi="Arial"/>
          <w:sz w:val="19"/>
          <w:szCs w:val="19"/>
          <w:u w:val="single" w:color="auto"/>
          <w:color w:val="auto"/>
        </w:rPr>
        <w:t>Section 2.11(a)(ii)(B)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2.11(a)(ii)(C)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2.11(a)(ii)(D)</w:t>
      </w:r>
      <w:r>
        <w:rPr>
          <w:rFonts w:ascii="Arial" w:cs="Arial" w:eastAsia="Arial" w:hAnsi="Arial"/>
          <w:sz w:val="19"/>
          <w:szCs w:val="19"/>
          <w:color w:val="auto"/>
        </w:rPr>
        <w:t>, as applicable, unless a shorter period is agreed to between the Borrower and the Auction Agent.</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Discounted Term Loan Prepayment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2.11(a)(ii)(A)</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Dispose</w:t>
      </w:r>
      <w:r>
        <w:rPr>
          <w:rFonts w:ascii="Arial" w:cs="Arial" w:eastAsia="Arial" w:hAnsi="Arial"/>
          <w:sz w:val="19"/>
          <w:szCs w:val="19"/>
          <w:color w:val="auto"/>
        </w:rPr>
        <w:t>” and “</w:t>
      </w:r>
      <w:r>
        <w:rPr>
          <w:rFonts w:ascii="Arial" w:cs="Arial" w:eastAsia="Arial" w:hAnsi="Arial"/>
          <w:sz w:val="19"/>
          <w:szCs w:val="19"/>
          <w:u w:val="single" w:color="auto"/>
          <w:color w:val="auto"/>
        </w:rPr>
        <w:t>Disposition</w:t>
      </w:r>
      <w:r>
        <w:rPr>
          <w:rFonts w:ascii="Arial" w:cs="Arial" w:eastAsia="Arial" w:hAnsi="Arial"/>
          <w:sz w:val="19"/>
          <w:szCs w:val="19"/>
          <w:color w:val="auto"/>
        </w:rPr>
        <w:t xml:space="preserve">” each has the meaning assigned to such term in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Disposed EBITDA</w:t>
      </w:r>
      <w:r>
        <w:rPr>
          <w:rFonts w:ascii="Arial" w:cs="Arial" w:eastAsia="Arial" w:hAnsi="Arial"/>
          <w:sz w:val="19"/>
          <w:szCs w:val="19"/>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Holdings, any Intermediate Parent,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82"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w:t>
      </w:r>
      <w:r>
        <w:rPr>
          <w:rFonts w:ascii="Arial" w:cs="Arial" w:eastAsia="Arial" w:hAnsi="Arial"/>
          <w:sz w:val="19"/>
          <w:szCs w:val="19"/>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69" w:lineRule="exact"/>
        <w:rPr>
          <w:sz w:val="20"/>
          <w:szCs w:val="20"/>
          <w:color w:val="auto"/>
        </w:rPr>
      </w:pPr>
    </w:p>
    <w:p>
      <w:pPr>
        <w:jc w:val="both"/>
        <w:ind w:left="640" w:firstLine="638"/>
        <w:spacing w:after="0" w:line="263" w:lineRule="auto"/>
        <w:tabs>
          <w:tab w:leader="none" w:pos="1783" w:val="left"/>
        </w:tabs>
        <w:numPr>
          <w:ilvl w:val="0"/>
          <w:numId w:val="60"/>
        </w:numPr>
        <w:rPr>
          <w:rFonts w:ascii="Arial" w:cs="Arial" w:eastAsia="Arial" w:hAnsi="Arial"/>
          <w:sz w:val="19"/>
          <w:szCs w:val="19"/>
          <w:color w:val="auto"/>
        </w:rPr>
      </w:pPr>
      <w:r>
        <w:rPr>
          <w:rFonts w:ascii="Arial" w:cs="Arial" w:eastAsia="Arial" w:hAnsi="Arial"/>
          <w:sz w:val="19"/>
          <w:szCs w:val="19"/>
          <w:color w:val="auto"/>
        </w:rPr>
        <w:t>matures or is mandatorily redeemable or contains any mandatory put, redemption or repayment provision (other than solely for Equity Interests in such Person that do not constitute Disqualified Equity Interests and cash in lieu of fractional shares of such Equity Interests), whether pursuant to a sinking fund obligation or otherwise;</w:t>
      </w:r>
    </w:p>
    <w:p>
      <w:pPr>
        <w:spacing w:after="0" w:line="169" w:lineRule="exact"/>
        <w:rPr>
          <w:rFonts w:ascii="Arial" w:cs="Arial" w:eastAsia="Arial" w:hAnsi="Arial"/>
          <w:sz w:val="19"/>
          <w:szCs w:val="19"/>
          <w:color w:val="auto"/>
        </w:rPr>
      </w:pPr>
    </w:p>
    <w:p>
      <w:pPr>
        <w:ind w:left="640" w:firstLine="638"/>
        <w:spacing w:after="0" w:line="278" w:lineRule="auto"/>
        <w:tabs>
          <w:tab w:leader="none" w:pos="1813" w:val="left"/>
        </w:tabs>
        <w:numPr>
          <w:ilvl w:val="0"/>
          <w:numId w:val="60"/>
        </w:numPr>
        <w:rPr>
          <w:rFonts w:ascii="Arial" w:cs="Arial" w:eastAsia="Arial" w:hAnsi="Arial"/>
          <w:sz w:val="19"/>
          <w:szCs w:val="19"/>
          <w:color w:val="auto"/>
        </w:rPr>
      </w:pPr>
      <w:r>
        <w:rPr>
          <w:rFonts w:ascii="Arial" w:cs="Arial" w:eastAsia="Arial" w:hAnsi="Arial"/>
          <w:sz w:val="19"/>
          <w:szCs w:val="19"/>
          <w:color w:val="auto"/>
        </w:rPr>
        <w:t>is convertible or exchangeable, either mandatorily or at the option of the holder thereof, for Indebtedness or Equity Interests (other than solely for Equity Interests in such Person</w:t>
      </w:r>
    </w:p>
    <w:p>
      <w:pPr>
        <w:sectPr>
          <w:pgSz w:w="11900" w:h="16838" w:orient="portrait"/>
          <w:cols w:equalWidth="0" w:num="1">
            <w:col w:w="11240"/>
          </w:cols>
          <w:pgMar w:left="320" w:top="1395" w:right="339" w:bottom="1440" w:gutter="0" w:footer="0" w:header="0"/>
        </w:sectPr>
      </w:pPr>
    </w:p>
    <w:bookmarkStart w:id="96" w:name="page97"/>
    <w:bookmarkEnd w:id="96"/>
    <w:p>
      <w:pPr>
        <w:ind w:left="640"/>
        <w:spacing w:after="0"/>
        <w:rPr>
          <w:sz w:val="20"/>
          <w:szCs w:val="20"/>
          <w:color w:val="auto"/>
        </w:rPr>
      </w:pPr>
      <w:r>
        <w:rPr>
          <w:rFonts w:ascii="Arial" w:cs="Arial" w:eastAsia="Arial" w:hAnsi="Arial"/>
          <w:sz w:val="19"/>
          <w:szCs w:val="19"/>
          <w:color w:val="auto"/>
        </w:rPr>
        <w:t>that do not constitute Disqualified Equity Interests and cash in lieu of fractional shares of such Equity Interests);</w:t>
      </w:r>
    </w:p>
    <w:p>
      <w:pPr>
        <w:spacing w:after="0" w:line="219" w:lineRule="exact"/>
        <w:rPr>
          <w:sz w:val="20"/>
          <w:szCs w:val="20"/>
          <w:color w:val="auto"/>
        </w:rPr>
      </w:pPr>
    </w:p>
    <w:p>
      <w:pPr>
        <w:jc w:val="both"/>
        <w:ind w:left="640" w:firstLine="638"/>
        <w:spacing w:after="0" w:line="263" w:lineRule="auto"/>
        <w:tabs>
          <w:tab w:leader="none" w:pos="1693" w:val="left"/>
        </w:tabs>
        <w:numPr>
          <w:ilvl w:val="0"/>
          <w:numId w:val="61"/>
        </w:numPr>
        <w:rPr>
          <w:rFonts w:ascii="Arial" w:cs="Arial" w:eastAsia="Arial" w:hAnsi="Arial"/>
          <w:sz w:val="19"/>
          <w:szCs w:val="19"/>
          <w:color w:val="auto"/>
        </w:rPr>
      </w:pPr>
      <w:r>
        <w:rPr>
          <w:rFonts w:ascii="Arial" w:cs="Arial" w:eastAsia="Arial" w:hAnsi="Arial"/>
          <w:sz w:val="19"/>
          <w:szCs w:val="19"/>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 or</w:t>
      </w:r>
    </w:p>
    <w:p>
      <w:pPr>
        <w:spacing w:after="0" w:line="169" w:lineRule="exact"/>
        <w:rPr>
          <w:rFonts w:ascii="Arial" w:cs="Arial" w:eastAsia="Arial" w:hAnsi="Arial"/>
          <w:sz w:val="19"/>
          <w:szCs w:val="19"/>
          <w:color w:val="auto"/>
        </w:rPr>
      </w:pPr>
    </w:p>
    <w:p>
      <w:pPr>
        <w:ind w:left="1700" w:hanging="422"/>
        <w:spacing w:after="0"/>
        <w:tabs>
          <w:tab w:leader="none" w:pos="1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any preferred Equity Interest, provides for scheduled payments of dividends and/or distributions in cash;</w:t>
      </w:r>
    </w:p>
    <w:p>
      <w:pPr>
        <w:spacing w:after="0" w:line="23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in each case, on or prior to the date ninety-one (91) days after the Latest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an Equity Interest in any Person that would not constitute a Disqualified Equity Interest but for terms thereof giving holders thereof the right to require such Person to redeem or purchase such Equity Interest upon the occurrence of an “asset sale”, “fundamental change” or a “change of control” or similar event shall not constitute a Disqualified Equity Interest if any such requirement becomes operative only after, or payment thereunder is subject to the prior, repayment in full of all the Loans and all other Loan Document Obligations that are accrued and payable and the termination of the Commitments,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 and (iii) any Equity Interest in any Person that would not constitute a Disqualified Equity Interest but for a requirement of payment of dividends or distributions in violation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or</w:t>
      </w:r>
    </w:p>
    <w:p>
      <w:pPr>
        <w:spacing w:after="0" w:line="4" w:lineRule="exact"/>
        <w:rPr>
          <w:sz w:val="20"/>
          <w:szCs w:val="20"/>
          <w:color w:val="auto"/>
        </w:rPr>
      </w:pPr>
    </w:p>
    <w:p>
      <w:pPr>
        <w:jc w:val="both"/>
        <w:ind w:firstLine="6"/>
        <w:spacing w:after="0" w:line="250" w:lineRule="auto"/>
        <w:tabs>
          <w:tab w:leader="none" w:pos="281" w:val="left"/>
        </w:tabs>
        <w:numPr>
          <w:ilvl w:val="0"/>
          <w:numId w:val="62"/>
        </w:numPr>
        <w:rPr>
          <w:rFonts w:ascii="Arial" w:cs="Arial" w:eastAsia="Arial" w:hAnsi="Arial"/>
          <w:sz w:val="19"/>
          <w:szCs w:val="19"/>
          <w:u w:val="single" w:color="auto"/>
          <w:color w:val="auto"/>
        </w:rPr>
      </w:pPr>
      <w:r>
        <w:rPr>
          <w:rFonts w:ascii="Arial" w:cs="Arial" w:eastAsia="Arial" w:hAnsi="Arial"/>
          <w:sz w:val="19"/>
          <w:szCs w:val="19"/>
          <w:color w:val="auto"/>
        </w:rPr>
        <w:t xml:space="preserve">above shall not constitute a Disqualified Equity Interest if the terms of such Equity Interest (x) give the applicable issuer the option to elect to pay such dividends or distributions on a non-cash basis and (y) do not require the cash payment of dividends or distributions at any time that such cash payment is not permitted under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of this Agreement or would result in an Event of Default hereunder, provided further, that any obligation to repurchase or acquire or make any payment with respect to any Equity Interest in connection with the unwinding, settlement or termination of any obligations under or in respect of any Permitted Equity Derivatives shall not cause such Equity Interest to constitute a Disqualified Equity Interest.</w:t>
      </w:r>
    </w:p>
    <w:p>
      <w:pPr>
        <w:spacing w:after="0" w:line="182" w:lineRule="exact"/>
        <w:rPr>
          <w:sz w:val="20"/>
          <w:szCs w:val="20"/>
          <w:color w:val="auto"/>
        </w:rPr>
      </w:pPr>
    </w:p>
    <w:p>
      <w:pPr>
        <w:jc w:val="both"/>
        <w:ind w:firstLine="1272"/>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Lenders</w:t>
      </w:r>
      <w:r>
        <w:rPr>
          <w:rFonts w:ascii="Arial" w:cs="Arial" w:eastAsia="Arial" w:hAnsi="Arial"/>
          <w:sz w:val="17"/>
          <w:szCs w:val="17"/>
          <w:color w:val="auto"/>
        </w:rPr>
        <w:t xml:space="preserve">” means (i) those Persons identified by the Borrower to the Administrative Agent in writing prior to the Effective Date as being “Disqualified Lenders” (or, if after such date, that are acceptable to the Administrative Agent), (ii) those Persons who are competitors of the Borrower and/or any Subsidiaries of the Borrower identified by the Borrower to the Administrative Agent from time to time in writing (including by email) which designation shall become effective two (2) days after the delivery of each such written designation to the Administrative Agent, but which shall not apply retroactively to disqualify any persons that have previously acquired, or entered into a trade to acquire, an assignment or participation interest in the Loan and (iii) in the case of each Person identified pursuant to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any of their Affiliates (other than any such Affiliate that is primarily engaged in, or that advises funds or other investment vehicles that are engaged in, making, purchasing, holding or otherwise investing in commercial loans, bonds and similar extensions of credit or securities in the ordinary course and with respect to which the primary Disqualified Lender does not possess the power to direct or cause the direction of the investment policies of such entity referenced in clause (ii) above, unless separately identified by the Borrower pursuant to clause (i) above) that are either (x) identified in writing by the Borrower from time to time or (y) clearly identifiable as Affiliates on the basis of such</w:t>
      </w:r>
    </w:p>
    <w:p>
      <w:pPr>
        <w:sectPr>
          <w:pgSz w:w="11900" w:h="16838" w:orient="portrait"/>
          <w:cols w:equalWidth="0" w:num="1">
            <w:col w:w="11240"/>
          </w:cols>
          <w:pgMar w:left="320" w:top="1395" w:right="339" w:bottom="1440" w:gutter="0" w:footer="0" w:header="0"/>
        </w:sectPr>
      </w:pPr>
    </w:p>
    <w:bookmarkStart w:id="97" w:name="page98"/>
    <w:bookmarkEnd w:id="97"/>
    <w:p>
      <w:pPr>
        <w:spacing w:after="0"/>
        <w:rPr>
          <w:sz w:val="20"/>
          <w:szCs w:val="20"/>
          <w:color w:val="auto"/>
        </w:rPr>
      </w:pPr>
      <w:r>
        <w:rPr>
          <w:rFonts w:ascii="Arial" w:cs="Arial" w:eastAsia="Arial" w:hAnsi="Arial"/>
          <w:sz w:val="19"/>
          <w:szCs w:val="19"/>
          <w:color w:val="auto"/>
        </w:rPr>
        <w:t>Affiliate’s name. Such list of Disqualified Lenders shall be available for inspection upon request by any Lender.</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refers to lawful money of the United States of America.</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 of the United States, any state thereof or the District of Columbia.</w:t>
      </w:r>
    </w:p>
    <w:p>
      <w:pPr>
        <w:spacing w:after="0" w:line="156"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Earn-Outs</w:t>
      </w:r>
      <w:r>
        <w:rPr>
          <w:rFonts w:ascii="Arial" w:cs="Arial" w:eastAsia="Arial" w:hAnsi="Arial"/>
          <w:sz w:val="19"/>
          <w:szCs w:val="19"/>
          <w:color w:val="auto"/>
        </w:rPr>
        <w:t>” means, with respect to any Person, obligations of such Person arising from Permitted Acquisitions or other Investments permitted hereunder which are payable to the sellers thereunder in their capacity as such based on the achievement of specified financial results or other criteria or milestones over time.</w:t>
      </w:r>
    </w:p>
    <w:p>
      <w:pPr>
        <w:spacing w:after="0" w:line="169" w:lineRule="exact"/>
        <w:rPr>
          <w:sz w:val="20"/>
          <w:szCs w:val="20"/>
          <w:color w:val="auto"/>
        </w:rPr>
      </w:pPr>
    </w:p>
    <w:p>
      <w:pPr>
        <w:jc w:val="both"/>
        <w:ind w:firstLine="1272"/>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ECF Percentage</w:t>
      </w:r>
      <w:r>
        <w:rPr>
          <w:rFonts w:ascii="Arial" w:cs="Arial" w:eastAsia="Arial" w:hAnsi="Arial"/>
          <w:sz w:val="17"/>
          <w:szCs w:val="17"/>
          <w:color w:val="auto"/>
        </w:rPr>
        <w:t xml:space="preserve">” means, with respect to the prepayment required by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with respect to any fiscal year of the Borrower, if the First Lien Net Leverage Ratio (prior to giving effect to the applicable prepayment pursuant to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but after giving effect to any voluntary prepayments made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prior to the date of such prepayment) as of the end of such fiscal year is</w:t>
      </w:r>
    </w:p>
    <w:p>
      <w:pPr>
        <w:ind w:left="280" w:hanging="274"/>
        <w:spacing w:after="0"/>
        <w:tabs>
          <w:tab w:leader="none" w:pos="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greater than 4.00 to 1.00, 50.0% of Excess Cash Flow for such fiscal year, (b) greater than 3.50 to 1.00 but less than or equal to 4.00 to 1.00,</w:t>
      </w:r>
    </w:p>
    <w:p>
      <w:pPr>
        <w:spacing w:after="0" w:line="2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25.0% of Excess Cash Flow for such fiscal year and (c) less than or equal to 3.50 to 1.00, 0.00% of Excess Cash Flow for such fiscal year.</w:t>
      </w:r>
    </w:p>
    <w:p>
      <w:pPr>
        <w:spacing w:after="0" w:line="214"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19" w:lineRule="exact"/>
        <w:rPr>
          <w:sz w:val="20"/>
          <w:szCs w:val="20"/>
          <w:color w:val="auto"/>
        </w:rPr>
      </w:pPr>
    </w:p>
    <w:p>
      <w:pPr>
        <w:jc w:val="both"/>
        <w:ind w:firstLine="1272"/>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July 7, 2021.</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 Refinancing</w:t>
      </w:r>
      <w:r>
        <w:rPr>
          <w:rFonts w:ascii="Arial" w:cs="Arial" w:eastAsia="Arial" w:hAnsi="Arial"/>
          <w:sz w:val="19"/>
          <w:szCs w:val="19"/>
          <w:color w:val="auto"/>
        </w:rPr>
        <w:t>” means, collectively, the repayment, redemption, repurchase or other discharge of all existing third-party indebtedness for borrowed money of the Borrower under the Existing Credit Agreement and the release and termination of (x) all commitments thereunder and (y) all related liens granted by and guarantees or borrower obligations related thereto by Holdings, any Intermediate Parent, the Borrower and its subsidiaries.</w:t>
      </w:r>
    </w:p>
    <w:p>
      <w:pPr>
        <w:spacing w:after="0" w:line="177"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Yield</w:t>
      </w:r>
      <w:r>
        <w:rPr>
          <w:rFonts w:ascii="Arial" w:cs="Arial" w:eastAsia="Arial" w:hAnsi="Arial"/>
          <w:sz w:val="19"/>
          <w:szCs w:val="19"/>
          <w:color w:val="auto"/>
        </w:rPr>
        <w:t>” means, as of any date of determination, the sum of (i) the higher of (A) the Adjusted LIBO Rate on such date for a deposit in dollars with a maturity of one month and (B) the Adjusted LIBO Rate floor, if any, with respect thereto as of such date, (ii) the interest rate margins as of such date (with such interest rate margin and interest spreads to be determined by reference to the Adjusted LIBO Rate) and (iii) the amount of original issuance discount and/or upfront fees thereon (converted to yield assuming a four-year average life and without any present value discount) (it being understood that customary arrangement, underwriting, structuring or commitment fees payable to any of</w:t>
      </w:r>
    </w:p>
    <w:p>
      <w:pPr>
        <w:sectPr>
          <w:pgSz w:w="11900" w:h="16838" w:orient="portrait"/>
          <w:cols w:equalWidth="0" w:num="1">
            <w:col w:w="11240"/>
          </w:cols>
          <w:pgMar w:left="320" w:top="1395" w:right="339" w:bottom="1440" w:gutter="0" w:footer="0" w:header="0"/>
        </w:sectPr>
      </w:pPr>
    </w:p>
    <w:bookmarkStart w:id="98" w:name="page99"/>
    <w:bookmarkEnd w:id="98"/>
    <w:p>
      <w:pPr>
        <w:jc w:val="both"/>
        <w:spacing w:after="0" w:line="278" w:lineRule="auto"/>
        <w:rPr>
          <w:sz w:val="20"/>
          <w:szCs w:val="20"/>
          <w:color w:val="auto"/>
        </w:rPr>
      </w:pPr>
      <w:r>
        <w:rPr>
          <w:rFonts w:ascii="Arial" w:cs="Arial" w:eastAsia="Arial" w:hAnsi="Arial"/>
          <w:sz w:val="19"/>
          <w:szCs w:val="19"/>
          <w:color w:val="auto"/>
        </w:rPr>
        <w:t>the Lead Arrangers in connection with the applicable Term Commitment or the Revolving Commitment or to one or more arrangers, bookrunners or structuring advisors (or their affiliates) of any Incremental Facility shall be excluded).</w:t>
      </w:r>
    </w:p>
    <w:p>
      <w:pPr>
        <w:spacing w:after="0" w:line="156" w:lineRule="exact"/>
        <w:rPr>
          <w:sz w:val="20"/>
          <w:szCs w:val="20"/>
          <w:color w:val="auto"/>
        </w:rPr>
      </w:pPr>
    </w:p>
    <w:p>
      <w:pPr>
        <w:jc w:val="both"/>
        <w:ind w:firstLine="1272"/>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 a Lender, (b) an Affiliate of a Lender, (c) an Approved Fund and (d) any other Person (other than Holdings, any Intermediate Parent, the Borrower or any of their respective Affiliates), other than, in each case, (i) a natural person (a holding company, investments vehicle, investment vehicle or trust for, or owned and operated by or for the primary benefit of a natural person), (ii) a Defaulting Lender or (iii) a Disqualified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Disqualified Lender will constitute an Eligible Assignee solely to the extent that such assignment is consented to in writing by the Borrower. Notwithstanding the foregoing, each Loan Party and the Lenders acknowledge and agree that the Administrative Agent shall have no liability with respect to any assignment made to a Disqualified Lender unless (i) (A) the Administrative Agent has acted with gross negligence, bad faith or willful misconduct (as determined by a court of competent jurisdiction in a final and non-appealable judgment) or (B) such assignment resulted from a material breach of the Loan Documents by the Administrative Agent (as determined by a court of competent jurisdiction in a final and non-appealable judgment) and (ii) the Borrower has not consented to such assignment or is not deemed to have consented to such assignment to the extent required by </w:t>
      </w:r>
      <w:r>
        <w:rPr>
          <w:rFonts w:ascii="Arial" w:cs="Arial" w:eastAsia="Arial" w:hAnsi="Arial"/>
          <w:sz w:val="17"/>
          <w:szCs w:val="17"/>
          <w:u w:val="single" w:color="auto"/>
          <w:color w:val="auto"/>
        </w:rPr>
        <w:t>Section 9.04(b)</w:t>
      </w:r>
      <w:r>
        <w:rPr>
          <w:rFonts w:ascii="Arial" w:cs="Arial" w:eastAsia="Arial" w:hAnsi="Arial"/>
          <w:sz w:val="17"/>
          <w:szCs w:val="17"/>
          <w:color w:val="auto"/>
        </w:rPr>
        <w:t>.</w:t>
      </w:r>
    </w:p>
    <w:p>
      <w:pPr>
        <w:spacing w:after="0" w:line="160"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Enterprise Transformative Event</w:t>
      </w:r>
      <w:r>
        <w:rPr>
          <w:rFonts w:ascii="Arial" w:cs="Arial" w:eastAsia="Arial" w:hAnsi="Arial"/>
          <w:sz w:val="19"/>
          <w:szCs w:val="19"/>
          <w:color w:val="auto"/>
        </w:rPr>
        <w:t>” means any merger, acquisition, Investment, dissolution, liquidation, consolidation or Disposition, in any such case by Holdings, the Borrower or any Restricted Subsidiary, that is either (a) not permitted by the terms of any Loan Document immediately prior to the consummation of such transaction or (b) if permitted by the terms of the Loan Documents immediately prior to the consummation of such transaction, would not provide Holdings, the Borrower and the Restricted Subsidiaries with adequate flexibility under the Loan Documents for the continuation or expansion of their combined operations following such consummation, as reasonably determined by the Borrower acting in good faith.</w:t>
      </w:r>
    </w:p>
    <w:p>
      <w:pPr>
        <w:spacing w:after="0" w:line="182"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78" w:lineRule="exact"/>
        <w:rPr>
          <w:sz w:val="20"/>
          <w:szCs w:val="20"/>
          <w:color w:val="auto"/>
        </w:rPr>
      </w:pPr>
    </w:p>
    <w:p>
      <w:pPr>
        <w:jc w:val="both"/>
        <w:ind w:firstLine="127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51"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shares of capital stock, partnership interests, membership interests in a limited liability company, beneficial interests in a trust or other equity ownership interests in a Person.</w:t>
      </w:r>
    </w:p>
    <w:p>
      <w:pPr>
        <w:sectPr>
          <w:pgSz w:w="11900" w:h="16838" w:orient="portrait"/>
          <w:cols w:equalWidth="0" w:num="1">
            <w:col w:w="11240"/>
          </w:cols>
          <w:pgMar w:left="320" w:top="1395" w:right="339" w:bottom="1440" w:gutter="0" w:footer="0" w:header="0"/>
        </w:sectPr>
      </w:pPr>
    </w:p>
    <w:bookmarkStart w:id="99" w:name="page100"/>
    <w:bookmarkEnd w:id="99"/>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from time to time.</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any Loan Party, is treated as a single employer under Section 414(b) or 414(c) of the Code or, solely for purposes of Title IV and Section 302 of ERISA and Section 412 of the Code, is treated as a single employer under Section 4001(b) of ERISA or Section 414 of the Code.</w:t>
      </w:r>
    </w:p>
    <w:p>
      <w:pPr>
        <w:spacing w:after="0" w:line="169"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relating to an intention to terminate any Plan or Plans or to appoint a trustee to administer any Plan, or to an intention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71"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Adjusted LIBO Rate.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w:t>
      </w:r>
      <w:r>
        <w:rPr>
          <w:rFonts w:ascii="Arial" w:cs="Arial" w:eastAsia="Arial" w:hAnsi="Arial"/>
          <w:sz w:val="19"/>
          <w:szCs w:val="19"/>
          <w:color w:val="auto"/>
        </w:rPr>
        <w:t>” means, for any period, an amount equal to the excess of:</w:t>
      </w:r>
    </w:p>
    <w:p>
      <w:pPr>
        <w:spacing w:after="0" w:line="219" w:lineRule="exact"/>
        <w:rPr>
          <w:sz w:val="20"/>
          <w:szCs w:val="20"/>
          <w:color w:val="auto"/>
        </w:rPr>
      </w:pPr>
    </w:p>
    <w:p>
      <w:pPr>
        <w:ind w:left="1680" w:hanging="402"/>
        <w:spacing w:after="0"/>
        <w:tabs>
          <w:tab w:leader="none" w:pos="16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sum, without duplication, of:</w:t>
      </w:r>
    </w:p>
    <w:p>
      <w:pPr>
        <w:spacing w:after="0" w:line="218" w:lineRule="exact"/>
        <w:rPr>
          <w:rFonts w:ascii="Arial" w:cs="Arial" w:eastAsia="Arial" w:hAnsi="Arial"/>
          <w:sz w:val="19"/>
          <w:szCs w:val="19"/>
          <w:color w:val="auto"/>
        </w:rPr>
      </w:pPr>
    </w:p>
    <w:p>
      <w:pPr>
        <w:ind w:left="2600" w:hanging="368"/>
        <w:spacing w:after="0"/>
        <w:tabs>
          <w:tab w:leader="none" w:pos="26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Consolidated Net Income for such period,</w:t>
      </w:r>
    </w:p>
    <w:p>
      <w:pPr>
        <w:spacing w:after="0" w:line="218" w:lineRule="exact"/>
        <w:rPr>
          <w:rFonts w:ascii="Arial" w:cs="Arial" w:eastAsia="Arial" w:hAnsi="Arial"/>
          <w:sz w:val="19"/>
          <w:szCs w:val="19"/>
          <w:color w:val="auto"/>
        </w:rPr>
      </w:pPr>
    </w:p>
    <w:p>
      <w:pPr>
        <w:ind w:left="960" w:firstLine="1272"/>
        <w:spacing w:after="0" w:line="278" w:lineRule="auto"/>
        <w:tabs>
          <w:tab w:leader="none" w:pos="2853" w:val="left"/>
        </w:tabs>
        <w:numPr>
          <w:ilvl w:val="1"/>
          <w:numId w:val="64"/>
        </w:numPr>
        <w:rPr>
          <w:rFonts w:ascii="Arial" w:cs="Arial" w:eastAsia="Arial" w:hAnsi="Arial"/>
          <w:sz w:val="19"/>
          <w:szCs w:val="19"/>
          <w:color w:val="auto"/>
        </w:rPr>
      </w:pPr>
      <w:r>
        <w:rPr>
          <w:rFonts w:ascii="Arial" w:cs="Arial" w:eastAsia="Arial" w:hAnsi="Arial"/>
          <w:sz w:val="19"/>
          <w:szCs w:val="19"/>
          <w:color w:val="auto"/>
        </w:rPr>
        <w:t>an amount equal to the amount of all Non-Cash Charges to the extent deducted in arriving at such Consolidated Net Income,</w:t>
      </w:r>
    </w:p>
    <w:p>
      <w:pPr>
        <w:sectPr>
          <w:pgSz w:w="11900" w:h="16838" w:orient="portrait"/>
          <w:cols w:equalWidth="0" w:num="1">
            <w:col w:w="11240"/>
          </w:cols>
          <w:pgMar w:left="320" w:top="1395" w:right="339" w:bottom="1440" w:gutter="0" w:footer="0" w:header="0"/>
        </w:sectPr>
      </w:pPr>
    </w:p>
    <w:bookmarkStart w:id="100" w:name="page101"/>
    <w:bookmarkEnd w:id="100"/>
    <w:p>
      <w:pPr>
        <w:ind w:left="1760" w:hanging="488"/>
        <w:spacing w:after="0"/>
        <w:tabs>
          <w:tab w:leader="none" w:pos="1760" w:val="left"/>
        </w:tabs>
        <w:numPr>
          <w:ilvl w:val="2"/>
          <w:numId w:val="65"/>
        </w:numPr>
        <w:rPr>
          <w:rFonts w:ascii="Arial" w:cs="Arial" w:eastAsia="Arial" w:hAnsi="Arial"/>
          <w:sz w:val="19"/>
          <w:szCs w:val="19"/>
          <w:color w:val="auto"/>
        </w:rPr>
      </w:pPr>
      <w:r>
        <w:rPr>
          <w:rFonts w:ascii="Arial" w:cs="Arial" w:eastAsia="Arial" w:hAnsi="Arial"/>
          <w:sz w:val="19"/>
          <w:szCs w:val="19"/>
          <w:color w:val="auto"/>
        </w:rPr>
        <w:t>decreases in Consolidated Working Capital and long-term account receivables for such period, and</w:t>
      </w:r>
    </w:p>
    <w:p>
      <w:pPr>
        <w:spacing w:after="0" w:line="218" w:lineRule="exact"/>
        <w:rPr>
          <w:rFonts w:ascii="Arial" w:cs="Arial" w:eastAsia="Arial" w:hAnsi="Arial"/>
          <w:sz w:val="19"/>
          <w:szCs w:val="19"/>
          <w:color w:val="auto"/>
        </w:rPr>
      </w:pPr>
    </w:p>
    <w:p>
      <w:pPr>
        <w:jc w:val="both"/>
        <w:ind w:firstLine="1272"/>
        <w:spacing w:after="0" w:line="263" w:lineRule="auto"/>
        <w:tabs>
          <w:tab w:leader="none" w:pos="1760" w:val="left"/>
        </w:tabs>
        <w:numPr>
          <w:ilvl w:val="2"/>
          <w:numId w:val="65"/>
        </w:numPr>
        <w:rPr>
          <w:rFonts w:ascii="Arial" w:cs="Arial" w:eastAsia="Arial" w:hAnsi="Arial"/>
          <w:sz w:val="19"/>
          <w:szCs w:val="19"/>
          <w:color w:val="auto"/>
        </w:rPr>
      </w:pPr>
      <w:r>
        <w:rPr>
          <w:rFonts w:ascii="Arial" w:cs="Arial" w:eastAsia="Arial" w:hAnsi="Arial"/>
          <w:sz w:val="19"/>
          <w:szCs w:val="19"/>
          <w:color w:val="auto"/>
        </w:rPr>
        <w:t>an amount equal to the aggregate net non-cash loss on dispositions by Holdings, any Intermediate Parent, the Borrower and its Restricted Subsidiaries during such period (other than dispositions in the ordinary course of business) to the extent deducted in arriving at such Consolidated Net Income,</w:t>
      </w:r>
    </w:p>
    <w:p>
      <w:pPr>
        <w:spacing w:after="0" w:line="169" w:lineRule="exact"/>
        <w:rPr>
          <w:rFonts w:ascii="Arial" w:cs="Arial" w:eastAsia="Arial" w:hAnsi="Arial"/>
          <w:sz w:val="19"/>
          <w:szCs w:val="19"/>
          <w:color w:val="auto"/>
        </w:rPr>
      </w:pPr>
    </w:p>
    <w:p>
      <w:pPr>
        <w:ind w:left="1700" w:hanging="428"/>
        <w:spacing w:after="0"/>
        <w:tabs>
          <w:tab w:leader="none" w:pos="1700" w:val="left"/>
        </w:tabs>
        <w:numPr>
          <w:ilvl w:val="2"/>
          <w:numId w:val="65"/>
        </w:numPr>
        <w:rPr>
          <w:rFonts w:ascii="Arial" w:cs="Arial" w:eastAsia="Arial" w:hAnsi="Arial"/>
          <w:sz w:val="17"/>
          <w:szCs w:val="17"/>
          <w:color w:val="auto"/>
        </w:rPr>
      </w:pPr>
      <w:r>
        <w:rPr>
          <w:rFonts w:ascii="Arial" w:cs="Arial" w:eastAsia="Arial" w:hAnsi="Arial"/>
          <w:sz w:val="17"/>
          <w:szCs w:val="17"/>
          <w:color w:val="auto"/>
        </w:rPr>
        <w:t>increases in deferred revenue to the extent deducted or not included in arriving at Consolidated Net Income;</w:t>
      </w:r>
    </w:p>
    <w:p>
      <w:pPr>
        <w:spacing w:after="0" w:line="241" w:lineRule="exact"/>
        <w:rPr>
          <w:rFonts w:ascii="Arial" w:cs="Arial" w:eastAsia="Arial" w:hAnsi="Arial"/>
          <w:sz w:val="17"/>
          <w:szCs w:val="17"/>
          <w:color w:val="auto"/>
        </w:rPr>
      </w:pPr>
    </w:p>
    <w:p>
      <w:pPr>
        <w:ind w:firstLine="1272"/>
        <w:spacing w:after="0" w:line="278" w:lineRule="auto"/>
        <w:tabs>
          <w:tab w:leader="none" w:pos="1925" w:val="left"/>
        </w:tabs>
        <w:numPr>
          <w:ilvl w:val="2"/>
          <w:numId w:val="65"/>
        </w:numPr>
        <w:rPr>
          <w:rFonts w:ascii="Arial" w:cs="Arial" w:eastAsia="Arial" w:hAnsi="Arial"/>
          <w:sz w:val="19"/>
          <w:szCs w:val="19"/>
          <w:color w:val="auto"/>
        </w:rPr>
      </w:pPr>
      <w:r>
        <w:rPr>
          <w:rFonts w:ascii="Arial" w:cs="Arial" w:eastAsia="Arial" w:hAnsi="Arial"/>
          <w:sz w:val="19"/>
          <w:szCs w:val="19"/>
          <w:color w:val="auto"/>
        </w:rPr>
        <w:t>decreases in deferred contract acquisition costs to the extent deducted or not included in arriving at Consolidated Net Income; less</w:t>
      </w:r>
    </w:p>
    <w:p>
      <w:pPr>
        <w:spacing w:after="0" w:line="156" w:lineRule="exact"/>
        <w:rPr>
          <w:rFonts w:ascii="Arial" w:cs="Arial" w:eastAsia="Arial" w:hAnsi="Arial"/>
          <w:sz w:val="19"/>
          <w:szCs w:val="19"/>
          <w:color w:val="auto"/>
        </w:rPr>
      </w:pPr>
    </w:p>
    <w:p>
      <w:pPr>
        <w:ind w:left="740" w:hanging="422"/>
        <w:spacing w:after="0"/>
        <w:tabs>
          <w:tab w:leader="none" w:pos="74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sum, without duplication, of:</w:t>
      </w:r>
    </w:p>
    <w:p>
      <w:pPr>
        <w:spacing w:after="0" w:line="218" w:lineRule="exact"/>
        <w:rPr>
          <w:rFonts w:ascii="Arial" w:cs="Arial" w:eastAsia="Arial" w:hAnsi="Arial"/>
          <w:sz w:val="19"/>
          <w:szCs w:val="19"/>
          <w:color w:val="auto"/>
        </w:rPr>
      </w:pPr>
    </w:p>
    <w:p>
      <w:pPr>
        <w:jc w:val="both"/>
        <w:ind w:firstLine="1272"/>
        <w:spacing w:after="0" w:line="283" w:lineRule="auto"/>
        <w:tabs>
          <w:tab w:leader="none" w:pos="1697" w:val="left"/>
        </w:tabs>
        <w:numPr>
          <w:ilvl w:val="2"/>
          <w:numId w:val="66"/>
        </w:numPr>
        <w:rPr>
          <w:rFonts w:ascii="Arial" w:cs="Arial" w:eastAsia="Arial" w:hAnsi="Arial"/>
          <w:sz w:val="17"/>
          <w:szCs w:val="17"/>
          <w:color w:val="auto"/>
        </w:rPr>
      </w:pPr>
      <w:r>
        <w:rPr>
          <w:rFonts w:ascii="Arial" w:cs="Arial" w:eastAsia="Arial" w:hAnsi="Arial"/>
          <w:sz w:val="17"/>
          <w:szCs w:val="17"/>
          <w:color w:val="auto"/>
        </w:rPr>
        <w:t xml:space="preserve">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through</w:t>
      </w:r>
    </w:p>
    <w:p>
      <w:pPr>
        <w:spacing w:after="0" w:line="261" w:lineRule="auto"/>
        <w:tabs>
          <w:tab w:leader="none" w:pos="246" w:val="left"/>
        </w:tabs>
        <w:numPr>
          <w:ilvl w:val="0"/>
          <w:numId w:val="67"/>
        </w:numPr>
        <w:rPr>
          <w:rFonts w:ascii="Arial" w:cs="Arial" w:eastAsia="Arial" w:hAnsi="Arial"/>
          <w:sz w:val="19"/>
          <w:szCs w:val="19"/>
          <w:u w:val="single" w:color="auto"/>
          <w:color w:val="auto"/>
        </w:rPr>
      </w:pPr>
      <w:r>
        <w:rPr>
          <w:rFonts w:ascii="Arial" w:cs="Arial" w:eastAsia="Arial" w:hAnsi="Arial"/>
          <w:sz w:val="19"/>
          <w:szCs w:val="19"/>
          <w:color w:val="auto"/>
        </w:rPr>
        <w:t>of the definition of “Consolidated Net Income” (other than cash charges to the extent financed with the proceeds of long-term Indebtedness (other than revolving Indebtedness)),</w:t>
      </w:r>
    </w:p>
    <w:p>
      <w:pPr>
        <w:spacing w:after="0" w:line="171" w:lineRule="exact"/>
        <w:rPr>
          <w:rFonts w:ascii="Arial" w:cs="Arial" w:eastAsia="Arial" w:hAnsi="Arial"/>
          <w:sz w:val="19"/>
          <w:szCs w:val="19"/>
          <w:u w:val="single" w:color="auto"/>
          <w:color w:val="auto"/>
        </w:rPr>
      </w:pPr>
    </w:p>
    <w:p>
      <w:pPr>
        <w:jc w:val="both"/>
        <w:ind w:firstLine="1272"/>
        <w:spacing w:after="0" w:line="263" w:lineRule="auto"/>
        <w:tabs>
          <w:tab w:leader="none" w:pos="1723" w:val="left"/>
        </w:tabs>
        <w:numPr>
          <w:ilvl w:val="2"/>
          <w:numId w:val="67"/>
        </w:numPr>
        <w:rPr>
          <w:rFonts w:ascii="Arial" w:cs="Arial" w:eastAsia="Arial" w:hAnsi="Arial"/>
          <w:sz w:val="19"/>
          <w:szCs w:val="19"/>
          <w:color w:val="auto"/>
        </w:rPr>
      </w:pPr>
      <w:r>
        <w:rPr>
          <w:rFonts w:ascii="Arial" w:cs="Arial" w:eastAsia="Arial" w:hAnsi="Arial"/>
          <w:sz w:val="19"/>
          <w:szCs w:val="19"/>
          <w:color w:val="auto"/>
        </w:rPr>
        <w:t>the amount of capital expenditures made in cash or accrued during such period, except to the extent that such capital expenditures were financed with the proceeds of long term Indebtedness of the Borrower or its Restricted Subsidiaries other than Revolving Loans,</w:t>
      </w:r>
    </w:p>
    <w:p>
      <w:pPr>
        <w:spacing w:after="0" w:line="169" w:lineRule="exact"/>
        <w:rPr>
          <w:rFonts w:ascii="Arial" w:cs="Arial" w:eastAsia="Arial" w:hAnsi="Arial"/>
          <w:sz w:val="19"/>
          <w:szCs w:val="19"/>
          <w:color w:val="auto"/>
        </w:rPr>
      </w:pPr>
    </w:p>
    <w:p>
      <w:pPr>
        <w:jc w:val="both"/>
        <w:ind w:firstLine="1272"/>
        <w:spacing w:after="0" w:line="266" w:lineRule="auto"/>
        <w:tabs>
          <w:tab w:leader="none" w:pos="1828" w:val="left"/>
        </w:tabs>
        <w:numPr>
          <w:ilvl w:val="2"/>
          <w:numId w:val="67"/>
        </w:numPr>
        <w:rPr>
          <w:rFonts w:ascii="Arial" w:cs="Arial" w:eastAsia="Arial" w:hAnsi="Arial"/>
          <w:sz w:val="18"/>
          <w:szCs w:val="18"/>
          <w:color w:val="auto"/>
        </w:rPr>
      </w:pPr>
      <w:r>
        <w:rPr>
          <w:rFonts w:ascii="Arial" w:cs="Arial" w:eastAsia="Arial" w:hAnsi="Arial"/>
          <w:sz w:val="18"/>
          <w:szCs w:val="18"/>
          <w:color w:val="auto"/>
        </w:rPr>
        <w:t xml:space="preserve">(x) the aggregate amount of all principal payments of Indebtedness (including the principal component of payments in respect of Capitalized Leases, but excluding (A) all principal payments of Indebtedness to the extent reducing the required prepayment of Term Loans pursuant to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as a result of the application of clauses (i) through (v) of the first proviso thereof, (B) all prepayments of revolving loans (including Revolving Loans) except to the extent there is an equivalent permanent reduction in commitments thereunder and (C) all principal payments of Indebtedness to the extent financed with long-term Indebtedness (other than revolving Indebtedness)) and (y) the aggregate amount of any premium, make-whole or penalty payments actually paid in cash by Holdings, any Intermediate Parent, the Borrower and its Restricted Subsidiaries during such period that are required to be made in connection with any prepayment of Indebtedness, to the extent not financed with long-term Indebtedness (other than revolving Indebtedness),</w:t>
      </w:r>
    </w:p>
    <w:p>
      <w:pPr>
        <w:spacing w:after="0" w:line="174" w:lineRule="exact"/>
        <w:rPr>
          <w:rFonts w:ascii="Arial" w:cs="Arial" w:eastAsia="Arial" w:hAnsi="Arial"/>
          <w:sz w:val="18"/>
          <w:szCs w:val="18"/>
          <w:color w:val="auto"/>
        </w:rPr>
      </w:pPr>
    </w:p>
    <w:p>
      <w:pPr>
        <w:jc w:val="both"/>
        <w:ind w:firstLine="1272"/>
        <w:spacing w:after="0" w:line="263" w:lineRule="auto"/>
        <w:tabs>
          <w:tab w:leader="none" w:pos="1752" w:val="left"/>
        </w:tabs>
        <w:numPr>
          <w:ilvl w:val="2"/>
          <w:numId w:val="67"/>
        </w:numPr>
        <w:rPr>
          <w:rFonts w:ascii="Arial" w:cs="Arial" w:eastAsia="Arial" w:hAnsi="Arial"/>
          <w:sz w:val="19"/>
          <w:szCs w:val="19"/>
          <w:color w:val="auto"/>
        </w:rPr>
      </w:pPr>
      <w:r>
        <w:rPr>
          <w:rFonts w:ascii="Arial" w:cs="Arial" w:eastAsia="Arial" w:hAnsi="Arial"/>
          <w:sz w:val="19"/>
          <w:szCs w:val="19"/>
          <w:color w:val="auto"/>
        </w:rPr>
        <w:t>an amount equal to the aggregate net non-cash gain on dispositions by Holdings, any Intermediate Parent, the Borrower and its Restricted Subsidiaries during such period (other than dispositions in the ordinary course of business) to the extent included in arriving at such Consolidated Net Income,</w:t>
      </w:r>
    </w:p>
    <w:p>
      <w:pPr>
        <w:spacing w:after="0" w:line="169" w:lineRule="exact"/>
        <w:rPr>
          <w:rFonts w:ascii="Arial" w:cs="Arial" w:eastAsia="Arial" w:hAnsi="Arial"/>
          <w:sz w:val="19"/>
          <w:szCs w:val="19"/>
          <w:color w:val="auto"/>
        </w:rPr>
      </w:pPr>
    </w:p>
    <w:p>
      <w:pPr>
        <w:ind w:left="1700" w:hanging="428"/>
        <w:spacing w:after="0"/>
        <w:tabs>
          <w:tab w:leader="none" w:pos="1700" w:val="left"/>
        </w:tabs>
        <w:numPr>
          <w:ilvl w:val="2"/>
          <w:numId w:val="67"/>
        </w:numPr>
        <w:rPr>
          <w:rFonts w:ascii="Arial" w:cs="Arial" w:eastAsia="Arial" w:hAnsi="Arial"/>
          <w:sz w:val="19"/>
          <w:szCs w:val="19"/>
          <w:color w:val="auto"/>
        </w:rPr>
      </w:pPr>
      <w:r>
        <w:rPr>
          <w:rFonts w:ascii="Arial" w:cs="Arial" w:eastAsia="Arial" w:hAnsi="Arial"/>
          <w:sz w:val="19"/>
          <w:szCs w:val="19"/>
          <w:color w:val="auto"/>
        </w:rPr>
        <w:t>increases in Consolidated Working Capital and long-term account receivables for such period,</w:t>
      </w:r>
    </w:p>
    <w:p>
      <w:pPr>
        <w:sectPr>
          <w:pgSz w:w="11900" w:h="16838" w:orient="portrait"/>
          <w:cols w:equalWidth="0" w:num="1">
            <w:col w:w="10280"/>
          </w:cols>
          <w:pgMar w:left="1280" w:top="1395" w:right="339" w:bottom="1440" w:gutter="0" w:footer="0" w:header="0"/>
        </w:sectPr>
      </w:pPr>
    </w:p>
    <w:bookmarkStart w:id="101" w:name="page102"/>
    <w:bookmarkEnd w:id="101"/>
    <w:p>
      <w:pPr>
        <w:ind w:firstLine="1272"/>
        <w:spacing w:after="0" w:line="307" w:lineRule="auto"/>
        <w:tabs>
          <w:tab w:leader="none" w:pos="18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payments by Holdings, any Intermediate Parent, the Borrower and its Restricted Subsidiaries during such period in respect of long-term liabilities of Holdings, the Borrower and its Restricted Subsidiaries other than Indebtedness,</w:t>
      </w:r>
    </w:p>
    <w:p>
      <w:pPr>
        <w:spacing w:after="0" w:line="132" w:lineRule="exact"/>
        <w:rPr>
          <w:rFonts w:ascii="Arial" w:cs="Arial" w:eastAsia="Arial" w:hAnsi="Arial"/>
          <w:sz w:val="18"/>
          <w:szCs w:val="18"/>
          <w:color w:val="auto"/>
        </w:rPr>
      </w:pPr>
    </w:p>
    <w:p>
      <w:pPr>
        <w:jc w:val="both"/>
        <w:ind w:firstLine="1272"/>
        <w:spacing w:after="0" w:line="255" w:lineRule="auto"/>
        <w:tabs>
          <w:tab w:leader="none" w:pos="1803"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aggregate amount of payments and expenditures actually made by Holdings, any Intermediate Parent, the Borrower or their Restricted Subsidiaries in cash during such period (including expenditures for the payment of financing fees) to the extent that such payments and expenditures are not expensed during such period, except to the extent financed with the proceeds of long-term Indebtedness of Holdings, any Intermediate Parent, the Borrower or their Restricted Subsidiaries other than Revolving Loans,</w:t>
      </w:r>
    </w:p>
    <w:p>
      <w:pPr>
        <w:spacing w:after="0" w:line="177" w:lineRule="exact"/>
        <w:rPr>
          <w:rFonts w:ascii="Arial" w:cs="Arial" w:eastAsia="Arial" w:hAnsi="Arial"/>
          <w:sz w:val="19"/>
          <w:szCs w:val="19"/>
          <w:color w:val="auto"/>
        </w:rPr>
      </w:pPr>
    </w:p>
    <w:p>
      <w:pPr>
        <w:jc w:val="both"/>
        <w:ind w:firstLine="1272"/>
        <w:spacing w:after="0" w:line="257" w:lineRule="auto"/>
        <w:tabs>
          <w:tab w:leader="none" w:pos="1914" w:val="left"/>
        </w:tabs>
        <w:numPr>
          <w:ilvl w:val="0"/>
          <w:numId w:val="68"/>
        </w:numPr>
        <w:rPr>
          <w:rFonts w:ascii="Arial" w:cs="Arial" w:eastAsia="Arial" w:hAnsi="Arial"/>
          <w:sz w:val="19"/>
          <w:szCs w:val="19"/>
          <w:color w:val="auto"/>
        </w:rPr>
      </w:pPr>
      <w:r>
        <w:rPr>
          <w:rFonts w:ascii="Arial" w:cs="Arial" w:eastAsia="Arial" w:hAnsi="Arial"/>
          <w:sz w:val="19"/>
          <w:szCs w:val="19"/>
          <w:color w:val="auto"/>
        </w:rPr>
        <w:t>cash payments by Holdings, any Intermediate Parent, the Borrower and its Restricted Subsidiaries during such period in respect of Non-Cash Charges included in the calculation of Consolidated Net Income in any prior period, except to the extent financed with the proceeds of long-term Indebtedness of Holdings, any Intermediate Parent, the Borrower or their Restricted Subsidiaries other than Revolving Loans,</w:t>
      </w:r>
    </w:p>
    <w:p>
      <w:pPr>
        <w:spacing w:after="0" w:line="177" w:lineRule="exact"/>
        <w:rPr>
          <w:rFonts w:ascii="Arial" w:cs="Arial" w:eastAsia="Arial" w:hAnsi="Arial"/>
          <w:sz w:val="19"/>
          <w:szCs w:val="19"/>
          <w:color w:val="auto"/>
        </w:rPr>
      </w:pPr>
    </w:p>
    <w:p>
      <w:pPr>
        <w:jc w:val="both"/>
        <w:ind w:firstLine="1272"/>
        <w:spacing w:after="0" w:line="250" w:lineRule="auto"/>
        <w:tabs>
          <w:tab w:leader="none" w:pos="1756"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without duplication of amounts deducted from Excess Cash Flow in respect of a prior period, at the option of the Borrower, the aggregate consideration (including Earn-Outs) required to be paid in cash by Holdings, any Intermediate Parent, the Borrower and its Restricted Subsidiaries pursuant to binding contracts, commitments, letters of intent or purchase orders (the “</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xml:space="preserve">”) entered into prior to or during such period relating to capital expenditures, Permitted Acquisitions or other Investments permitted hereunder (other than intercompany Investments or Investments in cash equivalents) to be consummated or made during the period of four consecutive fiscal quarters of Borrower following the end of such period (except, in each case, to the extent financed with long-term Indebtedness (other than revolving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aggregate amount actually utilized to finance such capital expenditures, Permitted Acquisitions or other applicable Investments during such subsequent period of four consecutive fiscal quarters is less than the Contract Consideration, the amount of such shortfall shall be added to the calculation of Excess Cash Flow at the end of such subsequent period of four consecutive fiscal quarters,</w:t>
      </w:r>
    </w:p>
    <w:p>
      <w:pPr>
        <w:spacing w:after="0" w:line="186" w:lineRule="exact"/>
        <w:rPr>
          <w:rFonts w:ascii="Arial" w:cs="Arial" w:eastAsia="Arial" w:hAnsi="Arial"/>
          <w:sz w:val="19"/>
          <w:szCs w:val="19"/>
          <w:color w:val="auto"/>
        </w:rPr>
      </w:pPr>
    </w:p>
    <w:p>
      <w:pPr>
        <w:ind w:firstLine="1272"/>
        <w:spacing w:after="0" w:line="278" w:lineRule="auto"/>
        <w:tabs>
          <w:tab w:leader="none" w:pos="1711"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amount of cash rent payments made in such period to the extent they exceed the amount of rent payments deducted in determining Consolidated Net Income for such period, and</w:t>
      </w:r>
    </w:p>
    <w:p>
      <w:pPr>
        <w:spacing w:after="0" w:line="156" w:lineRule="exact"/>
        <w:rPr>
          <w:rFonts w:ascii="Arial" w:cs="Arial" w:eastAsia="Arial" w:hAnsi="Arial"/>
          <w:sz w:val="19"/>
          <w:szCs w:val="19"/>
          <w:color w:val="auto"/>
        </w:rPr>
      </w:pPr>
    </w:p>
    <w:p>
      <w:pPr>
        <w:jc w:val="both"/>
        <w:ind w:firstLine="1272"/>
        <w:spacing w:after="0" w:line="263" w:lineRule="auto"/>
        <w:tabs>
          <w:tab w:leader="none" w:pos="181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169" w:lineRule="exact"/>
        <w:rPr>
          <w:rFonts w:ascii="Arial" w:cs="Arial" w:eastAsia="Arial" w:hAnsi="Arial"/>
          <w:sz w:val="19"/>
          <w:szCs w:val="19"/>
          <w:color w:val="auto"/>
        </w:rPr>
      </w:pPr>
    </w:p>
    <w:p>
      <w:pPr>
        <w:ind w:left="1820" w:hanging="548"/>
        <w:spacing w:after="0"/>
        <w:tabs>
          <w:tab w:leader="none" w:pos="18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decreases in deferred revenue to the extent included or not deducted in arriving at Consolidated Net Income;</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and</w:t>
      </w:r>
    </w:p>
    <w:p>
      <w:pPr>
        <w:spacing w:after="0" w:line="202" w:lineRule="exact"/>
        <w:rPr>
          <w:rFonts w:ascii="Arial" w:cs="Arial" w:eastAsia="Arial" w:hAnsi="Arial"/>
          <w:sz w:val="17"/>
          <w:szCs w:val="17"/>
          <w:color w:val="auto"/>
        </w:rPr>
      </w:pPr>
    </w:p>
    <w:p>
      <w:pPr>
        <w:ind w:firstLine="1272"/>
        <w:spacing w:after="0" w:line="278" w:lineRule="auto"/>
        <w:tabs>
          <w:tab w:leader="none" w:pos="2016"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increases in deferred contract acquisition costs to the extent included or not deducted in arriving at Consolidated Net Income.</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2.11(d)</w:t>
      </w:r>
      <w:r>
        <w:rPr>
          <w:rFonts w:ascii="Arial" w:cs="Arial" w:eastAsia="Arial" w:hAnsi="Arial"/>
          <w:sz w:val="19"/>
          <w:szCs w:val="19"/>
          <w:color w:val="auto"/>
        </w:rPr>
        <w:t>.</w:t>
      </w:r>
    </w:p>
    <w:p>
      <w:pPr>
        <w:sectPr>
          <w:pgSz w:w="11900" w:h="16838" w:orient="portrait"/>
          <w:cols w:equalWidth="0" w:num="1">
            <w:col w:w="10280"/>
          </w:cols>
          <w:pgMar w:left="1280" w:top="1395" w:right="339" w:bottom="1440" w:gutter="0" w:footer="0" w:header="0"/>
        </w:sectPr>
      </w:pPr>
    </w:p>
    <w:bookmarkStart w:id="102" w:name="page103"/>
    <w:bookmarkEnd w:id="102"/>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United States Securities Exchange Act of 1934, as amended from time to time.</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means any (a) payroll account, (b) zero balance account, (c) withholding tax, trust and fiduciary account,</w:t>
      </w:r>
    </w:p>
    <w:p>
      <w:pPr>
        <w:spacing w:after="0" w:line="34" w:lineRule="exact"/>
        <w:rPr>
          <w:sz w:val="20"/>
          <w:szCs w:val="20"/>
          <w:color w:val="auto"/>
        </w:rPr>
      </w:pPr>
    </w:p>
    <w:p>
      <w:pPr>
        <w:jc w:val="both"/>
        <w:ind w:firstLine="6"/>
        <w:spacing w:after="0" w:line="254" w:lineRule="auto"/>
        <w:tabs>
          <w:tab w:leader="none" w:pos="295" w:val="left"/>
        </w:tabs>
        <w:numPr>
          <w:ilvl w:val="0"/>
          <w:numId w:val="69"/>
        </w:numPr>
        <w:rPr>
          <w:rFonts w:ascii="Arial" w:cs="Arial" w:eastAsia="Arial" w:hAnsi="Arial"/>
          <w:sz w:val="19"/>
          <w:szCs w:val="19"/>
          <w:color w:val="auto"/>
        </w:rPr>
      </w:pPr>
      <w:r>
        <w:rPr>
          <w:rFonts w:ascii="Arial" w:cs="Arial" w:eastAsia="Arial" w:hAnsi="Arial"/>
          <w:sz w:val="19"/>
          <w:szCs w:val="19"/>
          <w:color w:val="auto"/>
        </w:rPr>
        <w:t>pension fund, escrow (including any escrow accounts for the benefit of any grantor’s customers), segregated, or similar account, (e) any accounts with an average monthly balance for all such accounts of less than $4,000,000 in the aggregate and (f) any other account reasonably agreed to by the Administrative Agent.</w:t>
      </w:r>
    </w:p>
    <w:p>
      <w:pPr>
        <w:spacing w:after="0" w:line="178" w:lineRule="exact"/>
        <w:rPr>
          <w:sz w:val="20"/>
          <w:szCs w:val="20"/>
          <w:color w:val="auto"/>
        </w:rPr>
      </w:pPr>
    </w:p>
    <w:p>
      <w:pPr>
        <w:jc w:val="both"/>
        <w:ind w:firstLine="127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(a) any fee-owned real property that is not Material Real Property and all leasehold (including ground lease) interests in real property (including requirements to deliver landlord lien waivers, estoppels and collateral access letters), (b) motor vehicles, railcars, trailers, aircraft, aircraft engines, construction and earth moving equipment and other assets subject to certificates of title or ownership, (c) letter of credit rights (except to the extent constituting supporting obligations (as defined under the UCC) in which a security interest can be perfected with the filing of a UCC-1 financing statement or equivalent financing statement with a central registry), (d) commercial tort claims with an individual value, as determined by the Borrower in good faith, of less than $7,500,000 and commercial tort claims for which no complaint or counterclaim has been filed in a court of competent jurisdiction, (e) Equity Interests in any Person (other than any Wholly Owned Restricted Subsidiaries) to the extent the pledge thereof to the Administrative Agent is not permitted by the terms of such Person’s organizational, incorporation or joint venture documents, (f) Equity Interests constituting an amount greater than 65% of the total voting Equity Interests of any Foreign Subsidiary or CFC Holdco, (g) Equity Interests of any Immaterial Subsidiary (except to the extent perfection of a security interest therein can be accomplished by filing of a UCC-1 financing statement or equivalent financing statement with a central registry), not-for profit Subsidiaries, captive insurance companies or other special purpose subsidiaries (including real estate special purpose entities) and each Unrestricted Subsidiary, (h) any assets (including Equity Interests) owned by any Subsidiary that is a Foreign Subsidiary or CFC Holdco, (i) any lease, license or other agreement, government approval or franchise with any Person if, to the extent and for so long as, the grant of a Lien thereon to secure the Secured Obligations constitutes a breach of or a default under, or creates a right of termination in favor of any party (other than any Loan Party) to, such lease, license or other agreement, government approval or franchise (but only to the extent any of the foregoing is not rendered ineffective by, or is otherwise unenforceable under, the Uniform Commercial Code or any Requirements of Law), other than proceeds and receivables thereof, the assignment of which is expressly deemed effective under the Uniform Commercial Code, (j) any asset subject to a Lien of the type permitted by 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Requirements of Law), (k)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to the extent, if any, that, and solely during the period, if any, in which the grant of a security interest therein would impair the validity or enforceability of such intent-to-use trademark application under applicable federal law, (l) any asset if, to the extent and for so long as the grant of a Lien thereon to secure the Secured Obligations is prohibited by any Requirements of Law, rule or regulation, or agreements with any Governmental Authority (other than</w:t>
      </w:r>
    </w:p>
    <w:p>
      <w:pPr>
        <w:sectPr>
          <w:pgSz w:w="11900" w:h="16838" w:orient="portrait"/>
          <w:cols w:equalWidth="0" w:num="1">
            <w:col w:w="11240"/>
          </w:cols>
          <w:pgMar w:left="320" w:top="1395" w:right="339" w:bottom="1440" w:gutter="0" w:footer="0" w:header="0"/>
        </w:sectPr>
      </w:pPr>
    </w:p>
    <w:bookmarkStart w:id="103" w:name="page104"/>
    <w:bookmarkEnd w:id="103"/>
    <w:p>
      <w:pPr>
        <w:jc w:val="both"/>
        <w:spacing w:after="0" w:line="281" w:lineRule="auto"/>
        <w:rPr>
          <w:sz w:val="20"/>
          <w:szCs w:val="20"/>
          <w:color w:val="auto"/>
        </w:rPr>
      </w:pPr>
      <w:r>
        <w:rPr>
          <w:rFonts w:ascii="Arial" w:cs="Arial" w:eastAsia="Arial" w:hAnsi="Arial"/>
          <w:sz w:val="17"/>
          <w:szCs w:val="17"/>
          <w:color w:val="auto"/>
        </w:rPr>
        <w:t>to the extent that any such prohibition would be rendered ineffective pursuant to the Uniform Commercial Code or any other applicable Requirements of Law) or which would require consent, approval, license or authorization from any Governmental Authority or regulatory authority, unless such consent, approval, license or authorization has been received in consultation with the Administrative Agent, (m) margin stock (within the meaning of Regulation U of the Board of Governors, as in effect from time to time) and, to the extent prohibited by, or creating an enforceable right of termination in favor of any other party thereto (other than Holdings, the Borrower or any Material Subsidiary of the Borrower), under the terms of any applicable organizational or incorporation documents, joint venture agreement or shareholders’ agreement, equity interests in any person other than Material Subsidiaries after giving effect to the anti-assignment provisions of the UCC or any other applicable Requirements of Law, (n) Excluded Accounts, (o) assets to the extent a security interest in such assets would result in material adverse tax consequences to Holdings (or any direct or indirect parent or beneficial owner thereof), the Borrower or one of their respective subsidiaries (as determined in good faith by the Borrower), (p) assets sold to any Person who is not a Loan Party in compliance with the Loan Documents, (q) assets owned by a Subsidiary Loan Party after the release of the Guarantee of such Subsidiary Loan Party pursuant to the Loan Documents, and (r) any assets with respect to which, in the reasonable judgment of the Administrative Agent and the Borrower (as agreed to in writing), the cost or other consequences (including adverse tax consequences as determined by the Borrower and the Administrative Agent in good faith) of pledging such assets shall be excessive in view of the benefits to be obtained by the Lenders therefrom.</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Information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2.11(a)(ii)(A)</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means (a) any Subsidiary that is not a Wholly Owned Subsidiary of Holdings (provided, that any Subsidiary that is a Loan Party shall not be released as a Loan Party and become an Excluded Subsidiary solely because such Subsidiary is no longer a Wholly Owned Subsidiary unless such Subsidiary became a non-Wholly Owned Subsidiary pursuant to a permitted transaction with a Person that is not an Affiliate (other than to the extent such Person becomes a non-Affiliate as a result of such transaction) for a bona fide business purpose (other than to release such Loan Party from its Guarantee), (b)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 license or authorization has been obtained, (c) any Foreign Subsidiary, (d) any CFC Holdco, or any Domestic Subsidiary of a Foreign Subsidiary or CFC Holdco, (e) any Immaterial Subsidiary, (f) any other Subsidiary with respect to which, in the reasonable judgment of the Administrative Agent and the Borrower (as agreed in writing), the cost or other consequences (including any adverse tax consequences as determined in good faith by the Borrower and the Administrative Agent) of providing the guaranty shall be excessive in view of the benefits to be obtained by the Lenders therefrom, (g) any Subsidiary if the provision of a guaranty by such Subsidiary would result in material adverse tax consequences to Holdings (or any direct or indirect parent or beneficial owner thereof), the Borrower or one of their respective subsidiaries (as determined in good faith by the Borrower), (h) any other Subsidiary excused from becoming a Loan Party pursuant to the last paragraph of the definition of the term “Collateral and Guarantee Requirement”, (i) any Subsidiary that is (or, if it were a Loan Party, would be) an “investment company” under the Investment Company Act of 1940, as amended, (j) any not-for profit Subsidiaries, captive insurance companies or other special purpose subsidiaries, (k) [reserved] and (l) each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Immaterial Subsidiary that is a signatory to the Collateral Agreement and the Guarantee Agreement shall be deemed not to be an Excluded Subsidiary for purposes of this Agreement and the other Loan Documents unless the Borrower has otherwise notified the Administrative Agent;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may at any time and in its sole discretion, with the consent of</w:t>
      </w:r>
    </w:p>
    <w:p>
      <w:pPr>
        <w:sectPr>
          <w:pgSz w:w="11900" w:h="16838" w:orient="portrait"/>
          <w:cols w:equalWidth="0" w:num="1">
            <w:col w:w="11240"/>
          </w:cols>
          <w:pgMar w:left="320" w:top="1395" w:right="339" w:bottom="1440" w:gutter="0" w:footer="0" w:header="0"/>
        </w:sectPr>
      </w:pPr>
    </w:p>
    <w:bookmarkStart w:id="104" w:name="page105"/>
    <w:bookmarkEnd w:id="104"/>
    <w:p>
      <w:pPr>
        <w:jc w:val="both"/>
        <w:spacing w:after="0" w:line="278" w:lineRule="auto"/>
        <w:rPr>
          <w:sz w:val="20"/>
          <w:szCs w:val="20"/>
          <w:color w:val="auto"/>
        </w:rPr>
      </w:pPr>
      <w:r>
        <w:rPr>
          <w:rFonts w:ascii="Arial" w:cs="Arial" w:eastAsia="Arial" w:hAnsi="Arial"/>
          <w:sz w:val="19"/>
          <w:szCs w:val="19"/>
          <w:color w:val="auto"/>
        </w:rPr>
        <w:t>the Administrative Agent (such consent not to be unreasonably withheld, conditioned or delayed), cause any Restricted Subsidiary to not be an Excluded Subsidiary for purposes of this Agreement and the other Loan Documents.</w:t>
      </w:r>
    </w:p>
    <w:p>
      <w:pPr>
        <w:spacing w:after="0" w:line="156"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Loan Party at any time, any Secured Swap Obligation under any agreement, contract or transaction that constitutes a “swap” within the meaning of Section 1a(47) of the Commodity Exchange Act, if, and to the extent that, all or a portion of the guarantee of such Loan Party of, or the grant by such Loan Party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any “Keepwell”, support or other agreement for the benefit of such Loan Party),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170"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with respect to any Recipient, (a) Taxes imposed on (or measured by) net income (however denominated) and franchise Taxes by a jurisdiction (i) as a result of such recipient being organized or having its principal office or, in the case of any Lender, its applicable lending office in such jurisdiction, or (ii) that are Other Connection Taxes, (b) any branch profits tax imposed under Section 884(a) of the Code, or any similar Tax, imposed by any jurisdiction described in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above, (c) any withholding Tax imposed pursuant to FATCA, (d) any Tax that is attributable to a Lender’s failure to comply with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and (e)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requested by the Borrower under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2.17(a)</w:t>
      </w:r>
      <w:r>
        <w:rPr>
          <w:rFonts w:ascii="Arial" w:cs="Arial" w:eastAsia="Arial" w:hAnsi="Arial"/>
          <w:sz w:val="18"/>
          <w:szCs w:val="18"/>
          <w:color w:val="auto"/>
        </w:rPr>
        <w:t>, amounts with respect to such Taxes were payable either to such Lender’s assignor immediately before such Lender became a party hereto or to such Lender immediately before it changed its lending office.</w:t>
      </w:r>
    </w:p>
    <w:p>
      <w:pPr>
        <w:spacing w:after="0" w:line="170"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means that certain Senior Secured Credit Facilities Agreement, dated as of July 24, 2020, among Holdings, the Borrower, the lenders from time to time party thereto and Silicon Valley Bank, as administrative agent, issuing lender and swingline lender.</w:t>
      </w:r>
    </w:p>
    <w:p>
      <w:pPr>
        <w:spacing w:after="0" w:line="16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thereto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8" w:lineRule="exact"/>
        <w:rPr>
          <w:sz w:val="20"/>
          <w:szCs w:val="20"/>
          <w:color w:val="auto"/>
        </w:rPr>
      </w:pPr>
    </w:p>
    <w:p>
      <w:pPr>
        <w:jc w:val="both"/>
        <w:ind w:firstLine="127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w:t>
      </w:r>
    </w:p>
    <w:p>
      <w:pPr>
        <w:sectPr>
          <w:pgSz w:w="11900" w:h="16838" w:orient="portrait"/>
          <w:cols w:equalWidth="0" w:num="1">
            <w:col w:w="11240"/>
          </w:cols>
          <w:pgMar w:left="320" w:top="1395" w:right="339" w:bottom="1440" w:gutter="0" w:footer="0" w:header="0"/>
        </w:sectPr>
      </w:pPr>
    </w:p>
    <w:bookmarkStart w:id="105" w:name="page106"/>
    <w:bookmarkEnd w:id="105"/>
    <w:p>
      <w:pPr>
        <w:jc w:val="both"/>
        <w:spacing w:after="0" w:line="278" w:lineRule="auto"/>
        <w:rPr>
          <w:sz w:val="20"/>
          <w:szCs w:val="20"/>
          <w:color w:val="auto"/>
        </w:rPr>
      </w:pPr>
      <w:r>
        <w:rPr>
          <w:rFonts w:ascii="Arial" w:cs="Arial" w:eastAsia="Arial" w:hAnsi="Arial"/>
          <w:sz w:val="19"/>
          <w:szCs w:val="19"/>
          <w:color w:val="auto"/>
        </w:rPr>
        <w:t>the Federal Funds Effective Rate as so determined would be less than zero, such rate shall be deemed to be zero for the purposes of this Agreement.</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Bank of New York’s Website</w:t>
      </w:r>
      <w:r>
        <w:rPr>
          <w:rFonts w:ascii="Arial" w:cs="Arial" w:eastAsia="Arial" w:hAnsi="Arial"/>
          <w:sz w:val="19"/>
          <w:szCs w:val="19"/>
          <w:color w:val="auto"/>
        </w:rPr>
        <w:t>” means the website of the NYFRB at http://www.newyorkfed.org, or any successor source.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that certain Fee Letter, dated as of June 16, 2021, among the Borrower and JPMorgan.</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corporate controller of Holdings or the Borrower.</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Performance Covenant</w:t>
      </w:r>
      <w:r>
        <w:rPr>
          <w:rFonts w:ascii="Arial" w:cs="Arial" w:eastAsia="Arial" w:hAnsi="Arial"/>
          <w:sz w:val="19"/>
          <w:szCs w:val="19"/>
          <w:color w:val="auto"/>
        </w:rPr>
        <w:t xml:space="preserve">” means the covenant set forth in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Financing Transactions</w:t>
      </w:r>
      <w:r>
        <w:rPr>
          <w:rFonts w:ascii="Arial" w:cs="Arial" w:eastAsia="Arial" w:hAnsi="Arial"/>
          <w:sz w:val="19"/>
          <w:szCs w:val="19"/>
          <w:color w:val="auto"/>
        </w:rPr>
        <w:t>” means (a) the execution, delivery and performance by each Loan Party of the Loan Documents to which it is to be a party, (b) the borrowing of Loans hereunder and the use of the proceeds thereof and (c) the issuance, amendment or extension of Letters of Credit hereunder and the use of proceeds thereof.</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FIRREA</w:t>
      </w:r>
      <w:r>
        <w:rPr>
          <w:rFonts w:ascii="Arial" w:cs="Arial" w:eastAsia="Arial" w:hAnsi="Arial"/>
          <w:sz w:val="19"/>
          <w:szCs w:val="19"/>
          <w:color w:val="auto"/>
        </w:rPr>
        <w:t>” means the Financial Institutions Reform, Recovery and Enforcement Act of 1989, as amended.</w:t>
      </w:r>
    </w:p>
    <w:p>
      <w:pPr>
        <w:spacing w:after="0" w:line="219"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xml:space="preserve">” means a First Lien Intercreditor Agreement among the Administrative Agent and one or more Senior Representatives for holders of Indebtedness permitted by this Agreement to be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(but without regard to the control of remedies) in customary form reasonably acceptable to the Administrative Agent and the Borrower.</w:t>
      </w:r>
    </w:p>
    <w:p>
      <w:pPr>
        <w:spacing w:after="0" w:line="153"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Net Leverage Ratio</w:t>
      </w:r>
      <w:r>
        <w:rPr>
          <w:rFonts w:ascii="Arial" w:cs="Arial" w:eastAsia="Arial" w:hAnsi="Arial"/>
          <w:sz w:val="19"/>
          <w:szCs w:val="19"/>
          <w:color w:val="auto"/>
        </w:rPr>
        <w:t>” means, as of any date of determination, the ratio, on a Pro Forma Basis, of (a) Consolidated First Lien Indebtedness as of such date to (b) Consolidated EBITDA for the most recently completed Test Period.</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Amounts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1.07(b)</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means,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2.17(e)(ii)</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Prepayment Event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2.11(g)</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each Subsidiary that is organized under or incorporated in the laws of a jurisdiction other than the United States, any state thereof or the District of Columbia.</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with respect to the Issuing Bank, such Defaulting Lender’s Applicable Percentage of the outstanding LC Obligations, other</w:t>
      </w:r>
    </w:p>
    <w:p>
      <w:pPr>
        <w:sectPr>
          <w:pgSz w:w="11900" w:h="16838" w:orient="portrait"/>
          <w:cols w:equalWidth="0" w:num="1">
            <w:col w:w="11240"/>
          </w:cols>
          <w:pgMar w:left="320" w:top="1395" w:right="339" w:bottom="1440" w:gutter="0" w:footer="0" w:header="0"/>
        </w:sectPr>
      </w:pPr>
    </w:p>
    <w:bookmarkStart w:id="106" w:name="page107"/>
    <w:bookmarkEnd w:id="106"/>
    <w:p>
      <w:pPr>
        <w:jc w:val="both"/>
        <w:spacing w:after="0" w:line="278" w:lineRule="auto"/>
        <w:rPr>
          <w:sz w:val="20"/>
          <w:szCs w:val="20"/>
          <w:color w:val="auto"/>
        </w:rPr>
      </w:pPr>
      <w:r>
        <w:rPr>
          <w:rFonts w:ascii="Arial" w:cs="Arial" w:eastAsia="Arial" w:hAnsi="Arial"/>
          <w:sz w:val="19"/>
          <w:szCs w:val="19"/>
          <w:color w:val="auto"/>
        </w:rPr>
        <w:t>than such LC Obligations as to which such Defaulting Lender’s participation obligation has been reallocated to other Lenders or cash collateralized in accordance with the terms hereof.</w:t>
      </w:r>
    </w:p>
    <w:p>
      <w:pPr>
        <w:spacing w:after="0" w:line="156"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Funded Debt</w:t>
      </w:r>
      <w:r>
        <w:rPr>
          <w:rFonts w:ascii="Arial" w:cs="Arial" w:eastAsia="Arial" w:hAnsi="Arial"/>
          <w:sz w:val="19"/>
          <w:szCs w:val="19"/>
          <w:color w:val="auto"/>
        </w:rPr>
        <w:t>” means all Indebtedness of Holdings, any Intermediate Parent,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8"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Capitalized Leases.</w:t>
      </w:r>
    </w:p>
    <w:p>
      <w:pPr>
        <w:spacing w:after="0" w:line="172"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Approvals</w:t>
      </w:r>
      <w:r>
        <w:rPr>
          <w:rFonts w:ascii="Arial" w:cs="Arial" w:eastAsia="Arial" w:hAnsi="Arial"/>
          <w:sz w:val="19"/>
          <w:szCs w:val="19"/>
          <w:color w:val="auto"/>
        </w:rPr>
        <w:t>” means all authorizations, consents, approvals, permits, licenses and exemptions of, registrations and filings with, and reports to, Governmental Authorities.</w:t>
      </w:r>
    </w:p>
    <w:p>
      <w:pPr>
        <w:spacing w:after="0" w:line="156"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(i) federal, state, local, municipal, or other government, (ii) governmental or quasi-Governmental Authority of any nature (including any governmental agency, branch, department, official, or entity and any court or other tribunal), (iii) any supranational Governmental Authority (such as the European Union or the European Central Bank) or (iv) body exercising, or entitled to exercise any administrative, executive, judicial, legislative, police, regulatory, or taxing authority or power of any nature, including any arbitral tribunal.</w:t>
      </w:r>
    </w:p>
    <w:p>
      <w:pPr>
        <w:spacing w:after="0" w:line="178"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or customary and reasonable indemnity obligations in effect on the Effective Date or entered into in</w:t>
      </w:r>
    </w:p>
    <w:p>
      <w:pPr>
        <w:sectPr>
          <w:pgSz w:w="11900" w:h="16838" w:orient="portrait"/>
          <w:cols w:equalWidth="0" w:num="1">
            <w:col w:w="11240"/>
          </w:cols>
          <w:pgMar w:left="320" w:top="1395" w:right="339" w:bottom="1440" w:gutter="0" w:footer="0" w:header="0"/>
        </w:sectPr>
      </w:pPr>
    </w:p>
    <w:bookmarkStart w:id="107" w:name="page108"/>
    <w:bookmarkEnd w:id="107"/>
    <w:p>
      <w:pPr>
        <w:jc w:val="both"/>
        <w:spacing w:after="0" w:line="297" w:lineRule="auto"/>
        <w:rPr>
          <w:sz w:val="20"/>
          <w:szCs w:val="20"/>
          <w:color w:val="auto"/>
        </w:rPr>
      </w:pPr>
      <w:r>
        <w:rPr>
          <w:rFonts w:ascii="Arial" w:cs="Arial" w:eastAsia="Arial" w:hAnsi="Arial"/>
          <w:sz w:val="17"/>
          <w:szCs w:val="17"/>
          <w:color w:val="auto"/>
        </w:rPr>
        <w:t>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45"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Agreement</w:t>
      </w:r>
      <w:r>
        <w:rPr>
          <w:rFonts w:ascii="Arial" w:cs="Arial" w:eastAsia="Arial" w:hAnsi="Arial"/>
          <w:sz w:val="19"/>
          <w:szCs w:val="19"/>
          <w:color w:val="auto"/>
        </w:rPr>
        <w:t xml:space="preserve">” means the Master Guarantee Agreement among the Loan Parties and the Collateral Agent,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56"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substances, wastes, chemicals, pollutants, contaminants of any nature and in any form regulated pursuant to any Environmental Law.</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w:t>
      </w:r>
      <w:r>
        <w:rPr>
          <w:rFonts w:ascii="Arial" w:cs="Arial" w:eastAsia="Arial" w:hAnsi="Arial"/>
          <w:sz w:val="19"/>
          <w:szCs w:val="19"/>
          <w:color w:val="auto"/>
        </w:rPr>
        <w:t>” has the meaning assigned to such term in the preliminary statements hereto.</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IBA</w:t>
      </w:r>
      <w:r>
        <w:rPr>
          <w:rFonts w:ascii="Arial" w:cs="Arial" w:eastAsia="Arial" w:hAnsi="Arial"/>
          <w:sz w:val="19"/>
          <w:szCs w:val="19"/>
          <w:color w:val="auto"/>
        </w:rPr>
        <w:t>” has the meaning specified in Section 1.09.</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Participating Lenders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2.11(a)(ii)(C)(3)</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Qualifying Lenders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2.11(a)(ii)(D)(3)</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any Subsidiary other than a Material Subsidiary.</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has the meaning assigned to such term in the definition of “LIBO Rate”.</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Increased Amount</w:t>
      </w:r>
      <w:r>
        <w:rPr>
          <w:rFonts w:ascii="Arial" w:cs="Arial" w:eastAsia="Arial" w:hAnsi="Arial"/>
          <w:sz w:val="19"/>
          <w:szCs w:val="19"/>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Qualified Equity Interests of the Borrower or any of its direct or indirect parent entities, the accretion of original issue discount or liquidation preference and increases in the amount of Indebtedness outstanding solely as a result of fluctuations in the exchange rate of currencies.</w:t>
      </w:r>
    </w:p>
    <w:p>
      <w:pPr>
        <w:spacing w:after="0" w:line="178"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Cap</w:t>
      </w:r>
      <w:r>
        <w:rPr>
          <w:rFonts w:ascii="Arial" w:cs="Arial" w:eastAsia="Arial" w:hAnsi="Arial"/>
          <w:sz w:val="17"/>
          <w:szCs w:val="17"/>
          <w:color w:val="auto"/>
        </w:rPr>
        <w:t xml:space="preserve">” means, as of any date of determination, (I) the greater of $125,000,000 and 100.0% of Consolidated EBITDA for the most recently ended Test Period as of such time, less the aggregate principal amount of all Incremental Equivalent Debt incurred in reliance on this clause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 amount equal to all voluntary prepayments and debt buy-backs and payments utilizing the “yank a bank” provisions herein (to the extent that the underlying debt is retired and not assigned) and all existing Incremental Facilities and Incremental Equivalent Debt made prior to the date of any such incurrence (in the case of any revolving facility, only so long as it is accompanied by a corresponding permanent commitment reduction thereunder) and all voluntary prepayments of Credit Agreement Refinancing Indebtedness, in each case, to the extent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Credit Facilities except, in each case, to the extent</w:t>
      </w:r>
    </w:p>
    <w:p>
      <w:pPr>
        <w:spacing w:after="0" w:line="2" w:lineRule="exact"/>
        <w:rPr>
          <w:sz w:val="20"/>
          <w:szCs w:val="20"/>
          <w:color w:val="auto"/>
        </w:rPr>
      </w:pPr>
    </w:p>
    <w:p>
      <w:pPr>
        <w:jc w:val="both"/>
        <w:ind w:firstLine="6"/>
        <w:spacing w:after="0" w:line="254" w:lineRule="auto"/>
        <w:tabs>
          <w:tab w:leader="none" w:pos="278"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incurred in reliance on clause (III) below or (y) financed with the proceeds of long-term Indebtedness (other than revolving indebtedness) of Holdings, any Intermediate Parent, the Borrower or their Restricted Subsidiaries,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the maximum aggregate principal amount that can be incurred without causing the First Lien Net Leverage Ratio, after giving</w:t>
      </w:r>
    </w:p>
    <w:p>
      <w:pPr>
        <w:sectPr>
          <w:pgSz w:w="11900" w:h="16838" w:orient="portrait"/>
          <w:cols w:equalWidth="0" w:num="1">
            <w:col w:w="11240"/>
          </w:cols>
          <w:pgMar w:left="320" w:top="1395" w:right="339" w:bottom="1440" w:gutter="0" w:footer="0" w:header="0"/>
        </w:sectPr>
      </w:pPr>
    </w:p>
    <w:bookmarkStart w:id="108" w:name="page109"/>
    <w:bookmarkEnd w:id="108"/>
    <w:p>
      <w:pPr>
        <w:jc w:val="both"/>
        <w:spacing w:after="0" w:line="264" w:lineRule="auto"/>
        <w:rPr>
          <w:sz w:val="20"/>
          <w:szCs w:val="20"/>
          <w:color w:val="auto"/>
        </w:rPr>
      </w:pPr>
      <w:r>
        <w:rPr>
          <w:rFonts w:ascii="Arial" w:cs="Arial" w:eastAsia="Arial" w:hAnsi="Arial"/>
          <w:sz w:val="18"/>
          <w:szCs w:val="18"/>
          <w:color w:val="auto"/>
        </w:rPr>
        <w:t xml:space="preserve">effect to the incurrence of such Incremental Facility or Incremental Equivalent Debt (which shall assume that the full amount of any revolving credit facilities and/or delayed draw credit facilities being established at such time are fully drawn) and the use of proceeds thereof and any acquisition consummated concurrently therewith and any other acquisition, disposition, debt incurrence, debt retirement and other appropriate pro forma adjustment events, including any debt incurrence or retirement subsequent to the end of the applicable Test Period and on or prior to the date of such incurrence (but in any event calculated without netting the cash proceeds of such Incremental Facility and any other Incremental Facility or Incremental Equivalent Debt incurred concurrently), on a Pro Forma Basis (but excluding the cash proceeds of such incurrence and without giving effect to any simultaneous incurrence of any Incremental Facility or Incremental Equivalent Debt made pursuant to the foregoing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to exceed 4.50 to 1.00 as of the last day of the most recently ended period of four consecutive fiscal quarters for which financial statements have been delivered to the Administrative Agent, in each case, at the Borrower’s option, either (A) at the time of the effectiveness of such Incremental Facility or Incremental Equivalent Debt or (B) in the case of any Incremental Facility or Incremental Equivalent Debt incurred to finance a Limited Condition Acquisition, at the time a definitive agreement is entered into with respect to the transaction to be financed by such Incremental Facility or Incremental Equivalent Debt. In calculating the Incremental Cap, the Borrower may elect to use the amounts permitted under clause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preceding sentence before using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and/or (II) of the preceding sentence, and if multiple amounts are available and the Borrower does not make an election, the Borrower will be deemed to have utilized amounts permitted first under clause </w:t>
      </w:r>
      <w:r>
        <w:rPr>
          <w:rFonts w:ascii="Arial" w:cs="Arial" w:eastAsia="Arial" w:hAnsi="Arial"/>
          <w:sz w:val="18"/>
          <w:szCs w:val="18"/>
          <w:u w:val="single" w:color="auto"/>
          <w:color w:val="auto"/>
        </w:rPr>
        <w:t>(III)</w:t>
      </w:r>
      <w:r>
        <w:rPr>
          <w:rFonts w:ascii="Arial" w:cs="Arial" w:eastAsia="Arial" w:hAnsi="Arial"/>
          <w:sz w:val="18"/>
          <w:szCs w:val="18"/>
          <w:color w:val="auto"/>
        </w:rPr>
        <w:t>, second under clause (II) and last under clause (I).</w:t>
      </w:r>
    </w:p>
    <w:p>
      <w:pPr>
        <w:spacing w:after="0" w:line="17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Equivalent Debt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6.01(a)(vii)</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Facility</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2.20(a)</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Facility Amendment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2.20(d)</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Revolving Commitment Increase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2.20(a)</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Facility</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2.20(a)</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2.20(a)</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Incurrence Based Amounts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1.07(b)</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(b) all obligations of such Person evidenced by bonds, debentures, notes or similar instruments to the extent the same would appear as a liability on a balance sheet of such Person prepared in accordance with GAAP, (c) all obligations of such Person under conditional sale or other title retention agreements relating to property acquired by such Person, (d) all obligations of such Person in respect of the deferred purchase price of property or services (excluding (w) trade accounts payable in the ordinary course of business, (x) any Earn-Out obligation, purchase price adjustment or similar obligation until such obligation becomes a liability on the balance sheet of such Person in accordance with GAAP and if not paid within thirty (30) days after being due and payable, (y) liabilities associated with customer prepayments and deposits and (z) expenses accrued in the ordinary course of business), (e) all Indebtedness of others secured by (or for which the holder of such Indebtedness has an existing right, contingent or otherwise, to be secured by) any Lien on property owned or acquired by such Person,</w:t>
      </w:r>
    </w:p>
    <w:p>
      <w:pPr>
        <w:sectPr>
          <w:pgSz w:w="11900" w:h="16838" w:orient="portrait"/>
          <w:cols w:equalWidth="0" w:num="1">
            <w:col w:w="11240"/>
          </w:cols>
          <w:pgMar w:left="320" w:top="1395" w:right="339" w:bottom="1440" w:gutter="0" w:footer="0" w:header="0"/>
        </w:sectPr>
      </w:pPr>
    </w:p>
    <w:bookmarkStart w:id="109" w:name="page110"/>
    <w:bookmarkEnd w:id="109"/>
    <w:p>
      <w:pPr>
        <w:jc w:val="both"/>
        <w:spacing w:after="0" w:line="280" w:lineRule="auto"/>
        <w:rPr>
          <w:sz w:val="20"/>
          <w:szCs w:val="20"/>
          <w:color w:val="auto"/>
        </w:rPr>
      </w:pPr>
      <w:r>
        <w:rPr>
          <w:rFonts w:ascii="Arial" w:cs="Arial" w:eastAsia="Arial" w:hAnsi="Arial"/>
          <w:sz w:val="17"/>
          <w:szCs w:val="17"/>
          <w:color w:val="auto"/>
        </w:rPr>
        <w:t xml:space="preserve">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“Indebtedness” shall not include (i) deferred or prepaid revenue, (ii) purchase price holdbacks in respect of a portion of the purchase price of an asset to satisfy warranty, indemnity or other unperformed obligations of the seller, (iii) contingent indemnity and similar obligations incurred in the ordinary course of business (iv) any obligations attributable to the exercise of appraisal rights and the settlement of any claims or actions (whether actual, contingent or potential) with respect thereto, (v) Indebtedness of any Person that is a direct or indirect parent of Holdings appearing on the balance sheet of Holdings or the Borrower, or solely by reason of push down accounting under GAAP, (vi) any non-compete or consulting obligations incurred in connection with a Permitted Acquisition, (vii) any reimbursement obligations under pre-paid contracts entered into with clients in the ordinary course of business, (viii) for the avoidance of doubt, any Qualified Equity Interests issued by Holdings or the Borrower.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Holdings, any Intermediate Parent, the Borrower and its Restricted Subsidiaries shall exclude intercompany liabilities arising from their cash management, tax, and accounting operations and intercompany loans, advances or Indebtedness having a term not exceeding 364 days (inclusive of any rollover or extensions of terms).</w:t>
      </w:r>
    </w:p>
    <w:p>
      <w:pPr>
        <w:spacing w:after="0" w:line="162"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Taxes imposed on or with respect to any payment made by or on account of any obligation of the Borrower under any Loan Document, other than Excluded Taxes and Other Taxes.</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9.03(b)</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9.12(a)</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Loans</w:t>
      </w:r>
      <w:r>
        <w:rPr>
          <w:rFonts w:ascii="Arial" w:cs="Arial" w:eastAsia="Arial" w:hAnsi="Arial"/>
          <w:sz w:val="19"/>
          <w:szCs w:val="19"/>
          <w:color w:val="auto"/>
        </w:rPr>
        <w:t xml:space="preserve">” means the Revolving Loans made on the Effective Date pursuant to </w:t>
      </w:r>
      <w:r>
        <w:rPr>
          <w:rFonts w:ascii="Arial" w:cs="Arial" w:eastAsia="Arial" w:hAnsi="Arial"/>
          <w:sz w:val="19"/>
          <w:szCs w:val="19"/>
          <w:u w:val="single" w:color="auto"/>
          <w:color w:val="auto"/>
        </w:rPr>
        <w:t>Section 2.01(i)</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Term Loans</w:t>
      </w:r>
      <w:r>
        <w:rPr>
          <w:rFonts w:ascii="Arial" w:cs="Arial" w:eastAsia="Arial" w:hAnsi="Arial"/>
          <w:sz w:val="19"/>
          <w:szCs w:val="19"/>
          <w:color w:val="auto"/>
        </w:rPr>
        <w:t xml:space="preserve">” means the Term Loans made on the Effective Date pursuant to </w:t>
      </w:r>
      <w:r>
        <w:rPr>
          <w:rFonts w:ascii="Arial" w:cs="Arial" w:eastAsia="Arial" w:hAnsi="Arial"/>
          <w:sz w:val="19"/>
          <w:szCs w:val="19"/>
          <w:u w:val="single" w:color="auto"/>
          <w:color w:val="auto"/>
        </w:rPr>
        <w:t>Section 2.01(i)</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has the meaning assigned to such term in the Collateral Agreement.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Security Agreement</w:t>
      </w:r>
      <w:r>
        <w:rPr>
          <w:rFonts w:ascii="Arial" w:cs="Arial" w:eastAsia="Arial" w:hAnsi="Arial"/>
          <w:sz w:val="19"/>
          <w:szCs w:val="19"/>
          <w:color w:val="auto"/>
        </w:rPr>
        <w:t>” means short-form security agreements, suitable for filing with the United States Patent and Trademark Office or the United States Copyright Office (as applicable), with respect to any Intellectual Property that is registered, issued or applied for in the United States and that constitutes Collateral.</w:t>
      </w:r>
    </w:p>
    <w:p>
      <w:pPr>
        <w:spacing w:after="0" w:line="16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means the First Lien Intercreditor Agreement and/or the Second Lien Intercreditor Agreement, as the context may require.</w:t>
      </w:r>
    </w:p>
    <w:p>
      <w:pPr>
        <w:sectPr>
          <w:pgSz w:w="11900" w:h="16838" w:orient="portrait"/>
          <w:cols w:equalWidth="0" w:num="1">
            <w:col w:w="11240"/>
          </w:cols>
          <w:pgMar w:left="320" w:top="1395" w:right="339" w:bottom="1440" w:gutter="0" w:footer="0" w:header="0"/>
        </w:sectPr>
      </w:pPr>
    </w:p>
    <w:bookmarkStart w:id="110" w:name="page111"/>
    <w:bookmarkEnd w:id="110"/>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Coverage Ratio</w:t>
      </w:r>
      <w:r>
        <w:rPr>
          <w:rFonts w:ascii="Arial" w:cs="Arial" w:eastAsia="Arial" w:hAnsi="Arial"/>
          <w:sz w:val="19"/>
          <w:szCs w:val="19"/>
          <w:color w:val="auto"/>
        </w:rPr>
        <w:t>” means, as of any date of determination, the ratio of (a) Consolidated EBITDA for the Test Period most recently ended on or prior to such date to (b) Consolidated Cash Interest Charges for such Test Period.</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Election Request</w:t>
      </w:r>
      <w:r>
        <w:rPr>
          <w:rFonts w:ascii="Arial" w:cs="Arial" w:eastAsia="Arial" w:hAnsi="Arial"/>
          <w:sz w:val="19"/>
          <w:szCs w:val="19"/>
          <w:color w:val="auto"/>
        </w:rPr>
        <w:t xml:space="preserve">” means a request by the Borrower to convert or continue a Revolving Borrowing or Term Borrowing in accordance with </w:t>
      </w:r>
      <w:r>
        <w:rPr>
          <w:rFonts w:ascii="Arial" w:cs="Arial" w:eastAsia="Arial" w:hAnsi="Arial"/>
          <w:sz w:val="19"/>
          <w:szCs w:val="19"/>
          <w:u w:val="single" w:color="auto"/>
          <w:color w:val="auto"/>
        </w:rPr>
        <w:t>Section 2.07</w:t>
      </w:r>
      <w:r>
        <w:rPr>
          <w:rFonts w:ascii="Arial" w:cs="Arial" w:eastAsia="Arial" w:hAnsi="Arial"/>
          <w:sz w:val="19"/>
          <w:szCs w:val="19"/>
          <w:color w:val="auto"/>
        </w:rPr>
        <w:t>.</w:t>
      </w:r>
    </w:p>
    <w:p>
      <w:pPr>
        <w:spacing w:after="0" w:line="156"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Business Day of each March, June, September and December and (b) with respect to any Eurodollar Loan, the last Business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spacing w:after="0" w:line="161" w:lineRule="exact"/>
        <w:rPr>
          <w:sz w:val="20"/>
          <w:szCs w:val="20"/>
          <w:color w:val="auto"/>
        </w:rPr>
      </w:pPr>
    </w:p>
    <w:p>
      <w:pPr>
        <w:jc w:val="both"/>
        <w:ind w:firstLine="1272"/>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Eurodollar Borrowing, the period commencing on the date such Borrowing is disbursed or converted to or continued as a Eurodollar Borrowing and ending on the date that is one, three or six months thereafter as selected by the Borrower in its Borrowing Request (or, if agreed to by each Lender participating therein, twelve months);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(c) no Interest Period shall extend beyond (i) in the case of Term Loans, the Term Maturity Date and (ii) in the case of Revolving Loans, the Revolving Maturity Date and (d) any Eurodollar Borrowings made on the Effective Date shall have an initial Interest Period starting on the Effective Date and ending on January 31, 2022, and thereafter shall have the Interest Period selected by the Borrower in the Notice of Borrowing pursuant to the foregoing. For purposes hereof, the date of a Borrowing initially shall be the date on which such Borrowing is made and thereafter shall be the effective date of the most recent conversion or continuation of such Borrowing.</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Intermediate Parent</w:t>
      </w:r>
      <w:r>
        <w:rPr>
          <w:rFonts w:ascii="Arial" w:cs="Arial" w:eastAsia="Arial" w:hAnsi="Arial"/>
          <w:sz w:val="19"/>
          <w:szCs w:val="19"/>
          <w:color w:val="auto"/>
        </w:rPr>
        <w:t>” means any Subsidiary of Holdings and of which the Borrower is a subsidiary.</w:t>
      </w:r>
    </w:p>
    <w:p>
      <w:pPr>
        <w:spacing w:after="0" w:line="219"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xml:space="preserve">” means, at any time, for any Interest Period,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U.S. Dollars that is shorter than the Impacted Interest Period; and (b) the LIBO Screen Rate for the shortest period (for which that LIBO Screen Rate is available for U.S. Dollars) that exceeds the Impacted Interest Period, in each case, at such time.</w:t>
      </w:r>
    </w:p>
    <w:p>
      <w:pPr>
        <w:spacing w:after="0" w:line="182"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w:t>
      </w:r>
    </w:p>
    <w:p>
      <w:pPr>
        <w:sectPr>
          <w:pgSz w:w="11900" w:h="16838" w:orient="portrait"/>
          <w:cols w:equalWidth="0" w:num="1">
            <w:col w:w="11240"/>
          </w:cols>
          <w:pgMar w:left="320" w:top="1395" w:right="339" w:bottom="1440" w:gutter="0" w:footer="0" w:header="0"/>
        </w:sectPr>
      </w:pPr>
    </w:p>
    <w:bookmarkStart w:id="111" w:name="page112"/>
    <w:bookmarkEnd w:id="111"/>
    <w:p>
      <w:pPr>
        <w:jc w:val="both"/>
        <w:spacing w:after="0" w:line="277" w:lineRule="auto"/>
        <w:rPr>
          <w:sz w:val="20"/>
          <w:szCs w:val="20"/>
          <w:color w:val="auto"/>
        </w:rPr>
      </w:pPr>
      <w:r>
        <w:rPr>
          <w:rFonts w:ascii="Arial" w:cs="Arial" w:eastAsia="Arial" w:hAnsi="Arial"/>
          <w:sz w:val="17"/>
          <w:szCs w:val="17"/>
          <w:color w:val="auto"/>
        </w:rPr>
        <w:t xml:space="preserve">other Person (excluding, in the case of the Borrower and the Restricted Subsidiaries (i) intercompany advances arising from their cash management, tax, and accounting operations and (ii) intercompany loans, advances, or Indebtedness having a term not exceeding 364 days (inclusive of any roll-over or extensions of terms))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w:t>
      </w:r>
    </w:p>
    <w:p>
      <w:pPr>
        <w:spacing w:after="0" w:line="10" w:lineRule="exact"/>
        <w:rPr>
          <w:sz w:val="20"/>
          <w:szCs w:val="20"/>
          <w:color w:val="auto"/>
        </w:rPr>
      </w:pPr>
    </w:p>
    <w:p>
      <w:pPr>
        <w:jc w:val="both"/>
        <w:ind w:firstLine="6"/>
        <w:spacing w:after="0" w:line="263" w:lineRule="auto"/>
        <w:tabs>
          <w:tab w:leader="none" w:pos="270" w:val="left"/>
        </w:tabs>
        <w:numPr>
          <w:ilvl w:val="0"/>
          <w:numId w:val="71"/>
        </w:numPr>
        <w:rPr>
          <w:rFonts w:ascii="Arial" w:cs="Arial" w:eastAsia="Arial" w:hAnsi="Arial"/>
          <w:sz w:val="18"/>
          <w:szCs w:val="18"/>
          <w:u w:val="single" w:color="auto"/>
          <w:color w:val="auto"/>
        </w:rPr>
      </w:pPr>
      <w:r>
        <w:rPr>
          <w:rFonts w:ascii="Arial" w:cs="Arial" w:eastAsia="Arial" w:hAnsi="Arial"/>
          <w:sz w:val="18"/>
          <w:szCs w:val="18"/>
          <w:color w:val="auto"/>
        </w:rPr>
        <w:t xml:space="preserve">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 the cost of all additions thereto 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pending the final determination of the amounts to be so allocated in accordance with GAAP, such allocation shall be as reasonably determined by a Financial Officer.</w:t>
      </w:r>
    </w:p>
    <w:p>
      <w:pPr>
        <w:spacing w:after="0" w:line="17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169"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as the context may require, (a) each Lender that is a Revolving Lender on the Effective Date (or an Affiliate thereof designated by such Revolving Lender), (b) a bank or other legally authorized Person designated by Administrative Agent (which Person may be Administrative Agent or an Affiliate thereof) and reasonably acceptable to Borrower; (c) any other</w:t>
      </w:r>
    </w:p>
    <w:p>
      <w:pPr>
        <w:sectPr>
          <w:pgSz w:w="11900" w:h="16838" w:orient="portrait"/>
          <w:cols w:equalWidth="0" w:num="1">
            <w:col w:w="11240"/>
          </w:cols>
          <w:pgMar w:left="320" w:top="1395" w:right="339" w:bottom="1440" w:gutter="0" w:footer="0" w:header="0"/>
        </w:sectPr>
      </w:pPr>
    </w:p>
    <w:bookmarkStart w:id="112" w:name="page113"/>
    <w:bookmarkEnd w:id="112"/>
    <w:p>
      <w:pPr>
        <w:jc w:val="both"/>
        <w:spacing w:after="0" w:line="252" w:lineRule="auto"/>
        <w:rPr>
          <w:sz w:val="20"/>
          <w:szCs w:val="20"/>
          <w:color w:val="auto"/>
        </w:rPr>
      </w:pPr>
      <w:r>
        <w:rPr>
          <w:rFonts w:ascii="Arial" w:cs="Arial" w:eastAsia="Arial" w:hAnsi="Arial"/>
          <w:sz w:val="19"/>
          <w:szCs w:val="19"/>
          <w:color w:val="auto"/>
        </w:rPr>
        <w:t xml:space="preserve">Lender that may become an Issuing Bank hereunder as provided in </w:t>
      </w:r>
      <w:r>
        <w:rPr>
          <w:rFonts w:ascii="Arial" w:cs="Arial" w:eastAsia="Arial" w:hAnsi="Arial"/>
          <w:sz w:val="19"/>
          <w:szCs w:val="19"/>
          <w:u w:val="single" w:color="auto"/>
          <w:color w:val="auto"/>
        </w:rPr>
        <w:t>Section 2.05(k)</w:t>
      </w:r>
      <w:r>
        <w:rPr>
          <w:rFonts w:ascii="Arial" w:cs="Arial" w:eastAsia="Arial" w:hAnsi="Arial"/>
          <w:sz w:val="19"/>
          <w:szCs w:val="19"/>
          <w:color w:val="auto"/>
        </w:rPr>
        <w:t xml:space="preserve"> (other than any Person that shall have ceased to be an Issuing Bank as provided in </w:t>
      </w:r>
      <w:r>
        <w:rPr>
          <w:rFonts w:ascii="Arial" w:cs="Arial" w:eastAsia="Arial" w:hAnsi="Arial"/>
          <w:sz w:val="19"/>
          <w:szCs w:val="19"/>
          <w:u w:val="single" w:color="auto"/>
          <w:color w:val="auto"/>
        </w:rPr>
        <w:t>Section 2.05(l)</w:t>
      </w:r>
      <w:r>
        <w:rPr>
          <w:rFonts w:ascii="Arial" w:cs="Arial" w:eastAsia="Arial" w:hAnsi="Arial"/>
          <w:sz w:val="19"/>
          <w:szCs w:val="19"/>
          <w:color w:val="auto"/>
        </w:rPr>
        <w:t>), each in its capacity as an issuer of Letters of Credit hereunder; and/or (d) collectively, all of the foregoing. Each Issuing Bank may, in its discretion, arrange for one or more Letters of Credit to be issued by Affiliates or designees of such Issuing Bank, in which case the term “Issuing Bank” shall include any such Affiliate or designee with respect to Letters of Credit issued by such Affiliate or designee. In the event that there is more than one Issuing Bank at any time, references herein and in the other Loan Documents to the Issuing Bank shall be deemed to refer to the Issuing Bank in respect of the applicable Letter of Credit or to all Issuing Banks, as the context requires.</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JPMorgan</w:t>
      </w:r>
      <w:r>
        <w:rPr>
          <w:rFonts w:ascii="Arial" w:cs="Arial" w:eastAsia="Arial" w:hAnsi="Arial"/>
          <w:sz w:val="19"/>
          <w:szCs w:val="19"/>
          <w:color w:val="auto"/>
        </w:rPr>
        <w:t>” has the meaning assigned to such term in the preliminary statements hereto.</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Judgment Currency</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9.18</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Financing</w:t>
      </w:r>
      <w:r>
        <w:rPr>
          <w:rFonts w:ascii="Arial" w:cs="Arial" w:eastAsia="Arial" w:hAnsi="Arial"/>
          <w:sz w:val="19"/>
          <w:szCs w:val="19"/>
          <w:color w:val="auto"/>
        </w:rPr>
        <w:t>” means (a) any Indebtedness (other than (i) any permitted intercompany Indebtedness owing to Holdings, any Intermediate Parent, the Borrower or any Restricted Subsidiary and (ii) senior subordinated Convertible Debt Securities issued on prevailing market terms in an underwritten offering) for borrowed money in a principal amount in excess of the greater of $15,000,000 and 12.5% of Consolidated EBITDA for the most recently ended Test Period as of such date that is subordinated in right of payment to the Loan Document Obligations and (b) any Permitted Refinancing in respect of the foregoing.</w:t>
      </w:r>
    </w:p>
    <w:p>
      <w:pPr>
        <w:spacing w:after="0" w:line="178"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Latest Maturity Date</w:t>
      </w:r>
      <w:r>
        <w:rPr>
          <w:rFonts w:ascii="Arial" w:cs="Arial" w:eastAsia="Arial" w:hAnsi="Arial"/>
          <w:sz w:val="19"/>
          <w:szCs w:val="19"/>
          <w:color w:val="auto"/>
        </w:rPr>
        <w:t>”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Disbursement</w:t>
      </w:r>
      <w:r>
        <w:rPr>
          <w:rFonts w:ascii="Arial" w:cs="Arial" w:eastAsia="Arial" w:hAnsi="Arial"/>
          <w:sz w:val="19"/>
          <w:szCs w:val="19"/>
          <w:color w:val="auto"/>
        </w:rPr>
        <w:t>” means an honoring of a drawing by an Issuing Bank pursuant to a Letter of Credit.</w:t>
      </w:r>
    </w:p>
    <w:p>
      <w:pPr>
        <w:spacing w:after="0" w:line="219" w:lineRule="exact"/>
        <w:rPr>
          <w:sz w:val="20"/>
          <w:szCs w:val="20"/>
          <w:color w:val="auto"/>
        </w:rPr>
      </w:pPr>
    </w:p>
    <w:p>
      <w:pPr>
        <w:jc w:val="both"/>
        <w:ind w:firstLine="1272"/>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0"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Obligations</w:t>
      </w:r>
      <w:r>
        <w:rPr>
          <w:rFonts w:ascii="Arial" w:cs="Arial" w:eastAsia="Arial" w:hAnsi="Arial"/>
          <w:sz w:val="19"/>
          <w:szCs w:val="19"/>
          <w:color w:val="auto"/>
        </w:rPr>
        <w:t xml:space="preserve">” means, at any time, the sum of (a) the amount available to be drawn under Letters of Credit then outstanding, assuming compliance with all requirements for drawings referenced therein,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principal amount of all unreimbursed LC Disbursements.</w:t>
      </w:r>
    </w:p>
    <w:p>
      <w:pPr>
        <w:sectPr>
          <w:pgSz w:w="11900" w:h="16838" w:orient="portrait"/>
          <w:cols w:equalWidth="0" w:num="1">
            <w:col w:w="11240"/>
          </w:cols>
          <w:pgMar w:left="320" w:top="1395" w:right="339" w:bottom="1440" w:gutter="0" w:footer="0" w:header="0"/>
        </w:sectPr>
      </w:pPr>
    </w:p>
    <w:bookmarkStart w:id="113" w:name="page114"/>
    <w:bookmarkEnd w:id="113"/>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LCA Election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1.06</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LCA Test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1.06</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Lead Arranger</w:t>
      </w:r>
      <w:r>
        <w:rPr>
          <w:rFonts w:ascii="Arial" w:cs="Arial" w:eastAsia="Arial" w:hAnsi="Arial"/>
          <w:sz w:val="19"/>
          <w:szCs w:val="19"/>
          <w:color w:val="auto"/>
        </w:rPr>
        <w:t>” means each of JPMorgan, Morgan Stanley Senior Funding, Inc., Bank of America, N.A., and Barclays Bank PLC, each in its capacity as a lead arranger.</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Legal Reservations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3.02</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means the Persons listed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w:t>
      </w:r>
    </w:p>
    <w:p>
      <w:pPr>
        <w:spacing w:after="0" w:line="169" w:lineRule="exact"/>
        <w:rPr>
          <w:sz w:val="20"/>
          <w:szCs w:val="20"/>
          <w:color w:val="auto"/>
        </w:rPr>
      </w:pPr>
    </w:p>
    <w:p>
      <w:pPr>
        <w:jc w:val="both"/>
        <w:ind w:firstLine="1272"/>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standby letter of credit or bank guarantee issued pursuant to this Agreement other than any such letter of credit or bank guarantee that shall have ceased to be a “Letter of Credit” outstanding hereunder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Request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2.05(b)</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Sublimit</w:t>
      </w:r>
      <w:r>
        <w:rPr>
          <w:rFonts w:ascii="Arial" w:cs="Arial" w:eastAsia="Arial" w:hAnsi="Arial"/>
          <w:sz w:val="19"/>
          <w:szCs w:val="19"/>
          <w:color w:val="auto"/>
        </w:rPr>
        <w:t>” means an amount equal to $15,000,000. The Letter of Credit Sublimit is part of and not in addition to the aggregate Revolving Commitments.</w:t>
      </w:r>
    </w:p>
    <w:p>
      <w:pPr>
        <w:spacing w:after="0" w:line="156"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means, with respect to any Eurodollar Borrowing for any Interest Period, the LIBO Screen Rate at approximately 11:00 a.m., London time, two (2)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shall not be available at such time for such Interest Period (an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then the LIBO Rate shall be the Interpolated Rate.</w:t>
      </w:r>
    </w:p>
    <w:p>
      <w:pPr>
        <w:spacing w:after="0" w:line="153" w:lineRule="exact"/>
        <w:rPr>
          <w:sz w:val="20"/>
          <w:szCs w:val="20"/>
          <w:color w:val="auto"/>
        </w:rPr>
      </w:pPr>
    </w:p>
    <w:p>
      <w:pPr>
        <w:jc w:val="both"/>
        <w:ind w:firstLine="127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xml:space="preserve">” means, for any day and time, with respect to any Eurodollar Borrowing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as so determined would be less than zero, such rate shall be deemed to zero for the purposes of this Agreement.</w:t>
      </w:r>
    </w:p>
    <w:p>
      <w:pPr>
        <w:spacing w:after="0" w:line="171" w:lineRule="exact"/>
        <w:rPr>
          <w:sz w:val="20"/>
          <w:szCs w:val="20"/>
          <w:color w:val="auto"/>
        </w:rPr>
      </w:pPr>
    </w:p>
    <w:p>
      <w:pPr>
        <w:jc w:val="both"/>
        <w:ind w:firstLine="83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ground lease, capital lease or title retention agreement (or any financing lease having substantially the same economic effect as any of the foregoing) relating to such asset.</w:t>
      </w:r>
    </w:p>
    <w:p>
      <w:pPr>
        <w:spacing w:after="0" w:line="135" w:lineRule="exact"/>
        <w:rPr>
          <w:sz w:val="20"/>
          <w:szCs w:val="20"/>
          <w:color w:val="auto"/>
        </w:rPr>
      </w:pPr>
    </w:p>
    <w:p>
      <w:pPr>
        <w:jc w:val="both"/>
        <w:ind w:firstLine="1272"/>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means any Permitted Acquisition or other Investment permitted hereunder by the Borrower or one or more of its Restricted Subsidiaries whose consummation is not conditioned on the availability of, or on obtaining, third-party financing.</w:t>
      </w:r>
    </w:p>
    <w:p>
      <w:pPr>
        <w:sectPr>
          <w:pgSz w:w="11900" w:h="16838" w:orient="portrait"/>
          <w:cols w:equalWidth="0" w:num="1">
            <w:col w:w="11240"/>
          </w:cols>
          <w:pgMar w:left="320" w:top="1395" w:right="339" w:bottom="1440" w:gutter="0" w:footer="0" w:header="0"/>
        </w:sectPr>
      </w:pPr>
    </w:p>
    <w:bookmarkStart w:id="114" w:name="page115"/>
    <w:bookmarkEnd w:id="114"/>
    <w:p>
      <w:pPr>
        <w:jc w:val="both"/>
        <w:ind w:firstLine="127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 Obligations</w:t>
      </w:r>
      <w:r>
        <w:rPr>
          <w:rFonts w:ascii="Arial" w:cs="Arial" w:eastAsia="Arial" w:hAnsi="Arial"/>
          <w:sz w:val="18"/>
          <w:szCs w:val="18"/>
          <w:color w:val="auto"/>
        </w:rPr>
        <w:t>” means (a) the due and punctual payment in cash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Loan Documents to which it is a party, including obligations to pay fees, expenses, reimbursement obligations and indemnification obligations and obligations to provide cash collateral,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in cash and performance of all other monetary obligations of the Borrower under or pursuant to each of the Loan Documents to which it is a party and (c) the due and punctual payment and performance of all the monetary obligations of each other Loan Party under or pursuant to this Agreement and each of the other Loan Documents to which it is a party (including interest and monetary obligations incurred during the pendency of any bankruptcy, insolvency, receivership or other similar proceeding, regardless of whether allowed or allowable in such proceeding).</w:t>
      </w:r>
    </w:p>
    <w:p>
      <w:pPr>
        <w:spacing w:after="0" w:line="169"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any Refinancing Amendment, any Loan Modification Agreement, any Incremental Facility Amendment, the Guarantee Agreement, the Collateral Agreement, the other Security Documents, the Intercreditor Agreement (if applicable), the Fee Letter and, except for purposes of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any Note delivered pursuant to </w:t>
      </w:r>
      <w:r>
        <w:rPr>
          <w:rFonts w:ascii="Arial" w:cs="Arial" w:eastAsia="Arial" w:hAnsi="Arial"/>
          <w:sz w:val="18"/>
          <w:szCs w:val="18"/>
          <w:u w:val="single" w:color="auto"/>
          <w:color w:val="auto"/>
        </w:rPr>
        <w:t>Section 2.09(e)</w:t>
      </w:r>
      <w:r>
        <w:rPr>
          <w:rFonts w:ascii="Arial" w:cs="Arial" w:eastAsia="Arial" w:hAnsi="Arial"/>
          <w:sz w:val="18"/>
          <w:szCs w:val="18"/>
          <w:color w:val="auto"/>
        </w:rPr>
        <w:t>.</w:t>
      </w:r>
    </w:p>
    <w:p>
      <w:pPr>
        <w:spacing w:after="0" w:line="153"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Modification Agreement</w:t>
      </w:r>
      <w:r>
        <w:rPr>
          <w:rFonts w:ascii="Arial" w:cs="Arial" w:eastAsia="Arial" w:hAnsi="Arial"/>
          <w:sz w:val="19"/>
          <w:szCs w:val="19"/>
          <w:color w:val="auto"/>
        </w:rPr>
        <w:t xml:space="preserve">” means a Loan Modification Agreement, in form reasonably satisfactory to the Administrative Agent, among the Borrower, the Administrative Agent and one or more Accepting Lenders, effecting one or more Permitted Amendments and such other amendments hereto and to the other Loan Documents as are contemplated by </w:t>
      </w:r>
      <w:r>
        <w:rPr>
          <w:rFonts w:ascii="Arial" w:cs="Arial" w:eastAsia="Arial" w:hAnsi="Arial"/>
          <w:sz w:val="19"/>
          <w:szCs w:val="19"/>
          <w:u w:val="single" w:color="auto"/>
          <w:color w:val="auto"/>
        </w:rPr>
        <w:t>Section 2.24</w:t>
      </w:r>
      <w:r>
        <w:rPr>
          <w:rFonts w:ascii="Arial" w:cs="Arial" w:eastAsia="Arial" w:hAnsi="Arial"/>
          <w:sz w:val="19"/>
          <w:szCs w:val="19"/>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Modification Offer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2.24(a)</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Parties</w:t>
      </w:r>
      <w:r>
        <w:rPr>
          <w:rFonts w:ascii="Arial" w:cs="Arial" w:eastAsia="Arial" w:hAnsi="Arial"/>
          <w:sz w:val="19"/>
          <w:szCs w:val="19"/>
          <w:color w:val="auto"/>
        </w:rPr>
        <w:t>” means Holdings, any Intermediate Parent, the Borrower and any Subsidiary Loan Parties.</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Loans</w:t>
      </w:r>
      <w:r>
        <w:rPr>
          <w:rFonts w:ascii="Arial" w:cs="Arial" w:eastAsia="Arial" w:hAnsi="Arial"/>
          <w:sz w:val="19"/>
          <w:szCs w:val="19"/>
          <w:color w:val="auto"/>
        </w:rPr>
        <w:t>” means the loans made by the Lenders to the Borrower pursuant to this Agreement.</w:t>
      </w:r>
    </w:p>
    <w:p>
      <w:pPr>
        <w:spacing w:after="0" w:line="219" w:lineRule="exact"/>
        <w:rPr>
          <w:sz w:val="20"/>
          <w:szCs w:val="20"/>
          <w:color w:val="auto"/>
        </w:rPr>
      </w:pPr>
    </w:p>
    <w:p>
      <w:pPr>
        <w:jc w:val="both"/>
        <w:ind w:firstLine="1272"/>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in Interest</w:t>
      </w:r>
      <w:r>
        <w:rPr>
          <w:rFonts w:ascii="Arial" w:cs="Arial" w:eastAsia="Arial" w:hAnsi="Arial"/>
          <w:sz w:val="19"/>
          <w:szCs w:val="19"/>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of such Class representing more than 50% of all Term Loans of such Class outstanding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Master Agreement</w:t>
      </w:r>
      <w:r>
        <w:rPr>
          <w:rFonts w:ascii="Arial" w:cs="Arial" w:eastAsia="Arial" w:hAnsi="Arial"/>
          <w:sz w:val="19"/>
          <w:szCs w:val="19"/>
          <w:color w:val="auto"/>
        </w:rPr>
        <w:t>” has the meaning assigned to such term in the definition of “Swap Agreement”.</w:t>
      </w:r>
    </w:p>
    <w:p>
      <w:pPr>
        <w:sectPr>
          <w:pgSz w:w="11900" w:h="16838" w:orient="portrait"/>
          <w:cols w:equalWidth="0" w:num="1">
            <w:col w:w="11240"/>
          </w:cols>
          <w:pgMar w:left="320" w:top="1395" w:right="339" w:bottom="1440" w:gutter="0" w:footer="0" w:header="0"/>
        </w:sectPr>
      </w:pPr>
    </w:p>
    <w:bookmarkStart w:id="115" w:name="page116"/>
    <w:bookmarkEnd w:id="115"/>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Master Intercompany Note</w:t>
      </w:r>
      <w:r>
        <w:rPr>
          <w:rFonts w:ascii="Arial" w:cs="Arial" w:eastAsia="Arial" w:hAnsi="Arial"/>
          <w:sz w:val="19"/>
          <w:szCs w:val="19"/>
          <w:color w:val="auto"/>
        </w:rPr>
        <w:t xml:space="preserve">” means the Master Intercompany Note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circumstance or condition that would materially and adversely affect (i) the business, results of operations or financial condition of Holdings, any Intermediate Parent, the Borrower and its Restricted Subsidiaries, taken as a whole, (ii) the ability of the Loan Parties, taken as a whole, to perform their payment obligations under the applicable Loan Documents or (iii) the rights and remedies, taken as a whole, of an Agent and the applicable Lenders under the Loan Documents.</w:t>
      </w:r>
    </w:p>
    <w:p>
      <w:pPr>
        <w:spacing w:after="0" w:line="161" w:lineRule="exact"/>
        <w:rPr>
          <w:sz w:val="20"/>
          <w:szCs w:val="20"/>
          <w:color w:val="auto"/>
        </w:rPr>
      </w:pPr>
    </w:p>
    <w:p>
      <w:pPr>
        <w:jc w:val="both"/>
        <w:ind w:firstLine="127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(excluding Permitted Equity Derivatives that do not give rise to any cash payment obligations), of any one or more of Holdings, any Intermediate Parent, the Borrower and its Restricted Subsidiaries in an aggregate principal amount exceeding $25,000,000.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52" w:lineRule="exact"/>
        <w:rPr>
          <w:sz w:val="20"/>
          <w:szCs w:val="20"/>
          <w:color w:val="auto"/>
        </w:rPr>
      </w:pPr>
    </w:p>
    <w:p>
      <w:pPr>
        <w:jc w:val="both"/>
        <w:ind w:right="20"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Intellectual Property</w:t>
      </w:r>
      <w:r>
        <w:rPr>
          <w:rFonts w:ascii="Arial" w:cs="Arial" w:eastAsia="Arial" w:hAnsi="Arial"/>
          <w:sz w:val="19"/>
          <w:szCs w:val="19"/>
          <w:color w:val="auto"/>
        </w:rPr>
        <w:t>” means, collectively, any Intellectual Property owned by Holdings, the Borrower or any of its Restricted Subsidiaries that is material to the business of Holdings, the Borrower or its Restricted Subsidiaries.</w:t>
      </w:r>
    </w:p>
    <w:p>
      <w:pPr>
        <w:spacing w:after="0" w:line="156"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Non-Public Information</w:t>
      </w:r>
      <w:r>
        <w:rPr>
          <w:rFonts w:ascii="Arial" w:cs="Arial" w:eastAsia="Arial" w:hAnsi="Arial"/>
          <w:sz w:val="19"/>
          <w:szCs w:val="19"/>
          <w:color w:val="auto"/>
        </w:rPr>
        <w:t>” means (a) if Holdings is a public reporting company, material non-public information with respect to Holdings or its Affiliates, or the respective securities of any of the foregoing for purposes of United States Federal and state securities laws, and (b) if Holdings is not a public reporting company, information that is (i) of the type that would not be publicly available if Holdings were a public reporting company and (ii) material with respect to Holdings and its Subsidiaries or any of their respective securities for purposes of United States Federal and state securities laws.</w:t>
      </w:r>
    </w:p>
    <w:p>
      <w:pPr>
        <w:spacing w:after="0" w:line="178"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Real Property</w:t>
      </w:r>
      <w:r>
        <w:rPr>
          <w:rFonts w:ascii="Arial" w:cs="Arial" w:eastAsia="Arial" w:hAnsi="Arial"/>
          <w:sz w:val="19"/>
          <w:szCs w:val="19"/>
          <w:color w:val="auto"/>
        </w:rPr>
        <w:t>” means real property (including fixtures) located in the United States and owned (but not leased or ground-leased) by any Loan Party with a book value, as reasonably determined by the Borrower in good faith, greater than or equal to $7,500,000 (it being understood that no real property owned by any Loan Party as of the date of this Agreement shall be deemed to be Material Real Property).</w:t>
      </w:r>
    </w:p>
    <w:p>
      <w:pPr>
        <w:spacing w:after="0" w:line="177"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means each Wholly Owned Restricted Subsidiary that, as of the last day of the fiscal quarter of the Borrower most recently ended, had net revenues or total assets for such quarter in excess of 5.0% of the consolidated net revenues or total assets, as applicable, of Holdings, any Intermediate Parent, the Borrower and its Restricted Subsidiaries for such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Immaterial Subsidiaries, taken together, had as of the last day of the fiscal quarter of the Borrower most recently ended net revenues or total assets in excess of 10.0% of the consolidated net revenues or total assets, as applicable, of Holdings, any Intermediate Parent, the Borrower and its Restricted Subsidiaries for such quarter, the Borrower shall designate at its sole discretion one or more Immaterial Subsidiaries to be a Material Subsidiary as may be necessary such that the foregoing 10.0% limit shall not be exceeded, and any such Subsidiary shall thereafter be deemed to be a Material Subsidiary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may re-designate Material Subsidiaries as Immaterial Subsidiaries so long as Borrower is in compliance with the foregoing.</w:t>
      </w:r>
    </w:p>
    <w:p>
      <w:pPr>
        <w:sectPr>
          <w:pgSz w:w="11900" w:h="16838" w:orient="portrait"/>
          <w:cols w:equalWidth="0" w:num="1">
            <w:col w:w="11240"/>
          </w:cols>
          <w:pgMar w:left="320" w:top="1395" w:right="339" w:bottom="1440" w:gutter="0" w:footer="0" w:header="0"/>
        </w:sectPr>
      </w:pPr>
    </w:p>
    <w:bookmarkStart w:id="116" w:name="page117"/>
    <w:bookmarkEnd w:id="116"/>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9.16</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MFN Adjustment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2.20(b)(i)</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MFN Cushion</w:t>
      </w:r>
      <w:r>
        <w:rPr>
          <w:rFonts w:ascii="Arial" w:cs="Arial" w:eastAsia="Arial" w:hAnsi="Arial"/>
          <w:sz w:val="19"/>
          <w:szCs w:val="19"/>
          <w:color w:val="auto"/>
        </w:rPr>
        <w:t>” means 0.50% per annum.</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 and any successor to its rating agency business.</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means a mortgage, deed of trust, assignment of leases and rents or other security document granting a Lien on any Mortgaged Property in favor of the Administrative Agent for the benefit of the Secured Parties to secure the Secured Obligations, as the same may be amended, amended and restated, supplemented or otherwise modified from time to time. Each Mortgage shall be in form and substance reasonably satisfactory to the Administrative Agent and the Borrower.</w:t>
      </w:r>
    </w:p>
    <w:p>
      <w:pPr>
        <w:spacing w:after="0" w:line="177"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Mortgaged Property</w:t>
      </w:r>
      <w:r>
        <w:rPr>
          <w:rFonts w:ascii="Arial" w:cs="Arial" w:eastAsia="Arial" w:hAnsi="Arial"/>
          <w:sz w:val="19"/>
          <w:szCs w:val="19"/>
          <w:color w:val="auto"/>
        </w:rPr>
        <w:t xml:space="preserve">” means each parcel of Material Real Property with respect to which a Mortgage is granted pursuant to the Collateral and Guarantee Requirement,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(if any).</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 multiemployer plan as defined in Section 4001(a)(3) of ERISA.</w:t>
      </w:r>
    </w:p>
    <w:p>
      <w:pPr>
        <w:spacing w:after="0" w:line="21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Proceeds</w:t>
      </w:r>
      <w:r>
        <w:rPr>
          <w:rFonts w:ascii="Arial" w:cs="Arial" w:eastAsia="Arial" w:hAnsi="Arial"/>
          <w:sz w:val="17"/>
          <w:szCs w:val="17"/>
          <w:color w:val="auto"/>
        </w:rPr>
        <w:t xml:space="preserve">” means, with respect to any event, (a) the proceeds received in respect of such event in cash or Permitted Investments, including (i) any cash or Permitted Investments received in respect of any Designated Non-Cash Consideration or other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(x) the Loans or (y) other pari passu or junior Indebtedness secured by a lien on the Collateral) secured by such asset or otherwise subject to mandatory prepayment as a result of such event, (y) the pro rata portion of net cash proceeds thereof (calculated without regard to this clause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attributable to minority interests and not available for distribution to or for the account of Holdings, any Intermediate Parent, the Borrower or its Restricted Subsidiaries as a result thereof and (z) the amount of any liabilities directly associated with such asset and retained by the Borrower or any Restricted Subsidiary and (iii) the amount of all taxes paid (or reasonably estimated to be payable), the amount of Tax Distributions, dividends and other restricted payments that Holdings, any Intermediate Parent, the Borrower and/or the Restricted Subsidiaries may make pursuant to </w:t>
      </w:r>
      <w:r>
        <w:rPr>
          <w:rFonts w:ascii="Arial" w:cs="Arial" w:eastAsia="Arial" w:hAnsi="Arial"/>
          <w:sz w:val="17"/>
          <w:szCs w:val="17"/>
          <w:u w:val="single" w:color="auto"/>
          <w:color w:val="auto"/>
        </w:rPr>
        <w:t>Section 6.07(a)(vi)(A)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ectPr>
          <w:pgSz w:w="11900" w:h="16838" w:orient="portrait"/>
          <w:cols w:equalWidth="0" w:num="1">
            <w:col w:w="11240"/>
          </w:cols>
          <w:pgMar w:left="320" w:top="1395" w:right="339" w:bottom="1440" w:gutter="0" w:footer="0" w:header="0"/>
        </w:sectPr>
      </w:pPr>
    </w:p>
    <w:bookmarkStart w:id="117" w:name="page118"/>
    <w:bookmarkEnd w:id="117"/>
    <w:p>
      <w:pPr>
        <w:jc w:val="both"/>
        <w:spacing w:after="0" w:line="278" w:lineRule="auto"/>
        <w:rPr>
          <w:sz w:val="20"/>
          <w:szCs w:val="20"/>
          <w:color w:val="auto"/>
        </w:rPr>
      </w:pPr>
      <w:r>
        <w:rPr>
          <w:rFonts w:ascii="Arial" w:cs="Arial" w:eastAsia="Arial" w:hAnsi="Arial"/>
          <w:sz w:val="19"/>
          <w:szCs w:val="19"/>
          <w:color w:val="auto"/>
        </w:rPr>
        <w:t>any reduction at any time in the amount of any such reserves (other than as a result of payments made in respect thereof) shall be deemed to constitute the receipt by the Borrower at such time of Net Proceeds in the amount of such reduction.</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Non-Accepting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2.24(c)</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Charges</w:t>
      </w:r>
      <w:r>
        <w:rPr>
          <w:rFonts w:ascii="Arial" w:cs="Arial" w:eastAsia="Arial" w:hAnsi="Arial"/>
          <w:sz w:val="18"/>
          <w:szCs w:val="18"/>
          <w:color w:val="auto"/>
        </w:rPr>
        <w:t>” means (a) any impairment charge or asset write-off or write-down, including impairment charges or asset write-offs or write-downs related to intangible assets (including goodwill), long-lived assets, and Investments in debt and equity securities or as a result of a change in law or regulation, in each case pursuant to GAAP, and the amortization of intangibles pursuant to GAAP (which, without limiting the foregoing, shall include any impairment charges resulting from the application of FASB Statements No. 142 and 144 and the amortization of intangibles arising pursuant to No. 141), (b) all losses from Investments recorded using the equity method, (c) all Non-Cash Compensation Expenses, (d) the non-cash impact of acquisition method accounting, (e) depreciation and amortization (including amortization of deferred financing fees or costs, Capitalized Software Expenditures and amortization of unrecognized prior service costs and actuarial gains and losses related to pension and other post-employment benefits) and (f) other non-cash charges (including non-cash charges related to deferred rent)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7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Non-Cash Compensation Expense</w:t>
      </w:r>
      <w:r>
        <w:rPr>
          <w:rFonts w:ascii="Arial" w:cs="Arial" w:eastAsia="Arial" w:hAnsi="Arial"/>
          <w:sz w:val="19"/>
          <w:szCs w:val="19"/>
          <w:color w:val="auto"/>
        </w:rPr>
        <w:t>” means any non-cash expenses and costs that result from the issuance of stock-based awards, partnership interest-based awards and similar incentive based compensation awards or arrangements.</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9.02(c)</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Non-Wholly Owned Subsidiary</w:t>
      </w:r>
      <w:r>
        <w:rPr>
          <w:rFonts w:ascii="Arial" w:cs="Arial" w:eastAsia="Arial" w:hAnsi="Arial"/>
          <w:sz w:val="18"/>
          <w:szCs w:val="18"/>
          <w:color w:val="auto"/>
        </w:rPr>
        <w:t>” of any Person means any Subsidiary of such Person other than a Wholly Owned Subsidiary.</w:t>
      </w:r>
    </w:p>
    <w:p>
      <w:pPr>
        <w:spacing w:after="0" w:line="230"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 Otherwise Applied</w:t>
      </w:r>
      <w:r>
        <w:rPr>
          <w:rFonts w:ascii="Arial" w:cs="Arial" w:eastAsia="Arial" w:hAnsi="Arial"/>
          <w:sz w:val="19"/>
          <w:szCs w:val="19"/>
          <w:color w:val="auto"/>
        </w:rPr>
        <w:t xml:space="preserve">” means, with reference to the Available Amount, the Available Equity Amount that such amount was not previously applied pursuant to </w:t>
      </w:r>
      <w:r>
        <w:rPr>
          <w:rFonts w:ascii="Arial" w:cs="Arial" w:eastAsia="Arial" w:hAnsi="Arial"/>
          <w:sz w:val="19"/>
          <w:szCs w:val="19"/>
          <w:u w:val="single" w:color="auto"/>
          <w:color w:val="auto"/>
        </w:rPr>
        <w:t>6.04(m)</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6.07(a)(vii) and 6.07(b)(vii)</w:t>
      </w:r>
      <w:r>
        <w:rPr>
          <w:rFonts w:ascii="Arial" w:cs="Arial" w:eastAsia="Arial" w:hAnsi="Arial"/>
          <w:sz w:val="19"/>
          <w:szCs w:val="19"/>
          <w:color w:val="auto"/>
        </w:rPr>
        <w:t>.</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w:t>
      </w:r>
      <w:r>
        <w:rPr>
          <w:rFonts w:ascii="Arial" w:cs="Arial" w:eastAsia="Arial" w:hAnsi="Arial"/>
          <w:sz w:val="19"/>
          <w:szCs w:val="19"/>
          <w:color w:val="auto"/>
        </w:rPr>
        <w:t xml:space="preserve">” means a promissory note of the Borrower, in substantially the form of </w:t>
      </w:r>
      <w:r>
        <w:rPr>
          <w:rFonts w:ascii="Arial" w:cs="Arial" w:eastAsia="Arial" w:hAnsi="Arial"/>
          <w:sz w:val="19"/>
          <w:szCs w:val="19"/>
          <w:u w:val="single" w:color="auto"/>
          <w:color w:val="auto"/>
        </w:rPr>
        <w:t>Exhibit R</w:t>
      </w:r>
      <w:r>
        <w:rPr>
          <w:rFonts w:ascii="Arial" w:cs="Arial" w:eastAsia="Arial" w:hAnsi="Arial"/>
          <w:sz w:val="19"/>
          <w:szCs w:val="19"/>
          <w:color w:val="auto"/>
        </w:rPr>
        <w:t>, payable to a Lender in a principal amount equal to the principal amount of the Revolving Commitment or Term Loans, as applicable, of such Lender.</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w:t>
      </w:r>
      <w:r>
        <w:rPr>
          <w:rFonts w:ascii="Arial" w:cs="Arial" w:eastAsia="Arial" w:hAnsi="Arial"/>
          <w:sz w:val="19"/>
          <w:szCs w:val="19"/>
          <w:color w:val="auto"/>
        </w:rPr>
        <w:t>” means the Federal Reserve Bank of New York.</w:t>
      </w:r>
    </w:p>
    <w:p>
      <w:pPr>
        <w:spacing w:after="0" w:line="219"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any of the aforesaid rates as so determined be less than zero, such rate shall be deemed to be zero for purposes of this Agreement.</w:t>
      </w:r>
    </w:p>
    <w:p>
      <w:pPr>
        <w:sectPr>
          <w:pgSz w:w="11900" w:h="16838" w:orient="portrait"/>
          <w:cols w:equalWidth="0" w:num="1">
            <w:col w:w="11240"/>
          </w:cols>
          <w:pgMar w:left="320" w:top="1395" w:right="339" w:bottom="1440" w:gutter="0" w:footer="0" w:header="0"/>
        </w:sectPr>
      </w:pPr>
    </w:p>
    <w:bookmarkStart w:id="118" w:name="page119"/>
    <w:bookmarkEnd w:id="118"/>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Offered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Offered Discount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2.11(a)(ii)(D)(1)</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with respect to any Person, the charter, articles of association or certificate of organization or incorporation and bylaws or other organizational or governing documents of such Person.</w:t>
      </w:r>
    </w:p>
    <w:p>
      <w:pPr>
        <w:spacing w:after="0" w:line="156" w:lineRule="exact"/>
        <w:rPr>
          <w:sz w:val="20"/>
          <w:szCs w:val="20"/>
          <w:color w:val="auto"/>
        </w:rPr>
      </w:pPr>
    </w:p>
    <w:p>
      <w:pPr>
        <w:jc w:val="both"/>
        <w:ind w:firstLine="1272"/>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any present or former connection between such Recipient and the jurisdiction imposing such Tax (other than a connection arising solely from such Recipient (x) having executed, delivered, become a party to, performed its obligations or received payments under, received or perfected a security interest under or enforced any Loan Documents or engaged in any other transaction pursuant to this Agreement or (y) with respect to any Taxes imposed as a result of any Loan Party’s connection with the taxing jurisdiction, having sold or assigned an interest in any Loan Documents).</w:t>
      </w:r>
    </w:p>
    <w:p>
      <w:pPr>
        <w:spacing w:after="0" w:line="14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Revolving Commitments</w:t>
      </w:r>
      <w:r>
        <w:rPr>
          <w:rFonts w:ascii="Arial" w:cs="Arial" w:eastAsia="Arial" w:hAnsi="Arial"/>
          <w:sz w:val="19"/>
          <w:szCs w:val="19"/>
          <w:color w:val="auto"/>
        </w:rPr>
        <w:t>” means one or more Classes of Revolving Commitments hereunder or extended Revolving Commitments that result from a Refinancing Amendment or a Loan Modification Agreement.</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Revolving Loans</w:t>
      </w:r>
      <w:r>
        <w:rPr>
          <w:rFonts w:ascii="Arial" w:cs="Arial" w:eastAsia="Arial" w:hAnsi="Arial"/>
          <w:sz w:val="19"/>
          <w:szCs w:val="19"/>
          <w:color w:val="auto"/>
        </w:rPr>
        <w:t>” means the Revolving Loans made pursuant to any Other Revolving Commitment or a Loan Modification Agreement.</w:t>
      </w:r>
    </w:p>
    <w:p>
      <w:pPr>
        <w:spacing w:after="0" w:line="156"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any and all present or future recording, stamp, documentary or similar Taxes arising from any payment made under any Loan Document or from the execution, delivery or enforcement of,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2.19(b))</w:t>
      </w:r>
      <w:r>
        <w:rPr>
          <w:rFonts w:ascii="Arial" w:cs="Arial" w:eastAsia="Arial" w:hAnsi="Arial"/>
          <w:sz w:val="19"/>
          <w:szCs w:val="19"/>
          <w:color w:val="auto"/>
        </w:rPr>
        <w:t>.</w:t>
      </w:r>
    </w:p>
    <w:p>
      <w:pPr>
        <w:spacing w:after="0" w:line="177"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Term Commitments</w:t>
      </w:r>
      <w:r>
        <w:rPr>
          <w:rFonts w:ascii="Arial" w:cs="Arial" w:eastAsia="Arial" w:hAnsi="Arial"/>
          <w:sz w:val="19"/>
          <w:szCs w:val="19"/>
          <w:color w:val="auto"/>
        </w:rPr>
        <w:t>” means one or more Classes of term loan commitments hereunder that result from a Refinancing Amendment or a Loan Modification Agreement.</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Term Loans</w:t>
      </w:r>
      <w:r>
        <w:rPr>
          <w:rFonts w:ascii="Arial" w:cs="Arial" w:eastAsia="Arial" w:hAnsi="Arial"/>
          <w:sz w:val="19"/>
          <w:szCs w:val="19"/>
          <w:color w:val="auto"/>
        </w:rPr>
        <w:t>” means one or more Classes of Term Loans that result from a Refinancing Amendment or a Loan Modification Agreement.</w:t>
      </w:r>
    </w:p>
    <w:p>
      <w:pPr>
        <w:spacing w:after="0" w:line="156"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9.04(c)(i)</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9.04(c)(ii)</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Participating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2.11(a)(ii)(C)(2)</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w:t>
      </w:r>
      <w:r>
        <w:rPr>
          <w:rFonts w:ascii="Arial" w:cs="Arial" w:eastAsia="Arial" w:hAnsi="Arial"/>
          <w:sz w:val="19"/>
          <w:szCs w:val="19"/>
          <w:color w:val="auto"/>
        </w:rPr>
        <w:t>” has the meaning assigned to it in Section 8.13(c).</w:t>
      </w:r>
    </w:p>
    <w:p>
      <w:pPr>
        <w:sectPr>
          <w:pgSz w:w="11900" w:h="16838" w:orient="portrait"/>
          <w:cols w:equalWidth="0" w:num="1">
            <w:col w:w="11240"/>
          </w:cols>
          <w:pgMar w:left="320" w:top="1395" w:right="339" w:bottom="1440" w:gutter="0" w:footer="0" w:header="0"/>
        </w:sectPr>
      </w:pPr>
    </w:p>
    <w:bookmarkStart w:id="119" w:name="page120"/>
    <w:bookmarkEnd w:id="119"/>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Notice</w:t>
      </w:r>
      <w:r>
        <w:rPr>
          <w:rFonts w:ascii="Arial" w:cs="Arial" w:eastAsia="Arial" w:hAnsi="Arial"/>
          <w:sz w:val="19"/>
          <w:szCs w:val="19"/>
          <w:color w:val="auto"/>
        </w:rPr>
        <w:t>” has the meaning assigned to it in Section 8.13(c).</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 referred to and defined in ERISA and any successor entity performing similar functions.</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Perfection Certificate</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Perfection Requirements</w:t>
      </w:r>
      <w:r>
        <w:rPr>
          <w:rFonts w:ascii="Arial" w:cs="Arial" w:eastAsia="Arial" w:hAnsi="Arial"/>
          <w:sz w:val="19"/>
          <w:szCs w:val="19"/>
          <w:color w:val="auto"/>
        </w:rPr>
        <w:t>” means the need for appropriate filings, registrations, endorsements, notarizations, stampings and/or notifications of the Security Documents or the Collateral and any other steps or actions necessary in any jurisdiction or under any laws or regulations in order to create or perfect the Liens on the Collateral granted by the Loan Parties in favor of the Secured Parties and/or to achieve the relevant priority expressed therein (including the delivery any stock certificate or promissory note required to be delivered pursuant to the applicable Loan Documents).</w:t>
      </w:r>
    </w:p>
    <w:p>
      <w:pPr>
        <w:spacing w:after="0" w:line="178"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the purchase or other acquisition, by merger, consolidation or otherwise, by the Borrower or any Restricted Subsidiary of any Equity Interests in, or all or substantially all the assets of (or all or substantially all the assets constituting a business unit, division, product line or line of business of),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any purchase or other acquisition of Equity Interests in a Person, (i) such Person, upon the consummation of such purchase or acquisition, will be a Restricted Subsidiary (including as a result of a merger or consolidation between any Subsidiary and such Person), or (ii) such Person is merged into or consolidated with a Restricted Subsidiary and such Restricted Subsidiary is the surviving entity of such merger or consolidation, (b) the business of such Person, or such assets, as the case may be, constitute a Similar Business, (c) with respect to each such purchase or other acquisition, all actions required to be taken with respect to such newly created or acquired Restricted Subsidiary (including each subsidiary thereof) or assets in order to satisfy the requirements set forth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the term “Collateral and Guarantee Requirement” to the extent applicable shall have been taken to the extent required by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(or arrangements for the taking of such actions after the consummation of the Permitted Acquisition shall have been made that are reasonably satisfactory to the Administrative Agent) (other than with respect to any Subsidiary of such newly created or acquired Restricted Subsidiary that is designated as an Unrestricted Subsidiary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or is otherwise an Excluded Subsidiary) and (d) after giving effect to any such purchase or other acquisition no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have occurred and be continuing.</w:t>
      </w:r>
    </w:p>
    <w:p>
      <w:pPr>
        <w:spacing w:after="0" w:line="178" w:lineRule="exact"/>
        <w:rPr>
          <w:sz w:val="20"/>
          <w:szCs w:val="20"/>
          <w:color w:val="auto"/>
        </w:rPr>
      </w:pPr>
    </w:p>
    <w:p>
      <w:pPr>
        <w:jc w:val="both"/>
        <w:ind w:firstLine="1272"/>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Amendment</w:t>
      </w:r>
      <w:r>
        <w:rPr>
          <w:rFonts w:ascii="Arial" w:cs="Arial" w:eastAsia="Arial" w:hAnsi="Arial"/>
          <w:sz w:val="17"/>
          <w:szCs w:val="17"/>
          <w:color w:val="auto"/>
        </w:rPr>
        <w:t xml:space="preserve">” means an amendment to this Agreement and, if applicable the other Loan Documents, effected in connection with a Loan Modification Offer pursuant to </w:t>
      </w:r>
      <w:r>
        <w:rPr>
          <w:rFonts w:ascii="Arial" w:cs="Arial" w:eastAsia="Arial" w:hAnsi="Arial"/>
          <w:sz w:val="17"/>
          <w:szCs w:val="17"/>
          <w:u w:val="single" w:color="auto"/>
          <w:color w:val="auto"/>
        </w:rPr>
        <w:t>Section 2.24</w:t>
      </w:r>
      <w:r>
        <w:rPr>
          <w:rFonts w:ascii="Arial" w:cs="Arial" w:eastAsia="Arial" w:hAnsi="Arial"/>
          <w:sz w:val="17"/>
          <w:szCs w:val="17"/>
          <w:color w:val="auto"/>
        </w:rPr>
        <w:t>,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covenants or other provisions (i) with respect to which the Lenders under the Term Loans or Revolving Loans, as applicable, also receive the benefit of such more restrictive terms (it being acknowledged that any “springing” financial maintenance covenant or other covenant or provision only applicable to, or for the benefit of, a revolving credit facility shall also be added solely for the benefit of each revolving credit facility hereunder (and not for the benefit of any term loan facility hereunder), together with, at the election of the Borrower, any applicable “equity cure” provisions with respect to any financial maintenance covenant) (it being understood to the extent that any covenant is added for the benefit of any such Indebtedness, no consent shall be required from the Administrative Agent or any Lender to the extent that such covenant is also added for the benefit of any corresponding existing Term Loans or Revolving Loans, as applicable),</w:t>
      </w:r>
    </w:p>
    <w:p>
      <w:pPr>
        <w:sectPr>
          <w:pgSz w:w="11900" w:h="16838" w:orient="portrait"/>
          <w:cols w:equalWidth="0" w:num="1">
            <w:col w:w="11240"/>
          </w:cols>
          <w:pgMar w:left="320" w:top="1395" w:right="339" w:bottom="1440" w:gutter="0" w:footer="0" w:header="0"/>
        </w:sectPr>
      </w:pPr>
    </w:p>
    <w:bookmarkStart w:id="120" w:name="page121"/>
    <w:bookmarkEnd w:id="120"/>
    <w:p>
      <w:pPr>
        <w:ind w:left="-6" w:firstLine="6"/>
        <w:spacing w:after="0" w:line="278" w:lineRule="auto"/>
        <w:tabs>
          <w:tab w:leader="none" w:pos="283" w:val="left"/>
        </w:tabs>
        <w:numPr>
          <w:ilvl w:val="0"/>
          <w:numId w:val="72"/>
        </w:numPr>
        <w:rPr>
          <w:rFonts w:ascii="Arial" w:cs="Arial" w:eastAsia="Arial" w:hAnsi="Arial"/>
          <w:sz w:val="19"/>
          <w:szCs w:val="19"/>
          <w:color w:val="auto"/>
        </w:rPr>
      </w:pPr>
      <w:r>
        <w:rPr>
          <w:rFonts w:ascii="Arial" w:cs="Arial" w:eastAsia="Arial" w:hAnsi="Arial"/>
          <w:sz w:val="19"/>
          <w:szCs w:val="19"/>
          <w:color w:val="auto"/>
        </w:rPr>
        <w:t>to the extent any such provisions apply after the Latest Maturity Date at the time of such Loan Modification Offer, or (iii) to the extent such terms shall be reasonably satisfactory to the Administrative Agent and the Borrower.</w:t>
      </w:r>
    </w:p>
    <w:p>
      <w:pPr>
        <w:spacing w:after="0" w:line="156" w:lineRule="exact"/>
        <w:rPr>
          <w:sz w:val="20"/>
          <w:szCs w:val="20"/>
          <w:color w:val="auto"/>
        </w:rPr>
      </w:pPr>
    </w:p>
    <w:p>
      <w:pPr>
        <w:ind w:left="127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ECF Recalculation Considerations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2.11(d)</w:t>
      </w:r>
      <w:r>
        <w:rPr>
          <w:rFonts w:ascii="Arial" w:cs="Arial" w:eastAsia="Arial" w:hAnsi="Arial"/>
          <w:sz w:val="19"/>
          <w:szCs w:val="19"/>
          <w:color w:val="auto"/>
        </w:rPr>
        <w:t>.</w:t>
      </w:r>
    </w:p>
    <w:p>
      <w:pPr>
        <w:spacing w:after="0" w:line="219" w:lineRule="exact"/>
        <w:rPr>
          <w:sz w:val="20"/>
          <w:szCs w:val="20"/>
          <w:color w:val="auto"/>
        </w:rPr>
      </w:pPr>
    </w:p>
    <w:p>
      <w:pPr>
        <w:ind w:left="127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Encumbrances</w:t>
      </w:r>
      <w:r>
        <w:rPr>
          <w:rFonts w:ascii="Arial" w:cs="Arial" w:eastAsia="Arial" w:hAnsi="Arial"/>
          <w:sz w:val="19"/>
          <w:szCs w:val="19"/>
          <w:color w:val="auto"/>
        </w:rPr>
        <w:t>” means:</w:t>
      </w:r>
    </w:p>
    <w:p>
      <w:pPr>
        <w:spacing w:after="0" w:line="219" w:lineRule="exact"/>
        <w:rPr>
          <w:sz w:val="20"/>
          <w:szCs w:val="20"/>
          <w:color w:val="auto"/>
        </w:rPr>
      </w:pPr>
    </w:p>
    <w:p>
      <w:pPr>
        <w:jc w:val="both"/>
        <w:ind w:left="714" w:firstLine="558"/>
        <w:spacing w:after="0" w:line="263" w:lineRule="auto"/>
        <w:tabs>
          <w:tab w:leader="none" w:pos="1723" w:val="left"/>
        </w:tabs>
        <w:numPr>
          <w:ilvl w:val="0"/>
          <w:numId w:val="73"/>
        </w:numPr>
        <w:rPr>
          <w:rFonts w:ascii="Arial" w:cs="Arial" w:eastAsia="Arial" w:hAnsi="Arial"/>
          <w:sz w:val="19"/>
          <w:szCs w:val="19"/>
          <w:color w:val="auto"/>
        </w:rPr>
      </w:pPr>
      <w:r>
        <w:rPr>
          <w:rFonts w:ascii="Arial" w:cs="Arial" w:eastAsia="Arial" w:hAnsi="Arial"/>
          <w:sz w:val="19"/>
          <w:szCs w:val="19"/>
          <w:color w:val="auto"/>
        </w:rPr>
        <w:t>Liens for Taxes, assessments or governmental charges that are not overdue for a period of more than 30 days or that are being contested in good faith and by appropriate proceedings diligently conducted, if adequate reserves with respect thereto are maintained on the books of the applicable Person in accordance with GAAP;</w:t>
      </w:r>
    </w:p>
    <w:p>
      <w:pPr>
        <w:spacing w:after="0" w:line="169" w:lineRule="exact"/>
        <w:rPr>
          <w:rFonts w:ascii="Arial" w:cs="Arial" w:eastAsia="Arial" w:hAnsi="Arial"/>
          <w:sz w:val="19"/>
          <w:szCs w:val="19"/>
          <w:color w:val="auto"/>
        </w:rPr>
      </w:pPr>
    </w:p>
    <w:p>
      <w:pPr>
        <w:jc w:val="both"/>
        <w:ind w:left="714" w:firstLine="558"/>
        <w:spacing w:after="0" w:line="270"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with respect to outstanding motor vehicle fines and Liens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166" w:lineRule="exact"/>
        <w:rPr>
          <w:rFonts w:ascii="Arial" w:cs="Arial" w:eastAsia="Arial" w:hAnsi="Arial"/>
          <w:sz w:val="18"/>
          <w:szCs w:val="18"/>
          <w:color w:val="auto"/>
        </w:rPr>
      </w:pPr>
    </w:p>
    <w:p>
      <w:pPr>
        <w:jc w:val="both"/>
        <w:ind w:left="714" w:firstLine="558"/>
        <w:spacing w:after="0" w:line="272" w:lineRule="auto"/>
        <w:tabs>
          <w:tab w:leader="none" w:pos="17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incurred, pledges or deposits made in the ordinary course of business (i) in connection with payroll taxes, workers’ compensation, unemployment insurance and other social security legislation, public liability laws or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of the type set forth in the foregoing clause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714" w:firstLine="558"/>
        <w:spacing w:after="0" w:line="255" w:lineRule="auto"/>
        <w:tabs>
          <w:tab w:leader="none" w:pos="1923" w:val="left"/>
        </w:tabs>
        <w:numPr>
          <w:ilvl w:val="0"/>
          <w:numId w:val="73"/>
        </w:numPr>
        <w:rPr>
          <w:rFonts w:ascii="Arial" w:cs="Arial" w:eastAsia="Arial" w:hAnsi="Arial"/>
          <w:sz w:val="19"/>
          <w:szCs w:val="19"/>
          <w:color w:val="auto"/>
        </w:rPr>
      </w:pPr>
      <w:r>
        <w:rPr>
          <w:rFonts w:ascii="Arial" w:cs="Arial" w:eastAsia="Arial" w:hAnsi="Arial"/>
          <w:sz w:val="19"/>
          <w:szCs w:val="19"/>
          <w:color w:val="auto"/>
        </w:rPr>
        <w:t>Liens incurred or deposits made to secure the performance of tenders, bids, trade contracts, customer claims,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spacing w:after="0" w:line="177" w:lineRule="exact"/>
        <w:rPr>
          <w:rFonts w:ascii="Arial" w:cs="Arial" w:eastAsia="Arial" w:hAnsi="Arial"/>
          <w:sz w:val="19"/>
          <w:szCs w:val="19"/>
          <w:color w:val="auto"/>
        </w:rPr>
      </w:pPr>
    </w:p>
    <w:p>
      <w:pPr>
        <w:jc w:val="both"/>
        <w:ind w:left="714" w:firstLine="558"/>
        <w:spacing w:after="0" w:line="284" w:lineRule="auto"/>
        <w:tabs>
          <w:tab w:leader="none" w:pos="18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easements, licenses, servitudes, restrictive covenants, rights-of-way, restrictions, encroachments, protrusions, zoning restrictions and other similar encumbrances and title defects affecting real property that, in the aggregate, do not materially interfere with the ordinary conduct of the business of the Borrower and its Restricted Subsidiaries taken as a whole;</w:t>
      </w:r>
    </w:p>
    <w:p>
      <w:pPr>
        <w:spacing w:after="0" w:line="152" w:lineRule="exact"/>
        <w:rPr>
          <w:rFonts w:ascii="Arial" w:cs="Arial" w:eastAsia="Arial" w:hAnsi="Arial"/>
          <w:sz w:val="18"/>
          <w:szCs w:val="18"/>
          <w:color w:val="auto"/>
        </w:rPr>
      </w:pPr>
    </w:p>
    <w:p>
      <w:pPr>
        <w:ind w:left="714" w:firstLine="558"/>
        <w:spacing w:after="0" w:line="307" w:lineRule="auto"/>
        <w:tabs>
          <w:tab w:leader="none" w:pos="16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leases or subleases of real or personal property granted to other Persons (as lessee thereof) that do not materially interfere with the ordinary conduct of the business of the Borrower and its Restricted Subsidiaries taken as a whole;</w:t>
      </w:r>
    </w:p>
    <w:p>
      <w:pPr>
        <w:sectPr>
          <w:pgSz w:w="11900" w:h="16838" w:orient="portrait"/>
          <w:cols w:equalWidth="0" w:num="1">
            <w:col w:w="11234"/>
          </w:cols>
          <w:pgMar w:left="326" w:top="1395" w:right="339" w:bottom="1440" w:gutter="0" w:footer="0" w:header="0"/>
        </w:sectPr>
      </w:pPr>
    </w:p>
    <w:bookmarkStart w:id="121" w:name="page122"/>
    <w:bookmarkEnd w:id="121"/>
    <w:p>
      <w:pPr>
        <w:ind w:left="1060" w:hanging="422"/>
        <w:spacing w:after="0"/>
        <w:tabs>
          <w:tab w:leader="none" w:pos="10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rights of future tenants pursuant to written leases entered into in accordance with the terms hereof;</w:t>
      </w:r>
    </w:p>
    <w:p>
      <w:pPr>
        <w:spacing w:after="0" w:line="218" w:lineRule="exact"/>
        <w:rPr>
          <w:rFonts w:ascii="Arial" w:cs="Arial" w:eastAsia="Arial" w:hAnsi="Arial"/>
          <w:sz w:val="19"/>
          <w:szCs w:val="19"/>
          <w:color w:val="auto"/>
        </w:rPr>
      </w:pPr>
    </w:p>
    <w:p>
      <w:pPr>
        <w:ind w:left="80" w:firstLine="558"/>
        <w:spacing w:after="0" w:line="278" w:lineRule="auto"/>
        <w:tabs>
          <w:tab w:leader="none" w:pos="1101"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Liens securing, or otherwise arising from, judgments not constituting an Event of Default under </w:t>
      </w:r>
      <w:r>
        <w:rPr>
          <w:rFonts w:ascii="Arial" w:cs="Arial" w:eastAsia="Arial" w:hAnsi="Arial"/>
          <w:sz w:val="19"/>
          <w:szCs w:val="19"/>
          <w:u w:val="single" w:color="auto"/>
          <w:color w:val="auto"/>
        </w:rPr>
        <w:t>Section 7.01(j)</w:t>
      </w:r>
      <w:r>
        <w:rPr>
          <w:rFonts w:ascii="Arial" w:cs="Arial" w:eastAsia="Arial" w:hAnsi="Arial"/>
          <w:sz w:val="19"/>
          <w:szCs w:val="19"/>
          <w:color w:val="auto"/>
        </w:rPr>
        <w:t xml:space="preserve"> and any pledge and/or deposit securing any settlement of threatened litigation;</w:t>
      </w:r>
    </w:p>
    <w:p>
      <w:pPr>
        <w:spacing w:after="0" w:line="156" w:lineRule="exact"/>
        <w:rPr>
          <w:rFonts w:ascii="Arial" w:cs="Arial" w:eastAsia="Arial" w:hAnsi="Arial"/>
          <w:sz w:val="19"/>
          <w:szCs w:val="19"/>
          <w:color w:val="auto"/>
        </w:rPr>
      </w:pPr>
    </w:p>
    <w:p>
      <w:pPr>
        <w:jc w:val="both"/>
        <w:ind w:left="80" w:firstLine="558"/>
        <w:spacing w:after="0" w:line="252" w:lineRule="auto"/>
        <w:tabs>
          <w:tab w:leader="none" w:pos="1099"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Liens on (i) goods the purchase price of which is financed by a documentary letter of credit issued for the account of Holdings or any of its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 secures only the obligations of Holdings or such Subsidiaries in respect of such letter of credit to the extent such obligations are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(ii)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2" w:lineRule="exact"/>
        <w:rPr>
          <w:rFonts w:ascii="Arial" w:cs="Arial" w:eastAsia="Arial" w:hAnsi="Arial"/>
          <w:sz w:val="19"/>
          <w:szCs w:val="19"/>
          <w:color w:val="auto"/>
        </w:rPr>
      </w:pPr>
    </w:p>
    <w:p>
      <w:pPr>
        <w:ind w:left="80" w:firstLine="558"/>
        <w:spacing w:after="0" w:line="278" w:lineRule="auto"/>
        <w:tabs>
          <w:tab w:leader="none" w:pos="1092" w:val="left"/>
        </w:tabs>
        <w:numPr>
          <w:ilvl w:val="0"/>
          <w:numId w:val="74"/>
        </w:numPr>
        <w:rPr>
          <w:rFonts w:ascii="Arial" w:cs="Arial" w:eastAsia="Arial" w:hAnsi="Arial"/>
          <w:sz w:val="19"/>
          <w:szCs w:val="19"/>
          <w:color w:val="auto"/>
        </w:rPr>
      </w:pPr>
      <w:r>
        <w:rPr>
          <w:rFonts w:ascii="Arial" w:cs="Arial" w:eastAsia="Arial" w:hAnsi="Arial"/>
          <w:sz w:val="19"/>
          <w:szCs w:val="19"/>
          <w:color w:val="auto"/>
        </w:rPr>
        <w:t>Liens arising from precautionary Uniform Commercial Code financing statements or similar filings made in respect of operating leases entered into by the Borrower or any of its Subsidiaries;</w:t>
      </w:r>
    </w:p>
    <w:p>
      <w:pPr>
        <w:spacing w:after="0" w:line="156" w:lineRule="exact"/>
        <w:rPr>
          <w:rFonts w:ascii="Arial" w:cs="Arial" w:eastAsia="Arial" w:hAnsi="Arial"/>
          <w:sz w:val="19"/>
          <w:szCs w:val="19"/>
          <w:color w:val="auto"/>
        </w:rPr>
      </w:pPr>
    </w:p>
    <w:p>
      <w:pPr>
        <w:ind w:left="80" w:firstLine="558"/>
        <w:spacing w:after="0" w:line="278" w:lineRule="auto"/>
        <w:tabs>
          <w:tab w:leader="none" w:pos="1082" w:val="left"/>
        </w:tabs>
        <w:numPr>
          <w:ilvl w:val="0"/>
          <w:numId w:val="74"/>
        </w:numPr>
        <w:rPr>
          <w:rFonts w:ascii="Arial" w:cs="Arial" w:eastAsia="Arial" w:hAnsi="Arial"/>
          <w:sz w:val="19"/>
          <w:szCs w:val="19"/>
          <w:color w:val="auto"/>
        </w:rPr>
      </w:pPr>
      <w:r>
        <w:rPr>
          <w:rFonts w:ascii="Arial" w:cs="Arial" w:eastAsia="Arial" w:hAnsi="Arial"/>
          <w:sz w:val="19"/>
          <w:szCs w:val="19"/>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56" w:lineRule="exact"/>
        <w:rPr>
          <w:rFonts w:ascii="Arial" w:cs="Arial" w:eastAsia="Arial" w:hAnsi="Arial"/>
          <w:sz w:val="19"/>
          <w:szCs w:val="19"/>
          <w:color w:val="auto"/>
        </w:rPr>
      </w:pPr>
    </w:p>
    <w:p>
      <w:pPr>
        <w:ind w:left="80" w:firstLine="558"/>
        <w:spacing w:after="0" w:line="278" w:lineRule="auto"/>
        <w:tabs>
          <w:tab w:leader="none" w:pos="1083" w:val="left"/>
        </w:tabs>
        <w:numPr>
          <w:ilvl w:val="0"/>
          <w:numId w:val="74"/>
        </w:numPr>
        <w:rPr>
          <w:rFonts w:ascii="Arial" w:cs="Arial" w:eastAsia="Arial" w:hAnsi="Arial"/>
          <w:sz w:val="19"/>
          <w:szCs w:val="19"/>
          <w:color w:val="auto"/>
        </w:rPr>
      </w:pPr>
      <w:r>
        <w:rPr>
          <w:rFonts w:ascii="Arial" w:cs="Arial" w:eastAsia="Arial" w:hAnsi="Arial"/>
          <w:sz w:val="19"/>
          <w:szCs w:val="19"/>
          <w:color w:val="auto"/>
        </w:rPr>
        <w:t>Liens in favor of deposit banks or securities intermediaries securing customary fees, expenses or charges in connection with the establishment, operation or maintenance of deposit accounts or securities accounts;</w:t>
      </w:r>
    </w:p>
    <w:p>
      <w:pPr>
        <w:spacing w:after="0" w:line="156" w:lineRule="exact"/>
        <w:rPr>
          <w:rFonts w:ascii="Arial" w:cs="Arial" w:eastAsia="Arial" w:hAnsi="Arial"/>
          <w:sz w:val="19"/>
          <w:szCs w:val="19"/>
          <w:color w:val="auto"/>
        </w:rPr>
      </w:pPr>
    </w:p>
    <w:p>
      <w:pPr>
        <w:jc w:val="both"/>
        <w:ind w:left="80" w:firstLine="558"/>
        <w:spacing w:after="0" w:line="257" w:lineRule="auto"/>
        <w:tabs>
          <w:tab w:leader="none" w:pos="1182" w:val="left"/>
        </w:tabs>
        <w:numPr>
          <w:ilvl w:val="0"/>
          <w:numId w:val="74"/>
        </w:numPr>
        <w:rPr>
          <w:rFonts w:ascii="Arial" w:cs="Arial" w:eastAsia="Arial" w:hAnsi="Arial"/>
          <w:sz w:val="19"/>
          <w:szCs w:val="19"/>
          <w:color w:val="auto"/>
        </w:rPr>
      </w:pPr>
      <w:r>
        <w:rPr>
          <w:rFonts w:ascii="Arial" w:cs="Arial" w:eastAsia="Arial" w:hAnsi="Arial"/>
          <w:sz w:val="19"/>
          <w:szCs w:val="19"/>
          <w:color w:val="auto"/>
        </w:rPr>
        <w:t>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177" w:lineRule="exact"/>
        <w:rPr>
          <w:rFonts w:ascii="Arial" w:cs="Arial" w:eastAsia="Arial" w:hAnsi="Arial"/>
          <w:sz w:val="19"/>
          <w:szCs w:val="19"/>
          <w:color w:val="auto"/>
        </w:rPr>
      </w:pPr>
    </w:p>
    <w:p>
      <w:pPr>
        <w:ind w:left="1080" w:hanging="442"/>
        <w:spacing w:after="0"/>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Liens arising from grants of non-exclusive licenses or sublicenses of Intellectual Property made in the ordinary course of</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business;</w:t>
      </w:r>
    </w:p>
    <w:p>
      <w:pPr>
        <w:spacing w:after="0" w:line="202" w:lineRule="exact"/>
        <w:rPr>
          <w:rFonts w:ascii="Arial" w:cs="Arial" w:eastAsia="Arial" w:hAnsi="Arial"/>
          <w:sz w:val="17"/>
          <w:szCs w:val="17"/>
          <w:color w:val="auto"/>
        </w:rPr>
      </w:pPr>
    </w:p>
    <w:p>
      <w:pPr>
        <w:jc w:val="both"/>
        <w:ind w:left="80" w:firstLine="558"/>
        <w:spacing w:after="0" w:line="257" w:lineRule="auto"/>
        <w:tabs>
          <w:tab w:leader="none" w:pos="1172" w:val="left"/>
        </w:tabs>
        <w:numPr>
          <w:ilvl w:val="0"/>
          <w:numId w:val="74"/>
        </w:numPr>
        <w:rPr>
          <w:rFonts w:ascii="Arial" w:cs="Arial" w:eastAsia="Arial" w:hAnsi="Arial"/>
          <w:sz w:val="19"/>
          <w:szCs w:val="19"/>
          <w:color w:val="auto"/>
        </w:rPr>
      </w:pPr>
      <w:r>
        <w:rPr>
          <w:rFonts w:ascii="Arial" w:cs="Arial" w:eastAsia="Arial" w:hAnsi="Arial"/>
          <w:sz w:val="19"/>
          <w:szCs w:val="19"/>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177" w:lineRule="exact"/>
        <w:rPr>
          <w:rFonts w:ascii="Arial" w:cs="Arial" w:eastAsia="Arial" w:hAnsi="Arial"/>
          <w:sz w:val="19"/>
          <w:szCs w:val="19"/>
          <w:color w:val="auto"/>
        </w:rPr>
      </w:pPr>
    </w:p>
    <w:p>
      <w:pPr>
        <w:jc w:val="both"/>
        <w:ind w:left="80" w:firstLine="558"/>
        <w:spacing w:after="0" w:line="284" w:lineRule="auto"/>
        <w:tabs>
          <w:tab w:leader="none" w:pos="1129"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arising from the right of distress enjoyed by landlords or Liens otherwise granted to landlords, in either case, to secure the payment of arrears of rent or performance of other obligations in respect of leased properties, so long as such Liens are not exercised or except where the exercise of such Liens would not reasonably be expected to have a Material Adverse Effect;</w:t>
      </w:r>
    </w:p>
    <w:p>
      <w:pPr>
        <w:sectPr>
          <w:pgSz w:w="11900" w:h="16838" w:orient="portrait"/>
          <w:cols w:equalWidth="0" w:num="1">
            <w:col w:w="10600"/>
          </w:cols>
          <w:pgMar w:left="960" w:top="1395" w:right="339" w:bottom="1440" w:gutter="0" w:footer="0" w:header="0"/>
        </w:sectPr>
      </w:pPr>
    </w:p>
    <w:bookmarkStart w:id="122" w:name="page123"/>
    <w:bookmarkEnd w:id="122"/>
    <w:p>
      <w:pPr>
        <w:ind w:left="720" w:firstLine="558"/>
        <w:spacing w:after="0" w:line="307" w:lineRule="auto"/>
        <w:tabs>
          <w:tab w:leader="none" w:pos="17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or security given to public utilities or to any municipality or Governmental Authority when required by the utility, municipality or Governmental Authority in connection with the supply of services or utilities to Holdings or any of its Subsidiaries;</w:t>
      </w:r>
    </w:p>
    <w:p>
      <w:pPr>
        <w:spacing w:after="0" w:line="132" w:lineRule="exact"/>
        <w:rPr>
          <w:rFonts w:ascii="Arial" w:cs="Arial" w:eastAsia="Arial" w:hAnsi="Arial"/>
          <w:sz w:val="18"/>
          <w:szCs w:val="18"/>
          <w:color w:val="auto"/>
        </w:rPr>
      </w:pPr>
    </w:p>
    <w:p>
      <w:pPr>
        <w:jc w:val="both"/>
        <w:ind w:left="720" w:firstLine="558"/>
        <w:spacing w:after="0" w:line="257" w:lineRule="auto"/>
        <w:tabs>
          <w:tab w:leader="none" w:pos="1922" w:val="left"/>
        </w:tabs>
        <w:numPr>
          <w:ilvl w:val="0"/>
          <w:numId w:val="75"/>
        </w:numPr>
        <w:rPr>
          <w:rFonts w:ascii="Arial" w:cs="Arial" w:eastAsia="Arial" w:hAnsi="Arial"/>
          <w:sz w:val="19"/>
          <w:szCs w:val="19"/>
          <w:color w:val="auto"/>
        </w:rPr>
      </w:pPr>
      <w:r>
        <w:rPr>
          <w:rFonts w:ascii="Arial" w:cs="Arial" w:eastAsia="Arial" w:hAnsi="Arial"/>
          <w:sz w:val="19"/>
          <w:szCs w:val="19"/>
          <w:color w:val="auto"/>
        </w:rPr>
        <w:t>servicing agreements, development agreements, site plan agreements, subdivision agreements, facilities sharing agreements, cost sharing agreements and other agreements pertaining to the use or development of any of the assets of the Person, provided the same do not result in (i) a substantial and prolonged interruption or disruption of the business activities of the Borrower and its Restricted Subsidiaries, taken as a whole, or (ii) a Material Adverse Effect; and</w:t>
      </w:r>
    </w:p>
    <w:p>
      <w:pPr>
        <w:spacing w:after="0" w:line="177" w:lineRule="exact"/>
        <w:rPr>
          <w:rFonts w:ascii="Arial" w:cs="Arial" w:eastAsia="Arial" w:hAnsi="Arial"/>
          <w:sz w:val="19"/>
          <w:szCs w:val="19"/>
          <w:color w:val="auto"/>
        </w:rPr>
      </w:pPr>
    </w:p>
    <w:p>
      <w:pPr>
        <w:ind w:left="1680" w:hanging="402"/>
        <w:spacing w:after="0"/>
        <w:tabs>
          <w:tab w:leader="none" w:pos="16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Liens securing Priority Obligations;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153" w:lineRule="exact"/>
        <w:rPr>
          <w:sz w:val="20"/>
          <w:szCs w:val="20"/>
          <w:color w:val="auto"/>
        </w:rPr>
      </w:pPr>
    </w:p>
    <w:p>
      <w:pPr>
        <w:jc w:val="both"/>
        <w:ind w:firstLine="1272"/>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Equity Derivatives</w:t>
      </w:r>
      <w:r>
        <w:rPr>
          <w:rFonts w:ascii="Arial" w:cs="Arial" w:eastAsia="Arial" w:hAnsi="Arial"/>
          <w:sz w:val="19"/>
          <w:szCs w:val="19"/>
          <w:color w:val="auto"/>
        </w:rPr>
        <w:t>” means any Swap Agreement that is settled (after payment of any premium or any prepayment thereunder) through the delivery of cash and/or of Equity Interests (other than Disqualified Equity Interests) of Holdings and is executed in connection with any Convertible Debt Securities (or deemed executed therewith), the purpose of which is to repurchase Equity Interests (other than Disqualified Equity Interests) of Holdings and/or mitigate dilution upon conversion of such Convertible Debt Securities (including, but not limited to, any bond hedge transaction, warrant transaction, or capped call transaction), provided that the terms, conditions and covenants of each such Permitted Equity Derivatives shall be such as are customary for Swap Agreements of such type (as determined by the Board of Directors of Holdings in good faith).</w:t>
      </w:r>
    </w:p>
    <w:p>
      <w:pPr>
        <w:spacing w:after="0" w:line="183"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First Priority Refinancing Debt</w:t>
      </w:r>
      <w:r>
        <w:rPr>
          <w:rFonts w:ascii="Arial" w:cs="Arial" w:eastAsia="Arial" w:hAnsi="Arial"/>
          <w:sz w:val="19"/>
          <w:szCs w:val="19"/>
          <w:color w:val="auto"/>
        </w:rPr>
        <w:t xml:space="preserve">” means any secured Indebtedness incurred by any Loan Party in the form of one or more series of senior secured notes or senior secured loans; provided that (i) such Indebtedness is secured by the Collateral on a pari passu basis (but without regard to the control of remedies) with the Loan Document Obligations, (ii) such Indebtedness constitutes Credit Agreement Refinancing Indebtedness, and (iii) a Senior Representative acting on behalf of the holders of such Indebtedness shall have become party to the relevant Intercreditor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Indebtedness is the initial Permitted First Priority Refinancing Debt incurred by the Borrower, then the Borrower, the Subsidiary Loan Parties, the Administrative Agent and the Senior Representative for such Indebtedness shall have executed and delivered the relevant Intercreditor Agreement(s). Permitted First Priority Refinancing Debt will include any Registered Equivalent Notes issued in exchange therefor.</w:t>
      </w:r>
    </w:p>
    <w:p>
      <w:pPr>
        <w:spacing w:after="0" w:line="18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w:t>
      </w:r>
      <w:r>
        <w:rPr>
          <w:rFonts w:ascii="Arial" w:cs="Arial" w:eastAsia="Arial" w:hAnsi="Arial"/>
          <w:sz w:val="19"/>
          <w:szCs w:val="19"/>
          <w:color w:val="auto"/>
        </w:rPr>
        <w:t>” means Insight Holdings Group, LLC, together with its Affiliates (but not including any portfolio companies of any of the foregoing) .</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means any of the following, to the extent owned by the Borrower or any Restricted Subsidiary:</w:t>
      </w:r>
    </w:p>
    <w:p>
      <w:pPr>
        <w:spacing w:after="0" w:line="219" w:lineRule="exact"/>
        <w:rPr>
          <w:sz w:val="20"/>
          <w:szCs w:val="20"/>
          <w:color w:val="auto"/>
        </w:rPr>
      </w:pPr>
    </w:p>
    <w:p>
      <w:pPr>
        <w:ind w:left="640" w:firstLine="638"/>
        <w:spacing w:after="0" w:line="278" w:lineRule="auto"/>
        <w:tabs>
          <w:tab w:leader="none" w:pos="1803" w:val="left"/>
        </w:tabs>
        <w:numPr>
          <w:ilvl w:val="0"/>
          <w:numId w:val="76"/>
        </w:numPr>
        <w:rPr>
          <w:rFonts w:ascii="Arial" w:cs="Arial" w:eastAsia="Arial" w:hAnsi="Arial"/>
          <w:sz w:val="19"/>
          <w:szCs w:val="19"/>
          <w:color w:val="auto"/>
        </w:rPr>
      </w:pPr>
      <w:r>
        <w:rPr>
          <w:rFonts w:ascii="Arial" w:cs="Arial" w:eastAsia="Arial" w:hAnsi="Arial"/>
          <w:sz w:val="19"/>
          <w:szCs w:val="19"/>
          <w:color w:val="auto"/>
        </w:rPr>
        <w:t>dollars, euros, Swiss francs, Sterling, Canadian dollars, or such other currencies held by it from time to time in the ordinary course of business;</w:t>
      </w:r>
    </w:p>
    <w:p>
      <w:pPr>
        <w:spacing w:after="0" w:line="156" w:lineRule="exact"/>
        <w:rPr>
          <w:rFonts w:ascii="Arial" w:cs="Arial" w:eastAsia="Arial" w:hAnsi="Arial"/>
          <w:sz w:val="19"/>
          <w:szCs w:val="19"/>
          <w:color w:val="auto"/>
        </w:rPr>
      </w:pPr>
    </w:p>
    <w:p>
      <w:pPr>
        <w:jc w:val="both"/>
        <w:ind w:left="640" w:firstLine="638"/>
        <w:spacing w:after="0" w:line="263" w:lineRule="auto"/>
        <w:tabs>
          <w:tab w:leader="none" w:pos="1785" w:val="left"/>
        </w:tabs>
        <w:numPr>
          <w:ilvl w:val="0"/>
          <w:numId w:val="76"/>
        </w:numPr>
        <w:rPr>
          <w:rFonts w:ascii="Arial" w:cs="Arial" w:eastAsia="Arial" w:hAnsi="Arial"/>
          <w:sz w:val="19"/>
          <w:szCs w:val="19"/>
          <w:color w:val="auto"/>
        </w:rPr>
      </w:pPr>
      <w:r>
        <w:rPr>
          <w:rFonts w:ascii="Arial" w:cs="Arial" w:eastAsia="Arial" w:hAnsi="Arial"/>
          <w:sz w:val="19"/>
          <w:szCs w:val="19"/>
          <w:color w:val="auto"/>
        </w:rPr>
        <w:t>readily marketable obligations issued or directly and fully guaranteed or insured by the government or any agency or instrumentality of (i) the United States, (ii) the United Kingdom, (iii) Canada, (iv) Switzerland or (v) any member nation of the European Union rated A</w:t>
      </w:r>
    </w:p>
    <w:p>
      <w:pPr>
        <w:sectPr>
          <w:pgSz w:w="11900" w:h="16838" w:orient="portrait"/>
          <w:cols w:equalWidth="0" w:num="1">
            <w:col w:w="11240"/>
          </w:cols>
          <w:pgMar w:left="320" w:top="1395" w:right="3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19"/>
          <w:szCs w:val="19"/>
          <w:color w:val="auto"/>
        </w:rPr>
        <w:t xml:space="preserve">(or the equivalent thereof) or better by S&amp;P and A2 (or the equivalent thereof) or better by Moody’s, having average maturities of not more than 24 months from the date of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faith and credit of such country or such member nation of the European Union is pledged in support thereof;</w:t>
      </w:r>
    </w:p>
    <w:p>
      <w:pPr>
        <w:spacing w:after="0" w:line="169" w:lineRule="exact"/>
        <w:rPr>
          <w:sz w:val="20"/>
          <w:szCs w:val="20"/>
          <w:color w:val="auto"/>
        </w:rPr>
      </w:pPr>
    </w:p>
    <w:p>
      <w:pPr>
        <w:ind w:left="1140" w:hanging="502"/>
        <w:spacing w:after="0"/>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time deposits with, or certificates of deposit or bankers’ acceptances of, any commercial bank that (i) is a Lender or</w:t>
      </w:r>
    </w:p>
    <w:p>
      <w:pPr>
        <w:spacing w:after="0" w:line="34" w:lineRule="exact"/>
        <w:rPr>
          <w:rFonts w:ascii="Arial" w:cs="Arial" w:eastAsia="Arial" w:hAnsi="Arial"/>
          <w:sz w:val="18"/>
          <w:szCs w:val="18"/>
          <w:color w:val="auto"/>
        </w:rPr>
      </w:pPr>
    </w:p>
    <w:p>
      <w:pPr>
        <w:jc w:val="both"/>
        <w:ind w:firstLine="2"/>
        <w:spacing w:after="0" w:line="254" w:lineRule="auto"/>
        <w:tabs>
          <w:tab w:leader="none" w:pos="289"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has combined capital and surplus of at least $250,000,000 in the case of U.S. banks and $100,000,000 (or the U.S. dollar equivalent as of the date of determination) in the case of foreign banks (any such bank in the foregoing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being an “</w:t>
      </w:r>
      <w:r>
        <w:rPr>
          <w:rFonts w:ascii="Arial" w:cs="Arial" w:eastAsia="Arial" w:hAnsi="Arial"/>
          <w:sz w:val="19"/>
          <w:szCs w:val="19"/>
          <w:u w:val="single" w:color="auto"/>
          <w:color w:val="auto"/>
        </w:rPr>
        <w:t>Approved</w:t>
      </w:r>
      <w:r>
        <w:rPr>
          <w:rFonts w:ascii="Arial" w:cs="Arial" w:eastAsia="Arial" w:hAnsi="Arial"/>
          <w:sz w:val="19"/>
          <w:szCs w:val="19"/>
          <w:color w:val="auto"/>
        </w:rPr>
        <w:t xml:space="preserve"> </w:t>
      </w:r>
      <w:r>
        <w:rPr>
          <w:rFonts w:ascii="Arial" w:cs="Arial" w:eastAsia="Arial" w:hAnsi="Arial"/>
          <w:sz w:val="19"/>
          <w:szCs w:val="19"/>
          <w:u w:val="single" w:color="auto"/>
          <w:color w:val="auto"/>
        </w:rPr>
        <w:t>Bank</w:t>
      </w:r>
      <w:r>
        <w:rPr>
          <w:rFonts w:ascii="Arial" w:cs="Arial" w:eastAsia="Arial" w:hAnsi="Arial"/>
          <w:sz w:val="19"/>
          <w:szCs w:val="19"/>
          <w:color w:val="auto"/>
        </w:rPr>
        <w:t>”), in each case with average maturities of not more than 24 months from the date of acquisition thereof;</w:t>
      </w:r>
    </w:p>
    <w:p>
      <w:pPr>
        <w:spacing w:after="0" w:line="178" w:lineRule="exact"/>
        <w:rPr>
          <w:rFonts w:ascii="Arial" w:cs="Arial" w:eastAsia="Arial" w:hAnsi="Arial"/>
          <w:sz w:val="19"/>
          <w:szCs w:val="19"/>
          <w:color w:val="auto"/>
        </w:rPr>
      </w:pPr>
    </w:p>
    <w:p>
      <w:pPr>
        <w:jc w:val="both"/>
        <w:ind w:firstLine="638"/>
        <w:spacing w:after="0" w:line="257" w:lineRule="auto"/>
        <w:tabs>
          <w:tab w:leader="none" w:pos="1072" w:val="left"/>
        </w:tabs>
        <w:numPr>
          <w:ilvl w:val="1"/>
          <w:numId w:val="78"/>
        </w:numPr>
        <w:rPr>
          <w:rFonts w:ascii="Arial" w:cs="Arial" w:eastAsia="Arial" w:hAnsi="Arial"/>
          <w:sz w:val="19"/>
          <w:szCs w:val="19"/>
          <w:color w:val="auto"/>
        </w:rPr>
      </w:pPr>
      <w:r>
        <w:rPr>
          <w:rFonts w:ascii="Arial" w:cs="Arial" w:eastAsia="Arial" w:hAnsi="Arial"/>
          <w:sz w:val="19"/>
          <w:szCs w:val="19"/>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spacing w:after="0" w:line="177" w:lineRule="exact"/>
        <w:rPr>
          <w:rFonts w:ascii="Arial" w:cs="Arial" w:eastAsia="Arial" w:hAnsi="Arial"/>
          <w:sz w:val="19"/>
          <w:szCs w:val="19"/>
          <w:color w:val="auto"/>
        </w:rPr>
      </w:pPr>
    </w:p>
    <w:p>
      <w:pPr>
        <w:ind w:firstLine="638"/>
        <w:spacing w:after="0" w:line="278" w:lineRule="auto"/>
        <w:tabs>
          <w:tab w:leader="none" w:pos="1064"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repurchase agreements entered into by any Person with an Approved Bank, a bank or trust company (including any of the Lenders) or recognized securities dealer covering securities described in clauses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w:t>
      </w:r>
    </w:p>
    <w:p>
      <w:pPr>
        <w:spacing w:after="0" w:line="156" w:lineRule="exact"/>
        <w:rPr>
          <w:rFonts w:ascii="Arial" w:cs="Arial" w:eastAsia="Arial" w:hAnsi="Arial"/>
          <w:sz w:val="19"/>
          <w:szCs w:val="19"/>
          <w:color w:val="auto"/>
        </w:rPr>
      </w:pPr>
    </w:p>
    <w:p>
      <w:pPr>
        <w:ind w:firstLine="638"/>
        <w:spacing w:after="0" w:line="278" w:lineRule="auto"/>
        <w:tabs>
          <w:tab w:leader="none" w:pos="1042"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marketable short-term money market and similar highly liquid funds substantially all of the assets of which are comprised of securities of the types described in clauses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above;</w:t>
      </w:r>
    </w:p>
    <w:p>
      <w:pPr>
        <w:spacing w:after="0" w:line="156" w:lineRule="exact"/>
        <w:rPr>
          <w:rFonts w:ascii="Arial" w:cs="Arial" w:eastAsia="Arial" w:hAnsi="Arial"/>
          <w:sz w:val="19"/>
          <w:szCs w:val="19"/>
          <w:color w:val="auto"/>
        </w:rPr>
      </w:pPr>
    </w:p>
    <w:p>
      <w:pPr>
        <w:jc w:val="both"/>
        <w:ind w:firstLine="638"/>
        <w:spacing w:after="0" w:line="257" w:lineRule="auto"/>
        <w:tabs>
          <w:tab w:leader="none" w:pos="1061" w:val="left"/>
        </w:tabs>
        <w:numPr>
          <w:ilvl w:val="1"/>
          <w:numId w:val="78"/>
        </w:numPr>
        <w:rPr>
          <w:rFonts w:ascii="Arial" w:cs="Arial" w:eastAsia="Arial" w:hAnsi="Arial"/>
          <w:sz w:val="19"/>
          <w:szCs w:val="19"/>
          <w:color w:val="auto"/>
        </w:rPr>
      </w:pPr>
      <w:r>
        <w:rPr>
          <w:rFonts w:ascii="Arial" w:cs="Arial" w:eastAsia="Arial" w:hAnsi="Arial"/>
          <w:sz w:val="19"/>
          <w:szCs w:val="19"/>
          <w:color w:val="auto"/>
        </w:rPr>
        <w:t>securities with average maturities of 24 months or less from the date of acquisition issued or fully guaranteed by any state, commonwealth or territory of the United States, the United Kingdom, Canada, Switzerland, a member of the European Union or by any political subdivision or taxing authority of any such state, member, commonwealth or territory having an investment grade rating from either S&amp;P or Moody’s (or the equivalent thereof);</w:t>
      </w:r>
    </w:p>
    <w:p>
      <w:pPr>
        <w:spacing w:after="0" w:line="177" w:lineRule="exact"/>
        <w:rPr>
          <w:rFonts w:ascii="Arial" w:cs="Arial" w:eastAsia="Arial" w:hAnsi="Arial"/>
          <w:sz w:val="19"/>
          <w:szCs w:val="19"/>
          <w:color w:val="auto"/>
        </w:rPr>
      </w:pPr>
    </w:p>
    <w:p>
      <w:pPr>
        <w:ind w:right="20" w:firstLine="638"/>
        <w:spacing w:after="0" w:line="278" w:lineRule="auto"/>
        <w:tabs>
          <w:tab w:leader="none" w:pos="1098" w:val="left"/>
        </w:tabs>
        <w:numPr>
          <w:ilvl w:val="1"/>
          <w:numId w:val="78"/>
        </w:numPr>
        <w:rPr>
          <w:rFonts w:ascii="Arial" w:cs="Arial" w:eastAsia="Arial" w:hAnsi="Arial"/>
          <w:sz w:val="19"/>
          <w:szCs w:val="19"/>
          <w:color w:val="auto"/>
        </w:rPr>
      </w:pPr>
      <w:r>
        <w:rPr>
          <w:rFonts w:ascii="Arial" w:cs="Arial" w:eastAsia="Arial" w:hAnsi="Arial"/>
          <w:sz w:val="19"/>
          <w:szCs w:val="19"/>
          <w:color w:val="auto"/>
        </w:rPr>
        <w:t>investments with average maturities of 24 months or less from the date of acquisition in money market funds rated AA-(or the equivalent thereof) or better by S&amp;P or Aa3 (or the equivalent thereof) or better by Moody’s;</w:t>
      </w:r>
    </w:p>
    <w:p>
      <w:pPr>
        <w:spacing w:after="0" w:line="156" w:lineRule="exact"/>
        <w:rPr>
          <w:rFonts w:ascii="Arial" w:cs="Arial" w:eastAsia="Arial" w:hAnsi="Arial"/>
          <w:sz w:val="19"/>
          <w:szCs w:val="19"/>
          <w:color w:val="auto"/>
        </w:rPr>
      </w:pPr>
    </w:p>
    <w:p>
      <w:pPr>
        <w:jc w:val="both"/>
        <w:ind w:firstLine="638"/>
        <w:spacing w:after="0" w:line="257" w:lineRule="auto"/>
        <w:tabs>
          <w:tab w:leader="none" w:pos="1097"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instruments equivalent to those referred to in 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or incorporated in such jurisdiction;</w:t>
      </w:r>
    </w:p>
    <w:p>
      <w:pPr>
        <w:spacing w:after="0" w:line="177" w:lineRule="exact"/>
        <w:rPr>
          <w:rFonts w:ascii="Arial" w:cs="Arial" w:eastAsia="Arial" w:hAnsi="Arial"/>
          <w:sz w:val="19"/>
          <w:szCs w:val="19"/>
          <w:color w:val="auto"/>
        </w:rPr>
      </w:pPr>
    </w:p>
    <w:p>
      <w:pPr>
        <w:jc w:val="both"/>
        <w:ind w:firstLine="638"/>
        <w:spacing w:after="0" w:line="276" w:lineRule="auto"/>
        <w:tabs>
          <w:tab w:leader="none" w:pos="1074"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definition;</w:t>
      </w:r>
    </w:p>
    <w:p>
      <w:pPr>
        <w:spacing w:after="0" w:line="160" w:lineRule="exact"/>
        <w:rPr>
          <w:rFonts w:ascii="Arial" w:cs="Arial" w:eastAsia="Arial" w:hAnsi="Arial"/>
          <w:sz w:val="18"/>
          <w:szCs w:val="18"/>
          <w:color w:val="auto"/>
        </w:rPr>
      </w:pPr>
    </w:p>
    <w:p>
      <w:pPr>
        <w:ind w:left="1060" w:hanging="422"/>
        <w:spacing w:after="0"/>
        <w:tabs>
          <w:tab w:leader="none" w:pos="1060" w:val="left"/>
        </w:tabs>
        <w:numPr>
          <w:ilvl w:val="1"/>
          <w:numId w:val="78"/>
        </w:numPr>
        <w:rPr>
          <w:rFonts w:ascii="Arial" w:cs="Arial" w:eastAsia="Arial" w:hAnsi="Arial"/>
          <w:sz w:val="19"/>
          <w:szCs w:val="19"/>
          <w:color w:val="auto"/>
        </w:rPr>
      </w:pPr>
      <w:r>
        <w:rPr>
          <w:rFonts w:ascii="Arial" w:cs="Arial" w:eastAsia="Arial" w:hAnsi="Arial"/>
          <w:sz w:val="19"/>
          <w:szCs w:val="19"/>
          <w:color w:val="auto"/>
        </w:rPr>
        <w:t>demand deposit accounts holding cash;</w:t>
      </w:r>
    </w:p>
    <w:p>
      <w:pPr>
        <w:sectPr>
          <w:pgSz w:w="11900" w:h="16838" w:orient="portrait"/>
          <w:cols w:equalWidth="0" w:num="1">
            <w:col w:w="10600"/>
          </w:cols>
          <w:pgMar w:left="960" w:top="1395" w:right="339" w:bottom="1440" w:gutter="0" w:footer="0" w:header="0"/>
        </w:sectPr>
      </w:pPr>
    </w:p>
    <w:bookmarkStart w:id="124" w:name="page125"/>
    <w:bookmarkEnd w:id="124"/>
    <w:p>
      <w:pPr>
        <w:jc w:val="both"/>
        <w:ind w:left="640" w:firstLine="638"/>
        <w:spacing w:after="0" w:line="263" w:lineRule="auto"/>
        <w:tabs>
          <w:tab w:leader="none" w:pos="1729" w:val="left"/>
        </w:tabs>
        <w:numPr>
          <w:ilvl w:val="0"/>
          <w:numId w:val="79"/>
        </w:numPr>
        <w:rPr>
          <w:rFonts w:ascii="Arial" w:cs="Arial" w:eastAsia="Arial" w:hAnsi="Arial"/>
          <w:sz w:val="19"/>
          <w:szCs w:val="19"/>
          <w:color w:val="auto"/>
        </w:rPr>
      </w:pPr>
      <w:r>
        <w:rPr>
          <w:rFonts w:ascii="Arial" w:cs="Arial" w:eastAsia="Arial" w:hAnsi="Arial"/>
          <w:sz w:val="19"/>
          <w:szCs w:val="19"/>
          <w:color w:val="auto"/>
        </w:rPr>
        <w:t>interest bearing instruments with a maximum maturity of 180 days in respect of which the obligor is a G7 government or other G7 governmental agency or a G7 financial institution with credit ratings from S&amp;P of at least “A-2” or the equivalent thereof or from Moody’s of at least “</w:t>
      </w:r>
      <w:r>
        <w:rPr>
          <w:rFonts w:ascii="Arial" w:cs="Arial" w:eastAsia="Arial" w:hAnsi="Arial"/>
          <w:sz w:val="19"/>
          <w:szCs w:val="19"/>
          <w:u w:val="single" w:color="auto"/>
          <w:color w:val="auto"/>
        </w:rPr>
        <w:t>P-2</w:t>
      </w:r>
      <w:r>
        <w:rPr>
          <w:rFonts w:ascii="Arial" w:cs="Arial" w:eastAsia="Arial" w:hAnsi="Arial"/>
          <w:sz w:val="19"/>
          <w:szCs w:val="19"/>
          <w:color w:val="auto"/>
        </w:rPr>
        <w:t>” or the equivalent thereof;</w:t>
      </w:r>
    </w:p>
    <w:p>
      <w:pPr>
        <w:spacing w:after="0" w:line="169" w:lineRule="exact"/>
        <w:rPr>
          <w:rFonts w:ascii="Arial" w:cs="Arial" w:eastAsia="Arial" w:hAnsi="Arial"/>
          <w:sz w:val="19"/>
          <w:szCs w:val="19"/>
          <w:color w:val="auto"/>
        </w:rPr>
      </w:pPr>
    </w:p>
    <w:p>
      <w:pPr>
        <w:ind w:left="1760" w:hanging="482"/>
        <w:spacing w:after="0"/>
        <w:tabs>
          <w:tab w:leader="none" w:pos="17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other short-term investments of a type analogous to the foregoing utilized by Foreign Subsidiaries;</w:t>
      </w:r>
    </w:p>
    <w:p>
      <w:pPr>
        <w:spacing w:after="0" w:line="218" w:lineRule="exact"/>
        <w:rPr>
          <w:rFonts w:ascii="Arial" w:cs="Arial" w:eastAsia="Arial" w:hAnsi="Arial"/>
          <w:sz w:val="19"/>
          <w:szCs w:val="19"/>
          <w:color w:val="auto"/>
        </w:rPr>
      </w:pPr>
    </w:p>
    <w:p>
      <w:pPr>
        <w:ind w:left="1800" w:hanging="522"/>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investment funds investing at least 90% of their assets in securities of the types described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(m)</w:t>
      </w:r>
    </w:p>
    <w:p>
      <w:pPr>
        <w:spacing w:after="0" w:line="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9"/>
          <w:szCs w:val="19"/>
          <w:color w:val="auto"/>
        </w:rPr>
        <w:t>above;</w:t>
      </w:r>
    </w:p>
    <w:p>
      <w:pPr>
        <w:spacing w:after="0" w:line="202" w:lineRule="exact"/>
        <w:rPr>
          <w:rFonts w:ascii="Arial" w:cs="Arial" w:eastAsia="Arial" w:hAnsi="Arial"/>
          <w:sz w:val="18"/>
          <w:szCs w:val="18"/>
          <w:color w:val="auto"/>
        </w:rPr>
      </w:pPr>
    </w:p>
    <w:p>
      <w:pPr>
        <w:jc w:val="both"/>
        <w:ind w:left="640" w:firstLine="638"/>
        <w:spacing w:after="0" w:line="263" w:lineRule="auto"/>
        <w:tabs>
          <w:tab w:leader="none" w:pos="1732"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guarantee or indemnity for the obligations of a Subsidiary in connection with a Subsidiary claiming exemption from audit, the preparation and filing of its accounts or other similar exemptions (including under section 394C, 448C or 479C of the Companies Act 2006 or other similar or equivalent provisions); and</w:t>
      </w:r>
    </w:p>
    <w:p>
      <w:pPr>
        <w:spacing w:after="0" w:line="169" w:lineRule="exact"/>
        <w:rPr>
          <w:rFonts w:ascii="Arial" w:cs="Arial" w:eastAsia="Arial" w:hAnsi="Arial"/>
          <w:sz w:val="19"/>
          <w:szCs w:val="19"/>
          <w:color w:val="auto"/>
        </w:rPr>
      </w:pPr>
    </w:p>
    <w:p>
      <w:pPr>
        <w:ind w:left="1700" w:hanging="422"/>
        <w:spacing w:after="0"/>
        <w:tabs>
          <w:tab w:leader="none" w:pos="17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other financial instruments as agreed by the Borrower and the Administrative Agent from time to time.</w:t>
      </w:r>
    </w:p>
    <w:p>
      <w:pPr>
        <w:spacing w:after="0" w:line="21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Refinancing</w:t>
      </w:r>
      <w:r>
        <w:rPr>
          <w:rFonts w:ascii="Arial" w:cs="Arial" w:eastAsia="Arial" w:hAnsi="Arial"/>
          <w:sz w:val="17"/>
          <w:szCs w:val="17"/>
          <w:color w:val="auto"/>
        </w:rPr>
        <w:t xml:space="preserve">” means, with respect to any Person, any modification, refinancing, refunding, renewal, exchange or extension of any Indebtedness of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principal amount (or accreted value, if applicable) thereof does not exceed the principal amount (or accreted value, if applicable) of the Indebtedness so modified, refinanced, refunded, renewed, exchanged or extended except (i) by an amount equal to unpaid accrued interest and premium thereon plus underwriting discounts, other amounts paid, and fees and expenses (including upfront fees, original issue discount or initial yield payments) incurred, in connection with such modification, refinancing, refunding, renewal or extension, (ii) by an amount equal to any existing revolving commitments unutilized thereunder to the extent that the portion of any existing and unutilized revolving commitment being refinanced was permitted to be drawn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immediately prior to such refinancing (other than by reference to a Permitted Refinancing) and such drawing shall be deemed to have been made and (iii) to the extent such excess amounts is otherwise permitted to be incurred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(b) other than with respect to a Permitted Refinancing in respect of Indebtedness permitted pursuant to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(a)(xii)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(a)(xxvi)</w:t>
      </w:r>
      <w:r>
        <w:rPr>
          <w:rFonts w:ascii="Arial" w:cs="Arial" w:eastAsia="Arial" w:hAnsi="Arial"/>
          <w:sz w:val="17"/>
          <w:szCs w:val="17"/>
          <w:color w:val="auto"/>
        </w:rPr>
        <w:t xml:space="preserve">, Indebtedness resulting from such modification, refinancing, refunding, renewal, exchange or extension has a final maturity date equal to or later than the final maturity date of, and has a Weighted Average Life to Maturity equal to or greater than the Weighted Average Life to Maturity of, the Indebtedness being modified, refinanced, refunded, renewed, exchanged or extended;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requirements of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apply to the extent such Indebtedness constitutes a customary bridge facility, so long as the long-term Indebtedness into which any such bridge facility is to be converted or exchanged satisfies the requirements of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and such conversion or exchange is subject only to conditions customary for similar conversions or exchanges (c) if the Indebtedness being modified, refinanced, refunded, renewed, exchanged or extended is subordinated in right of payment to the Loan Document Obligations, Indebtedness resulting from such modification, refinancing, refunding, renewal or extension is subordinated in right of payment to the Loan Document Obligations on terms not materially less favorable, taken as a whole, to the Lenders as those contained in the documentation governing the Indebtedness being modified, refinanced, refunded, renewed, exchanged or extended, (d) such Permitted Refinancing is not secured by a Lien on any assets other than the collateral securing, and, to the extent secured by Collateral, with no higher priority than the Liens securing, the Indebtedness being refinanced, except for accessions and additions to such property and replacements and proceeds thereof (unless permitted to be secured by another provision of </w:t>
      </w:r>
      <w:r>
        <w:rPr>
          <w:rFonts w:ascii="Arial" w:cs="Arial" w:eastAsia="Arial" w:hAnsi="Arial"/>
          <w:sz w:val="17"/>
          <w:szCs w:val="17"/>
          <w:u w:val="single" w:color="auto"/>
          <w:color w:val="auto"/>
        </w:rPr>
        <w:t>Section</w:t>
      </w:r>
    </w:p>
    <w:p>
      <w:pPr>
        <w:sectPr>
          <w:pgSz w:w="11900" w:h="16838" w:orient="portrait"/>
          <w:cols w:equalWidth="0" w:num="1">
            <w:col w:w="11240"/>
          </w:cols>
          <w:pgMar w:left="320" w:top="1395" w:right="339" w:bottom="1440" w:gutter="0" w:footer="0" w:header="0"/>
        </w:sectPr>
      </w:pPr>
    </w:p>
    <w:bookmarkStart w:id="125" w:name="page126"/>
    <w:bookmarkEnd w:id="125"/>
    <w:p>
      <w:pPr>
        <w:jc w:val="both"/>
        <w:spacing w:after="0" w:line="266" w:lineRule="auto"/>
        <w:rPr>
          <w:sz w:val="20"/>
          <w:szCs w:val="20"/>
          <w:color w:val="auto"/>
        </w:rPr>
      </w:pPr>
      <w:r>
        <w:rPr>
          <w:rFonts w:ascii="Arial" w:cs="Arial" w:eastAsia="Arial" w:hAnsi="Arial"/>
          <w:sz w:val="18"/>
          <w:szCs w:val="18"/>
          <w:u w:val="single" w:color="auto"/>
          <w:color w:val="auto"/>
        </w:rPr>
        <w:t>6.02</w:t>
      </w:r>
      <w:r>
        <w:rPr>
          <w:rFonts w:ascii="Arial" w:cs="Arial" w:eastAsia="Arial" w:hAnsi="Arial"/>
          <w:sz w:val="18"/>
          <w:szCs w:val="18"/>
          <w:color w:val="auto"/>
        </w:rPr>
        <w:t xml:space="preserve">), (e) if unsecured, such Indebtedness shall remain unsecured (unless permitted to be secured by another provision of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(f) no Loan Party that was not an obligor with respect to the Indebtedness being refinanced shall be an obligor under the Permitted Refinancing and if the Indebtedness being refinanced was (or was required to be) subject to an Intercreditor Agreement, the holders of such Permitted Refinancing (if such Indebtedness is secured) or their authorized representative on their behalf, shall become party to such Intercreditor Agreement, in each case providing for the same (or lesser) lien priority renewed, exchanged or extended. For the avoidance of doubt, it is understood that a Permitted Refinancing may constitute a portion of an issuance of Indebtedness in excess of the amount of such Permitted Refinancing;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excess amount is otherwise permitted to 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For the avoidance of doubt, it is understood and agreed that a Permitted Refinancing includes successive Permitted Refinancings of the same Indebtedness to the extent such successive Permitted Refinancings satisfy the foregoing requirements.</w:t>
      </w:r>
    </w:p>
    <w:p>
      <w:pPr>
        <w:spacing w:after="0" w:line="175"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Unsecured Refinancing Debt</w:t>
      </w:r>
      <w:r>
        <w:rPr>
          <w:rFonts w:ascii="Arial" w:cs="Arial" w:eastAsia="Arial" w:hAnsi="Arial"/>
          <w:sz w:val="18"/>
          <w:szCs w:val="18"/>
          <w:color w:val="auto"/>
        </w:rPr>
        <w:t xml:space="preserve">” means any unsecured Indebtedness incurred by the Loan Parties in the form of one or more series of senior unsecured notes or senior unsecured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constitutes Credit Agreement Refinancing Indebtedness. Permitted Unsecured Refinancing Debt will include any Registered Equivalent Notes issued in exchange therefor.</w:t>
      </w:r>
    </w:p>
    <w:p>
      <w:pPr>
        <w:spacing w:after="0" w:line="153" w:lineRule="exact"/>
        <w:rPr>
          <w:sz w:val="20"/>
          <w:szCs w:val="20"/>
          <w:color w:val="auto"/>
        </w:rPr>
      </w:pPr>
    </w:p>
    <w:p>
      <w:pPr>
        <w:jc w:val="both"/>
        <w:ind w:firstLine="1272"/>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 whether existing as of the Effective Date or subsequently created or coming to exist.</w:t>
      </w:r>
    </w:p>
    <w:p>
      <w:pPr>
        <w:spacing w:after="0" w:line="133" w:lineRule="exact"/>
        <w:rPr>
          <w:sz w:val="20"/>
          <w:szCs w:val="20"/>
          <w:color w:val="auto"/>
        </w:rPr>
      </w:pPr>
    </w:p>
    <w:p>
      <w:pPr>
        <w:jc w:val="both"/>
        <w:ind w:right="20"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5.01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Equity Interests</w:t>
      </w:r>
      <w:r>
        <w:rPr>
          <w:rFonts w:ascii="Arial" w:cs="Arial" w:eastAsia="Arial" w:hAnsi="Arial"/>
          <w:sz w:val="19"/>
          <w:szCs w:val="19"/>
          <w:color w:val="auto"/>
        </w:rPr>
        <w:t>” has the meaning set forth in the Collateral Agreement.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Post-Transaction Period</w:t>
      </w:r>
      <w:r>
        <w:rPr>
          <w:rFonts w:ascii="Arial" w:cs="Arial" w:eastAsia="Arial" w:hAnsi="Arial"/>
          <w:sz w:val="19"/>
          <w:szCs w:val="19"/>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Prepayment Event</w:t>
      </w:r>
      <w:r>
        <w:rPr>
          <w:rFonts w:ascii="Arial" w:cs="Arial" w:eastAsia="Arial" w:hAnsi="Arial"/>
          <w:sz w:val="19"/>
          <w:szCs w:val="19"/>
          <w:color w:val="auto"/>
        </w:rPr>
        <w:t>” means:</w:t>
      </w:r>
    </w:p>
    <w:p>
      <w:pPr>
        <w:spacing w:after="0" w:line="219" w:lineRule="exact"/>
        <w:rPr>
          <w:sz w:val="20"/>
          <w:szCs w:val="20"/>
          <w:color w:val="auto"/>
        </w:rPr>
      </w:pPr>
    </w:p>
    <w:p>
      <w:pPr>
        <w:jc w:val="both"/>
        <w:ind w:left="640" w:firstLine="638"/>
        <w:spacing w:after="0" w:line="252" w:lineRule="auto"/>
        <w:tabs>
          <w:tab w:leader="none" w:pos="1697"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any non-ordinary course sale, transfer or other disposition of any property or asset of the Borrower or any of its Restricted Subsidiaries pursuant to </w:t>
      </w:r>
      <w:r>
        <w:rPr>
          <w:rFonts w:ascii="Arial" w:cs="Arial" w:eastAsia="Arial" w:hAnsi="Arial"/>
          <w:sz w:val="19"/>
          <w:szCs w:val="19"/>
          <w:u w:val="single" w:color="auto"/>
          <w:color w:val="auto"/>
        </w:rPr>
        <w:t>Section 6.05(k)</w:t>
      </w:r>
      <w:r>
        <w:rPr>
          <w:rFonts w:ascii="Arial" w:cs="Arial" w:eastAsia="Arial" w:hAnsi="Arial"/>
          <w:sz w:val="19"/>
          <w:szCs w:val="19"/>
          <w:color w:val="auto"/>
        </w:rPr>
        <w:t xml:space="preserve"> or the occurrence of any other Casualty Event, in each case resulting in aggregate Net Proceeds exceeding the greater of $7,000,000 and 5.00% of Consolidated EBITDA in the aggregate in any fiscal year other than dispositions constituting a sale and leaseback transaction to the extent consummated substantially contemporaneously with the acquisition by the Borrower or such Restricted Subsidiary of the property subject to such sale and leaseback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only Net Proceeds in excess of such amount shall be subject to the mandatory prepayment provisions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2.11(c)</w:t>
      </w:r>
      <w:r>
        <w:rPr>
          <w:rFonts w:ascii="Arial" w:cs="Arial" w:eastAsia="Arial" w:hAnsi="Arial"/>
          <w:sz w:val="19"/>
          <w:szCs w:val="19"/>
          <w:color w:val="auto"/>
        </w:rPr>
        <w:t>; or</w:t>
      </w:r>
    </w:p>
    <w:p>
      <w:pPr>
        <w:sectPr>
          <w:pgSz w:w="11900" w:h="16838" w:orient="portrait"/>
          <w:cols w:equalWidth="0" w:num="1">
            <w:col w:w="11240"/>
          </w:cols>
          <w:pgMar w:left="320" w:top="1395" w:right="339" w:bottom="1440" w:gutter="0" w:footer="0" w:header="0"/>
        </w:sectPr>
      </w:pPr>
    </w:p>
    <w:bookmarkStart w:id="126" w:name="page127"/>
    <w:bookmarkEnd w:id="126"/>
    <w:p>
      <w:pPr>
        <w:jc w:val="both"/>
        <w:ind w:left="640" w:firstLine="638"/>
        <w:spacing w:after="0" w:line="263" w:lineRule="auto"/>
        <w:tabs>
          <w:tab w:leader="none" w:pos="184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the incurrence by the Borrower or any of its Restricted Subsidiaries of any Indebtedness, other than Indebtedness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(other than Credit Agreement Refinancing Indebtedness) or permitted by the Required Lenders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69"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2"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Priority Obligation</w:t>
      </w:r>
      <w:r>
        <w:rPr>
          <w:rFonts w:ascii="Arial" w:cs="Arial" w:eastAsia="Arial" w:hAnsi="Arial"/>
          <w:sz w:val="19"/>
          <w:szCs w:val="19"/>
          <w:color w:val="auto"/>
        </w:rPr>
        <w:t xml:space="preserve">” means any obligation that is secured by a Lien on any Collateral in favor of a Governmental Authority, which Lien ranks or is capable of ranking prior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77"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w:t>
      </w:r>
      <w:r>
        <w:rPr>
          <w:rFonts w:ascii="Arial" w:cs="Arial" w:eastAsia="Arial" w:hAnsi="Arial"/>
          <w:sz w:val="18"/>
          <w:szCs w:val="18"/>
          <w:u w:val="single" w:color="auto"/>
          <w:color w:val="auto"/>
        </w:rPr>
        <w:t>Pro Forma Compliance</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mean, as to any Person, for any events as described below that occur subsequent to the commencement of a period for which the effect of such events is being calculated, and giving effect to the events for which such calculation is being made, such calculation as will give pro forma effect to such events as if such events occurred on the first day of the four (4) consecutive fiscal quarter period ended on or before the occurrence of such event (the “</w:t>
      </w:r>
      <w:r>
        <w:rPr>
          <w:rFonts w:ascii="Arial" w:cs="Arial" w:eastAsia="Arial" w:hAnsi="Arial"/>
          <w:sz w:val="18"/>
          <w:szCs w:val="18"/>
          <w:u w:val="single" w:color="auto"/>
          <w:color w:val="auto"/>
        </w:rPr>
        <w:t>Reference Period</w:t>
      </w:r>
      <w:r>
        <w:rPr>
          <w:rFonts w:ascii="Arial" w:cs="Arial" w:eastAsia="Arial" w:hAnsi="Arial"/>
          <w:sz w:val="18"/>
          <w:szCs w:val="18"/>
          <w:color w:val="auto"/>
        </w:rPr>
        <w:t>”):</w:t>
      </w:r>
    </w:p>
    <w:p>
      <w:pPr>
        <w:spacing w:after="0" w:line="161" w:lineRule="exact"/>
        <w:rPr>
          <w:sz w:val="20"/>
          <w:szCs w:val="20"/>
          <w:color w:val="auto"/>
        </w:rPr>
      </w:pPr>
    </w:p>
    <w:p>
      <w:pPr>
        <w:jc w:val="both"/>
        <w:ind w:firstLine="1278"/>
        <w:spacing w:after="0" w:line="266" w:lineRule="auto"/>
        <w:tabs>
          <w:tab w:leader="none" w:pos="15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 making any determination of Consolidated EBITDA or any component thereof or the determination of financial ratios and tests hereunder, effect shall be given to the Transactions, any Specified Transaction made during the applicable Test Period and any synergies, operating improvements, operating expense reductions or cost savings pertaining to the business of the Borrower or any of its Subsidiaries, in each case, that occurred during the Reference Period or with respect to any such event or transaction included in the definition of Specified Transactions and projected by the Borrower in good faith to result from actions that either have been taken, with respect to which substantial steps have been taken or that are expected to be taken within 24 months after the end of the relevant Reference Period net of the amount of actual benefits realized, and without duplication of any such amount included in Consolidated EBITDA pursuant to the definition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increase in Consolidated EBITDA as a result of any of the foregoing pro forma adjustments shall be subject to any applicable limitations set forth in the definition of Consolidated EBITDA (including any caps or percentage limitations or other limitations on adjustments for cost savings and related expenses set forth therein);</w:t>
      </w:r>
    </w:p>
    <w:p>
      <w:pPr>
        <w:spacing w:after="0" w:line="170" w:lineRule="exact"/>
        <w:rPr>
          <w:rFonts w:ascii="Arial" w:cs="Arial" w:eastAsia="Arial" w:hAnsi="Arial"/>
          <w:sz w:val="18"/>
          <w:szCs w:val="18"/>
          <w:color w:val="auto"/>
        </w:rPr>
      </w:pPr>
    </w:p>
    <w:p>
      <w:pPr>
        <w:jc w:val="both"/>
        <w:ind w:firstLine="1278"/>
        <w:spacing w:after="0" w:line="251" w:lineRule="auto"/>
        <w:tabs>
          <w:tab w:leader="none" w:pos="1556"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 making any determination on a Pro Forma Basis, of Pro Forma Compliance or of Pro Forma Effect, (i) all Indebtedness (including Indebtedness issued, incurred or assumed as a result of, or to finance, any relevant transactions and for which the financial effect is being calculated, whether incurred under the Loan Documents or otherwise) issued, incurred, assumed or repaid during the Reference Period (or with respect to Indebtedness repaid, during the Reference Period or subsequent to the end of the Reference Period and prior to, or simultaneously with, the event for which the calculation of any such ratio is made) shall be deemed to have been issued, incurred, assumed or repaid at the beginning of such period, (ii) such calculation shall be made without regard to the netting of any cash proceeds of Indebtedness incurred in connection with the relevant transactions, (iii) in the case of any Indebtedness in the nature of a revolving credit facility, the entire principal amount of such credit facility</w:t>
      </w:r>
    </w:p>
    <w:p>
      <w:pPr>
        <w:sectPr>
          <w:pgSz w:w="11900" w:h="16838" w:orient="portrait"/>
          <w:cols w:equalWidth="0" w:num="1">
            <w:col w:w="11240"/>
          </w:cols>
          <w:pgMar w:left="320" w:top="1395" w:right="339" w:bottom="144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19"/>
          <w:szCs w:val="19"/>
          <w:color w:val="auto"/>
        </w:rPr>
        <w:t xml:space="preserve">shall be deemed to have been fully drawn and (iv) interest expense of such Person attributable to interest on any Indebtedness for which pro forma effect is being given as provided in preceding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bearing floating interest rates shall be computed on a pro forma basis at the rate which is or would be in effect with respect to such Indebtedness as of the relevant date of determination,</w:t>
      </w:r>
    </w:p>
    <w:p>
      <w:pPr>
        <w:spacing w:after="0" w:line="169" w:lineRule="exact"/>
        <w:rPr>
          <w:sz w:val="20"/>
          <w:szCs w:val="20"/>
          <w:color w:val="auto"/>
        </w:rPr>
      </w:pPr>
    </w:p>
    <w:p>
      <w:pPr>
        <w:jc w:val="both"/>
        <w:ind w:firstLine="1278"/>
        <w:spacing w:after="0" w:line="292" w:lineRule="auto"/>
        <w:tabs>
          <w:tab w:leader="none" w:pos="1547" w:val="left"/>
        </w:tabs>
        <w:numPr>
          <w:ilvl w:val="0"/>
          <w:numId w:val="83"/>
        </w:numPr>
        <w:rPr>
          <w:rFonts w:ascii="Arial" w:cs="Arial" w:eastAsia="Arial" w:hAnsi="Arial"/>
          <w:sz w:val="17"/>
          <w:szCs w:val="17"/>
          <w:color w:val="auto"/>
        </w:rPr>
      </w:pPr>
      <w:r>
        <w:rPr>
          <w:rFonts w:ascii="Arial" w:cs="Arial" w:eastAsia="Arial" w:hAnsi="Arial"/>
          <w:sz w:val="17"/>
          <w:szCs w:val="17"/>
          <w:color w:val="auto"/>
        </w:rPr>
        <w:t>with respect to (A) any re-designation of a Subsidiary as an Restricted Subsidiary, effect shall be given to such Subsidiary re-designation and all other Subsidiary re-designations after the first day of the relevant Reference Period and on or prior to the date of the respective Subsidiary re-designation then being designated, collectively and (B) any designation of a Subsidiary as an Unrestricted Subsidiary, effect shall be given to such designation and all other designations of Subsidiaries as Unrestricted Subsidiaries after the first day of the relevant Reference Period and on or prior to the date of the then applicable designation of a Subsidiary as an Unrestricted Subsidiary, collectively, and</w:t>
      </w:r>
    </w:p>
    <w:p>
      <w:pPr>
        <w:spacing w:after="0" w:line="149" w:lineRule="exact"/>
        <w:rPr>
          <w:rFonts w:ascii="Arial" w:cs="Arial" w:eastAsia="Arial" w:hAnsi="Arial"/>
          <w:sz w:val="17"/>
          <w:szCs w:val="17"/>
          <w:color w:val="auto"/>
        </w:rPr>
      </w:pPr>
    </w:p>
    <w:p>
      <w:pPr>
        <w:jc w:val="both"/>
        <w:ind w:firstLine="1278"/>
        <w:spacing w:after="0" w:line="255" w:lineRule="auto"/>
        <w:tabs>
          <w:tab w:leader="none" w:pos="15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income statement items (whether positive or negative) attributable to all property acquired or disposed of in such relevant transaction shall be included as if such transaction had occurred as of the first day of the relevant Test Period. Whenever a financial ratio or test or covenant is to be calculated on a Pro Forma Basis, the reference to the “Test Period” for purposes of calculating such financial ratio or test shall be deemed to be a reference to, and shall be based on, the most recently ended Test Period for which financial statements of Holdings were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p>
    <w:p>
      <w:pPr>
        <w:spacing w:after="0" w:line="178"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Disposal Adjustment</w:t>
      </w:r>
      <w:r>
        <w:rPr>
          <w:rFonts w:ascii="Arial" w:cs="Arial" w:eastAsia="Arial" w:hAnsi="Arial"/>
          <w:sz w:val="19"/>
          <w:szCs w:val="19"/>
          <w:color w:val="auto"/>
        </w:rPr>
        <w:t>”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Entity</w:t>
      </w:r>
      <w:r>
        <w:rPr>
          <w:rFonts w:ascii="Arial" w:cs="Arial" w:eastAsia="Arial" w:hAnsi="Arial"/>
          <w:sz w:val="19"/>
          <w:szCs w:val="19"/>
          <w:color w:val="auto"/>
        </w:rPr>
        <w:t>” means any Acquired Entity or Business or any Converted Restricted Subsidiary.</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Proposed Change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9.02(c)</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156"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Costs</w:t>
      </w:r>
      <w:r>
        <w:rPr>
          <w:rFonts w:ascii="Arial" w:cs="Arial" w:eastAsia="Arial" w:hAnsi="Arial"/>
          <w:sz w:val="18"/>
          <w:szCs w:val="18"/>
          <w:color w:val="auto"/>
        </w:rPr>
        <w:t>” means, as to any Person, costs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5.01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Sector</w:t>
      </w:r>
      <w:r>
        <w:rPr>
          <w:rFonts w:ascii="Arial" w:cs="Arial" w:eastAsia="Arial" w:hAnsi="Arial"/>
          <w:sz w:val="19"/>
          <w:szCs w:val="19"/>
          <w:color w:val="auto"/>
        </w:rPr>
        <w:t>” means Tenable Public Sector LLC and its Subsidiaries.</w:t>
      </w:r>
    </w:p>
    <w:p>
      <w:pPr>
        <w:sectPr>
          <w:pgSz w:w="11900" w:h="16838" w:orient="portrait"/>
          <w:cols w:equalWidth="0" w:num="1">
            <w:col w:w="11240"/>
          </w:cols>
          <w:pgMar w:left="320" w:top="1395" w:right="339" w:bottom="1440" w:gutter="0" w:footer="0" w:header="0"/>
        </w:sectPr>
      </w:pPr>
    </w:p>
    <w:bookmarkStart w:id="128" w:name="page129"/>
    <w:bookmarkEnd w:id="128"/>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w:t>
      </w:r>
      <w:r>
        <w:rPr>
          <w:rFonts w:ascii="Arial" w:cs="Arial" w:eastAsia="Arial" w:hAnsi="Arial"/>
          <w:sz w:val="19"/>
          <w:szCs w:val="19"/>
          <w:color w:val="auto"/>
        </w:rPr>
        <w:t>” has the meaning assigned to the term “qualified financial contract” in, and shall be interpreted in accordance with, 12 U.S.C. 5390(c)(8)(D).</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 Credit Support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9.20</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Equity Interests</w:t>
      </w:r>
      <w:r>
        <w:rPr>
          <w:rFonts w:ascii="Arial" w:cs="Arial" w:eastAsia="Arial" w:hAnsi="Arial"/>
          <w:sz w:val="19"/>
          <w:szCs w:val="19"/>
          <w:color w:val="auto"/>
        </w:rPr>
        <w:t>” means Equity Interests of Holdings or the Borrower other than Disqualified Equity Interests.</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2.11(a)(ii)(D)(3)</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Ratio Debt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6.01(a)(viii)</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Recipient</w:t>
      </w:r>
      <w:r>
        <w:rPr>
          <w:rFonts w:ascii="Arial" w:cs="Arial" w:eastAsia="Arial" w:hAnsi="Arial"/>
          <w:sz w:val="19"/>
          <w:szCs w:val="19"/>
          <w:color w:val="auto"/>
        </w:rPr>
        <w:t>” means the Administrative Agent, any Lender, any Issuing Bank or any other recipient of any payment to be made by or on account of any obligation of any Loan Party hereunder or under any other Loan Document.</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Debt</w:t>
      </w:r>
      <w:r>
        <w:rPr>
          <w:rFonts w:ascii="Arial" w:cs="Arial" w:eastAsia="Arial" w:hAnsi="Arial"/>
          <w:sz w:val="18"/>
          <w:szCs w:val="18"/>
          <w:color w:val="auto"/>
        </w:rPr>
        <w:t>” has the meaning assigned to such term in the definition of “Credit Agreement Refinancing Indebtedness.”</w:t>
      </w:r>
    </w:p>
    <w:p>
      <w:pPr>
        <w:spacing w:after="0" w:line="230"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Amendment</w:t>
      </w:r>
      <w:r>
        <w:rPr>
          <w:rFonts w:ascii="Arial" w:cs="Arial" w:eastAsia="Arial" w:hAnsi="Arial"/>
          <w:sz w:val="19"/>
          <w:szCs w:val="19"/>
          <w:color w:val="auto"/>
        </w:rPr>
        <w:t xml:space="preserve">” means an amendment to this Agreement in form and substance reasonably satisfactory to the Administrative Agent and the Borrower executed by each of (a) the Borrower and Holdings, (b) the Administrative Agent and (c) each Additional Lender and Lender that agrees to provide any portion of the Credit Agreement Refinancing Indebtedness being incurred pursuant thereto, in accordance with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9.04(b)(iv)</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Registered Equivalent Notes</w:t>
      </w:r>
      <w:r>
        <w:rPr>
          <w:rFonts w:ascii="Arial" w:cs="Arial" w:eastAsia="Arial" w:hAnsi="Arial"/>
          <w:sz w:val="19"/>
          <w:szCs w:val="19"/>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Reimbursement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2.05(f)</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partners, directors, officers, employees, trustees, agents, controlling persons, advisors and other representatives of such Person and of each of such Person’s Affiliates and permitted successors and assigns of each of the foregoing.</w:t>
      </w:r>
    </w:p>
    <w:p>
      <w:pPr>
        <w:spacing w:after="0" w:line="169"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emptying, escaping, pumping,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8.06</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means (a) the incurrence by the Borrower of any term loans that are broadly syndicated to banks, financial institutions and/or other institutional lenders or investors under credit facilities secured on a pari passu basis with the Initial Term Loans (i) having an Effective Yield that is less than the Effective Yield for the Initial Term Loans (and not by virtue of any fluctuation in any</w:t>
      </w:r>
    </w:p>
    <w:p>
      <w:pPr>
        <w:sectPr>
          <w:pgSz w:w="11900" w:h="16838" w:orient="portrait"/>
          <w:cols w:equalWidth="0" w:num="1">
            <w:col w:w="11240"/>
          </w:cols>
          <w:pgMar w:left="320" w:top="1395" w:right="339" w:bottom="1440" w:gutter="0" w:footer="0" w:header="0"/>
        </w:sectPr>
      </w:pPr>
    </w:p>
    <w:bookmarkStart w:id="129" w:name="page130"/>
    <w:bookmarkEnd w:id="129"/>
    <w:p>
      <w:pPr>
        <w:jc w:val="both"/>
        <w:spacing w:after="0" w:line="267" w:lineRule="auto"/>
        <w:rPr>
          <w:sz w:val="20"/>
          <w:szCs w:val="20"/>
          <w:color w:val="auto"/>
        </w:rPr>
      </w:pPr>
      <w:r>
        <w:rPr>
          <w:rFonts w:ascii="Arial" w:cs="Arial" w:eastAsia="Arial" w:hAnsi="Arial"/>
          <w:sz w:val="18"/>
          <w:szCs w:val="18"/>
          <w:color w:val="auto"/>
        </w:rPr>
        <w:t>“base” rate), but excluding Indebtedness incurred in connection any transaction that would, if consummated, constitute a Change of Control, Permitted Acquisition or similar Investment or Enterprise Transformative Event, and (ii) the proceeds of which are used to prepay (or, in the case of a conversion, deemed to prepay or replace, in whole or in part, outstanding principal of Initial Term Loans or (b) any effective reduction in the Effective Yield for the Initial Term Loans (e.g., by way of amendment, waiver or otherwise), except for a reduction in connection with any transaction that would, if consummated, constitute a Change of Control, Permitted Acquisition or similar Investment or Enterprise Transformative Event, and, in the case of any transaction under either clause (a) or clause (b) above, the primary purpose of which is to lower the Effective Yield on the Initial Term Loans. Any determination by the Administrative Agent with respect to whether a Repricing Transaction shall have occurred shall be conclusive and binding on all Lenders holding the Initial Term Loans.</w:t>
      </w:r>
    </w:p>
    <w:p>
      <w:pPr>
        <w:spacing w:after="0" w:line="172"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Additional Debt Terms</w:t>
      </w:r>
      <w:r>
        <w:rPr>
          <w:rFonts w:ascii="Arial" w:cs="Arial" w:eastAsia="Arial" w:hAnsi="Arial"/>
          <w:sz w:val="17"/>
          <w:szCs w:val="17"/>
          <w:color w:val="auto"/>
        </w:rPr>
        <w:t xml:space="preserve">” means with respect to any Incremental Equivalent Debt or Ratio Debt, (a) such Indebtedness does not mature earlier than the Latest Maturity Date or have a Weighted Average Life to Maturity less than the greatest Weighted Average Life to Maturity, in each case, of the then-existing Term Loans outstanding at the time of incurrence of such Indebtedness (except in the case of customary bridge loans which, subject to customary conditions (including no payment or bankruptcy event of default), would either automatically be converted into or required to be exchanged for permanent refinancing which does not mature earlier than the Latest Maturity Date at the time of such incurrence), (b) such Indebtedness, if issued, borrowed or guaranteed by a Loan Party, is not guaranteed by any entity that is not a Loan Party (except to the extent such Indebtedness that is subject to the Required Additional Debt Terms is expressly permitted to be incurred by any Restricted Subsidiary that is not a Loan Party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(c) such Indebtedness, if secured by assets that secure the Secured Obligations, (i) is not secured by any assets not securing the Secured Obligations and (ii) is subject to the relevant Intercreditor Agreement(s), (d) such Indebtedness shall not participate on a greater than pro rata basis than the Initial Term Loans with respect to any mandatory prepayment (other than any scheduled amortization payment) provided that the Borrower and the lenders providing the relevant Incremental Equivalent Debt or Ratio Debt shall be permitted, in their sole discretion, to elect to prepay or receive, as applicable, any such prepayment on a less than pro rata basis and (e) the covenants, events of default and guarantees of any such Indebtedness shall not be materially more restrictive to the Borrower, when taken as a whole, than the terms of the Term Loans or Revolving Loans, as applicable, unless (1) the Lenders under the Term Loans or Revolving Loans, as applicable, also receive the benefit of such more restrictive terms (it being acknowledged that any “springing” financial maintenance covenant or other covenant or provision only applicable to, or for the benefit of, a revolving credit facility shall also be added solely for the benefit of each revolving credit facility hereunder (and not for the benefit of any term loan facility hereunder), together with, at the election of the Borrower, any applicable “equity cure” provisions with respect to any financial maintenance covenant) (it being understood to the extent that any covenant is added for the benefit of any such Indebtedness, no consent shall be required from the Administrative Agent or any Lender to the extent that such covenant is also added for the benefit of any corresponding existing Term Loans or Revolving Loans, as applicable), (2) any such provisions apply after the Latest Maturity Date at the time of such incurrence, or (3) such terms shall be reasonably satisfactory to the Administrative Agent and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 Responsible Officer delivered to the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(5) Business Day period that it disagrees with such determination (including a reasonably detailed description of the basis upon which it disagrees).</w:t>
      </w:r>
    </w:p>
    <w:p>
      <w:pPr>
        <w:sectPr>
          <w:pgSz w:w="11900" w:h="16838" w:orient="portrait"/>
          <w:cols w:equalWidth="0" w:num="1">
            <w:col w:w="11240"/>
          </w:cols>
          <w:pgMar w:left="320" w:top="1395" w:right="339" w:bottom="1440" w:gutter="0" w:footer="0" w:header="0"/>
        </w:sectPr>
      </w:pPr>
    </w:p>
    <w:bookmarkStart w:id="130" w:name="page131"/>
    <w:bookmarkEnd w:id="130"/>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having Revolving Exposures, Term Loans and unused Commitments representing more than 50% of the aggregate Revolving Exposures, outstanding Term Loans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set forth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whenever there are one or more Defaulting Lenders, the total outstanding Term Loans and Revolving Exposures of, and the unused Commitments of, each Defaulting Lender shall be excluded for purposes of making a determination of Required Lenders.</w:t>
      </w:r>
    </w:p>
    <w:p>
      <w:pPr>
        <w:spacing w:after="0" w:line="178"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Requirements of Law</w:t>
      </w:r>
      <w:r>
        <w:rPr>
          <w:rFonts w:ascii="Arial" w:cs="Arial" w:eastAsia="Arial" w:hAnsi="Arial"/>
          <w:sz w:val="19"/>
          <w:szCs w:val="19"/>
          <w:color w:val="auto"/>
        </w:rPr>
        <w:t>”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8.06</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Authority.</w:t>
      </w:r>
    </w:p>
    <w:p>
      <w:pPr>
        <w:spacing w:after="0" w:line="203"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the chief executive officer, president, vice president, chief financial officer, treasurer or assistant treasurer, company secretary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of the definition of the term “Collateral and Guarantee Requirement,” any secretary, assistant secretary, company secretary or director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6"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 Notwithstanding anything to the contrary herein (i) any interest payments on or principal payments at maturity of Convertible Debt Securities shall not be a Restricted Payment and (ii) to the extent any cash or other property is paid or is distributed by the Borrower or any of its Restricted Subsidiaries upon the conversion or exchange of any Convertible Debt Securities, or in the connection with any repurchase or other acquisition of any Convertible Debt Securities, any amount of such cash or other property that exceeds the principal amount of Indebtedness that is converted or exchanged shall be deemed to be a Restricted Payment (and any such cash or property so paid or distributed that does not exceed such principal amount shall not be a Restricted Payment).</w:t>
      </w:r>
    </w:p>
    <w:p>
      <w:pPr>
        <w:spacing w:after="0" w:line="170"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Subsidiary</w:t>
      </w:r>
      <w:r>
        <w:rPr>
          <w:rFonts w:ascii="Arial" w:cs="Arial" w:eastAsia="Arial" w:hAnsi="Arial"/>
          <w:sz w:val="19"/>
          <w:szCs w:val="19"/>
          <w:color w:val="auto"/>
        </w:rPr>
        <w:t>” means, unless otherwise specified herein, any Subsidiary of the Borrower other than an Unrestricted Subsidiary. For purposes of this Agreement and the Loan Documents, references to “Restricted Subsidiary” shall include Public Sector and references to “Borrower and its Restricted Subsidiaries” shall be deemed to include Public Sector.</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Retained Declined Proceeds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2.11(e)</w:t>
      </w:r>
      <w:r>
        <w:rPr>
          <w:rFonts w:ascii="Arial" w:cs="Arial" w:eastAsia="Arial" w:hAnsi="Arial"/>
          <w:sz w:val="19"/>
          <w:szCs w:val="19"/>
          <w:color w:val="auto"/>
        </w:rPr>
        <w:t>.</w:t>
      </w:r>
    </w:p>
    <w:p>
      <w:pPr>
        <w:sectPr>
          <w:pgSz w:w="11900" w:h="16838" w:orient="portrait"/>
          <w:cols w:equalWidth="0" w:num="1">
            <w:col w:w="11240"/>
          </w:cols>
          <w:pgMar w:left="320" w:top="1395" w:right="339" w:bottom="1440" w:gutter="0" w:footer="0" w:header="0"/>
        </w:sectPr>
      </w:pPr>
    </w:p>
    <w:bookmarkStart w:id="131" w:name="page132"/>
    <w:bookmarkEnd w:id="131"/>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Retained ECF Basket</w:t>
      </w:r>
      <w:r>
        <w:rPr>
          <w:rFonts w:ascii="Arial" w:cs="Arial" w:eastAsia="Arial" w:hAnsi="Arial"/>
          <w:sz w:val="19"/>
          <w:szCs w:val="19"/>
          <w:color w:val="auto"/>
        </w:rPr>
        <w:t>” has the meaning assigned to such term in the definition of “Available Amount”.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Availability Period</w:t>
      </w:r>
      <w:r>
        <w:rPr>
          <w:rFonts w:ascii="Arial" w:cs="Arial" w:eastAsia="Arial" w:hAnsi="Arial"/>
          <w:sz w:val="19"/>
          <w:szCs w:val="19"/>
          <w:color w:val="auto"/>
        </w:rPr>
        <w:t>” means the period from and including the Effective Date to but excluding the earlier of the Revolving Maturity Date and the date of termination of the Revolving Commitments.</w:t>
      </w:r>
    </w:p>
    <w:p>
      <w:pPr>
        <w:spacing w:after="0" w:line="156" w:lineRule="exact"/>
        <w:rPr>
          <w:sz w:val="20"/>
          <w:szCs w:val="20"/>
          <w:color w:val="auto"/>
        </w:rPr>
      </w:pPr>
    </w:p>
    <w:p>
      <w:pPr>
        <w:jc w:val="both"/>
        <w:ind w:firstLine="1272"/>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with respect to each Lender, the commitment, if any, of such Lender to make Revolving Loans and to acquire participations in Letters of Credit hereunder, expressed as an amount representing the maximum possible aggregate amount of such Lender’s Revolving Exposure hereunder, as such commitment may be (a) reduced from time to time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(b) reduced or increased from time to time pursuant to (i) assignments by or to such Lender pursuant to an Assignment and Assumption,</w:t>
      </w:r>
    </w:p>
    <w:p>
      <w:pPr>
        <w:spacing w:after="0" w:line="2" w:lineRule="exact"/>
        <w:rPr>
          <w:sz w:val="20"/>
          <w:szCs w:val="20"/>
          <w:color w:val="auto"/>
        </w:rPr>
      </w:pPr>
    </w:p>
    <w:p>
      <w:pPr>
        <w:jc w:val="both"/>
        <w:ind w:firstLine="6"/>
        <w:spacing w:after="0" w:line="252" w:lineRule="auto"/>
        <w:tabs>
          <w:tab w:leader="none" w:pos="286"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 Refinancing Amendment, (iii) an Incremental Revolving Commitment Increase or (iv) a Loan Modification Agreement. The initial amount of each Lender’s Revolving Commitment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or in the Assignment and Assumption, Loan Modification Agreement or Refinancing Amendment pursuant to which such Lender shall have assumed its Revolving Commitment, as the case may be. The initial aggregate amount of the Lenders’ Revolving Commitments is $50,000,000.</w:t>
      </w:r>
    </w:p>
    <w:p>
      <w:pPr>
        <w:spacing w:after="0" w:line="17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Exposure</w:t>
      </w:r>
      <w:r>
        <w:rPr>
          <w:rFonts w:ascii="Arial" w:cs="Arial" w:eastAsia="Arial" w:hAnsi="Arial"/>
          <w:sz w:val="19"/>
          <w:szCs w:val="19"/>
          <w:color w:val="auto"/>
        </w:rPr>
        <w:t>” means, with respect to any Revolving Lender at any time, the sum of the outstanding principal amount of such Revolving Lender’s Revolving Loans and its LC Exposure at such time.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Revolving Commitments and the Revolving Loans and other extensions of credit made under</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this Agreement.</w:t>
      </w:r>
    </w:p>
    <w:p>
      <w:pPr>
        <w:spacing w:after="0" w:line="203"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Lender</w:t>
      </w:r>
      <w:r>
        <w:rPr>
          <w:rFonts w:ascii="Arial" w:cs="Arial" w:eastAsia="Arial" w:hAnsi="Arial"/>
          <w:sz w:val="19"/>
          <w:szCs w:val="19"/>
          <w:color w:val="auto"/>
        </w:rPr>
        <w:t>” means a Lender with a Revolving Commitment or, if the Revolving Commitments have terminated or expired, a Lender with Revolving Exposure.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means a Loan made pursuant to clause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2.01</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Maturity Date</w:t>
      </w:r>
      <w:r>
        <w:rPr>
          <w:rFonts w:ascii="Arial" w:cs="Arial" w:eastAsia="Arial" w:hAnsi="Arial"/>
          <w:sz w:val="19"/>
          <w:szCs w:val="19"/>
          <w:color w:val="auto"/>
        </w:rPr>
        <w:t>” means (i) July 7, 2026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w:t>
      </w:r>
    </w:p>
    <w:p>
      <w:pPr>
        <w:spacing w:after="0" w:line="177"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Test Condition</w:t>
      </w:r>
      <w:r>
        <w:rPr>
          <w:rFonts w:ascii="Arial" w:cs="Arial" w:eastAsia="Arial" w:hAnsi="Arial"/>
          <w:sz w:val="19"/>
          <w:szCs w:val="19"/>
          <w:color w:val="auto"/>
        </w:rPr>
        <w:t>” means, as of any time, that the aggregate principal amount of all outstanding Revolving Loans and Letters of Credit (but excluding (1) any Letter of Credit that has been cash collateralized and (2) the aggregate amount of issued and undrawn and reimbursed Letters of Credit not in excess of $6,000,000) exceeds an amount equal to 35.0% of the aggregate amount of Revolving Commitments at such time.</w:t>
      </w:r>
    </w:p>
    <w:p>
      <w:pPr>
        <w:spacing w:after="0" w:line="177"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Ratings Services, a Standard &amp; Poor’s Financial Services LLC business, and any successor to its rating agency business.</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is itself the subject or target of any Sanctions (at the time of this Agreement, the Crimea region of Ukraine, Cuba, Iran, North Korea and Syria).</w:t>
      </w:r>
    </w:p>
    <w:p>
      <w:pPr>
        <w:sectPr>
          <w:pgSz w:w="11900" w:h="16838" w:orient="portrait"/>
          <w:cols w:equalWidth="0" w:num="1">
            <w:col w:w="11240"/>
          </w:cols>
          <w:pgMar w:left="320" w:top="1395" w:right="339" w:bottom="1440" w:gutter="0" w:footer="0" w:header="0"/>
        </w:sectPr>
      </w:pPr>
    </w:p>
    <w:bookmarkStart w:id="132" w:name="page133"/>
    <w:bookmarkEnd w:id="132"/>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or the U.S. Department of State, or by the United Nations Security Council, the European Union, any EU member state or Her Majesty’s Treasury of the United Kingdom, (b) any Person operating, organized or resident in a Sanctioned Country, (c) any Person owned 50% or more by any such Person in the foregoing clauses (a) and (b), or (d) any Person otherwise the subject of Sanctions.</w:t>
      </w:r>
    </w:p>
    <w:p>
      <w:pPr>
        <w:spacing w:after="0" w:line="178" w:lineRule="exact"/>
        <w:rPr>
          <w:sz w:val="20"/>
          <w:szCs w:val="20"/>
          <w:color w:val="auto"/>
        </w:rPr>
      </w:pPr>
    </w:p>
    <w:p>
      <w:pPr>
        <w:jc w:val="both"/>
        <w:ind w:firstLine="127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functions.</w:t>
      </w:r>
    </w:p>
    <w:p>
      <w:pPr>
        <w:spacing w:after="0" w:line="203"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Intercreditor Agreement</w:t>
      </w:r>
      <w:r>
        <w:rPr>
          <w:rFonts w:ascii="Arial" w:cs="Arial" w:eastAsia="Arial" w:hAnsi="Arial"/>
          <w:sz w:val="19"/>
          <w:szCs w:val="19"/>
          <w:color w:val="auto"/>
        </w:rPr>
        <w:t>” means the Second Lien Intercreditor Agreement among the Administrative Agent and one or more Senior Representatives for holders of Indebtedness permitted by this Agreement to be secured by the Collateral, in customary form reasonably acceptable to the Administrative Agent and the Borrower.</w:t>
      </w:r>
    </w:p>
    <w:p>
      <w:pPr>
        <w:spacing w:after="0" w:line="169" w:lineRule="exact"/>
        <w:rPr>
          <w:sz w:val="20"/>
          <w:szCs w:val="20"/>
          <w:color w:val="auto"/>
        </w:rPr>
      </w:pPr>
    </w:p>
    <w:p>
      <w:pPr>
        <w:jc w:val="both"/>
        <w:ind w:firstLine="1272"/>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Cash Management Obligations</w:t>
      </w:r>
      <w:r>
        <w:rPr>
          <w:rFonts w:ascii="Arial" w:cs="Arial" w:eastAsia="Arial" w:hAnsi="Arial"/>
          <w:sz w:val="17"/>
          <w:szCs w:val="17"/>
          <w:color w:val="auto"/>
        </w:rPr>
        <w:t>” means the due and punctual payment and performance of all obligations of Holdings, any Intermediate Parent, the Borrower and its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provided to Holdings, any Intermediate Parent, the Borrower or any Restricted Subsidiary (whether absolute or contingent and howsoever 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or (c) owed to a Person that is an Agent, a Lender or an Affiliate of an Agent or Lender at the time such obligations are incurred.</w:t>
      </w:r>
    </w:p>
    <w:p>
      <w:pPr>
        <w:spacing w:after="0" w:line="157"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Net Leverage Ratio</w:t>
      </w:r>
      <w:r>
        <w:rPr>
          <w:rFonts w:ascii="Arial" w:cs="Arial" w:eastAsia="Arial" w:hAnsi="Arial"/>
          <w:sz w:val="19"/>
          <w:szCs w:val="19"/>
          <w:color w:val="auto"/>
        </w:rPr>
        <w:t>” means, as of any date of determination, the ratio, on a Pro Forma Basis, of (a) Consolidated Secured Indebtedness as of such date to (b) Consolidated EBITDA for the most recently completed Test Period.</w:t>
      </w:r>
    </w:p>
    <w:p>
      <w:pPr>
        <w:spacing w:after="0" w:line="156"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means (a) the Loan Document Obligations, (b) the Secured Cash Management Obligations and (c) the Secured Swap Obligations (excluding with respect to any Loan Party, Excluded Swap Obligations or obligations in respect of Permitted Equity Derivatives).</w:t>
      </w:r>
    </w:p>
    <w:p>
      <w:pPr>
        <w:spacing w:after="0" w:line="16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(a) each Lender, (b) each Issuing Bank, (c) the Administrative Agent, (d) the Collateral Agent, (e) each Person to whom any Secured Cash Management Obligations or Secured Swap Obligations are owed (excluding, for the avoidance of doubt, Swap Agreements entered into in connection with any Permitted Equity Derivatives), (f) the beneficiaries of each indemnification obligation undertaken by any Loan Party under any Loan Document, Secured Swap Obligation or Secured Cash Management Obligation and (g) the permitted successors and assigns of each of the foregoing.</w:t>
      </w:r>
    </w:p>
    <w:p>
      <w:pPr>
        <w:sectPr>
          <w:pgSz w:w="11900" w:h="16838" w:orient="portrait"/>
          <w:cols w:equalWidth="0" w:num="1">
            <w:col w:w="11240"/>
          </w:cols>
          <w:pgMar w:left="320" w:top="1395" w:right="339" w:bottom="1440" w:gutter="0" w:footer="0" w:header="0"/>
        </w:sectPr>
      </w:pPr>
    </w:p>
    <w:bookmarkStart w:id="133" w:name="page134"/>
    <w:bookmarkEnd w:id="133"/>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Swap Obligations</w:t>
      </w:r>
      <w:r>
        <w:rPr>
          <w:rFonts w:ascii="Arial" w:cs="Arial" w:eastAsia="Arial" w:hAnsi="Arial"/>
          <w:sz w:val="19"/>
          <w:szCs w:val="19"/>
          <w:color w:val="auto"/>
        </w:rPr>
        <w:t>” means the due and punctual payment and performance of all obligations of Holdings, any Intermediate Parent, the Borrower and its Restricted Subsidiaries under each Swap Agreement that (a) is with a counterparty that is the Administrative Agent or any of its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spacing w:after="0" w:line="178"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xml:space="preserve">” means the Collateral Agreement, the Intellectual Property Security Agreements, the Mortgages and each other security agreement or pledge agreement executed and delivered pursuant to the Collateral and Guarantee Requirement and/or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t>
      </w:r>
      <w:r>
        <w:rPr>
          <w:rFonts w:ascii="Arial" w:cs="Arial" w:eastAsia="Arial" w:hAnsi="Arial"/>
          <w:sz w:val="19"/>
          <w:szCs w:val="19"/>
          <w:u w:val="single" w:color="auto"/>
          <w:color w:val="auto"/>
        </w:rPr>
        <w:t>5.12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5.14</w:t>
      </w:r>
      <w:r>
        <w:rPr>
          <w:rFonts w:ascii="Arial" w:cs="Arial" w:eastAsia="Arial" w:hAnsi="Arial"/>
          <w:sz w:val="19"/>
          <w:szCs w:val="19"/>
          <w:color w:val="auto"/>
        </w:rPr>
        <w:t xml:space="preserve"> to secure any of the Secured Obligations.</w:t>
      </w:r>
    </w:p>
    <w:p>
      <w:pPr>
        <w:spacing w:after="0" w:line="16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Representative</w:t>
      </w:r>
      <w:r>
        <w:rPr>
          <w:rFonts w:ascii="Arial" w:cs="Arial" w:eastAsia="Arial" w:hAnsi="Arial"/>
          <w:sz w:val="19"/>
          <w:szCs w:val="19"/>
          <w:color w:val="auto"/>
        </w:rPr>
        <w:t xml:space="preserve">” means, with respect to any series of Indebtedness permitted by this Agreement to be secured on the Collateral on a </w:t>
      </w:r>
      <w:r>
        <w:rPr>
          <w:rFonts w:ascii="Arial" w:cs="Arial" w:eastAsia="Arial" w:hAnsi="Arial"/>
          <w:sz w:val="19"/>
          <w:szCs w:val="19"/>
          <w:i w:val="1"/>
          <w:iCs w:val="1"/>
          <w:u w:val="single" w:color="auto"/>
          <w:color w:val="auto"/>
        </w:rPr>
        <w:t>pari passu</w:t>
      </w:r>
      <w:r>
        <w:rPr>
          <w:rFonts w:ascii="Arial" w:cs="Arial" w:eastAsia="Arial" w:hAnsi="Arial"/>
          <w:sz w:val="19"/>
          <w:szCs w:val="19"/>
          <w:color w:val="auto"/>
        </w:rPr>
        <w:t xml:space="preserve"> or junior or “silent” subordinated basis,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7"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Similar Business</w:t>
      </w:r>
      <w:r>
        <w:rPr>
          <w:rFonts w:ascii="Arial" w:cs="Arial" w:eastAsia="Arial" w:hAnsi="Arial"/>
          <w:sz w:val="19"/>
          <w:szCs w:val="19"/>
          <w:color w:val="auto"/>
        </w:rPr>
        <w:t>” means (1) any business conducted by the Borrower or any Restricted Subsidiary on the Effective Date or (2) any business or other activities that are reasonably similar, ancillary, incidental, complementary or related to (including non-core incidental businesses acquired in connection with any permitted Investment), or a reasonable extension, development or expansion of, the businesses that the Borrower and its Restricted Subsidiaries conduct or propose to conduct on the Effective Date.</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Sold Entity or Business</w:t>
      </w:r>
      <w:r>
        <w:rPr>
          <w:rFonts w:ascii="Arial" w:cs="Arial" w:eastAsia="Arial" w:hAnsi="Arial"/>
          <w:sz w:val="19"/>
          <w:szCs w:val="19"/>
          <w:color w:val="auto"/>
        </w:rPr>
        <w:t>” has the meaning assigned to such term in the definition of the term “Consolidated EBITDA.”</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Solicited Discount Proration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2.11(a)(ii)(D)(3)</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Solicited Discounted Prepayment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2.11(a)(ii)(D)(1)</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Solicited Discounted Prepayment Notice</w:t>
      </w:r>
      <w:r>
        <w:rPr>
          <w:rFonts w:ascii="Arial" w:cs="Arial" w:eastAsia="Arial" w:hAnsi="Arial"/>
          <w:sz w:val="19"/>
          <w:szCs w:val="19"/>
          <w:color w:val="auto"/>
        </w:rPr>
        <w:t xml:space="preserve">” means an irrevocable written notice of a Borrower Solicitation of Discounted Prepayment Offers made pursuant to </w:t>
      </w:r>
      <w:r>
        <w:rPr>
          <w:rFonts w:ascii="Arial" w:cs="Arial" w:eastAsia="Arial" w:hAnsi="Arial"/>
          <w:sz w:val="19"/>
          <w:szCs w:val="19"/>
          <w:u w:val="single" w:color="auto"/>
          <w:color w:val="auto"/>
        </w:rPr>
        <w:t>Section 2.11(a)(ii)(D)</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N</w:t>
      </w:r>
      <w:r>
        <w:rPr>
          <w:rFonts w:ascii="Arial" w:cs="Arial" w:eastAsia="Arial" w:hAnsi="Arial"/>
          <w:sz w:val="19"/>
          <w:szCs w:val="19"/>
          <w:color w:val="auto"/>
        </w:rPr>
        <w:t>.</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Solicited Discounted Prepayment Offer</w:t>
      </w:r>
      <w:r>
        <w:rPr>
          <w:rFonts w:ascii="Arial" w:cs="Arial" w:eastAsia="Arial" w:hAnsi="Arial"/>
          <w:sz w:val="19"/>
          <w:szCs w:val="19"/>
          <w:color w:val="auto"/>
        </w:rPr>
        <w:t xml:space="preserve">” means the irrevocable written offer by each Term Lender, substantially in the form of </w:t>
      </w:r>
      <w:r>
        <w:rPr>
          <w:rFonts w:ascii="Arial" w:cs="Arial" w:eastAsia="Arial" w:hAnsi="Arial"/>
          <w:sz w:val="19"/>
          <w:szCs w:val="19"/>
          <w:u w:val="single" w:color="auto"/>
          <w:color w:val="auto"/>
        </w:rPr>
        <w:t>Exhibit O</w:t>
      </w:r>
      <w:r>
        <w:rPr>
          <w:rFonts w:ascii="Arial" w:cs="Arial" w:eastAsia="Arial" w:hAnsi="Arial"/>
          <w:sz w:val="19"/>
          <w:szCs w:val="19"/>
          <w:color w:val="auto"/>
        </w:rPr>
        <w:t>, submitted following the Administrative Agent’s receipt of a Solicited Discounted Prepayment Notice.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Solicited Discounted Prepayment Response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2.11(a)(ii)(D)(1)</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with respect to Holdings, any Intermediate Parent, the Borrower and its Subsidiaries, (i) each of the Fair Value and the Present Fair Salable Value of the assets of Holdings, any Intermediate Parent, the Borrower and its Subsidiaries taken as a whole exceed their Stated Liabilities and Identified Contingent Liabilities, (ii) Holdings, any Intermediate Parent, the Borrower and its Subsidiaries</w:t>
      </w:r>
    </w:p>
    <w:p>
      <w:pPr>
        <w:sectPr>
          <w:pgSz w:w="11900" w:h="16838" w:orient="portrait"/>
          <w:cols w:equalWidth="0" w:num="1">
            <w:col w:w="11240"/>
          </w:cols>
          <w:pgMar w:left="320" w:top="1395" w:right="339" w:bottom="144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19"/>
          <w:szCs w:val="19"/>
          <w:color w:val="auto"/>
        </w:rPr>
        <w:t xml:space="preserve">taken as a whole do not have Unreasonably Small Capital and (iii) Holdings, any Intermediate Parent, the Borrower and its Subsidiaries taken as a whole can pay their Stated Liabilities and Identified Contingent Liabilities as they mature. For the purposes of this definition, capitalized terms used and not defined in this Agreement shall have the meanings provided for in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Discount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2.11(a)(ii)(B)(1)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Discount Prepayment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2.11(a)(ii)(B)(1)</w:t>
      </w:r>
      <w:r>
        <w:rPr>
          <w:rFonts w:ascii="Arial" w:cs="Arial" w:eastAsia="Arial" w:hAnsi="Arial"/>
          <w:sz w:val="19"/>
          <w:szCs w:val="19"/>
          <w:color w:val="auto"/>
        </w:rPr>
        <w:t>.</w:t>
      </w:r>
    </w:p>
    <w:p>
      <w:pPr>
        <w:spacing w:after="0" w:line="219" w:lineRule="exact"/>
        <w:rPr>
          <w:sz w:val="20"/>
          <w:szCs w:val="20"/>
          <w:color w:val="auto"/>
        </w:rPr>
      </w:pPr>
    </w:p>
    <w:p>
      <w:pPr>
        <w:jc w:val="both"/>
        <w:ind w:right="20"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Discount Prepayment Notice</w:t>
      </w:r>
      <w:r>
        <w:rPr>
          <w:rFonts w:ascii="Arial" w:cs="Arial" w:eastAsia="Arial" w:hAnsi="Arial"/>
          <w:sz w:val="19"/>
          <w:szCs w:val="19"/>
          <w:color w:val="auto"/>
        </w:rPr>
        <w:t xml:space="preserve">” means an irrevocable written notice of the Borrower Offer of Specified Discount Prepayment made pursuant to </w:t>
      </w:r>
      <w:r>
        <w:rPr>
          <w:rFonts w:ascii="Arial" w:cs="Arial" w:eastAsia="Arial" w:hAnsi="Arial"/>
          <w:sz w:val="19"/>
          <w:szCs w:val="19"/>
          <w:u w:val="single" w:color="auto"/>
          <w:color w:val="auto"/>
        </w:rPr>
        <w:t>Section 2.11(a)(ii)(B)</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J</w:t>
      </w:r>
      <w:r>
        <w:rPr>
          <w:rFonts w:ascii="Arial" w:cs="Arial" w:eastAsia="Arial" w:hAnsi="Arial"/>
          <w:sz w:val="19"/>
          <w:szCs w:val="19"/>
          <w:color w:val="auto"/>
        </w:rPr>
        <w:t>.</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Discount Prepayment Response</w:t>
      </w:r>
      <w:r>
        <w:rPr>
          <w:rFonts w:ascii="Arial" w:cs="Arial" w:eastAsia="Arial" w:hAnsi="Arial"/>
          <w:sz w:val="19"/>
          <w:szCs w:val="19"/>
          <w:color w:val="auto"/>
        </w:rPr>
        <w:t xml:space="preserve">” means the irrevocable written response by each Term Lender, substantially in the form of </w:t>
      </w:r>
      <w:r>
        <w:rPr>
          <w:rFonts w:ascii="Arial" w:cs="Arial" w:eastAsia="Arial" w:hAnsi="Arial"/>
          <w:sz w:val="19"/>
          <w:szCs w:val="19"/>
          <w:u w:val="single" w:color="auto"/>
          <w:color w:val="auto"/>
        </w:rPr>
        <w:t>Exhibit K</w:t>
      </w:r>
      <w:r>
        <w:rPr>
          <w:rFonts w:ascii="Arial" w:cs="Arial" w:eastAsia="Arial" w:hAnsi="Arial"/>
          <w:sz w:val="19"/>
          <w:szCs w:val="19"/>
          <w:color w:val="auto"/>
        </w:rPr>
        <w:t>, to a Specified Discount Prepayment Notice.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Discount Prepayment Response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2.11(a)(ii)(B)(1)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Discount Proration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2.11(a)(ii)(B)(3)</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with respect to any period, any Investment, sale, transfer or other disposition of assets, incurrence or repayment of Indebtedness, Restricted Payment, subsidiary designation or other event that by the terms of the Loan Documents requires “Pro Forma Compliance” with a test or covenant hereunder or requires such test or covenant to be calculated on a Pro Forma Basis.</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Starter Basket</w:t>
      </w:r>
      <w:r>
        <w:rPr>
          <w:rFonts w:ascii="Arial" w:cs="Arial" w:eastAsia="Arial" w:hAnsi="Arial"/>
          <w:sz w:val="19"/>
          <w:szCs w:val="19"/>
          <w:color w:val="auto"/>
        </w:rPr>
        <w:t>” has the meaning assigned to such term in the definition of “Available Amount.”</w:t>
      </w:r>
    </w:p>
    <w:p>
      <w:pPr>
        <w:spacing w:after="0" w:line="219" w:lineRule="exact"/>
        <w:rPr>
          <w:sz w:val="20"/>
          <w:szCs w:val="20"/>
          <w:color w:val="auto"/>
        </w:rPr>
      </w:pPr>
    </w:p>
    <w:p>
      <w:pPr>
        <w:jc w:val="both"/>
        <w:ind w:firstLine="127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xml:space="preserve">” means a fraction (expressed as a decimal), the numerator of which is the number one and the denominator of which is the number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applicable law, rule or regulation. The Statutory Reserve Rate shall be adjusted automatically on and as of the effective date of any change in any reserve percentage.</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Submitted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2.11(a)(ii)(C)(1)</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Submitted Discount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2.11(a)(ii)(C)(1)</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w:t>
      </w:r>
    </w:p>
    <w:p>
      <w:pPr>
        <w:sectPr>
          <w:pgSz w:w="11900" w:h="16838" w:orient="portrait"/>
          <w:cols w:equalWidth="0" w:num="1">
            <w:col w:w="11240"/>
          </w:cols>
          <w:pgMar w:left="320" w:top="1395" w:right="339" w:bottom="1440" w:gutter="0" w:footer="0" w:header="0"/>
        </w:sectPr>
      </w:pPr>
    </w:p>
    <w:bookmarkStart w:id="135" w:name="page136"/>
    <w:bookmarkEnd w:id="135"/>
    <w:p>
      <w:pPr>
        <w:jc w:val="both"/>
        <w:spacing w:after="0" w:line="255" w:lineRule="auto"/>
        <w:rPr>
          <w:sz w:val="20"/>
          <w:szCs w:val="20"/>
          <w:color w:val="auto"/>
        </w:rPr>
      </w:pPr>
      <w:r>
        <w:rPr>
          <w:rFonts w:ascii="Arial" w:cs="Arial" w:eastAsia="Arial" w:hAnsi="Arial"/>
          <w:sz w:val="19"/>
          <w:szCs w:val="19"/>
          <w:color w:val="auto"/>
        </w:rPr>
        <w:t>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 in each case, whether existing as of the Effective Date or subsequently created or coming to exist.</w:t>
      </w:r>
    </w:p>
    <w:p>
      <w:pPr>
        <w:spacing w:after="0" w:line="178"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subsidiary of the Borrower (unless otherwise specified). For purposes of this Agreement and the Loan Documents, references to “Subsidiary” shall include Public Sector and references to “Borrower and its Subsidiaries” shall be deemed to include Public Sector.</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Loan Party</w:t>
      </w:r>
      <w:r>
        <w:rPr>
          <w:rFonts w:ascii="Arial" w:cs="Arial" w:eastAsia="Arial" w:hAnsi="Arial"/>
          <w:sz w:val="19"/>
          <w:szCs w:val="19"/>
          <w:color w:val="auto"/>
        </w:rPr>
        <w:t>” means each Subsidiary of Holdings that is party to the Guarantee Agreement.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 Borrower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6.03(a)(iv)</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 Holdings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6.03(d)</w:t>
      </w:r>
      <w:r>
        <w:rPr>
          <w:rFonts w:ascii="Arial" w:cs="Arial" w:eastAsia="Arial" w:hAnsi="Arial"/>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Supported QFC</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9.20</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Agreement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Distributions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6.07(a)(vi)(A)</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Restructuring</w:t>
      </w:r>
      <w:r>
        <w:rPr>
          <w:rFonts w:ascii="Arial" w:cs="Arial" w:eastAsia="Arial" w:hAnsi="Arial"/>
          <w:sz w:val="19"/>
          <w:szCs w:val="19"/>
          <w:color w:val="auto"/>
        </w:rPr>
        <w:t xml:space="preserve">” means any reorganizations and other activities related to tax planning and tax reorganization (as determined by Borrower in good faith) entered into after the Effective Date so long as such Tax Restructuring does not impair the Guarantee or the security interests of the Agents and the Lenders under the Security Documents in the Collateral in any material respect and is otherwise not adverse to the Lenders in any material respect and after giving effect to such Tax Restructuring, Borrower and its Restricted Subsidiaries otherwise comply with </w:t>
      </w:r>
      <w:r>
        <w:rPr>
          <w:rFonts w:ascii="Arial" w:cs="Arial" w:eastAsia="Arial" w:hAnsi="Arial"/>
          <w:sz w:val="19"/>
          <w:szCs w:val="19"/>
          <w:u w:val="single" w:color="auto"/>
          <w:color w:val="auto"/>
        </w:rPr>
        <w:t>Sections 5.11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5.12</w:t>
      </w:r>
      <w:r>
        <w:rPr>
          <w:rFonts w:ascii="Arial" w:cs="Arial" w:eastAsia="Arial" w:hAnsi="Arial"/>
          <w:sz w:val="19"/>
          <w:szCs w:val="19"/>
          <w:color w:val="auto"/>
        </w:rPr>
        <w:t>.</w:t>
      </w:r>
    </w:p>
    <w:p>
      <w:pPr>
        <w:spacing w:after="0" w:line="178"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Commitment</w:t>
      </w:r>
      <w:r>
        <w:rPr>
          <w:rFonts w:ascii="Arial" w:cs="Arial" w:eastAsia="Arial" w:hAnsi="Arial"/>
          <w:sz w:val="19"/>
          <w:szCs w:val="19"/>
          <w:color w:val="auto"/>
        </w:rPr>
        <w:t>” means, with respect to each Lender, the commitment, if any, of such Lender to make a Term Loan hereunder on the Effective Date, expressed as an amount representing</w:t>
      </w:r>
    </w:p>
    <w:p>
      <w:pPr>
        <w:sectPr>
          <w:pgSz w:w="11900" w:h="16838" w:orient="portrait"/>
          <w:cols w:equalWidth="0" w:num="1">
            <w:col w:w="11240"/>
          </w:cols>
          <w:pgMar w:left="320" w:top="1395" w:right="339" w:bottom="1440" w:gutter="0" w:footer="0" w:header="0"/>
        </w:sectPr>
      </w:pPr>
    </w:p>
    <w:bookmarkStart w:id="136" w:name="page137"/>
    <w:bookmarkEnd w:id="136"/>
    <w:p>
      <w:pPr>
        <w:jc w:val="both"/>
        <w:spacing w:after="0" w:line="270" w:lineRule="auto"/>
        <w:rPr>
          <w:sz w:val="20"/>
          <w:szCs w:val="20"/>
          <w:color w:val="auto"/>
        </w:rPr>
      </w:pPr>
      <w:r>
        <w:rPr>
          <w:rFonts w:ascii="Arial" w:cs="Arial" w:eastAsia="Arial" w:hAnsi="Arial"/>
          <w:sz w:val="18"/>
          <w:szCs w:val="18"/>
          <w:color w:val="auto"/>
        </w:rPr>
        <w:t xml:space="preserve">the maximum principal amount of the Term Loan to be made by such Lender hereunder, as such commitment may be (a) reduced from time to time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shall have assumed its Term Commitment, Loan Modification Agreement or Refinancing Amendment, as the case may be. As of the Effective Date, the total Term Commitment is $375,000,000.</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Term Loans provided to or for the benefit of the Borrower pursuant to the terms of this Agreement.</w:t>
      </w:r>
    </w:p>
    <w:p>
      <w:pPr>
        <w:spacing w:after="0" w:line="230"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Lender</w:t>
      </w:r>
      <w:r>
        <w:rPr>
          <w:rFonts w:ascii="Arial" w:cs="Arial" w:eastAsia="Arial" w:hAnsi="Arial"/>
          <w:sz w:val="19"/>
          <w:szCs w:val="19"/>
          <w:color w:val="auto"/>
        </w:rPr>
        <w:t>” means a Lender with a Term Commitment or an outstanding Term Loan.</w:t>
      </w:r>
    </w:p>
    <w:p>
      <w:pPr>
        <w:spacing w:after="0" w:line="219" w:lineRule="exact"/>
        <w:rPr>
          <w:sz w:val="20"/>
          <w:szCs w:val="20"/>
          <w:color w:val="auto"/>
        </w:rPr>
      </w:pPr>
    </w:p>
    <w:p>
      <w:pPr>
        <w:jc w:val="both"/>
        <w:ind w:right="20"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Loans</w:t>
      </w:r>
      <w:r>
        <w:rPr>
          <w:rFonts w:ascii="Arial" w:cs="Arial" w:eastAsia="Arial" w:hAnsi="Arial"/>
          <w:sz w:val="19"/>
          <w:szCs w:val="19"/>
          <w:color w:val="auto"/>
        </w:rPr>
        <w:t>” means, individually or collectively as the context requires, Initial Term Loans, Other Term Loans and Incremental Term Loans.</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Maturity Date</w:t>
      </w:r>
      <w:r>
        <w:rPr>
          <w:rFonts w:ascii="Arial" w:cs="Arial" w:eastAsia="Arial" w:hAnsi="Arial"/>
          <w:sz w:val="19"/>
          <w:szCs w:val="19"/>
          <w:color w:val="auto"/>
        </w:rPr>
        <w:t>” means (a) in the case of the Initial Term Loans, July 7, 2028 and (b) in the case of any Incremental Term Facility or any Other Term Loan, the date set forth in the applicable documentation in respect thereof.</w:t>
      </w:r>
    </w:p>
    <w:p>
      <w:pPr>
        <w:spacing w:after="0" w:line="156"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 Period</w:t>
      </w:r>
      <w:r>
        <w:rPr>
          <w:rFonts w:ascii="Arial" w:cs="Arial" w:eastAsia="Arial" w:hAnsi="Arial"/>
          <w:sz w:val="19"/>
          <w:szCs w:val="19"/>
          <w:color w:val="auto"/>
        </w:rPr>
        <w:t xml:space="preserve">” means, at any date of determination, the period of four consecutive fiscal quarters of the Borrower then last ended as of such time for which financial statements are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any date of determination before the delivery of the first financial statements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the Test Period shall be the period of four consecutive fiscal quarters of the Borrower then last ended as of such time.</w:t>
      </w:r>
    </w:p>
    <w:p>
      <w:pPr>
        <w:spacing w:after="0" w:line="177"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xml:space="preserve">” means, as of any date of determination, the ratio, on a Pro Forma Basis, of (a) Consolidated Total Indebtedness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unrestricted cash and cash equivalents of Holdings, any Intermediate Parent, the Borrower and its Restricted Subsidiaries as of such date in an aggregate amount not to exceed $100 million, to (b) Consolidated EBITDA for the most recently completed Test Period.</w:t>
      </w:r>
    </w:p>
    <w:p>
      <w:pPr>
        <w:spacing w:after="0" w:line="177"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Costs</w:t>
      </w:r>
      <w:r>
        <w:rPr>
          <w:rFonts w:ascii="Arial" w:cs="Arial" w:eastAsia="Arial" w:hAnsi="Arial"/>
          <w:sz w:val="19"/>
          <w:szCs w:val="19"/>
          <w:color w:val="auto"/>
        </w:rPr>
        <w:t>” means all fees, premiums, costs and expenses incurred or payable by Holdings, the Borrower or any other Subsidiary in connection with the Transactions.</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(a) the incurrence of the Credit Facilities and the funding of the Initial Term Loans on the Effective Date,</w:t>
      </w:r>
    </w:p>
    <w:p>
      <w:pPr>
        <w:spacing w:after="0" w:line="46" w:lineRule="exact"/>
        <w:rPr>
          <w:sz w:val="20"/>
          <w:szCs w:val="20"/>
          <w:color w:val="auto"/>
        </w:rPr>
      </w:pPr>
    </w:p>
    <w:p>
      <w:pPr>
        <w:ind w:firstLine="6"/>
        <w:spacing w:after="0" w:line="289" w:lineRule="auto"/>
        <w:tabs>
          <w:tab w:leader="none" w:pos="28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Effective Date Refinancing, (c) the consummation of the other transactions contemplated by this Agreement on the Effective Date, (d) the consummation of any other transactions in connection with the foregoing and (e) the payment of the Transaction Costs related thereto.</w:t>
      </w:r>
    </w:p>
    <w:p>
      <w:pPr>
        <w:spacing w:after="0" w:line="148" w:lineRule="exact"/>
        <w:rPr>
          <w:sz w:val="20"/>
          <w:szCs w:val="20"/>
          <w:color w:val="auto"/>
        </w:rPr>
      </w:pPr>
    </w:p>
    <w:p>
      <w:pPr>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9.20</w:t>
      </w:r>
      <w:r>
        <w:rPr>
          <w:rFonts w:ascii="Arial" w:cs="Arial" w:eastAsia="Arial" w:hAnsi="Arial"/>
          <w:sz w:val="19"/>
          <w:szCs w:val="19"/>
          <w:color w:val="auto"/>
        </w:rPr>
        <w:t>.</w:t>
      </w:r>
    </w:p>
    <w:p>
      <w:pPr>
        <w:spacing w:after="0" w:line="219" w:lineRule="exact"/>
        <w:rPr>
          <w:sz w:val="20"/>
          <w:szCs w:val="20"/>
          <w:color w:val="auto"/>
        </w:rPr>
      </w:pPr>
    </w:p>
    <w:p>
      <w:pPr>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or “</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xml:space="preserve">” means the Uniform Commercial Code as in effect from time to time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any time, if by reason of</w:t>
      </w:r>
    </w:p>
    <w:p>
      <w:pPr>
        <w:sectPr>
          <w:pgSz w:w="11900" w:h="16838" w:orient="portrait"/>
          <w:cols w:equalWidth="0" w:num="1">
            <w:col w:w="11240"/>
          </w:cols>
          <w:pgMar w:left="320" w:top="1395" w:right="339" w:bottom="1440" w:gutter="0" w:footer="0" w:header="0"/>
        </w:sectPr>
      </w:pPr>
    </w:p>
    <w:bookmarkStart w:id="137" w:name="page138"/>
    <w:bookmarkEnd w:id="137"/>
    <w:p>
      <w:pPr>
        <w:jc w:val="both"/>
        <w:spacing w:after="0" w:line="276" w:lineRule="auto"/>
        <w:rPr>
          <w:sz w:val="20"/>
          <w:szCs w:val="20"/>
          <w:color w:val="auto"/>
        </w:rPr>
      </w:pPr>
      <w:r>
        <w:rPr>
          <w:rFonts w:ascii="Arial" w:cs="Arial" w:eastAsia="Arial" w:hAnsi="Arial"/>
          <w:sz w:val="18"/>
          <w:szCs w:val="18"/>
          <w:color w:val="auto"/>
        </w:rPr>
        <w:t>mandatory provisions of law, any or all of the perfection or priority of the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61"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w:t>
      </w:r>
    </w:p>
    <w:p>
      <w:pPr>
        <w:spacing w:after="0" w:line="16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means the Bank of England or any other public administrative authority having responsibility for the resolution of any UK Financial Institution.</w:t>
      </w:r>
    </w:p>
    <w:p>
      <w:pPr>
        <w:spacing w:after="0" w:line="156"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Unaudited Financial Statements</w:t>
      </w:r>
      <w:r>
        <w:rPr>
          <w:rFonts w:ascii="Arial" w:cs="Arial" w:eastAsia="Arial" w:hAnsi="Arial"/>
          <w:sz w:val="19"/>
          <w:szCs w:val="19"/>
          <w:color w:val="auto"/>
        </w:rPr>
        <w:t>” means the unaudited consolidated balance sheets of Holdings and its subsidiaries as of the end of, and the related unaudited consolidated statements of income and cash flows of Holdings and its subsidiaries for, the fiscal quarter of the Borrower ended on March 31, 2021 (for the three-month period then ended).</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 Tax Compliance Certificate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2.17(e)(ii)(C)</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means any Subsidiary designated by the Borrower as an Unrestricted Subsidiary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5.13</w:t>
      </w:r>
      <w:r>
        <w:rPr>
          <w:rFonts w:ascii="Arial" w:cs="Arial" w:eastAsia="Arial" w:hAnsi="Arial"/>
          <w:sz w:val="19"/>
          <w:szCs w:val="19"/>
          <w:color w:val="auto"/>
        </w:rPr>
        <w:t xml:space="preserve"> subsequent to the Effective Date.</w:t>
      </w:r>
    </w:p>
    <w:p>
      <w:pPr>
        <w:spacing w:after="0" w:line="156"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USA PATRIOT Act</w:t>
      </w:r>
      <w:r>
        <w:rPr>
          <w:rFonts w:ascii="Arial" w:cs="Arial" w:eastAsia="Arial" w:hAnsi="Arial"/>
          <w:sz w:val="19"/>
          <w:szCs w:val="19"/>
          <w:color w:val="auto"/>
        </w:rPr>
        <w:t>” means the Uniting and Strengthening America by Providing Appropriate Tools Required to Intercept and Obstruct Terrorism Act of 2001, as amended from time to time.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Voluntary Prepayment and Repurchase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2.11(d)</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Restricted Subsidiary</w:t>
      </w:r>
      <w:r>
        <w:rPr>
          <w:rFonts w:ascii="Arial" w:cs="Arial" w:eastAsia="Arial" w:hAnsi="Arial"/>
          <w:sz w:val="19"/>
          <w:szCs w:val="19"/>
          <w:color w:val="auto"/>
        </w:rPr>
        <w:t>” means any Restricted Subsidiary that is a Wholly Owned Subsidiary.</w:t>
      </w:r>
    </w:p>
    <w:p>
      <w:pPr>
        <w:sectPr>
          <w:pgSz w:w="11900" w:h="16838" w:orient="portrait"/>
          <w:cols w:equalWidth="0" w:num="1">
            <w:col w:w="11240"/>
          </w:cols>
          <w:pgMar w:left="320" w:top="1395" w:right="339" w:bottom="1440" w:gutter="0" w:footer="0" w:header="0"/>
        </w:sectPr>
      </w:pPr>
    </w:p>
    <w:bookmarkStart w:id="138" w:name="page139"/>
    <w:bookmarkEnd w:id="138"/>
    <w:p>
      <w:pPr>
        <w:jc w:val="both"/>
        <w:ind w:firstLine="127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61"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Withdrawal Liability</w:t>
      </w:r>
      <w:r>
        <w:rPr>
          <w:rFonts w:ascii="Arial" w:cs="Arial" w:eastAsia="Arial" w:hAnsi="Arial"/>
          <w:sz w:val="19"/>
          <w:szCs w:val="19"/>
          <w:color w:val="auto"/>
        </w:rPr>
        <w:t>” means liability to a Multiemployer Plan as a result of a complete or partial withdrawal from such Multiemployer Plan, as such terms are defined in Part I of Subtitle E of Title IV of ERISA.</w:t>
      </w:r>
    </w:p>
    <w:p>
      <w:pPr>
        <w:spacing w:after="0" w:line="156"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1.02</w:t>
      </w:r>
      <w:r>
        <w:rPr>
          <w:sz w:val="20"/>
          <w:szCs w:val="20"/>
          <w:color w:val="auto"/>
        </w:rPr>
        <w:tab/>
      </w:r>
      <w:r>
        <w:rPr>
          <w:rFonts w:ascii="Arial" w:cs="Arial" w:eastAsia="Arial" w:hAnsi="Arial"/>
          <w:sz w:val="17"/>
          <w:szCs w:val="17"/>
          <w:u w:val="single" w:color="auto"/>
          <w:color w:val="auto"/>
        </w:rPr>
        <w:t>Classification of Loans and Borrowings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For purposes of this Agreement, Loans and Borrowings may be classified and referred to by Class (</w:t>
      </w:r>
      <w:r>
        <w:rPr>
          <w:rFonts w:ascii="Arial" w:cs="Arial" w:eastAsia="Arial" w:hAnsi="Arial"/>
          <w:sz w:val="19"/>
          <w:szCs w:val="19"/>
          <w:u w:val="single" w:color="auto"/>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Revolving Loan</w:t>
      </w:r>
      <w:r>
        <w:rPr>
          <w:rFonts w:ascii="Arial" w:cs="Arial" w:eastAsia="Arial" w:hAnsi="Arial"/>
          <w:sz w:val="19"/>
          <w:szCs w:val="19"/>
          <w:color w:val="auto"/>
        </w:rPr>
        <w:t>”) or by Type (</w:t>
      </w:r>
      <w:r>
        <w:rPr>
          <w:rFonts w:ascii="Arial" w:cs="Arial" w:eastAsia="Arial" w:hAnsi="Arial"/>
          <w:sz w:val="19"/>
          <w:szCs w:val="19"/>
          <w:u w:val="single" w:color="auto"/>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Eurodollar Loan</w:t>
      </w:r>
      <w:r>
        <w:rPr>
          <w:rFonts w:ascii="Arial" w:cs="Arial" w:eastAsia="Arial" w:hAnsi="Arial"/>
          <w:sz w:val="19"/>
          <w:szCs w:val="19"/>
          <w:color w:val="auto"/>
        </w:rPr>
        <w:t>” or “</w:t>
      </w:r>
      <w:r>
        <w:rPr>
          <w:rFonts w:ascii="Arial" w:cs="Arial" w:eastAsia="Arial" w:hAnsi="Arial"/>
          <w:sz w:val="19"/>
          <w:szCs w:val="19"/>
          <w:u w:val="single" w:color="auto"/>
          <w:color w:val="auto"/>
        </w:rPr>
        <w:t>ABR Loan</w:t>
      </w:r>
      <w:r>
        <w:rPr>
          <w:rFonts w:ascii="Arial" w:cs="Arial" w:eastAsia="Arial" w:hAnsi="Arial"/>
          <w:sz w:val="19"/>
          <w:szCs w:val="19"/>
          <w:color w:val="auto"/>
        </w:rPr>
        <w:t>”) or by Class and Type (</w:t>
      </w:r>
      <w:r>
        <w:rPr>
          <w:rFonts w:ascii="Arial" w:cs="Arial" w:eastAsia="Arial" w:hAnsi="Arial"/>
          <w:sz w:val="19"/>
          <w:szCs w:val="19"/>
          <w:u w:val="single" w:color="auto"/>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Eurodollar Revolving Loan</w:t>
      </w:r>
      <w:r>
        <w:rPr>
          <w:rFonts w:ascii="Arial" w:cs="Arial" w:eastAsia="Arial" w:hAnsi="Arial"/>
          <w:sz w:val="19"/>
          <w:szCs w:val="19"/>
          <w:color w:val="auto"/>
        </w:rPr>
        <w:t>”). Borrowings also may be classified and referred to by Class (</w:t>
      </w:r>
      <w:r>
        <w:rPr>
          <w:rFonts w:ascii="Arial" w:cs="Arial" w:eastAsia="Arial" w:hAnsi="Arial"/>
          <w:sz w:val="19"/>
          <w:szCs w:val="19"/>
          <w:u w:val="single" w:color="auto"/>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Revolving Borrowing</w:t>
      </w:r>
      <w:r>
        <w:rPr>
          <w:rFonts w:ascii="Arial" w:cs="Arial" w:eastAsia="Arial" w:hAnsi="Arial"/>
          <w:sz w:val="19"/>
          <w:szCs w:val="19"/>
          <w:color w:val="auto"/>
        </w:rPr>
        <w:t>” or “</w:t>
      </w:r>
      <w:r>
        <w:rPr>
          <w:rFonts w:ascii="Arial" w:cs="Arial" w:eastAsia="Arial" w:hAnsi="Arial"/>
          <w:sz w:val="19"/>
          <w:szCs w:val="19"/>
          <w:u w:val="single" w:color="auto"/>
          <w:color w:val="auto"/>
        </w:rPr>
        <w:t>Term Borrowing</w:t>
      </w:r>
      <w:r>
        <w:rPr>
          <w:rFonts w:ascii="Arial" w:cs="Arial" w:eastAsia="Arial" w:hAnsi="Arial"/>
          <w:sz w:val="19"/>
          <w:szCs w:val="19"/>
          <w:color w:val="auto"/>
        </w:rPr>
        <w:t>”) or by Type (</w:t>
      </w:r>
      <w:r>
        <w:rPr>
          <w:rFonts w:ascii="Arial" w:cs="Arial" w:eastAsia="Arial" w:hAnsi="Arial"/>
          <w:sz w:val="19"/>
          <w:szCs w:val="19"/>
          <w:u w:val="single" w:color="auto"/>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Eurodollar Borrowing</w:t>
      </w:r>
      <w:r>
        <w:rPr>
          <w:rFonts w:ascii="Arial" w:cs="Arial" w:eastAsia="Arial" w:hAnsi="Arial"/>
          <w:sz w:val="19"/>
          <w:szCs w:val="19"/>
          <w:color w:val="auto"/>
        </w:rPr>
        <w:t>”) or by Class and Type (</w:t>
      </w:r>
      <w:r>
        <w:rPr>
          <w:rFonts w:ascii="Arial" w:cs="Arial" w:eastAsia="Arial" w:hAnsi="Arial"/>
          <w:sz w:val="19"/>
          <w:szCs w:val="19"/>
          <w:u w:val="single" w:color="auto"/>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Eurodollar Revolving Borrowing</w:t>
      </w:r>
      <w:r>
        <w:rPr>
          <w:rFonts w:ascii="Arial" w:cs="Arial" w:eastAsia="Arial" w:hAnsi="Arial"/>
          <w:sz w:val="19"/>
          <w:szCs w:val="19"/>
          <w:color w:val="auto"/>
        </w:rPr>
        <w:t>”).</w:t>
      </w:r>
    </w:p>
    <w:p>
      <w:pPr>
        <w:spacing w:after="0" w:line="17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1.03</w:t>
      </w:r>
      <w:r>
        <w:rPr>
          <w:sz w:val="20"/>
          <w:szCs w:val="20"/>
          <w:color w:val="auto"/>
        </w:rPr>
        <w:tab/>
      </w:r>
      <w:r>
        <w:rPr>
          <w:rFonts w:ascii="Arial" w:cs="Arial" w:eastAsia="Arial" w:hAnsi="Arial"/>
          <w:sz w:val="17"/>
          <w:szCs w:val="17"/>
          <w:u w:val="single" w:color="auto"/>
          <w:color w:val="auto"/>
        </w:rPr>
        <w:t>Terms Generally</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including all schedules, exhibits and other attachments thereto and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w:t>
      </w:r>
    </w:p>
    <w:p>
      <w:pPr>
        <w:sectPr>
          <w:pgSz w:w="11900" w:h="16838" w:orient="portrait"/>
          <w:cols w:equalWidth="0" w:num="1">
            <w:col w:w="11240"/>
          </w:cols>
          <w:pgMar w:left="320" w:top="1395"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effect and to refer to any and all tangible and intangible assets and properties, including cash, securities, accounts and contract rights.</w:t>
      </w:r>
    </w:p>
    <w:p>
      <w:pPr>
        <w:spacing w:after="0" w:line="230"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1.04</w:t>
      </w:r>
      <w:r>
        <w:rPr>
          <w:sz w:val="20"/>
          <w:szCs w:val="20"/>
          <w:color w:val="auto"/>
        </w:rPr>
        <w:tab/>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257" w:lineRule="auto"/>
        <w:tabs>
          <w:tab w:leader="none" w:pos="1691" w:val="left"/>
        </w:tabs>
        <w:numPr>
          <w:ilvl w:val="1"/>
          <w:numId w:val="86"/>
        </w:numPr>
        <w:rPr>
          <w:rFonts w:ascii="Arial" w:cs="Arial" w:eastAsia="Arial" w:hAnsi="Arial"/>
          <w:sz w:val="19"/>
          <w:szCs w:val="19"/>
          <w:color w:val="auto"/>
        </w:rPr>
      </w:pPr>
      <w:r>
        <w:rPr>
          <w:rFonts w:ascii="Arial" w:cs="Arial" w:eastAsia="Arial" w:hAnsi="Arial"/>
          <w:sz w:val="19"/>
          <w:szCs w:val="19"/>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w:t>
      </w:r>
    </w:p>
    <w:p>
      <w:pPr>
        <w:spacing w:after="0" w:line="177" w:lineRule="exact"/>
        <w:rPr>
          <w:rFonts w:ascii="Arial" w:cs="Arial" w:eastAsia="Arial" w:hAnsi="Arial"/>
          <w:sz w:val="19"/>
          <w:szCs w:val="19"/>
          <w:color w:val="auto"/>
        </w:rPr>
      </w:pPr>
    </w:p>
    <w:p>
      <w:pPr>
        <w:jc w:val="both"/>
        <w:ind w:firstLine="1278"/>
        <w:spacing w:after="0" w:line="265" w:lineRule="auto"/>
        <w:tabs>
          <w:tab w:leader="none" w:pos="1701"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but subject to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for purposes of determining compliance with any test contained in this Agreement, the Total Net Leverage Ratio, the First Lien Net Leverage Ratio, the Secured Net Leverage Ratio, the Interest Coverage Ratio and any other financial ratio or test that are calculated with respect to any Test Period during which a Specified Transaction occurs shall be calculated on a Pro Forma Basis. Further, if since the beginning of any such Test Period and on or prior to the date of any required calculation of any financial ratio or test (x) any Specified Transaction has occurred or (y) any Person that subsequently became a Restricted Subsidiary or was merged, amalgamated or consolidated with or into the Borrower or any of its Restricted Subsidiaries or any joint venture since the beginning of such Test Period has consummated any Specified Transaction, then, in each case, any applicable financial ratio or test shall be calculated on a Pro Forma Basis for such Test Period as if such Specified Transaction had occurred at the beginning of the applicable Test Period (it being understood, for the avoidance of doubt, that solely for purposes of (x) calculating compliance with </w:t>
      </w:r>
      <w:r>
        <w:rPr>
          <w:rFonts w:ascii="Arial" w:cs="Arial" w:eastAsia="Arial" w:hAnsi="Arial"/>
          <w:sz w:val="18"/>
          <w:szCs w:val="18"/>
          <w:u w:val="single" w:color="auto"/>
          <w:color w:val="auto"/>
        </w:rPr>
        <w:t>Section 6.10</w:t>
      </w:r>
      <w:r>
        <w:rPr>
          <w:rFonts w:ascii="Arial" w:cs="Arial" w:eastAsia="Arial" w:hAnsi="Arial"/>
          <w:sz w:val="18"/>
          <w:szCs w:val="18"/>
          <w:color w:val="auto"/>
        </w:rPr>
        <w:t>, if applicable, (y) calculating the First Lien Net Leverage Ratio for purposes of the definition of “Applicable Rate” and the determination of the Commitment Fee Percentage and (z) the determination of “ECF Percentage”, in each case, the date of the required calculation shall be the last day of the Test Period, and no Specified Transaction occurring thereafter shall be taken into account).</w:t>
      </w:r>
    </w:p>
    <w:p>
      <w:pPr>
        <w:spacing w:after="0" w:line="172" w:lineRule="exact"/>
        <w:rPr>
          <w:rFonts w:ascii="Arial" w:cs="Arial" w:eastAsia="Arial" w:hAnsi="Arial"/>
          <w:sz w:val="18"/>
          <w:szCs w:val="18"/>
          <w:color w:val="auto"/>
        </w:rPr>
      </w:pPr>
    </w:p>
    <w:p>
      <w:pPr>
        <w:jc w:val="both"/>
        <w:ind w:firstLine="1278"/>
        <w:spacing w:after="0" w:line="281" w:lineRule="auto"/>
        <w:tabs>
          <w:tab w:leader="none" w:pos="1747" w:val="left"/>
        </w:tabs>
        <w:numPr>
          <w:ilvl w:val="1"/>
          <w:numId w:val="86"/>
        </w:numPr>
        <w:rPr>
          <w:rFonts w:ascii="Arial" w:cs="Arial" w:eastAsia="Arial" w:hAnsi="Arial"/>
          <w:sz w:val="17"/>
          <w:szCs w:val="17"/>
          <w:color w:val="auto"/>
        </w:rPr>
      </w:pPr>
      <w:r>
        <w:rPr>
          <w:rFonts w:ascii="Arial" w:cs="Arial" w:eastAsia="Arial" w:hAnsi="Arial"/>
          <w:sz w:val="17"/>
          <w:szCs w:val="17"/>
          <w:color w:val="auto"/>
        </w:rPr>
        <w:t>Notwithstanding anything to the contrary herein, all obligations of any Person that are or would be characterized as an operating lease as determined in accordance with GAAP as in effect prior to the adoption of ASU 2016-02, Leases (whether or not such operating lease was in effect on such date) shall continue to be accounted for as an operating lease (and not as a Capitalized Lease or Capital Lease Obligation) for purposes of this Agreement regardless of any change in GAAP (i) resulting from the adoption of ASU 2016-02, Leases or</w:t>
      </w:r>
    </w:p>
    <w:p>
      <w:pPr>
        <w:spacing w:after="0" w:line="1" w:lineRule="exact"/>
        <w:rPr>
          <w:rFonts w:ascii="Arial" w:cs="Arial" w:eastAsia="Arial" w:hAnsi="Arial"/>
          <w:sz w:val="17"/>
          <w:szCs w:val="17"/>
          <w:color w:val="auto"/>
        </w:rPr>
      </w:pPr>
    </w:p>
    <w:p>
      <w:pPr>
        <w:ind w:firstLine="6"/>
        <w:spacing w:after="0" w:line="261" w:lineRule="auto"/>
        <w:tabs>
          <w:tab w:leader="none" w:pos="290" w:val="left"/>
        </w:tabs>
        <w:numPr>
          <w:ilvl w:val="0"/>
          <w:numId w:val="87"/>
        </w:numPr>
        <w:rPr>
          <w:rFonts w:ascii="Arial" w:cs="Arial" w:eastAsia="Arial" w:hAnsi="Arial"/>
          <w:sz w:val="19"/>
          <w:szCs w:val="19"/>
          <w:color w:val="auto"/>
        </w:rPr>
      </w:pPr>
      <w:r>
        <w:rPr>
          <w:rFonts w:ascii="Arial" w:cs="Arial" w:eastAsia="Arial" w:hAnsi="Arial"/>
          <w:sz w:val="19"/>
          <w:szCs w:val="19"/>
          <w:color w:val="auto"/>
        </w:rPr>
        <w:t>following the Effective Date that, in each case, would otherwise require such obligation to be recharacterized as a Capital Lease Obligation, to the extent that financial reporting shall not be affected hereby.</w:t>
      </w:r>
    </w:p>
    <w:p>
      <w:pPr>
        <w:spacing w:after="0" w:line="171" w:lineRule="exact"/>
        <w:rPr>
          <w:rFonts w:ascii="Arial" w:cs="Arial" w:eastAsia="Arial" w:hAnsi="Arial"/>
          <w:sz w:val="19"/>
          <w:szCs w:val="19"/>
          <w:color w:val="auto"/>
        </w:rPr>
      </w:pPr>
    </w:p>
    <w:p>
      <w:pPr>
        <w:ind w:firstLine="1278"/>
        <w:spacing w:after="0" w:line="278" w:lineRule="auto"/>
        <w:tabs>
          <w:tab w:leader="none" w:pos="1887" w:val="left"/>
        </w:tabs>
        <w:numPr>
          <w:ilvl w:val="1"/>
          <w:numId w:val="87"/>
        </w:numPr>
        <w:rPr>
          <w:rFonts w:ascii="Arial" w:cs="Arial" w:eastAsia="Arial" w:hAnsi="Arial"/>
          <w:sz w:val="19"/>
          <w:szCs w:val="19"/>
          <w:color w:val="auto"/>
        </w:rPr>
      </w:pPr>
      <w:r>
        <w:rPr>
          <w:rFonts w:ascii="Arial" w:cs="Arial" w:eastAsia="Arial" w:hAnsi="Arial"/>
          <w:sz w:val="19"/>
          <w:szCs w:val="19"/>
          <w:color w:val="auto"/>
        </w:rPr>
        <w:t>Where reference is made to “Holdings, any Intermediate Parent, Borrower and the Restricted Subsidiaries on a ‘consolidated basis’” or similar language, such consolidation shall not include any Unrestricted Subsidiaries.</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1.05</w:t>
      </w:r>
      <w:r>
        <w:rPr>
          <w:sz w:val="20"/>
          <w:szCs w:val="20"/>
          <w:color w:val="auto"/>
        </w:rPr>
        <w:tab/>
      </w:r>
      <w:r>
        <w:rPr>
          <w:rFonts w:ascii="Arial" w:cs="Arial" w:eastAsia="Arial" w:hAnsi="Arial"/>
          <w:sz w:val="17"/>
          <w:szCs w:val="17"/>
          <w:u w:val="single" w:color="auto"/>
          <w:color w:val="auto"/>
        </w:rPr>
        <w:t>Effectuation of Transactions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All references herein to Holdings, any Intermediate Parent, the Borrower and the other Subsidiaries shall be deemed to be references to such Persons, and all the representations and warranties of Holdings, any Intermediate Parent, the Borrower and the other Loan Parties contained in this Agreement and the other Loan Documents shall be deemed made, in each case, after giving effect to the Transactions that occurred on the Effective Date, unless the context otherwise requires.</w:t>
      </w:r>
    </w:p>
    <w:p>
      <w:pPr>
        <w:sectPr>
          <w:pgSz w:w="11900" w:h="16838" w:orient="portrait"/>
          <w:cols w:equalWidth="0" w:num="1">
            <w:col w:w="11240"/>
          </w:cols>
          <w:pgMar w:left="320" w:top="1395" w:right="339" w:bottom="1440" w:gutter="0" w:footer="0" w:header="0"/>
        </w:sectPr>
      </w:pPr>
    </w:p>
    <w:bookmarkStart w:id="140" w:name="page141"/>
    <w:bookmarkEnd w:id="140"/>
    <w:p>
      <w:pPr>
        <w:ind w:left="1280"/>
        <w:spacing w:after="0"/>
        <w:tabs>
          <w:tab w:leader="none" w:pos="2660" w:val="left"/>
        </w:tabs>
        <w:rPr>
          <w:sz w:val="20"/>
          <w:szCs w:val="20"/>
          <w:color w:val="auto"/>
        </w:rPr>
      </w:pPr>
      <w:r>
        <w:rPr>
          <w:rFonts w:ascii="Arial" w:cs="Arial" w:eastAsia="Arial" w:hAnsi="Arial"/>
          <w:sz w:val="19"/>
          <w:szCs w:val="19"/>
          <w:color w:val="auto"/>
        </w:rPr>
        <w:t>SECTION 1.06</w:t>
      </w:r>
      <w:r>
        <w:rPr>
          <w:sz w:val="20"/>
          <w:szCs w:val="20"/>
          <w:color w:val="auto"/>
        </w:rPr>
        <w:tab/>
      </w:r>
      <w:r>
        <w:rPr>
          <w:rFonts w:ascii="Arial" w:cs="Arial" w:eastAsia="Arial" w:hAnsi="Arial"/>
          <w:sz w:val="18"/>
          <w:szCs w:val="18"/>
          <w:u w:val="single" w:color="auto"/>
          <w:color w:val="auto"/>
        </w:rPr>
        <w:t>Limited Conditionality Acquisition</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8"/>
          <w:szCs w:val="18"/>
          <w:color w:val="auto"/>
        </w:rPr>
        <w:t>Notwithstanding anything in this Agreement or any Loan Document to the contrary, when calculating any applicable ratio, the amount or availability of the Available Amount or any other basket based on Consolidated EBITDA or total assets or whether a Default or Event of Default has occurred and is continuing, in each case in connection with a Limited Condition Acquisition, the date of determination of such ratio or other provisions, determination of whether any Default or Event of Default has occurred and is continuing shall, at the option of the Borrower (the Borrower’s election to exercise such option in connection with any Limited Condition Acquisition, an “</w:t>
      </w:r>
      <w:r>
        <w:rPr>
          <w:rFonts w:ascii="Arial" w:cs="Arial" w:eastAsia="Arial" w:hAnsi="Arial"/>
          <w:sz w:val="18"/>
          <w:szCs w:val="18"/>
          <w:u w:val="single" w:color="auto"/>
          <w:color w:val="auto"/>
        </w:rPr>
        <w:t>LCA Election</w:t>
      </w:r>
      <w:r>
        <w:rPr>
          <w:rFonts w:ascii="Arial" w:cs="Arial" w:eastAsia="Arial" w:hAnsi="Arial"/>
          <w:sz w:val="18"/>
          <w:szCs w:val="18"/>
          <w:color w:val="auto"/>
        </w:rPr>
        <w:t>”), be deemed to be the date the definitive agreements for such Limited Condition Acquisition are entered into (the “</w:t>
      </w:r>
      <w:r>
        <w:rPr>
          <w:rFonts w:ascii="Arial" w:cs="Arial" w:eastAsia="Arial" w:hAnsi="Arial"/>
          <w:sz w:val="18"/>
          <w:szCs w:val="18"/>
          <w:u w:val="single" w:color="auto"/>
          <w:color w:val="auto"/>
        </w:rPr>
        <w:t>LCA Test Date</w:t>
      </w:r>
      <w:r>
        <w:rPr>
          <w:rFonts w:ascii="Arial" w:cs="Arial" w:eastAsia="Arial" w:hAnsi="Arial"/>
          <w:sz w:val="18"/>
          <w:szCs w:val="18"/>
          <w:color w:val="auto"/>
        </w:rPr>
        <w:t>”) after giving Pro Forma Effect to such Limited Condition Acquisition and the other transactions to be entered into in connection therewith (including any incurrence of Indebtedness and the use of proceeds thereof) as if such transactions occurred at the beginning of the applicable Test Period, and for the avoidance of doubt, if any of such ratios or other provisions are exceeded as a result of fluctuations in such ratio or amount (including due to fluctuations in Consolidated EBITDA of the Borrower or such person subject to such Limited Condition Acquisition) or other provisions at or prior to the consummation of the relevant Limited Condition Acquisition, such ratios and other provisions will not be deemed to have been exceeded as a result of such fluctuations solely for purposes of determining whether the Limited Condition Acquisition is permitted hereunder. If the Borrower has made an LCA Election for any Limited Condition Acquisition, then in connection with any subsequent calculation of any ratio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shall be calculated (and tested) on a pro forma basis assuming such Limited Condition Acquisition and other transactions in connection therewith (including any incurrence of Indebtedness and the use of proceeds thereof) had been consummated on the LCA Test Date.</w:t>
      </w:r>
    </w:p>
    <w:p>
      <w:pPr>
        <w:spacing w:after="0" w:line="184"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1.07</w:t>
      </w:r>
      <w:r>
        <w:rPr>
          <w:sz w:val="20"/>
          <w:szCs w:val="20"/>
          <w:color w:val="auto"/>
        </w:rPr>
        <w:tab/>
      </w:r>
      <w:r>
        <w:rPr>
          <w:rFonts w:ascii="Arial" w:cs="Arial" w:eastAsia="Arial" w:hAnsi="Arial"/>
          <w:sz w:val="17"/>
          <w:szCs w:val="17"/>
          <w:u w:val="single" w:color="auto"/>
          <w:color w:val="auto"/>
        </w:rPr>
        <w:t>Certain Determinations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68" w:lineRule="auto"/>
        <w:tabs>
          <w:tab w:leader="none" w:pos="17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with any of the covenants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(including in connection with any Incremental Facility) at the time of incurrence, any Lien, Investment, Indebtedness, Disposition, Restricted Payment or Affiliate transaction meets the criteria of one, or more than one, of the categories permitted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(including in connection with any Incremental Facility), the Borrower (i) shall, at the time of incurrence, in its sole discretion determine under which category such Lien (other than Liens with respect to the Initial Term Loans), Investment, Indebtedness (other than Indebtedness consisting of the Initial Term Loans), Disposition, Restricted Payment or Affiliate transaction (or, in each case, any portion there) is permitted and (ii) shall be permitted, in its sole discretion, to make any determination and/or to divide or classify under which category or categories such Lien, Investment, Indebtedness, Disposition, Restricted Payment or Affiliate transaction is permitted at the time of incurrence. For the avoidance of doubt, if the applicable date for meeting any requirement hereunder or under any other Loan Document falls on a day that is not a Business Day, compliance with such requirement shall not be required until noon on the first (1</w:t>
      </w:r>
      <w:r>
        <w:rPr>
          <w:rFonts w:ascii="Arial" w:cs="Arial" w:eastAsia="Arial" w:hAnsi="Arial"/>
          <w:sz w:val="23"/>
          <w:szCs w:val="23"/>
          <w:color w:val="auto"/>
          <w:vertAlign w:val="superscript"/>
        </w:rPr>
        <w:t>st</w:t>
      </w:r>
      <w:r>
        <w:rPr>
          <w:rFonts w:ascii="Arial" w:cs="Arial" w:eastAsia="Arial" w:hAnsi="Arial"/>
          <w:sz w:val="18"/>
          <w:szCs w:val="18"/>
          <w:color w:val="auto"/>
        </w:rPr>
        <w:t>) Business Day following such applicable date.</w:t>
      </w:r>
    </w:p>
    <w:p>
      <w:pPr>
        <w:spacing w:after="0" w:line="88" w:lineRule="exact"/>
        <w:rPr>
          <w:rFonts w:ascii="Arial" w:cs="Arial" w:eastAsia="Arial" w:hAnsi="Arial"/>
          <w:sz w:val="18"/>
          <w:szCs w:val="18"/>
          <w:color w:val="auto"/>
        </w:rPr>
      </w:pPr>
    </w:p>
    <w:p>
      <w:pPr>
        <w:jc w:val="both"/>
        <w:ind w:firstLine="1278"/>
        <w:spacing w:after="0" w:line="257" w:lineRule="auto"/>
        <w:tabs>
          <w:tab w:leader="none" w:pos="1772"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Notwithstanding anything to the contrary herein, with respect to any amounts incurred or transactions entered into (or consummated) in reliance on a provision of this Agreement that does not require compliance with a financial ratio or test (including any Total Net Leverage Ratio) (any such amounts, the “</w:t>
      </w:r>
      <w:r>
        <w:rPr>
          <w:rFonts w:ascii="Arial" w:cs="Arial" w:eastAsia="Arial" w:hAnsi="Arial"/>
          <w:sz w:val="19"/>
          <w:szCs w:val="19"/>
          <w:u w:val="single" w:color="auto"/>
          <w:color w:val="auto"/>
        </w:rPr>
        <w:t>Fixed Amounts</w:t>
      </w:r>
      <w:r>
        <w:rPr>
          <w:rFonts w:ascii="Arial" w:cs="Arial" w:eastAsia="Arial" w:hAnsi="Arial"/>
          <w:sz w:val="19"/>
          <w:szCs w:val="19"/>
          <w:color w:val="auto"/>
        </w:rPr>
        <w:t>”) substantially concurrently with any amounts incurred or transactions entered into (or consummated) in reliance on a provision of this Agreement that requires compliance with</w:t>
      </w:r>
    </w:p>
    <w:p>
      <w:pPr>
        <w:sectPr>
          <w:pgSz w:w="11900" w:h="16838" w:orient="portrait"/>
          <w:cols w:equalWidth="0" w:num="1">
            <w:col w:w="11240"/>
          </w:cols>
          <w:pgMar w:left="320" w:top="1395" w:right="339" w:bottom="1440" w:gutter="0" w:footer="0" w:header="0"/>
        </w:sectPr>
      </w:pPr>
    </w:p>
    <w:bookmarkStart w:id="141" w:name="page142"/>
    <w:bookmarkEnd w:id="141"/>
    <w:p>
      <w:pPr>
        <w:jc w:val="both"/>
        <w:spacing w:after="0" w:line="263" w:lineRule="auto"/>
        <w:rPr>
          <w:sz w:val="20"/>
          <w:szCs w:val="20"/>
          <w:color w:val="auto"/>
        </w:rPr>
      </w:pPr>
      <w:r>
        <w:rPr>
          <w:rFonts w:ascii="Arial" w:cs="Arial" w:eastAsia="Arial" w:hAnsi="Arial"/>
          <w:sz w:val="19"/>
          <w:szCs w:val="19"/>
          <w:color w:val="auto"/>
        </w:rPr>
        <w:t>any such financial ratio or test (any such amounts, the “</w:t>
      </w:r>
      <w:r>
        <w:rPr>
          <w:rFonts w:ascii="Arial" w:cs="Arial" w:eastAsia="Arial" w:hAnsi="Arial"/>
          <w:sz w:val="19"/>
          <w:szCs w:val="19"/>
          <w:u w:val="single" w:color="auto"/>
          <w:color w:val="auto"/>
        </w:rPr>
        <w:t>Incurrence Based Amounts</w:t>
      </w:r>
      <w:r>
        <w:rPr>
          <w:rFonts w:ascii="Arial" w:cs="Arial" w:eastAsia="Arial" w:hAnsi="Arial"/>
          <w:sz w:val="19"/>
          <w:szCs w:val="19"/>
          <w:color w:val="auto"/>
        </w:rPr>
        <w:t>”), it is understood and agreed that the Fixed Amounts (and any cash proceeds thereof) shall be disregarded in the calculation of the financial ratio or test applicable to the Incurrence Based Amounts in connection with such substantially concurrent incurrence.</w:t>
      </w:r>
    </w:p>
    <w:p>
      <w:pPr>
        <w:spacing w:after="0" w:line="169" w:lineRule="exact"/>
        <w:rPr>
          <w:sz w:val="20"/>
          <w:szCs w:val="20"/>
          <w:color w:val="auto"/>
        </w:rPr>
      </w:pPr>
    </w:p>
    <w:p>
      <w:pPr>
        <w:jc w:val="both"/>
        <w:ind w:firstLine="642"/>
        <w:spacing w:after="0" w:line="280" w:lineRule="auto"/>
        <w:tabs>
          <w:tab w:leader="none" w:pos="107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Notwithstanding the foregoing, for purposes of any determination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any determination under any other provision of this Agreement subject to any Dollar limitation, threshold or basket, all amounts incurred, outstanding or proposed to be incurred or outstanding in currencies other than Dollars shall be translated into Dollars based on the relevant currency exchange rate in effect on the applicable date of determination (rounded to the nearest currency unit, with 0.5 or more of a currency unit being rounded upward);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purposes of determining compliance with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with respect to any amount in a currency other than Dollars, no Default or Event of Default shall be deemed to have occurred solely as a result of changes in rates of exchange occurring after the time such Indebtedness, Lien or Investment is incurred or Disposition, Restricted Payment or prepayment, redemption, purchase, defeasance or other payment in respect of any Junior Financing is made or such transaction with an Affiliate is entered into;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for the avoidance of doubt, the foregoing provisions of this </w:t>
      </w:r>
      <w:r>
        <w:rPr>
          <w:rFonts w:ascii="Arial" w:cs="Arial" w:eastAsia="Arial" w:hAnsi="Arial"/>
          <w:sz w:val="17"/>
          <w:szCs w:val="17"/>
          <w:u w:val="single" w:color="auto"/>
          <w:color w:val="auto"/>
        </w:rPr>
        <w:t>Section 1.07(c)</w:t>
      </w:r>
      <w:r>
        <w:rPr>
          <w:rFonts w:ascii="Arial" w:cs="Arial" w:eastAsia="Arial" w:hAnsi="Arial"/>
          <w:sz w:val="17"/>
          <w:szCs w:val="17"/>
          <w:color w:val="auto"/>
        </w:rPr>
        <w:t xml:space="preserve"> shall otherwise apply to such Sections, including with respect to determining whether any Indebtedness, Lien or Investment may be incurred or Disposition, Restricted Payment or prepayment, redemption, purchase, defeasance or other payments in respect of any Junior Financing may be made or such transaction with an Affiliate may be entered into at any time under such Sections. For purposes of any determination of Consolidated Total Indebtedness, amounts in currencies other than Dollars shall be translated into Dollars at the currency exchange rates used in preparing the most recently delivered financial statements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adjusted to reflect the currency translation effects, determined in accordance with GAAP, of any Swap Agreements permitted hereunder for currency exchange risks with respect to the applicable currency in effect on the date of determination of the U.S. dollar equivalent thereof.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6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1.08</w:t>
      </w:r>
      <w:r>
        <w:rPr>
          <w:sz w:val="20"/>
          <w:szCs w:val="20"/>
          <w:color w:val="auto"/>
        </w:rPr>
        <w:tab/>
      </w:r>
      <w:r>
        <w:rPr>
          <w:rFonts w:ascii="Arial" w:cs="Arial" w:eastAsia="Arial" w:hAnsi="Arial"/>
          <w:sz w:val="18"/>
          <w:szCs w:val="18"/>
          <w:u w:val="single" w:color="auto"/>
          <w:color w:val="auto"/>
        </w:rPr>
        <w:t>Divisions</w:t>
      </w:r>
      <w:r>
        <w:rPr>
          <w:rFonts w:ascii="Arial" w:cs="Arial" w:eastAsia="Arial" w:hAnsi="Arial"/>
          <w:sz w:val="18"/>
          <w:szCs w:val="18"/>
          <w:color w:val="auto"/>
        </w:rPr>
        <w: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7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1.09</w:t>
      </w:r>
      <w:r>
        <w:rPr>
          <w:sz w:val="20"/>
          <w:szCs w:val="20"/>
          <w:color w:val="auto"/>
        </w:rPr>
        <w:tab/>
      </w:r>
      <w:r>
        <w:rPr>
          <w:rFonts w:ascii="Arial" w:cs="Arial" w:eastAsia="Arial" w:hAnsi="Arial"/>
          <w:sz w:val="18"/>
          <w:szCs w:val="18"/>
          <w:u w:val="single" w:color="auto"/>
          <w:color w:val="auto"/>
        </w:rPr>
        <w:t>Interest Rates; LIBOR Notification</w:t>
      </w:r>
      <w:r>
        <w:rPr>
          <w:rFonts w:ascii="Arial" w:cs="Arial" w:eastAsia="Arial" w:hAnsi="Arial"/>
          <w:sz w:val="18"/>
          <w:szCs w:val="18"/>
          <w:color w:val="auto"/>
        </w:rPr>
        <w: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interest rate on a Loan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(“LIBOR”) is intended to represent the rate at which contributing banks may obtain short-term</w:t>
      </w:r>
    </w:p>
    <w:p>
      <w:pPr>
        <w:sectPr>
          <w:pgSz w:w="11900" w:h="16838" w:orient="portrait"/>
          <w:cols w:equalWidth="0" w:num="1">
            <w:col w:w="11240"/>
          </w:cols>
          <w:pgMar w:left="320" w:top="1395" w:right="339" w:bottom="1440" w:gutter="0" w:footer="0" w:header="0"/>
        </w:sectPr>
      </w:pPr>
    </w:p>
    <w:bookmarkStart w:id="142" w:name="page143"/>
    <w:bookmarkEnd w:id="142"/>
    <w:p>
      <w:pPr>
        <w:jc w:val="both"/>
        <w:spacing w:after="0" w:line="279" w:lineRule="auto"/>
        <w:rPr>
          <w:sz w:val="20"/>
          <w:szCs w:val="20"/>
          <w:color w:val="auto"/>
        </w:rPr>
      </w:pPr>
      <w:r>
        <w:rPr>
          <w:rFonts w:ascii="Arial" w:cs="Arial" w:eastAsia="Arial" w:hAnsi="Arial"/>
          <w:sz w:val="17"/>
          <w:szCs w:val="17"/>
          <w:color w:val="auto"/>
        </w:rPr>
        <w:t>borrowings from each other in the London interbank market. On March 5, 2021, the U.K. Financial Conduct Authority (“FCA”) publicly announced that: (a) immediately after December 31, 2021, publication of the 1-week and 2-month U.S. Dollar LIBOR settings will permanently cease; immediately after June 30, 2023, publication of the overnight and 12-month U.S. Dollar LIBOR settings will permanently cease;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or an Early Opt-in Election, Section 2.14(b) and (c) provide a mechanism for determining an alternative rate of interest. The Administrative Agent will promptly notify the Borrower, pursuant to Section 2.14(e), of any change to the reference rate upon which the interest rate on Term Benchmark Loans is based. However, the Administrative Agent does not warrant or accept any responsibility for, and shall not have any liability with respect to, the administration, submission, performance or any other matter related to LIBOR or other rates in the definition of “LIBO Rate” or with respect to any alternative or successor rate thereto, or replacement rate thereof (including, without limitation, (i) any such alternative, successor or replacement rate implemented pursuant to Section 2.14(b) or (c), whether upon the occurrence of a Benchmark Transition Event, a Term SOFR Transition Event, or an Early Opt-in Election, and (ii) the implementation of any Benchmark Replacement Conforming Changes pursuant to Section 2.14(d)),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 The Administrative Agent and its affiliates and/or other related entities may engage in transactions that affect the calculation of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the Term Benchmark Rate,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THE CREDITS</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2.01</w:t>
      </w:r>
      <w:r>
        <w:rPr>
          <w:sz w:val="20"/>
          <w:szCs w:val="20"/>
          <w:color w:val="auto"/>
        </w:rPr>
        <w:tab/>
      </w:r>
      <w:r>
        <w:rPr>
          <w:rFonts w:ascii="Arial" w:cs="Arial" w:eastAsia="Arial" w:hAnsi="Arial"/>
          <w:sz w:val="17"/>
          <w:szCs w:val="17"/>
          <w:u w:val="single" w:color="auto"/>
          <w:color w:val="auto"/>
        </w:rPr>
        <w:t>Commitments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Subject to the terms and conditions set forth herein, (i) each Term Lender severally agrees to make an Initial Term Loan to the Borrower denominated in dollars on the Effective Date in a principal amount equal to its Term Commitment and (ii) each Revolving Lender severally agrees to make Revolving Loans to the Borrower denominated in dollars in an aggregate principal amount which will not result in such Revolving Lender’s Revolving Exposure exceeding such Revolving Lender’s Revolving</w:t>
      </w:r>
    </w:p>
    <w:p>
      <w:pPr>
        <w:sectPr>
          <w:pgSz w:w="11900" w:h="16838" w:orient="portrait"/>
          <w:cols w:equalWidth="0" w:num="1">
            <w:col w:w="11240"/>
          </w:cols>
          <w:pgMar w:left="320" w:top="1395" w:right="339" w:bottom="1440" w:gutter="0" w:footer="0" w:header="0"/>
        </w:sectPr>
      </w:pPr>
    </w:p>
    <w:bookmarkStart w:id="143" w:name="page144"/>
    <w:bookmarkEnd w:id="143"/>
    <w:p>
      <w:pPr>
        <w:spacing w:after="0" w:line="278" w:lineRule="auto"/>
        <w:rPr>
          <w:sz w:val="20"/>
          <w:szCs w:val="20"/>
          <w:color w:val="auto"/>
        </w:rPr>
      </w:pPr>
      <w:r>
        <w:rPr>
          <w:rFonts w:ascii="Arial" w:cs="Arial" w:eastAsia="Arial" w:hAnsi="Arial"/>
          <w:sz w:val="19"/>
          <w:szCs w:val="19"/>
          <w:color w:val="auto"/>
        </w:rPr>
        <w:t>Commitment. The Borrower may borrow, prepay and reborrow Revolving Loans. Amounts repaid or prepaid in respect of Term Loans may not be reborrowed.</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2.02</w:t>
      </w:r>
      <w:r>
        <w:rPr>
          <w:sz w:val="20"/>
          <w:szCs w:val="20"/>
          <w:color w:val="auto"/>
        </w:rPr>
        <w:tab/>
      </w:r>
      <w:r>
        <w:rPr>
          <w:rFonts w:ascii="Arial" w:cs="Arial" w:eastAsia="Arial" w:hAnsi="Arial"/>
          <w:sz w:val="17"/>
          <w:szCs w:val="17"/>
          <w:u w:val="single" w:color="auto"/>
          <w:color w:val="auto"/>
        </w:rPr>
        <w:t>Loans and Borrowings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55" w:lineRule="auto"/>
        <w:tabs>
          <w:tab w:leader="none" w:pos="1741"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77" w:lineRule="exact"/>
        <w:rPr>
          <w:rFonts w:ascii="Arial" w:cs="Arial" w:eastAsia="Arial" w:hAnsi="Arial"/>
          <w:sz w:val="19"/>
          <w:szCs w:val="19"/>
          <w:color w:val="auto"/>
        </w:rPr>
      </w:pPr>
    </w:p>
    <w:p>
      <w:pPr>
        <w:jc w:val="both"/>
        <w:ind w:firstLine="1278"/>
        <w:spacing w:after="0" w:line="257" w:lineRule="auto"/>
        <w:tabs>
          <w:tab w:leader="none" w:pos="1754"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each Revolving Borrowing and Term Borrowing shall be comprised entirely of ABR Loans or Eurodollar Loans as the Borrower may request in accordance herewith. Each Lender at its option may make any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177" w:lineRule="exact"/>
        <w:rPr>
          <w:rFonts w:ascii="Arial" w:cs="Arial" w:eastAsia="Arial" w:hAnsi="Arial"/>
          <w:sz w:val="19"/>
          <w:szCs w:val="19"/>
          <w:color w:val="auto"/>
        </w:rPr>
      </w:pPr>
    </w:p>
    <w:p>
      <w:pPr>
        <w:jc w:val="both"/>
        <w:ind w:firstLine="1278"/>
        <w:spacing w:after="0" w:line="285" w:lineRule="auto"/>
        <w:tabs>
          <w:tab w:leader="none" w:pos="1747"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Borrowing, such Borrowing shall be in an aggregate amount that is an integral multiple of the Borrowing Multiple and not less than the Borrowing Minimum;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the Borrowing Multiple and not less than the Borrowing Minimum.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fifteen (15) Eurodollar Borrowings outstanding. Notwithstanding anything to the contrary herein, an ABR Revolving Borrowing may be in an aggregate amount equal to the entire unused balance of the aggregate Revolving Commitments or that is required to finance the reimbursement of an LC Disbursement as contemplated by </w:t>
      </w:r>
      <w:r>
        <w:rPr>
          <w:rFonts w:ascii="Arial" w:cs="Arial" w:eastAsia="Arial" w:hAnsi="Arial"/>
          <w:sz w:val="17"/>
          <w:szCs w:val="17"/>
          <w:u w:val="single" w:color="auto"/>
          <w:color w:val="auto"/>
        </w:rPr>
        <w:t>Section 2.05(f)</w:t>
      </w:r>
      <w:r>
        <w:rPr>
          <w:rFonts w:ascii="Arial" w:cs="Arial" w:eastAsia="Arial" w:hAnsi="Arial"/>
          <w:sz w:val="17"/>
          <w:szCs w:val="17"/>
          <w:color w:val="auto"/>
        </w:rPr>
        <w:t>.</w:t>
      </w:r>
    </w:p>
    <w:p>
      <w:pPr>
        <w:spacing w:after="0" w:line="15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2.03</w:t>
      </w:r>
      <w:r>
        <w:rPr>
          <w:sz w:val="20"/>
          <w:szCs w:val="20"/>
          <w:color w:val="auto"/>
        </w:rPr>
        <w:tab/>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7" w:lineRule="auto"/>
        <w:rPr>
          <w:sz w:val="20"/>
          <w:szCs w:val="20"/>
          <w:color w:val="auto"/>
        </w:rPr>
      </w:pPr>
      <w:r>
        <w:rPr>
          <w:rFonts w:ascii="Arial" w:cs="Arial" w:eastAsia="Arial" w:hAnsi="Arial"/>
          <w:sz w:val="18"/>
          <w:szCs w:val="18"/>
          <w:color w:val="auto"/>
        </w:rPr>
        <w:t xml:space="preserve">To request a Revolving Borrowing or Term Borrowing, the Borrower shall notify the Administrative Agent of such request in writing by telecopy, electronic mail, facsimile or overnight courier (a) in the case of a Eurodollar Borrowing, not later than 11:00 a.m., New York City time, three (3) Business Days before the date of the proposed Borrowing, (b) in the case of an ABR Borrowing of Revolving Loans, not later than 11:00 a.m., New York City time, on the date of the proposed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given in connection with Borrowings on the Effective Date (including Eurodollar Borrowings) may be given not later than 11:00 a.m., New York City time, two (2) Business Days before the Effective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each case, the Administrative Agent may in its discretion accept any later request. Each such written Borrowing Request shall be signed by the Borrower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Notice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Borrowing</w:t>
      </w:r>
      <w:r>
        <w:rPr>
          <w:rFonts w:ascii="Arial" w:cs="Arial" w:eastAsia="Arial" w:hAnsi="Arial"/>
          <w:sz w:val="18"/>
          <w:szCs w:val="18"/>
          <w:color w:val="auto"/>
        </w:rPr>
        <w:t>”) and shall be irrevocable. Each such written Borrowing Request shall specify the following information:</w:t>
      </w:r>
    </w:p>
    <w:p>
      <w:pPr>
        <w:spacing w:after="0" w:line="172" w:lineRule="exact"/>
        <w:rPr>
          <w:sz w:val="20"/>
          <w:szCs w:val="20"/>
          <w:color w:val="auto"/>
        </w:rPr>
      </w:pPr>
    </w:p>
    <w:p>
      <w:pPr>
        <w:ind w:left="960" w:firstLine="1272"/>
        <w:spacing w:after="0" w:line="278" w:lineRule="auto"/>
        <w:tabs>
          <w:tab w:leader="none" w:pos="2655" w:val="left"/>
        </w:tabs>
        <w:numPr>
          <w:ilvl w:val="0"/>
          <w:numId w:val="91"/>
        </w:numPr>
        <w:rPr>
          <w:rFonts w:ascii="Arial" w:cs="Arial" w:eastAsia="Arial" w:hAnsi="Arial"/>
          <w:sz w:val="19"/>
          <w:szCs w:val="19"/>
          <w:color w:val="auto"/>
        </w:rPr>
      </w:pPr>
      <w:r>
        <w:rPr>
          <w:rFonts w:ascii="Arial" w:cs="Arial" w:eastAsia="Arial" w:hAnsi="Arial"/>
          <w:sz w:val="19"/>
          <w:szCs w:val="19"/>
          <w:color w:val="auto"/>
        </w:rPr>
        <w:t>whether the requested Borrowing is to be a Revolving Borrowing, a Term Borrowing or a Borrowing of any other Class (specifying the Class thereof);</w:t>
      </w:r>
    </w:p>
    <w:p>
      <w:pPr>
        <w:spacing w:after="0" w:line="156" w:lineRule="exact"/>
        <w:rPr>
          <w:rFonts w:ascii="Arial" w:cs="Arial" w:eastAsia="Arial" w:hAnsi="Arial"/>
          <w:sz w:val="19"/>
          <w:szCs w:val="19"/>
          <w:color w:val="auto"/>
        </w:rPr>
      </w:pPr>
    </w:p>
    <w:p>
      <w:pPr>
        <w:ind w:left="2660" w:hanging="428"/>
        <w:spacing w:after="0"/>
        <w:tabs>
          <w:tab w:leader="none" w:pos="26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aggregate amount of such Borrowing;</w:t>
      </w:r>
    </w:p>
    <w:p>
      <w:pPr>
        <w:spacing w:after="0" w:line="218" w:lineRule="exact"/>
        <w:rPr>
          <w:rFonts w:ascii="Arial" w:cs="Arial" w:eastAsia="Arial" w:hAnsi="Arial"/>
          <w:sz w:val="19"/>
          <w:szCs w:val="19"/>
          <w:color w:val="auto"/>
        </w:rPr>
      </w:pPr>
    </w:p>
    <w:p>
      <w:pPr>
        <w:ind w:left="2720" w:hanging="488"/>
        <w:spacing w:after="0"/>
        <w:tabs>
          <w:tab w:leader="none" w:pos="27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date of such Borrowing, which shall be a Business Day;</w:t>
      </w:r>
    </w:p>
    <w:p>
      <w:pPr>
        <w:sectPr>
          <w:pgSz w:w="11900" w:h="16838" w:orient="portrait"/>
          <w:cols w:equalWidth="0" w:num="1">
            <w:col w:w="11240"/>
          </w:cols>
          <w:pgMar w:left="320" w:top="1395" w:right="339" w:bottom="1440" w:gutter="0" w:footer="0" w:header="0"/>
        </w:sectPr>
      </w:pPr>
    </w:p>
    <w:bookmarkStart w:id="144" w:name="page145"/>
    <w:bookmarkEnd w:id="144"/>
    <w:p>
      <w:pPr>
        <w:ind w:left="2700" w:hanging="468"/>
        <w:spacing w:after="0"/>
        <w:tabs>
          <w:tab w:leader="none" w:pos="27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whether such Borrowing is to be an ABR Borrowing or a Eurodollar Borrowing;</w:t>
      </w:r>
    </w:p>
    <w:p>
      <w:pPr>
        <w:spacing w:after="0" w:line="218" w:lineRule="exact"/>
        <w:rPr>
          <w:rFonts w:ascii="Arial" w:cs="Arial" w:eastAsia="Arial" w:hAnsi="Arial"/>
          <w:sz w:val="19"/>
          <w:szCs w:val="19"/>
          <w:color w:val="auto"/>
        </w:rPr>
      </w:pPr>
    </w:p>
    <w:p>
      <w:pPr>
        <w:ind w:left="960" w:firstLine="1272"/>
        <w:spacing w:after="0" w:line="278" w:lineRule="auto"/>
        <w:tabs>
          <w:tab w:leader="none" w:pos="2727"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the case of a Eurodollar Borrowing, the initial Interest Period to be applicable thereto, which shall be a period contemplated by the definition of the term “Interest Period”;</w:t>
      </w:r>
    </w:p>
    <w:p>
      <w:pPr>
        <w:spacing w:after="0" w:line="156" w:lineRule="exact"/>
        <w:rPr>
          <w:rFonts w:ascii="Arial" w:cs="Arial" w:eastAsia="Arial" w:hAnsi="Arial"/>
          <w:sz w:val="19"/>
          <w:szCs w:val="19"/>
          <w:color w:val="auto"/>
        </w:rPr>
      </w:pPr>
    </w:p>
    <w:p>
      <w:pPr>
        <w:jc w:val="both"/>
        <w:ind w:left="960" w:firstLine="1272"/>
        <w:spacing w:after="0" w:line="284" w:lineRule="auto"/>
        <w:tabs>
          <w:tab w:leader="none" w:pos="27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in the case of any ABR Revolving Borrowing requested to finance the reimbursement of an LC Disbursement as provided in </w:t>
      </w:r>
      <w:r>
        <w:rPr>
          <w:rFonts w:ascii="Arial" w:cs="Arial" w:eastAsia="Arial" w:hAnsi="Arial"/>
          <w:sz w:val="18"/>
          <w:szCs w:val="18"/>
          <w:u w:val="single" w:color="auto"/>
          <w:color w:val="auto"/>
        </w:rPr>
        <w:t>Section 2.05(f)</w:t>
      </w:r>
      <w:r>
        <w:rPr>
          <w:rFonts w:ascii="Arial" w:cs="Arial" w:eastAsia="Arial" w:hAnsi="Arial"/>
          <w:sz w:val="18"/>
          <w:szCs w:val="18"/>
          <w:color w:val="auto"/>
        </w:rPr>
        <w:t>, the identity of the Issuing Bank that made such LC Disbursement; and</w:t>
      </w:r>
    </w:p>
    <w:p>
      <w:pPr>
        <w:spacing w:after="0" w:line="152" w:lineRule="exact"/>
        <w:rPr>
          <w:rFonts w:ascii="Arial" w:cs="Arial" w:eastAsia="Arial" w:hAnsi="Arial"/>
          <w:sz w:val="18"/>
          <w:szCs w:val="18"/>
          <w:color w:val="auto"/>
        </w:rPr>
      </w:pPr>
    </w:p>
    <w:p>
      <w:pPr>
        <w:ind w:left="960" w:firstLine="1272"/>
        <w:spacing w:after="0" w:line="278" w:lineRule="auto"/>
        <w:tabs>
          <w:tab w:leader="none" w:pos="2911"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except in the case of any Borrowing that is made on the Effective Date, that as of the date of such Borrowing, the conditions set forth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are satisfied.</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If no election as to the Type of Borrowing is specified as to any Borrowing,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w:t>
      </w:r>
      <w:r>
        <w:rPr>
          <w:rFonts w:ascii="Arial" w:cs="Arial" w:eastAsia="Arial" w:hAnsi="Arial"/>
          <w:sz w:val="19"/>
          <w:szCs w:val="19"/>
          <w:u w:val="single" w:color="auto"/>
          <w:color w:val="auto"/>
        </w:rPr>
        <w:t>Section 2.03</w:t>
      </w:r>
      <w:r>
        <w:rPr>
          <w:rFonts w:ascii="Arial" w:cs="Arial" w:eastAsia="Arial" w:hAnsi="Arial"/>
          <w:sz w:val="19"/>
          <w:szCs w:val="19"/>
          <w:color w:val="auto"/>
        </w:rPr>
        <w:t>, the Administrative Agent shall advise each Lender of the applicable Class of the details thereof and of the amount of such Lender’s Loan to be made as part of the requested Borrowing.</w:t>
      </w:r>
    </w:p>
    <w:p>
      <w:pPr>
        <w:spacing w:after="0" w:line="17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2.04</w:t>
      </w:r>
      <w:r>
        <w:rPr>
          <w:sz w:val="20"/>
          <w:szCs w:val="20"/>
          <w:color w:val="auto"/>
        </w:rPr>
        <w:tab/>
      </w:r>
      <w:r>
        <w:rPr>
          <w:rFonts w:ascii="Arial" w:cs="Arial" w:eastAsia="Arial" w:hAnsi="Arial"/>
          <w:sz w:val="17"/>
          <w:szCs w:val="17"/>
          <w:color w:val="auto"/>
        </w:rPr>
        <w:t>[Reserved].</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2.05</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258" w:lineRule="auto"/>
        <w:tabs>
          <w:tab w:leader="none" w:pos="177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terms and conditions set forth herein (including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each Issuing Bank may, in its discretion and in reliance upon the agreements of the Revolving Lenders and the Borrower set forth in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elsewhere in the Loan Documents, issue Letters of Credit for the Borrower’s own account (or for the account of any Subsidiary of the Borrower so long as the Borrower is an obligor in respect of all Loan Document Obligations arising under or in respect of such Letter of Credit), in a form reasonably acceptable to the Administrative Agent and the applicable Issuing Bank, which shall reflect the standard operating procedures of such Issuing Bank, at any time and from time to time during the period from the Effective Date until the date that is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prior to the Revolving Maturity Date. In the event of any inconsistency between the terms and conditions of this Agreement and the terms and conditions of any form of letter of credit or bank guarantee application or other agreement submitted by the Borrower to, or entered into by the Borrower with, the applicable Issuing Bank relating to any Letter of Credit, the terms and conditions of this Agreement shall control. For the avoidance of doubt, no Issuing Bank shall be required to provide any bank guarantees or issue any letters of credit that are not standby letters of credit.</w:t>
      </w:r>
    </w:p>
    <w:p>
      <w:pPr>
        <w:spacing w:after="0" w:line="177" w:lineRule="exact"/>
        <w:rPr>
          <w:rFonts w:ascii="Arial" w:cs="Arial" w:eastAsia="Arial" w:hAnsi="Arial"/>
          <w:sz w:val="18"/>
          <w:szCs w:val="18"/>
          <w:color w:val="auto"/>
        </w:rPr>
      </w:pPr>
    </w:p>
    <w:p>
      <w:pPr>
        <w:jc w:val="both"/>
        <w:ind w:firstLine="1278"/>
        <w:spacing w:after="0" w:line="292" w:lineRule="auto"/>
        <w:tabs>
          <w:tab w:leader="none" w:pos="1759"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Issuance, Amendment, Renewal or Extension; Certain Conditions</w:t>
      </w:r>
      <w:r>
        <w:rPr>
          <w:rFonts w:ascii="Arial" w:cs="Arial" w:eastAsia="Arial" w:hAnsi="Arial"/>
          <w:sz w:val="17"/>
          <w:szCs w:val="17"/>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five (5) Business Days before the requested date of issuance, amendment, renewal or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the Issuing Bank may in its discretion accept any later notice, and any such determination by the Issuing Bank to accept later notice</w:t>
      </w:r>
    </w:p>
    <w:p>
      <w:pPr>
        <w:sectPr>
          <w:pgSz w:w="11900" w:h="16838" w:orient="portrait"/>
          <w:cols w:equalWidth="0" w:num="1">
            <w:col w:w="11240"/>
          </w:cols>
          <w:pgMar w:left="320" w:top="1395" w:right="339" w:bottom="1440" w:gutter="0" w:footer="0" w:header="0"/>
        </w:sectPr>
      </w:pPr>
    </w:p>
    <w:bookmarkStart w:id="145" w:name="page146"/>
    <w:bookmarkEnd w:id="145"/>
    <w:p>
      <w:pPr>
        <w:jc w:val="both"/>
        <w:spacing w:after="0" w:line="262" w:lineRule="auto"/>
        <w:rPr>
          <w:sz w:val="20"/>
          <w:szCs w:val="20"/>
          <w:color w:val="auto"/>
        </w:rPr>
      </w:pPr>
      <w:r>
        <w:rPr>
          <w:rFonts w:ascii="Arial" w:cs="Arial" w:eastAsia="Arial" w:hAnsi="Arial"/>
          <w:sz w:val="18"/>
          <w:szCs w:val="18"/>
          <w:color w:val="auto"/>
        </w:rPr>
        <w:t xml:space="preserve">shall be binding on the Administrative Agent) a notice requesting the issuance of a Letter of Credit, or identifying the Letter of Credit to be amended or extended, and specifying the date of issuance, amendment, renewal or extension, as the case may be (which shall be a Business Day), the date on which such Letter of Credit is to expire (which shall comply with paragraph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the amount of such Letter of Credit, the name and address of the beneficiary thereof and such other information as shall be necessary to prepare, amend or extend, as the case may be, such Letter of Credit. Each such notice shall be in the form of </w:t>
      </w:r>
      <w:r>
        <w:rPr>
          <w:rFonts w:ascii="Arial" w:cs="Arial" w:eastAsia="Arial" w:hAnsi="Arial"/>
          <w:sz w:val="18"/>
          <w:szCs w:val="18"/>
          <w:u w:val="single" w:color="auto"/>
          <w:color w:val="auto"/>
        </w:rPr>
        <w:t>Exhibit T</w:t>
      </w:r>
      <w:r>
        <w:rPr>
          <w:rFonts w:ascii="Arial" w:cs="Arial" w:eastAsia="Arial" w:hAnsi="Arial"/>
          <w:sz w:val="18"/>
          <w:szCs w:val="18"/>
          <w:color w:val="auto"/>
        </w:rPr>
        <w:t>, appropriately completed (each, a “</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Request</w:t>
      </w:r>
      <w:r>
        <w:rPr>
          <w:rFonts w:ascii="Arial" w:cs="Arial" w:eastAsia="Arial" w:hAnsi="Arial"/>
          <w:sz w:val="18"/>
          <w:szCs w:val="18"/>
          <w:color w:val="auto"/>
        </w:rPr>
        <w:t xml:space="preserve">”). If requested by the applicable Issuing Bank, the Borrower also shall submit a letter of credit application on such Issuing Bank’s standard form in connection with any request for a Letter of Credit. A Letter of Credit shall be issued, amended or extended only if (and upon issuance, amendment, renewal or extension of any Letter of Credit the Borrower shall be deemed to represent and warrant that), after giving effect to such issuance, amendment, renewal or extension, (i) subject to </w:t>
      </w:r>
      <w:r>
        <w:rPr>
          <w:rFonts w:ascii="Arial" w:cs="Arial" w:eastAsia="Arial" w:hAnsi="Arial"/>
          <w:sz w:val="18"/>
          <w:szCs w:val="18"/>
          <w:u w:val="single" w:color="auto"/>
          <w:color w:val="auto"/>
        </w:rPr>
        <w:t>Section 9.04(b)(ii)</w:t>
      </w:r>
      <w:r>
        <w:rPr>
          <w:rFonts w:ascii="Arial" w:cs="Arial" w:eastAsia="Arial" w:hAnsi="Arial"/>
          <w:sz w:val="18"/>
          <w:szCs w:val="18"/>
          <w:color w:val="auto"/>
        </w:rPr>
        <w:t xml:space="preserve">, the Applicable Fronting Exposure of each Issuing Bank shall not exceed its Revolving Commitment, (ii) the aggregate Revolving Exposures shall not exceed the aggregate Revolving Commitments and (iii) the aggregate LC Exposure shall not exceed the Letter of Credit Sublimit. To the extent there is more than one Issuing Bank, the Borrower will use reasonable efforts to request Letters of Credit from such Issuing Banks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(determined based on the Letter of Credit Sublimit being divided equally among the Issuing Banks);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unless agreed in its discretion,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Administrative Agent and the applicable Issuing Bank, such Letter of Credit is to be denominated in a currency other than Dollars, (iv) except as otherwise agreed by the Administrative Agent and such Issuing Bank, the Letter of Credit is in an initial stated amount less than $500,000, in the case of a standby Letter of Credit, or (v) any Lender is at that time a Defaulting Lender, if after giving effect to </w:t>
      </w:r>
      <w:r>
        <w:rPr>
          <w:rFonts w:ascii="Arial" w:cs="Arial" w:eastAsia="Arial" w:hAnsi="Arial"/>
          <w:sz w:val="18"/>
          <w:szCs w:val="18"/>
          <w:u w:val="single" w:color="auto"/>
          <w:color w:val="auto"/>
        </w:rPr>
        <w:t>Section 2.22(a)(iv)</w:t>
      </w:r>
      <w:r>
        <w:rPr>
          <w:rFonts w:ascii="Arial" w:cs="Arial" w:eastAsia="Arial" w:hAnsi="Arial"/>
          <w:sz w:val="18"/>
          <w:szCs w:val="18"/>
          <w:color w:val="auto"/>
        </w:rPr>
        <w:t>,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w:t>
      </w:r>
    </w:p>
    <w:p>
      <w:pPr>
        <w:sectPr>
          <w:pgSz w:w="11900" w:h="16838" w:orient="portrait"/>
          <w:cols w:equalWidth="0" w:num="1">
            <w:col w:w="11240"/>
          </w:cols>
          <w:pgMar w:left="320" w:top="1395" w:right="339" w:bottom="1440" w:gutter="0" w:footer="0" w:header="0"/>
        </w:sectPr>
      </w:pPr>
    </w:p>
    <w:bookmarkStart w:id="146" w:name="page147"/>
    <w:bookmarkEnd w:id="146"/>
    <w:p>
      <w:pPr>
        <w:ind w:left="560" w:hanging="402"/>
        <w:spacing w:after="0"/>
        <w:tabs>
          <w:tab w:leader="none" w:pos="5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left="-1120" w:firstLine="1278"/>
        <w:spacing w:after="0" w:line="243" w:lineRule="auto"/>
        <w:tabs>
          <w:tab w:leader="none" w:pos="599"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expiry date is not a Business Day, such Letter of Credit shall expire at or prior to the close of business on the next succeeding Business Day;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Letter of Credit may, upon the request of the Borrower, include a provision whereby such Letter of Credit shall be renewed, exchanged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 applicable expiration date, that such Letter of Credit will not be renewed, exchanged or extended;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Letter of Credit shall not be required to expire on such fifth (5</w:t>
      </w:r>
      <w:r>
        <w:rPr>
          <w:rFonts w:ascii="Arial" w:cs="Arial" w:eastAsia="Arial" w:hAnsi="Arial"/>
          <w:sz w:val="25"/>
          <w:szCs w:val="25"/>
          <w:color w:val="auto"/>
          <w:vertAlign w:val="superscript"/>
        </w:rPr>
        <w:t>th</w:t>
      </w:r>
      <w:r>
        <w:rPr>
          <w:rFonts w:ascii="Arial" w:cs="Arial" w:eastAsia="Arial" w:hAnsi="Arial"/>
          <w:sz w:val="19"/>
          <w:szCs w:val="19"/>
          <w:color w:val="auto"/>
        </w:rPr>
        <w:t>) Business Day prior to the Revolving Maturity Date if such Letter of Credit is cash collateralized or backstopped in an amount, by an institution and otherwise pursuant to arrangements, in each case reasonably acceptable to the applicable Issuing Bank.</w:t>
      </w:r>
    </w:p>
    <w:p>
      <w:pPr>
        <w:spacing w:after="0" w:line="190" w:lineRule="exact"/>
        <w:rPr>
          <w:rFonts w:ascii="Arial" w:cs="Arial" w:eastAsia="Arial" w:hAnsi="Arial"/>
          <w:sz w:val="19"/>
          <w:szCs w:val="19"/>
          <w:color w:val="auto"/>
        </w:rPr>
      </w:pPr>
    </w:p>
    <w:p>
      <w:pPr>
        <w:jc w:val="both"/>
        <w:ind w:left="-1120" w:firstLine="1278"/>
        <w:spacing w:after="0" w:line="265" w:lineRule="auto"/>
        <w:tabs>
          <w:tab w:leader="none" w:pos="58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Borrower on the date due as provided in paragraph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or of any reimbursement payment required to be refunded to the Borrower for any reason.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spacing w:after="0" w:line="172" w:lineRule="exact"/>
        <w:rPr>
          <w:rFonts w:ascii="Arial" w:cs="Arial" w:eastAsia="Arial" w:hAnsi="Arial"/>
          <w:sz w:val="18"/>
          <w:szCs w:val="18"/>
          <w:color w:val="auto"/>
        </w:rPr>
      </w:pPr>
    </w:p>
    <w:p>
      <w:pPr>
        <w:jc w:val="both"/>
        <w:ind w:left="-1120" w:firstLine="1278"/>
        <w:spacing w:after="0" w:line="250" w:lineRule="auto"/>
        <w:tabs>
          <w:tab w:leader="none" w:pos="58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If an Issuing Bank shall make any LC Disbursement in respect of a Letter of Credit, the Borrower shall reimburse such LC Disbursement by paying to the Administrative Agent an amount (in same day funds) equal to such LC Disbursement not later than 4:00 p.m., New York City time, on the Business Day immediately following the day that the Borrower receives notice of such LC Disbursement (the “</w:t>
      </w:r>
      <w:r>
        <w:rPr>
          <w:rFonts w:ascii="Arial" w:cs="Arial" w:eastAsia="Arial" w:hAnsi="Arial"/>
          <w:sz w:val="19"/>
          <w:szCs w:val="19"/>
          <w:u w:val="single" w:color="auto"/>
          <w:color w:val="auto"/>
        </w:rPr>
        <w:t>Reimbursement Date</w:t>
      </w:r>
      <w:r>
        <w:rPr>
          <w:rFonts w:ascii="Arial" w:cs="Arial" w:eastAsia="Arial" w:hAnsi="Arial"/>
          <w:sz w:val="19"/>
          <w:szCs w:val="19"/>
          <w:color w:val="auto"/>
        </w:rPr>
        <w:t xml:space="preserve">”), together with accrued interest thereon in accordance with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Anything contained herein to the contrary notwithstanding, (i) unless the Borrower shall have notified the Administrative Agent and the applicable Issuing Bank prior to 4:00 p.m., New York City time, on the date such LC Disbursement is made that the Borrower intends to reimburse the applicable Issuing Bank for the amount of the LC Disbursement (including any accrued interest thereon) with funds other than the proceeds of Revolving Loans, the Borrower shall be deemed to have given a timely Borrowing Request to the Administrative Agent requesting Revolving Lenders to make Revolving Loans that are ABR Revolving Loans on the Reimbursement Date in an amount equal to such LC Disbursement (together with any accrued interest</w:t>
      </w:r>
    </w:p>
    <w:p>
      <w:pPr>
        <w:sectPr>
          <w:pgSz w:w="11900" w:h="16838" w:orient="portrait"/>
          <w:cols w:equalWidth="0" w:num="1">
            <w:col w:w="10120"/>
          </w:cols>
          <w:pgMar w:left="1440" w:top="1395" w:right="339" w:bottom="1440" w:gutter="0" w:footer="0" w:header="0"/>
        </w:sectPr>
      </w:pPr>
    </w:p>
    <w:bookmarkStart w:id="147" w:name="page148"/>
    <w:bookmarkEnd w:id="147"/>
    <w:p>
      <w:pPr>
        <w:jc w:val="both"/>
        <w:spacing w:after="0" w:line="251" w:lineRule="auto"/>
        <w:rPr>
          <w:sz w:val="20"/>
          <w:szCs w:val="20"/>
          <w:color w:val="auto"/>
        </w:rPr>
      </w:pPr>
      <w:r>
        <w:rPr>
          <w:rFonts w:ascii="Arial" w:cs="Arial" w:eastAsia="Arial" w:hAnsi="Arial"/>
          <w:sz w:val="19"/>
          <w:szCs w:val="19"/>
          <w:color w:val="auto"/>
        </w:rPr>
        <w:t xml:space="preserve">thereon), and (ii) subject to satisfaction or waiver of the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Revolving Lenders shall, on the Reimbursement Date, make Revolving Loans that are ABR Revolving Loans in an amount equal to their Applicable Percentage of such LC Disbursement (together with any accrued interest thereon), the proceeds of which shall be applied directly by the Administrative Agent to reimburse the applicable Issuing Bank for the amount of such LC Disbursement (together with any accrued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for any reason proceeds of Revolving Loans are not received by the Issuing Bank on the Reimbursement Date in an amount equal to such LC Disbursement (together with any accrued interest thereon), the Borrower shall reimburse the applicable Issuing Bank, on demand, in an amount in same day funds equal to the excess of such LC Disbursement (together with any accrued interest thereon) over the aggregate amount of such Revolving Loans, if any, which are so received. The Revolving Loans made pursuant to this paragraph </w:t>
      </w:r>
      <w:r>
        <w:rPr>
          <w:rFonts w:ascii="Arial" w:cs="Arial" w:eastAsia="Arial" w:hAnsi="Arial"/>
          <w:sz w:val="19"/>
          <w:szCs w:val="19"/>
          <w:u w:val="single" w:color="auto"/>
          <w:color w:val="auto"/>
        </w:rPr>
        <w:t>(f)</w:t>
      </w:r>
      <w:r>
        <w:rPr>
          <w:rFonts w:ascii="Arial" w:cs="Arial" w:eastAsia="Arial" w:hAnsi="Arial"/>
          <w:sz w:val="19"/>
          <w:szCs w:val="19"/>
          <w:color w:val="auto"/>
        </w:rPr>
        <w:t xml:space="preserve"> shall be made without regard to the Borrowing Minimum.</w:t>
      </w:r>
    </w:p>
    <w:p>
      <w:pPr>
        <w:spacing w:after="0" w:line="183" w:lineRule="exact"/>
        <w:rPr>
          <w:sz w:val="20"/>
          <w:szCs w:val="20"/>
          <w:color w:val="auto"/>
        </w:rPr>
      </w:pPr>
    </w:p>
    <w:p>
      <w:pPr>
        <w:jc w:val="both"/>
        <w:ind w:firstLine="1278"/>
        <w:spacing w:after="0" w:line="262" w:lineRule="auto"/>
        <w:tabs>
          <w:tab w:leader="none" w:pos="178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Borrower’s obligation to reimburse LC Disbursements as provided in paragraph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strictly with the terms of such Letter of Credit, (vi) any adverse change in the business, operations, properties, assets, condition (financial or otherwise) or prospects of Holdings or any of its Subsidiaries; (vii) any breach hereof or any other Loan Document by any party hereto or thereto, (viii) the fact that an Event of Default or a Default shall have occurred and be continuing, or (ix) any other event or circumstance whatsoever, whether or not similar to any of the foregoing, that might, but for the provisions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constitute a legal or equitable discharge of, or provide a right of setoff against, the Borrower’s obligations hereunder.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w:t>
      </w:r>
    </w:p>
    <w:p>
      <w:pPr>
        <w:sectPr>
          <w:pgSz w:w="11900" w:h="16838" w:orient="portrait"/>
          <w:cols w:equalWidth="0" w:num="1">
            <w:col w:w="11240"/>
          </w:cols>
          <w:pgMar w:left="320" w:top="1395" w:right="339" w:bottom="1440" w:gutter="0" w:footer="0" w:header="0"/>
        </w:sectPr>
      </w:pPr>
    </w:p>
    <w:bookmarkStart w:id="148" w:name="page149"/>
    <w:bookmarkEnd w:id="148"/>
    <w:p>
      <w:pPr>
        <w:jc w:val="both"/>
        <w:spacing w:after="0" w:line="264" w:lineRule="auto"/>
        <w:rPr>
          <w:sz w:val="20"/>
          <w:szCs w:val="20"/>
          <w:color w:val="auto"/>
        </w:rPr>
      </w:pPr>
      <w:r>
        <w:rPr>
          <w:rFonts w:ascii="Arial" w:cs="Arial" w:eastAsia="Arial" w:hAnsi="Arial"/>
          <w:sz w:val="18"/>
          <w:szCs w:val="18"/>
          <w:color w:val="auto"/>
        </w:rPr>
        <w:t>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pacing w:after="0" w:line="171" w:lineRule="exact"/>
        <w:rPr>
          <w:sz w:val="20"/>
          <w:szCs w:val="20"/>
          <w:color w:val="auto"/>
        </w:rPr>
      </w:pPr>
    </w:p>
    <w:p>
      <w:pPr>
        <w:jc w:val="both"/>
        <w:ind w:firstLine="1278"/>
        <w:spacing w:after="0" w:line="253" w:lineRule="auto"/>
        <w:tabs>
          <w:tab w:leader="none" w:pos="1851"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Issuing Bank shall, promptly following its receipt thereof, examine all documents purporting to represent a demand for payment under a Letter of Credit. Each Issuing Bank shall promptly notify the Administrative Agent and the Borrower in writing by telecopy, electronic mail, facsimile or overnight courier of such demand for payment and whether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such Issuing Bank and the Revolving Lenders with respect to any such LC Disbursement in accordance with paragraph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jc w:val="both"/>
        <w:ind w:firstLine="1278"/>
        <w:spacing w:after="0" w:line="251" w:lineRule="auto"/>
        <w:tabs>
          <w:tab w:leader="none" w:pos="167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when due pursuant to paragraph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paragraph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82" w:lineRule="exact"/>
        <w:rPr>
          <w:rFonts w:ascii="Arial" w:cs="Arial" w:eastAsia="Arial" w:hAnsi="Arial"/>
          <w:sz w:val="19"/>
          <w:szCs w:val="19"/>
          <w:color w:val="auto"/>
        </w:rPr>
      </w:pPr>
    </w:p>
    <w:p>
      <w:pPr>
        <w:jc w:val="both"/>
        <w:ind w:firstLine="1278"/>
        <w:spacing w:after="0" w:line="263" w:lineRule="auto"/>
        <w:tabs>
          <w:tab w:leader="none" w:pos="167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If (i) effective immediately, without demand or other notice of any kind, as of any expiration date of a Letter of Credit, such Letter of Credit may for any reason remain outstanding and partially or wholly undrawn, (ii) effective immediately, without demand or</w:t>
      </w:r>
    </w:p>
    <w:p>
      <w:pPr>
        <w:sectPr>
          <w:pgSz w:w="11900" w:h="16838" w:orient="portrait"/>
          <w:cols w:equalWidth="0" w:num="1">
            <w:col w:w="11240"/>
          </w:cols>
          <w:pgMar w:left="320" w:top="1395" w:right="339" w:bottom="1440" w:gutter="0" w:footer="0" w:header="0"/>
        </w:sectPr>
      </w:pPr>
    </w:p>
    <w:bookmarkStart w:id="149" w:name="page150"/>
    <w:bookmarkEnd w:id="149"/>
    <w:p>
      <w:pPr>
        <w:jc w:val="both"/>
        <w:spacing w:after="0" w:line="262" w:lineRule="auto"/>
        <w:rPr>
          <w:sz w:val="20"/>
          <w:szCs w:val="20"/>
          <w:color w:val="auto"/>
        </w:rPr>
      </w:pPr>
      <w:r>
        <w:rPr>
          <w:rFonts w:ascii="Arial" w:cs="Arial" w:eastAsia="Arial" w:hAnsi="Arial"/>
          <w:sz w:val="18"/>
          <w:szCs w:val="18"/>
          <w:color w:val="auto"/>
        </w:rPr>
        <w:t xml:space="preserve">other notice of any kind, as of the occurrence of any Event of Default under paragraph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(iii) any Event of Default under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occur and be continuing, on the Business Day on which the Borrower receives notice from the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the Administrative Agent, in the name of the Administrative Agent and for the benefit of the Secured Parties, an amount of cash in dollars equal to the portions of the LC Exposure attributable to Letters of Credit, as of such date plus any accrued and unpaid interest thereon. The Borrower also shall deposit cash collateral pursuant to this paragraph as and to the extent required by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Each such deposit shall be held by the Administrative Agent as collateral for the payment and performance of the obligations of the Borrower under this Agreement and the other Loan Documents. At any time that there shall exist a Defaulting Lender, if any Defaulting Lender Fronting Exposure remains outstanding (after giving effect to </w:t>
      </w:r>
      <w:r>
        <w:rPr>
          <w:rFonts w:ascii="Arial" w:cs="Arial" w:eastAsia="Arial" w:hAnsi="Arial"/>
          <w:sz w:val="18"/>
          <w:szCs w:val="18"/>
          <w:u w:val="single" w:color="auto"/>
          <w:color w:val="auto"/>
        </w:rPr>
        <w:t>Section 2.22(a)(iv)</w:t>
      </w:r>
      <w:r>
        <w:rPr>
          <w:rFonts w:ascii="Arial" w:cs="Arial" w:eastAsia="Arial" w:hAnsi="Arial"/>
          <w:sz w:val="18"/>
          <w:szCs w:val="18"/>
          <w:color w:val="auto"/>
        </w:rPr>
        <w:t xml:space="preserve">), then promptly upon the request of the Administrative Agent or the Issuing Bank, the Borrower shall deliver to the Administrative Agent cash collateral in an amount sufficient to cover such Defaulting Lender Fronting Exposure (after giving effect to any cash collateral provided by the Defaulting Lender). The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Administrative Agent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(3) Business Days after all Events of Default have been cured or waived or after the termination of Defaulting Lender status, as applicable. If the Borrower is required to provide an amount of cash collateral hereunder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such amount (to the extent not applied as aforesaid) shall be returned to the Borrower as and to the extent that, after giving effect to such return, the Borrower would remain in compliance with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and no Event of Default shall have occurred and be continuing.</w:t>
      </w:r>
    </w:p>
    <w:p>
      <w:pPr>
        <w:spacing w:after="0" w:line="193" w:lineRule="exact"/>
        <w:rPr>
          <w:sz w:val="20"/>
          <w:szCs w:val="20"/>
          <w:color w:val="auto"/>
        </w:rPr>
      </w:pPr>
    </w:p>
    <w:p>
      <w:pPr>
        <w:jc w:val="both"/>
        <w:ind w:firstLine="1278"/>
        <w:spacing w:after="0" w:line="252" w:lineRule="auto"/>
        <w:tabs>
          <w:tab w:leader="none" w:pos="173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Designation of Additional Issuing Banks</w:t>
      </w:r>
      <w:r>
        <w:rPr>
          <w:rFonts w:ascii="Arial" w:cs="Arial" w:eastAsia="Arial" w:hAnsi="Arial"/>
          <w:sz w:val="19"/>
          <w:szCs w:val="19"/>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ectPr>
          <w:pgSz w:w="11900" w:h="16838" w:orient="portrait"/>
          <w:cols w:equalWidth="0" w:num="1">
            <w:col w:w="11240"/>
          </w:cols>
          <w:pgMar w:left="320" w:top="1395" w:right="339" w:bottom="1440" w:gutter="0" w:footer="0" w:header="0"/>
        </w:sectPr>
      </w:pPr>
    </w:p>
    <w:bookmarkStart w:id="150" w:name="page151"/>
    <w:bookmarkEnd w:id="150"/>
    <w:p>
      <w:pPr>
        <w:jc w:val="both"/>
        <w:ind w:left="-1120" w:firstLine="1278"/>
        <w:spacing w:after="0" w:line="275" w:lineRule="auto"/>
        <w:tabs>
          <w:tab w:leader="none" w:pos="582"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Resignation or Termination of an Issuing Bank</w:t>
      </w:r>
      <w:r>
        <w:rPr>
          <w:rFonts w:ascii="Arial" w:cs="Arial" w:eastAsia="Arial" w:hAnsi="Arial"/>
          <w:sz w:val="17"/>
          <w:szCs w:val="17"/>
          <w:color w:val="auto"/>
        </w:rPr>
        <w:t>. Subject to the appointment and acceptance of a successor Issuing Bank reasonably acceptable to the Borrower, any Issuing Bank may resign at any time by giving thirty (30) days’ written notice to the Administrative Agent, the Lenders and the Borrower. The Borrower may terminate the appointment of any Issuing Bank as an “Issuing Bank” hereunder by providing a written notice thereof to such Issuing Bank, with a copy to the Administrative Agent. Any such termination shall become effective upon the earlier of (i) such Issuing Bank’s acknowledging receipt of such notice and (ii) the fifth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following the date of the delivery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w:t>
      </w:r>
      <w:r>
        <w:rPr>
          <w:rFonts w:ascii="Arial" w:cs="Arial" w:eastAsia="Arial" w:hAnsi="Arial"/>
          <w:sz w:val="17"/>
          <w:szCs w:val="17"/>
          <w:u w:val="single" w:color="auto"/>
          <w:color w:val="auto"/>
        </w:rPr>
        <w:t>Section 2.12(b)</w:t>
      </w:r>
      <w:r>
        <w:rPr>
          <w:rFonts w:ascii="Arial" w:cs="Arial" w:eastAsia="Arial" w:hAnsi="Arial"/>
          <w:sz w:val="17"/>
          <w:szCs w:val="17"/>
          <w:color w:val="auto"/>
        </w:rPr>
        <w:t>. Notwithstanding the effectiveness of any such resignation or termination, the resigning or terminated Issuing Bank shall remain a party hereto and shall continue to have all the rights of an Issuing Bank under this Agreement and the other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w:t>
      </w:r>
    </w:p>
    <w:p>
      <w:pPr>
        <w:spacing w:after="0" w:line="162" w:lineRule="exact"/>
        <w:rPr>
          <w:rFonts w:ascii="Arial" w:cs="Arial" w:eastAsia="Arial" w:hAnsi="Arial"/>
          <w:sz w:val="17"/>
          <w:szCs w:val="17"/>
          <w:color w:val="auto"/>
        </w:rPr>
      </w:pPr>
    </w:p>
    <w:p>
      <w:pPr>
        <w:jc w:val="both"/>
        <w:ind w:left="-1120" w:firstLine="1278"/>
        <w:spacing w:after="0" w:line="265" w:lineRule="auto"/>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Issuing Bank Reports to the Administrative Agent</w:t>
      </w:r>
      <w:r>
        <w:rPr>
          <w:rFonts w:ascii="Arial" w:cs="Arial" w:eastAsia="Arial" w:hAnsi="Arial"/>
          <w:sz w:val="18"/>
          <w:szCs w:val="18"/>
          <w:color w:val="auto"/>
        </w:rPr>
        <w:t xml:space="preserve">. Unless otherwise agreed by the Administrative Agent, each Issuing Bank shall, in addition to its notification obligations set forth elsewhere in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exchanged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have any liability hereunder to any Person for any failure to deliver the reports contemplated by this paragraph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left="-1120" w:firstLine="1278"/>
        <w:spacing w:after="0" w:line="251" w:lineRule="auto"/>
        <w:tabs>
          <w:tab w:leader="none" w:pos="572"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Applicability of ISP</w:t>
      </w:r>
      <w:r>
        <w:rPr>
          <w:rFonts w:ascii="Arial" w:cs="Arial" w:eastAsia="Arial" w:hAnsi="Arial"/>
          <w:sz w:val="19"/>
          <w:szCs w:val="19"/>
          <w:color w:val="auto"/>
        </w:rPr>
        <w:t>. Unless otherwise expressly agreed by the applicable Issuing Bank and the Borrower when a Letter of Credit is issued or when it is amended with the consent of the beneficiary thereof, (i) the rules of the ISP shall apply to each standby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ectPr>
          <w:pgSz w:w="11900" w:h="16838" w:orient="portrait"/>
          <w:cols w:equalWidth="0" w:num="1">
            <w:col w:w="10120"/>
          </w:cols>
          <w:pgMar w:left="1440" w:top="1395" w:right="339" w:bottom="1440" w:gutter="0" w:footer="0" w:header="0"/>
        </w:sectPr>
      </w:pPr>
    </w:p>
    <w:bookmarkStart w:id="151" w:name="page152"/>
    <w:bookmarkEnd w:id="151"/>
    <w:p>
      <w:pPr>
        <w:ind w:left="160"/>
        <w:spacing w:after="0"/>
        <w:tabs>
          <w:tab w:leader="none" w:pos="1540" w:val="left"/>
        </w:tabs>
        <w:rPr>
          <w:sz w:val="20"/>
          <w:szCs w:val="20"/>
          <w:color w:val="auto"/>
        </w:rPr>
      </w:pPr>
      <w:r>
        <w:rPr>
          <w:rFonts w:ascii="Arial" w:cs="Arial" w:eastAsia="Arial" w:hAnsi="Arial"/>
          <w:sz w:val="19"/>
          <w:szCs w:val="19"/>
          <w:color w:val="auto"/>
        </w:rPr>
        <w:t>SECTION 2.06</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19" w:lineRule="exact"/>
        <w:rPr>
          <w:sz w:val="20"/>
          <w:szCs w:val="20"/>
          <w:color w:val="auto"/>
        </w:rPr>
      </w:pPr>
    </w:p>
    <w:p>
      <w:pPr>
        <w:jc w:val="both"/>
        <w:ind w:left="-1120" w:firstLine="1278"/>
        <w:spacing w:after="0" w:line="253" w:lineRule="auto"/>
        <w:tabs>
          <w:tab w:leader="none" w:pos="721"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12:00 noon, New York City time, to the Applicable Account of the Administrative Agent most recently designated by it for such purpose by notice to the Lenders.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Revolving Loans made to finance the reimbursement of an LC Disbursement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shall be remitted by the Administrative Agent to the applicable Issuing Bank.</w:t>
      </w:r>
    </w:p>
    <w:p>
      <w:pPr>
        <w:spacing w:after="0" w:line="181" w:lineRule="exact"/>
        <w:rPr>
          <w:rFonts w:ascii="Arial" w:cs="Arial" w:eastAsia="Arial" w:hAnsi="Arial"/>
          <w:sz w:val="19"/>
          <w:szCs w:val="19"/>
          <w:color w:val="auto"/>
        </w:rPr>
      </w:pPr>
    </w:p>
    <w:p>
      <w:pPr>
        <w:jc w:val="both"/>
        <w:ind w:left="-1120" w:firstLine="1278"/>
        <w:spacing w:after="0" w:line="281" w:lineRule="auto"/>
        <w:tabs>
          <w:tab w:leader="none" w:pos="626"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Arial" w:cs="Arial" w:eastAsia="Arial" w:hAnsi="Arial"/>
          <w:sz w:val="17"/>
          <w:szCs w:val="17"/>
          <w:u w:val="single" w:color="auto"/>
          <w:color w:val="auto"/>
        </w:rPr>
        <w:t>Section 2.13</w:t>
      </w:r>
      <w:r>
        <w:rPr>
          <w:rFonts w:ascii="Arial" w:cs="Arial" w:eastAsia="Arial" w:hAnsi="Arial"/>
          <w:sz w:val="17"/>
          <w:szCs w:val="17"/>
          <w:color w:val="auto"/>
        </w:rPr>
        <w:t>. If such Lender pays such amount to the Administrative Agent, then such amount shall constitute such Lender’s Loan included in such Borrowing.</w:t>
      </w:r>
    </w:p>
    <w:p>
      <w:pPr>
        <w:spacing w:after="0" w:line="164" w:lineRule="exact"/>
        <w:rPr>
          <w:rFonts w:ascii="Arial" w:cs="Arial" w:eastAsia="Arial" w:hAnsi="Arial"/>
          <w:sz w:val="17"/>
          <w:szCs w:val="17"/>
          <w:color w:val="auto"/>
        </w:rPr>
      </w:pPr>
    </w:p>
    <w:p>
      <w:pPr>
        <w:jc w:val="both"/>
        <w:ind w:left="-1120" w:firstLine="1278"/>
        <w:spacing w:after="0" w:line="255" w:lineRule="auto"/>
        <w:tabs>
          <w:tab w:leader="none" w:pos="599"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The obligations of the Lenders hereunder to make Term Loans and Revolving Loans, to fund participations in Letters of Credit and to make payments pursuant to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9.03(c)</w:t>
      </w:r>
      <w:r>
        <w:rPr>
          <w:rFonts w:ascii="Arial" w:cs="Arial" w:eastAsia="Arial" w:hAnsi="Arial"/>
          <w:sz w:val="19"/>
          <w:szCs w:val="19"/>
          <w:color w:val="auto"/>
        </w:rPr>
        <w:t>.</w:t>
      </w:r>
    </w:p>
    <w:p>
      <w:pPr>
        <w:spacing w:after="0" w:line="178"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9"/>
          <w:szCs w:val="19"/>
          <w:color w:val="auto"/>
        </w:rPr>
        <w:t>SECTION 2.07</w:t>
      </w:r>
      <w:r>
        <w:rPr>
          <w:sz w:val="20"/>
          <w:szCs w:val="20"/>
          <w:color w:val="auto"/>
        </w:rPr>
        <w:tab/>
      </w:r>
      <w:r>
        <w:rPr>
          <w:rFonts w:ascii="Arial" w:cs="Arial" w:eastAsia="Arial" w:hAnsi="Arial"/>
          <w:sz w:val="17"/>
          <w:szCs w:val="17"/>
          <w:u w:val="single" w:color="auto"/>
          <w:color w:val="auto"/>
        </w:rPr>
        <w:t>Interest Elections</w:t>
      </w:r>
      <w:r>
        <w:rPr>
          <w:rFonts w:ascii="Arial" w:cs="Arial" w:eastAsia="Arial" w:hAnsi="Arial"/>
          <w:sz w:val="17"/>
          <w:szCs w:val="17"/>
          <w:color w:val="auto"/>
        </w:rPr>
        <w:t>.</w:t>
      </w:r>
    </w:p>
    <w:p>
      <w:pPr>
        <w:spacing w:after="0" w:line="219" w:lineRule="exact"/>
        <w:rPr>
          <w:sz w:val="20"/>
          <w:szCs w:val="20"/>
          <w:color w:val="auto"/>
        </w:rPr>
      </w:pPr>
    </w:p>
    <w:p>
      <w:pPr>
        <w:jc w:val="both"/>
        <w:ind w:left="-1120" w:firstLine="1278"/>
        <w:spacing w:after="0" w:line="252" w:lineRule="auto"/>
        <w:tabs>
          <w:tab w:leader="none" w:pos="66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Each Revolving Borrowing and Term Borrowing initially shall be of the Type specified in the applicable Borrowing Request or designated by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in the case of a Eurodollar Borrowing, shall have an initial Interest Period as specified in such Borrowing Request or designated by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Thereafter, the Borrower may elect to convert such Borrowing to a different Type or to continue such Borrowing and, in the case of a Eurodollar Borrowing, may elect Interest Periods therefor, all as provided in this </w:t>
      </w:r>
      <w:r>
        <w:rPr>
          <w:rFonts w:ascii="Arial" w:cs="Arial" w:eastAsia="Arial" w:hAnsi="Arial"/>
          <w:sz w:val="19"/>
          <w:szCs w:val="19"/>
          <w:u w:val="single" w:color="auto"/>
          <w:color w:val="auto"/>
        </w:rPr>
        <w:t>Section 2.07</w:t>
      </w:r>
      <w:r>
        <w:rPr>
          <w:rFonts w:ascii="Arial" w:cs="Arial" w:eastAsia="Arial" w:hAnsi="Arial"/>
          <w:sz w:val="19"/>
          <w:szCs w:val="19"/>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ectPr>
          <w:pgSz w:w="11900" w:h="16838" w:orient="portrait"/>
          <w:cols w:equalWidth="0" w:num="1">
            <w:col w:w="10120"/>
          </w:cols>
          <w:pgMar w:left="1440" w:top="1395" w:right="339" w:bottom="1440" w:gutter="0" w:footer="0" w:header="0"/>
        </w:sectPr>
      </w:pPr>
    </w:p>
    <w:bookmarkStart w:id="152" w:name="page153"/>
    <w:bookmarkEnd w:id="152"/>
    <w:p>
      <w:pPr>
        <w:jc w:val="both"/>
        <w:ind w:firstLine="1278"/>
        <w:spacing w:after="0" w:line="257" w:lineRule="auto"/>
        <w:tabs>
          <w:tab w:leader="none" w:pos="178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To make an election pursuant to this Section, the Borrower shall notify the Administrative Agent of such election in writing by telecopy, electronic mail, facsimile or overnight courier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Borrower were requesting a Borrowing of the Type resulting from such election to be made on the effective date of such election. Each such written Interest Election Request shall be irrevocable and shall be signed by the Borrower.</w:t>
      </w:r>
    </w:p>
    <w:p>
      <w:pPr>
        <w:spacing w:after="0" w:line="177" w:lineRule="exact"/>
        <w:rPr>
          <w:rFonts w:ascii="Arial" w:cs="Arial" w:eastAsia="Arial" w:hAnsi="Arial"/>
          <w:sz w:val="19"/>
          <w:szCs w:val="19"/>
          <w:color w:val="auto"/>
        </w:rPr>
      </w:pPr>
    </w:p>
    <w:p>
      <w:pPr>
        <w:ind w:left="1680" w:hanging="402"/>
        <w:spacing w:after="0"/>
        <w:tabs>
          <w:tab w:leader="none" w:pos="16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Each written Interest Election Request shall specify the following information in compliance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18" w:lineRule="exact"/>
        <w:rPr>
          <w:rFonts w:ascii="Arial" w:cs="Arial" w:eastAsia="Arial" w:hAnsi="Arial"/>
          <w:sz w:val="19"/>
          <w:szCs w:val="19"/>
          <w:color w:val="auto"/>
        </w:rPr>
      </w:pPr>
    </w:p>
    <w:p>
      <w:pPr>
        <w:jc w:val="both"/>
        <w:ind w:left="960" w:firstLine="1272"/>
        <w:spacing w:after="0" w:line="263" w:lineRule="auto"/>
        <w:tabs>
          <w:tab w:leader="none" w:pos="263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clauses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 shall be specified for each resulting Borrowing);</w:t>
      </w:r>
    </w:p>
    <w:p>
      <w:pPr>
        <w:spacing w:after="0" w:line="169" w:lineRule="exact"/>
        <w:rPr>
          <w:rFonts w:ascii="Arial" w:cs="Arial" w:eastAsia="Arial" w:hAnsi="Arial"/>
          <w:sz w:val="19"/>
          <w:szCs w:val="19"/>
          <w:color w:val="auto"/>
        </w:rPr>
      </w:pPr>
    </w:p>
    <w:p>
      <w:pPr>
        <w:ind w:left="2700" w:hanging="468"/>
        <w:spacing w:after="0"/>
        <w:tabs>
          <w:tab w:leader="none" w:pos="27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w:t>
      </w:r>
    </w:p>
    <w:p>
      <w:pPr>
        <w:spacing w:after="0" w:line="45"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9"/>
          <w:szCs w:val="19"/>
          <w:color w:val="auto"/>
        </w:rPr>
        <w:t>Day;</w:t>
      </w:r>
    </w:p>
    <w:p>
      <w:pPr>
        <w:spacing w:after="0" w:line="202" w:lineRule="exact"/>
        <w:rPr>
          <w:rFonts w:ascii="Arial" w:cs="Arial" w:eastAsia="Arial" w:hAnsi="Arial"/>
          <w:sz w:val="17"/>
          <w:szCs w:val="17"/>
          <w:color w:val="auto"/>
        </w:rPr>
      </w:pPr>
    </w:p>
    <w:p>
      <w:pPr>
        <w:ind w:left="2720" w:hanging="488"/>
        <w:spacing w:after="0"/>
        <w:tabs>
          <w:tab w:leader="none" w:pos="27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whether the resulting Borrowing is to be an ABR Borrowing or a Eurodollar Borrowing; and</w:t>
      </w:r>
    </w:p>
    <w:p>
      <w:pPr>
        <w:spacing w:after="0" w:line="218" w:lineRule="exact"/>
        <w:rPr>
          <w:rFonts w:ascii="Arial" w:cs="Arial" w:eastAsia="Arial" w:hAnsi="Arial"/>
          <w:sz w:val="19"/>
          <w:szCs w:val="19"/>
          <w:color w:val="auto"/>
        </w:rPr>
      </w:pPr>
    </w:p>
    <w:p>
      <w:pPr>
        <w:ind w:left="960" w:firstLine="1272"/>
        <w:spacing w:after="0" w:line="278" w:lineRule="auto"/>
        <w:tabs>
          <w:tab w:leader="none" w:pos="274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if the resulting Borrowing is to be a Eurodollar Borrowing, the Interest Period to be applicable thereto after giving effect to such election, which shall be a period contemplated by the definition of the term “Interest Period.”</w:t>
      </w:r>
    </w:p>
    <w:p>
      <w:pPr>
        <w:spacing w:after="0" w:line="156"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If any such Interest Election Request requests a Eurodollar Borrowing but does not specify an Interest Period, then the Borrower shall be deemed to have selected an Interest Period of one month’s duration.</w:t>
      </w:r>
    </w:p>
    <w:p>
      <w:pPr>
        <w:spacing w:after="0" w:line="156" w:lineRule="exact"/>
        <w:rPr>
          <w:sz w:val="20"/>
          <w:szCs w:val="20"/>
          <w:color w:val="auto"/>
        </w:rPr>
      </w:pPr>
    </w:p>
    <w:p>
      <w:pPr>
        <w:ind w:firstLine="1278"/>
        <w:spacing w:after="0" w:line="307" w:lineRule="auto"/>
        <w:tabs>
          <w:tab w:leader="none" w:pos="170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Promptly following receipt of an Interest Election Request in accordance with this </w:t>
      </w:r>
      <w:r>
        <w:rPr>
          <w:rFonts w:ascii="Arial" w:cs="Arial" w:eastAsia="Arial" w:hAnsi="Arial"/>
          <w:sz w:val="18"/>
          <w:szCs w:val="18"/>
          <w:u w:val="single" w:color="auto"/>
          <w:color w:val="auto"/>
        </w:rPr>
        <w:t>Section 2.07</w:t>
      </w:r>
      <w:r>
        <w:rPr>
          <w:rFonts w:ascii="Arial" w:cs="Arial" w:eastAsia="Arial" w:hAnsi="Arial"/>
          <w:sz w:val="18"/>
          <w:szCs w:val="18"/>
          <w:color w:val="auto"/>
        </w:rPr>
        <w:t>, the Administrative Agent shall advise each Lender of the applicable Class of the details thereof and of such Lender’s portion of each resulting Borrowing.</w:t>
      </w:r>
    </w:p>
    <w:p>
      <w:pPr>
        <w:spacing w:after="0" w:line="132" w:lineRule="exact"/>
        <w:rPr>
          <w:rFonts w:ascii="Arial" w:cs="Arial" w:eastAsia="Arial" w:hAnsi="Arial"/>
          <w:sz w:val="18"/>
          <w:szCs w:val="18"/>
          <w:color w:val="auto"/>
        </w:rPr>
      </w:pPr>
    </w:p>
    <w:p>
      <w:pPr>
        <w:jc w:val="both"/>
        <w:ind w:firstLine="1278"/>
        <w:spacing w:after="0" w:line="270" w:lineRule="auto"/>
        <w:tabs>
          <w:tab w:leader="none" w:pos="17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6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2.08</w:t>
      </w:r>
      <w:r>
        <w:rPr>
          <w:sz w:val="20"/>
          <w:szCs w:val="20"/>
          <w:color w:val="auto"/>
        </w:rPr>
        <w:tab/>
      </w:r>
      <w:r>
        <w:rPr>
          <w:rFonts w:ascii="Arial" w:cs="Arial" w:eastAsia="Arial" w:hAnsi="Arial"/>
          <w:sz w:val="17"/>
          <w:szCs w:val="17"/>
          <w:u w:val="single" w:color="auto"/>
          <w:color w:val="auto"/>
        </w:rPr>
        <w:t>Termination and Reduction of Commitments</w:t>
      </w:r>
      <w:r>
        <w:rPr>
          <w:rFonts w:ascii="Arial" w:cs="Arial" w:eastAsia="Arial" w:hAnsi="Arial"/>
          <w:sz w:val="17"/>
          <w:szCs w:val="17"/>
          <w:color w:val="auto"/>
        </w:rPr>
        <w:t>.</w:t>
      </w:r>
    </w:p>
    <w:p>
      <w:pPr>
        <w:spacing w:after="0" w:line="219" w:lineRule="exact"/>
        <w:rPr>
          <w:sz w:val="20"/>
          <w:szCs w:val="20"/>
          <w:color w:val="auto"/>
        </w:rPr>
      </w:pPr>
    </w:p>
    <w:p>
      <w:pPr>
        <w:ind w:firstLine="1278"/>
        <w:spacing w:after="0" w:line="307" w:lineRule="auto"/>
        <w:tabs>
          <w:tab w:leader="none" w:pos="168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Unless previously terminated, (i) on the Effective Date, the Term Commitments in effect on such date shall terminate upon the making of the relevant Term Loans and (ii) the Revolving Commitments shall terminate on the Revolving Maturity Date.</w:t>
      </w:r>
    </w:p>
    <w:p>
      <w:pPr>
        <w:spacing w:after="0" w:line="132" w:lineRule="exact"/>
        <w:rPr>
          <w:rFonts w:ascii="Arial" w:cs="Arial" w:eastAsia="Arial" w:hAnsi="Arial"/>
          <w:sz w:val="18"/>
          <w:szCs w:val="18"/>
          <w:color w:val="auto"/>
        </w:rPr>
      </w:pPr>
    </w:p>
    <w:p>
      <w:pPr>
        <w:ind w:left="1780" w:hanging="502"/>
        <w:spacing w:after="0"/>
        <w:tabs>
          <w:tab w:leader="none" w:pos="17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of any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34" w:lineRule="exact"/>
        <w:rPr>
          <w:rFonts w:ascii="Arial" w:cs="Arial" w:eastAsia="Arial" w:hAnsi="Arial"/>
          <w:sz w:val="18"/>
          <w:szCs w:val="18"/>
          <w:color w:val="auto"/>
        </w:rPr>
      </w:pPr>
    </w:p>
    <w:p>
      <w:pPr>
        <w:ind w:left="240" w:hanging="234"/>
        <w:spacing w:after="0"/>
        <w:tabs>
          <w:tab w:leader="none" w:pos="2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each reduction of the Commitments of any Class shall be in</w:t>
      </w:r>
    </w:p>
    <w:p>
      <w:pPr>
        <w:sectPr>
          <w:pgSz w:w="11900" w:h="16838" w:orient="portrait"/>
          <w:cols w:equalWidth="0" w:num="1">
            <w:col w:w="11240"/>
          </w:cols>
          <w:pgMar w:left="320" w:top="1395" w:right="339" w:bottom="1440" w:gutter="0" w:footer="0" w:header="0"/>
        </w:sectPr>
      </w:pPr>
    </w:p>
    <w:bookmarkStart w:id="153" w:name="page154"/>
    <w:bookmarkEnd w:id="153"/>
    <w:p>
      <w:pPr>
        <w:jc w:val="both"/>
        <w:spacing w:after="0" w:line="257" w:lineRule="auto"/>
        <w:rPr>
          <w:sz w:val="20"/>
          <w:szCs w:val="20"/>
          <w:color w:val="auto"/>
        </w:rPr>
      </w:pPr>
      <w:r>
        <w:rPr>
          <w:rFonts w:ascii="Arial" w:cs="Arial" w:eastAsia="Arial" w:hAnsi="Arial"/>
          <w:sz w:val="19"/>
          <w:szCs w:val="19"/>
          <w:color w:val="auto"/>
        </w:rPr>
        <w:t xml:space="preserve">an amount that is an integral multiple of $500,000 and not less than $1,000,000 unless such amount represents all of the remaining Commitments of such Class and (ii) the Borrower shall not terminate or reduce the Revolving Commitments if, after giving effect to any concurrent prepayment of the Revolving Loans in accordance with </w:t>
      </w:r>
      <w:r>
        <w:rPr>
          <w:rFonts w:ascii="Arial" w:cs="Arial" w:eastAsia="Arial" w:hAnsi="Arial"/>
          <w:sz w:val="19"/>
          <w:szCs w:val="19"/>
          <w:u w:val="single" w:color="auto"/>
          <w:color w:val="auto"/>
        </w:rPr>
        <w:t>Section 2.11</w:t>
      </w:r>
      <w:r>
        <w:rPr>
          <w:rFonts w:ascii="Arial" w:cs="Arial" w:eastAsia="Arial" w:hAnsi="Arial"/>
          <w:sz w:val="19"/>
          <w:szCs w:val="19"/>
          <w:color w:val="auto"/>
        </w:rPr>
        <w:t>, the aggregate Revolving Exposures would exceed the aggregate Revolving Commitments.</w:t>
      </w:r>
    </w:p>
    <w:p>
      <w:pPr>
        <w:spacing w:after="0" w:line="177" w:lineRule="exact"/>
        <w:rPr>
          <w:sz w:val="20"/>
          <w:szCs w:val="20"/>
          <w:color w:val="auto"/>
        </w:rPr>
      </w:pPr>
    </w:p>
    <w:p>
      <w:pPr>
        <w:jc w:val="both"/>
        <w:ind w:firstLine="1278"/>
        <w:spacing w:after="0" w:line="250" w:lineRule="auto"/>
        <w:tabs>
          <w:tab w:leader="none" w:pos="180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Commitments under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at least one (1)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8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2.09</w:t>
      </w:r>
      <w:r>
        <w:rPr>
          <w:sz w:val="20"/>
          <w:szCs w:val="20"/>
          <w:color w:val="auto"/>
        </w:rPr>
        <w:tab/>
      </w:r>
      <w:r>
        <w:rPr>
          <w:rFonts w:ascii="Arial" w:cs="Arial" w:eastAsia="Arial" w:hAnsi="Arial"/>
          <w:sz w:val="17"/>
          <w:szCs w:val="17"/>
          <w:u w:val="single" w:color="auto"/>
          <w:color w:val="auto"/>
        </w:rPr>
        <w:t>Repayment of Loans; Evidence of Debt</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84" w:lineRule="auto"/>
        <w:tabs>
          <w:tab w:leader="none" w:pos="171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promises to pay (i) to the Administrative Agent for the account of each Lender the then unpaid principal amount of each Revolving Loan of such Lender on the Revolving Maturity Date and (ii) to the Administrative Agent for the account of each Lender the then unpaid principal amount of each Term Loan of such Lender as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jc w:val="both"/>
        <w:ind w:firstLine="1278"/>
        <w:spacing w:after="0" w:line="263" w:lineRule="auto"/>
        <w:tabs>
          <w:tab w:leader="none" w:pos="174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9" w:lineRule="exact"/>
        <w:rPr>
          <w:rFonts w:ascii="Arial" w:cs="Arial" w:eastAsia="Arial" w:hAnsi="Arial"/>
          <w:sz w:val="19"/>
          <w:szCs w:val="19"/>
          <w:color w:val="auto"/>
        </w:rPr>
      </w:pPr>
    </w:p>
    <w:p>
      <w:pPr>
        <w:jc w:val="both"/>
        <w:ind w:firstLine="1278"/>
        <w:spacing w:after="0" w:line="257" w:lineRule="auto"/>
        <w:tabs>
          <w:tab w:leader="none" w:pos="172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7" w:lineRule="exact"/>
        <w:rPr>
          <w:rFonts w:ascii="Arial" w:cs="Arial" w:eastAsia="Arial" w:hAnsi="Arial"/>
          <w:sz w:val="19"/>
          <w:szCs w:val="19"/>
          <w:color w:val="auto"/>
        </w:rPr>
      </w:pPr>
    </w:p>
    <w:p>
      <w:pPr>
        <w:jc w:val="both"/>
        <w:ind w:firstLine="1278"/>
        <w:spacing w:after="0" w:line="292" w:lineRule="auto"/>
        <w:tabs>
          <w:tab w:leader="none" w:pos="176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the accounts maintained by the Administrative Agent pursuant to paragraph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control.</w:t>
      </w:r>
    </w:p>
    <w:p>
      <w:pPr>
        <w:spacing w:after="0" w:line="149" w:lineRule="exact"/>
        <w:rPr>
          <w:rFonts w:ascii="Arial" w:cs="Arial" w:eastAsia="Arial" w:hAnsi="Arial"/>
          <w:sz w:val="17"/>
          <w:szCs w:val="17"/>
          <w:color w:val="auto"/>
        </w:rPr>
      </w:pPr>
    </w:p>
    <w:p>
      <w:pPr>
        <w:ind w:firstLine="1278"/>
        <w:spacing w:after="0" w:line="278" w:lineRule="auto"/>
        <w:tabs>
          <w:tab w:leader="none" w:pos="168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Lender may request through the Administrative Agent that Loans of any Class made by it be evidenced by a Note. In such event, the Borrower shall execute and deliver to such</w:t>
      </w:r>
    </w:p>
    <w:p>
      <w:pPr>
        <w:sectPr>
          <w:pgSz w:w="11900" w:h="16838" w:orient="portrait"/>
          <w:cols w:equalWidth="0" w:num="1">
            <w:col w:w="11240"/>
          </w:cols>
          <w:pgMar w:left="320" w:top="1395" w:right="3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color w:val="auto"/>
        </w:rPr>
        <w:t>Lender a Note payable to such Lender (or, if requested by such Lender, to such Lender and its registered assigns).</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2.10</w:t>
      </w:r>
      <w:r>
        <w:rPr>
          <w:sz w:val="20"/>
          <w:szCs w:val="20"/>
          <w:color w:val="auto"/>
        </w:rPr>
        <w:tab/>
      </w:r>
      <w:r>
        <w:rPr>
          <w:rFonts w:ascii="Arial" w:cs="Arial" w:eastAsia="Arial" w:hAnsi="Arial"/>
          <w:sz w:val="18"/>
          <w:szCs w:val="18"/>
          <w:u w:val="single" w:color="auto"/>
          <w:color w:val="auto"/>
        </w:rPr>
        <w:t>Amortization of Term Loans</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257" w:lineRule="auto"/>
        <w:tabs>
          <w:tab w:leader="none" w:pos="168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Subject to adjustment pursuant to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the Borrower shall repay Term Borrowings on the last day of each March, June, September and December in an amount equal to 0.25% of the sum of the aggregate principal amount of the Initial Term Loans outstanding on the Effective Date (commencing on March 31, 2022);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date is not a Business Day, such payment shall be due on the next preceding Business Day.</w:t>
      </w:r>
    </w:p>
    <w:p>
      <w:pPr>
        <w:spacing w:after="0" w:line="177" w:lineRule="exact"/>
        <w:rPr>
          <w:rFonts w:ascii="Arial" w:cs="Arial" w:eastAsia="Arial" w:hAnsi="Arial"/>
          <w:sz w:val="19"/>
          <w:szCs w:val="19"/>
          <w:color w:val="auto"/>
        </w:rPr>
      </w:pPr>
    </w:p>
    <w:p>
      <w:pPr>
        <w:ind w:left="1700" w:hanging="422"/>
        <w:spacing w:after="0"/>
        <w:tabs>
          <w:tab w:leader="none" w:pos="170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To the extent not previously paid, all Term Loans shall be due and payable on the Term Maturity Date.</w:t>
      </w:r>
    </w:p>
    <w:p>
      <w:pPr>
        <w:spacing w:after="0" w:line="218" w:lineRule="exact"/>
        <w:rPr>
          <w:rFonts w:ascii="Arial" w:cs="Arial" w:eastAsia="Arial" w:hAnsi="Arial"/>
          <w:sz w:val="19"/>
          <w:szCs w:val="19"/>
          <w:color w:val="auto"/>
        </w:rPr>
      </w:pPr>
    </w:p>
    <w:p>
      <w:pPr>
        <w:jc w:val="both"/>
        <w:ind w:firstLine="1278"/>
        <w:spacing w:after="0" w:line="252" w:lineRule="auto"/>
        <w:tabs>
          <w:tab w:leader="none" w:pos="182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Any prepayment of a Term Borrowing of any Class (i)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shall be applied to reduce the subsequent scheduled and outstanding repayments of the Term Borrowings of such Class to be made pursuant to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as directed by the Borrower (and absent such direction in direct order of maturity) and (ii)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2.11(d)</w:t>
      </w:r>
      <w:r>
        <w:rPr>
          <w:rFonts w:ascii="Arial" w:cs="Arial" w:eastAsia="Arial" w:hAnsi="Arial"/>
          <w:sz w:val="19"/>
          <w:szCs w:val="19"/>
          <w:color w:val="auto"/>
        </w:rPr>
        <w:t xml:space="preserve"> shall be applied to reduce the subsequent scheduled and outstanding repayments of the Term Borrowings of such Class to be made pursuant to this </w:t>
      </w:r>
      <w:r>
        <w:rPr>
          <w:rFonts w:ascii="Arial" w:cs="Arial" w:eastAsia="Arial" w:hAnsi="Arial"/>
          <w:sz w:val="19"/>
          <w:szCs w:val="19"/>
          <w:u w:val="single" w:color="auto"/>
          <w:color w:val="auto"/>
        </w:rPr>
        <w:t>Section 2.10</w:t>
      </w:r>
      <w:r>
        <w:rPr>
          <w:rFonts w:ascii="Arial" w:cs="Arial" w:eastAsia="Arial" w:hAnsi="Arial"/>
          <w:sz w:val="19"/>
          <w:szCs w:val="19"/>
          <w:color w:val="auto"/>
        </w:rPr>
        <w:t>,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w:t>
      </w:r>
    </w:p>
    <w:p>
      <w:pPr>
        <w:spacing w:after="0" w:line="182" w:lineRule="exact"/>
        <w:rPr>
          <w:rFonts w:ascii="Arial" w:cs="Arial" w:eastAsia="Arial" w:hAnsi="Arial"/>
          <w:sz w:val="19"/>
          <w:szCs w:val="19"/>
          <w:color w:val="auto"/>
        </w:rPr>
      </w:pPr>
    </w:p>
    <w:p>
      <w:pPr>
        <w:jc w:val="both"/>
        <w:ind w:firstLine="1278"/>
        <w:spacing w:after="0" w:line="252" w:lineRule="auto"/>
        <w:tabs>
          <w:tab w:leader="none" w:pos="179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Prior to any repayment of any Term Borrowings of any Class hereunder, the Borrower shall select the Borrowing or Borrowings of the applicable Class to be repaid and shall notify the Administrative Agent in writing by telecopy, electronic mail, facsimile or overnight courier of such election not later than 11:00 a.m., New York City time, one (1) Business Day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w:t>
      </w:r>
      <w:r>
        <w:rPr>
          <w:rFonts w:ascii="Arial" w:cs="Arial" w:eastAsia="Arial" w:hAnsi="Arial"/>
          <w:sz w:val="19"/>
          <w:szCs w:val="19"/>
          <w:u w:val="single" w:color="auto"/>
          <w:color w:val="auto"/>
        </w:rPr>
        <w:t>Section 2.16</w:t>
      </w:r>
      <w:r>
        <w:rPr>
          <w:rFonts w:ascii="Arial" w:cs="Arial" w:eastAsia="Arial" w:hAnsi="Arial"/>
          <w:sz w:val="19"/>
          <w:szCs w:val="19"/>
          <w:color w:val="auto"/>
        </w:rPr>
        <w:t>. Each repayment of a Borrowing shall be applied ratably to the Loans included in the repaid Borrowing. Repayments of Term Borrowings shall be accompanied by accrued interest on the amount repaid.</w:t>
      </w:r>
    </w:p>
    <w:p>
      <w:pPr>
        <w:spacing w:after="0" w:line="18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2.11</w:t>
      </w:r>
      <w:r>
        <w:rPr>
          <w:sz w:val="20"/>
          <w:szCs w:val="20"/>
          <w:color w:val="auto"/>
        </w:rPr>
        <w:tab/>
      </w:r>
      <w:r>
        <w:rPr>
          <w:rFonts w:ascii="Arial" w:cs="Arial" w:eastAsia="Arial" w:hAnsi="Arial"/>
          <w:sz w:val="17"/>
          <w:szCs w:val="17"/>
          <w:u w:val="single" w:color="auto"/>
          <w:color w:val="auto"/>
        </w:rPr>
        <w:t>Prepayment of Loans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70" w:lineRule="auto"/>
        <w:tabs>
          <w:tab w:leader="none" w:pos="173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(i) The Borrower shall have the right at any time and from time to time to prepay any Borrowing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on or prior to the date that is six (6) months after the Effective Date, the Borrower</w:t>
      </w:r>
    </w:p>
    <w:p>
      <w:pPr>
        <w:jc w:val="both"/>
        <w:ind w:firstLine="6"/>
        <w:spacing w:after="0" w:line="276" w:lineRule="auto"/>
        <w:tabs>
          <w:tab w:leader="none" w:pos="24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prepays, repays, refinances, repurchases, substitutes or replaces all or any portion of the Initial Term Loans in connection with a Repricing Transaction or (ii) effects any amendment, modification or waiver of, or consent under, this Agreement resulting in a Repricing Transaction (including in the case of any required assignment pursuant to Section 9.02(c)), the Borrower shall pay to the Administrative Agent, for the account of each applicable Lender (including each Lender holding Initial Term Loans immediately prior to the consummation of such Repricing Transaction that withholds its consent to such Repricing Transaction and is replaced as a Non-Consenting Lender pursuant to </w:t>
      </w:r>
      <w:r>
        <w:rPr>
          <w:rFonts w:ascii="Arial" w:cs="Arial" w:eastAsia="Arial" w:hAnsi="Arial"/>
          <w:sz w:val="17"/>
          <w:szCs w:val="17"/>
          <w:i w:val="1"/>
          <w:iCs w:val="1"/>
          <w:color w:val="auto"/>
        </w:rPr>
        <w:t>S</w:t>
      </w:r>
      <w:r>
        <w:rPr>
          <w:rFonts w:ascii="Arial" w:cs="Arial" w:eastAsia="Arial" w:hAnsi="Arial"/>
          <w:sz w:val="17"/>
          <w:szCs w:val="17"/>
          <w:u w:val="single" w:color="auto"/>
          <w:color w:val="auto"/>
        </w:rPr>
        <w:t>ection 9.02(c)</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jc w:val="both"/>
        <w:spacing w:after="0" w:line="254" w:lineRule="auto"/>
        <w:rPr>
          <w:rFonts w:ascii="Arial" w:cs="Arial" w:eastAsia="Arial" w:hAnsi="Arial"/>
          <w:sz w:val="17"/>
          <w:szCs w:val="17"/>
          <w:color w:val="auto"/>
        </w:rPr>
      </w:pPr>
      <w:r>
        <w:rPr>
          <w:rFonts w:ascii="Arial" w:cs="Arial" w:eastAsia="Arial" w:hAnsi="Arial"/>
          <w:sz w:val="19"/>
          <w:szCs w:val="19"/>
          <w:color w:val="auto"/>
        </w:rPr>
        <w:t>(A) in the case of clause (i), a premium of 1.00% of the aggregate principal amount of the Initial Term Loans so prepaid, repaid, refinanced, substituted or replaced and (B) in the case of clause (ii), a fee equal to 1.00% of the aggregate principal amount of the Initial Term Loans that are the subject of such Repricing Transaction outstanding</w:t>
      </w:r>
    </w:p>
    <w:p>
      <w:pPr>
        <w:sectPr>
          <w:pgSz w:w="11900" w:h="16838" w:orient="portrait"/>
          <w:cols w:equalWidth="0" w:num="1">
            <w:col w:w="11240"/>
          </w:cols>
          <w:pgMar w:left="320" w:top="1395" w:right="339" w:bottom="1440" w:gutter="0" w:footer="0" w:header="0"/>
        </w:sectPr>
      </w:pPr>
    </w:p>
    <w:bookmarkStart w:id="155" w:name="page156"/>
    <w:bookmarkEnd w:id="155"/>
    <w:p>
      <w:pPr>
        <w:spacing w:after="0" w:line="278" w:lineRule="auto"/>
        <w:rPr>
          <w:sz w:val="20"/>
          <w:szCs w:val="20"/>
          <w:color w:val="auto"/>
        </w:rPr>
      </w:pPr>
      <w:r>
        <w:rPr>
          <w:rFonts w:ascii="Arial" w:cs="Arial" w:eastAsia="Arial" w:hAnsi="Arial"/>
          <w:sz w:val="19"/>
          <w:szCs w:val="19"/>
          <w:color w:val="auto"/>
        </w:rPr>
        <w:t>immediately prior to such amendment, modification, waiver or consent. For the avoidance of doubt, no prepayment fee shall be payable at any time on or after the date that is six (6) months after the Effective Date.</w:t>
      </w:r>
    </w:p>
    <w:p>
      <w:pPr>
        <w:spacing w:after="0" w:line="156" w:lineRule="exact"/>
        <w:rPr>
          <w:sz w:val="20"/>
          <w:szCs w:val="20"/>
          <w:color w:val="auto"/>
        </w:rPr>
      </w:pPr>
    </w:p>
    <w:p>
      <w:pPr>
        <w:jc w:val="both"/>
        <w:ind w:firstLine="1278"/>
        <w:spacing w:after="0" w:line="263" w:lineRule="auto"/>
        <w:tabs>
          <w:tab w:leader="none" w:pos="173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Notwithstanding anything in any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spacing w:after="0" w:line="169" w:lineRule="exact"/>
        <w:rPr>
          <w:sz w:val="20"/>
          <w:szCs w:val="20"/>
          <w:color w:val="auto"/>
        </w:rPr>
      </w:pPr>
    </w:p>
    <w:p>
      <w:pPr>
        <w:jc w:val="both"/>
        <w:ind w:left="640" w:firstLine="638"/>
        <w:spacing w:after="0" w:line="279" w:lineRule="auto"/>
        <w:tabs>
          <w:tab w:leader="none" w:pos="181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Holdings, any Intermediate Parent, the Borrower or any of their respective Subsidiaries shall have the right to make a voluntary prepayment of Term Loans at a discount to par (such prepayment, the “</w:t>
      </w:r>
      <w:r>
        <w:rPr>
          <w:rFonts w:ascii="Arial" w:cs="Arial" w:eastAsia="Arial" w:hAnsi="Arial"/>
          <w:sz w:val="17"/>
          <w:szCs w:val="17"/>
          <w:u w:val="single" w:color="auto"/>
          <w:color w:val="auto"/>
        </w:rPr>
        <w:t>Discounted Term Loan Prepayment</w:t>
      </w:r>
      <w:r>
        <w:rPr>
          <w:rFonts w:ascii="Arial" w:cs="Arial" w:eastAsia="Arial" w:hAnsi="Arial"/>
          <w:sz w:val="17"/>
          <w:szCs w:val="17"/>
          <w:color w:val="auto"/>
        </w:rPr>
        <w:t xml:space="preserve">”) pursuant to a Borrower Offer of Specified Discount Prepayment, Borrower Solicitation of Discount Range Prepayment Offers or Borrower Solicitation of Discounted Prepayment Offers, in each case made in accordance with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Holdings, any Intermediate Parent, the Borrower or any of their respective Subsidiaries shall not make any Borrowing of Revolving Loans to fund any Discounted Term Loan Prepayment and (y) Holdings, any Intermediate Parent, the Borrower or any of their respective Subsidiaries shall not initiate any action under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in order to make a Discounted Term Loan Prepayment unless (I) at least ten</w:t>
      </w:r>
    </w:p>
    <w:p>
      <w:pPr>
        <w:spacing w:after="0" w:line="2" w:lineRule="exact"/>
        <w:rPr>
          <w:rFonts w:ascii="Arial" w:cs="Arial" w:eastAsia="Arial" w:hAnsi="Arial"/>
          <w:sz w:val="17"/>
          <w:szCs w:val="17"/>
          <w:color w:val="auto"/>
        </w:rPr>
      </w:pPr>
    </w:p>
    <w:p>
      <w:pPr>
        <w:jc w:val="both"/>
        <w:ind w:left="640" w:firstLine="2"/>
        <w:spacing w:after="0" w:line="276" w:lineRule="auto"/>
        <w:tabs>
          <w:tab w:leader="none" w:pos="102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 (3) Business Days shall have passed since the date Holdings, any Intermediate Parent, the Borrower or any of their respective Subsidiaries were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w:t>
      </w:r>
    </w:p>
    <w:p>
      <w:pPr>
        <w:spacing w:after="0" w:line="3" w:lineRule="exact"/>
        <w:rPr>
          <w:rFonts w:ascii="Arial" w:cs="Arial" w:eastAsia="Arial" w:hAnsi="Arial"/>
          <w:sz w:val="17"/>
          <w:szCs w:val="17"/>
          <w:color w:val="auto"/>
        </w:rPr>
      </w:pPr>
    </w:p>
    <w:p>
      <w:pPr>
        <w:jc w:val="both"/>
        <w:ind w:left="640"/>
        <w:spacing w:after="0" w:line="263" w:lineRule="auto"/>
        <w:rPr>
          <w:rFonts w:ascii="Arial" w:cs="Arial" w:eastAsia="Arial" w:hAnsi="Arial"/>
          <w:sz w:val="17"/>
          <w:szCs w:val="17"/>
          <w:color w:val="auto"/>
        </w:rPr>
      </w:pPr>
      <w:r>
        <w:rPr>
          <w:rFonts w:ascii="Arial" w:cs="Arial" w:eastAsia="Arial" w:hAnsi="Arial"/>
          <w:sz w:val="18"/>
          <w:szCs w:val="18"/>
          <w:color w:val="auto"/>
        </w:rPr>
        <w:t>(z)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xml:space="preserve">”), (2) such Lender has independently and, without reliance on Holdings, any of its Subsidiaries, the Administrative Agent or any of their respective Affiliates, made its own analysis and determination to participate in such Discounted Term Loan Prepayment notwithstanding such Lender’s lack of knowledge of the Excluded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Excluded Information;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Term Loan that is prepaid will be automatically and irrevocably cancelled.</w:t>
      </w:r>
    </w:p>
    <w:p>
      <w:pPr>
        <w:spacing w:after="0" w:line="178" w:lineRule="exact"/>
        <w:rPr>
          <w:rFonts w:ascii="Arial" w:cs="Arial" w:eastAsia="Arial" w:hAnsi="Arial"/>
          <w:sz w:val="17"/>
          <w:szCs w:val="17"/>
          <w:color w:val="auto"/>
        </w:rPr>
      </w:pPr>
    </w:p>
    <w:p>
      <w:pPr>
        <w:jc w:val="both"/>
        <w:ind w:left="640" w:firstLine="638"/>
        <w:spacing w:after="0" w:line="263" w:lineRule="auto"/>
        <w:tabs>
          <w:tab w:leader="none" w:pos="179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(1) Subject to the proviso to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ectPr>
          <w:pgSz w:w="11900" w:h="16838" w:orient="portrait"/>
          <w:cols w:equalWidth="0" w:num="1">
            <w:col w:w="11240"/>
          </w:cols>
          <w:pgMar w:left="320" w:top="1395" w:right="339" w:bottom="1440" w:gutter="0" w:footer="0" w:header="0"/>
        </w:sectPr>
      </w:pPr>
    </w:p>
    <w:bookmarkStart w:id="156" w:name="page157"/>
    <w:bookmarkEnd w:id="156"/>
    <w:p>
      <w:pPr>
        <w:jc w:val="both"/>
        <w:ind w:left="-2" w:firstLine="2"/>
        <w:spacing w:after="0" w:line="259" w:lineRule="auto"/>
        <w:tabs>
          <w:tab w:leader="none" w:pos="26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Arial" w:cs="Arial" w:eastAsia="Arial" w:hAnsi="Arial"/>
          <w:sz w:val="18"/>
          <w:szCs w:val="18"/>
          <w:u w:val="single" w:color="auto"/>
          <w:color w:val="auto"/>
        </w:rPr>
        <w:t>Specified Discount Prepayment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with respect to each applicable tranche, the tranche or tranches of Term Loans subject to such offer and the specific percentage discount to par (the “</w:t>
      </w:r>
      <w:r>
        <w:rPr>
          <w:rFonts w:ascii="Arial" w:cs="Arial" w:eastAsia="Arial" w:hAnsi="Arial"/>
          <w:sz w:val="18"/>
          <w:szCs w:val="18"/>
          <w:u w:val="single" w:color="auto"/>
          <w:color w:val="auto"/>
        </w:rPr>
        <w:t>Specified Discount</w:t>
      </w:r>
      <w:r>
        <w:rPr>
          <w:rFonts w:ascii="Arial" w:cs="Arial" w:eastAsia="Arial" w:hAnsi="Arial"/>
          <w:sz w:val="18"/>
          <w:szCs w:val="18"/>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(3</w:t>
      </w:r>
      <w:r>
        <w:rPr>
          <w:rFonts w:ascii="Arial" w:cs="Arial" w:eastAsia="Arial" w:hAnsi="Arial"/>
          <w:sz w:val="23"/>
          <w:szCs w:val="23"/>
          <w:color w:val="auto"/>
          <w:vertAlign w:val="superscript"/>
        </w:rPr>
        <w:t>rd</w:t>
      </w:r>
      <w:r>
        <w:rPr>
          <w:rFonts w:ascii="Arial" w:cs="Arial" w:eastAsia="Arial" w:hAnsi="Arial"/>
          <w:sz w:val="18"/>
          <w:szCs w:val="18"/>
          <w:color w:val="auto"/>
        </w:rPr>
        <w:t>) Business Day after the date of delivery of such notice to the relevant Term Lenders (the “</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jc w:val="both"/>
        <w:ind w:left="-2" w:firstLine="638"/>
        <w:spacing w:after="0" w:line="252" w:lineRule="auto"/>
        <w:tabs>
          <w:tab w:leader="none" w:pos="106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9"/>
          <w:szCs w:val="19"/>
          <w:u w:val="single" w:color="auto"/>
          <w:color w:val="auto"/>
        </w:rPr>
        <w:t>Discount Prepayment Accepting Lender</w:t>
      </w:r>
      <w:r>
        <w:rPr>
          <w:rFonts w:ascii="Arial" w:cs="Arial" w:eastAsia="Arial" w:hAnsi="Arial"/>
          <w:sz w:val="19"/>
          <w:szCs w:val="19"/>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82" w:lineRule="exact"/>
        <w:rPr>
          <w:rFonts w:ascii="Arial" w:cs="Arial" w:eastAsia="Arial" w:hAnsi="Arial"/>
          <w:sz w:val="19"/>
          <w:szCs w:val="19"/>
          <w:color w:val="auto"/>
        </w:rPr>
      </w:pPr>
    </w:p>
    <w:p>
      <w:pPr>
        <w:jc w:val="both"/>
        <w:ind w:left="-2" w:firstLine="638"/>
        <w:spacing w:after="0" w:line="264" w:lineRule="auto"/>
        <w:tabs>
          <w:tab w:leader="none" w:pos="106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If there is at least one Discount Prepayment Accepting Lender, Holdings, any Intermediate Parent, the Borrower or any of their respective Subsidiaries will make prepayment of outstanding Term Loans pursuant to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to each Discount Prepayment Accepting Lender in accordance with the respective outstanding amount and tranches of Term Loans specified in such Lender’s Specified Discount Prepayment Response given pursuant to paragraph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Arial" w:cs="Arial" w:eastAsia="Arial" w:hAnsi="Arial"/>
          <w:sz w:val="18"/>
          <w:szCs w:val="18"/>
          <w:u w:val="single" w:color="auto"/>
          <w:color w:val="auto"/>
        </w:rPr>
        <w:t>Specified Discount Proration</w:t>
      </w:r>
      <w:r>
        <w:rPr>
          <w:rFonts w:ascii="Arial" w:cs="Arial" w:eastAsia="Arial" w:hAnsi="Arial"/>
          <w:sz w:val="18"/>
          <w:szCs w:val="18"/>
          <w:color w:val="auto"/>
        </w:rPr>
        <w:t>”).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w:t>
      </w:r>
    </w:p>
    <w:p>
      <w:pPr>
        <w:sectPr>
          <w:pgSz w:w="11900" w:h="16838" w:orient="portrait"/>
          <w:cols w:equalWidth="0" w:num="1">
            <w:col w:w="10598"/>
          </w:cols>
          <w:pgMar w:left="962" w:top="1395" w:right="339" w:bottom="1440" w:gutter="0" w:footer="0" w:header="0"/>
        </w:sectPr>
      </w:pPr>
    </w:p>
    <w:bookmarkStart w:id="157" w:name="page158"/>
    <w:bookmarkEnd w:id="157"/>
    <w:p>
      <w:pPr>
        <w:jc w:val="both"/>
        <w:spacing w:after="0" w:line="287" w:lineRule="auto"/>
        <w:rPr>
          <w:sz w:val="20"/>
          <w:szCs w:val="20"/>
          <w:color w:val="auto"/>
        </w:rPr>
      </w:pPr>
      <w:r>
        <w:rPr>
          <w:rFonts w:ascii="Arial" w:cs="Arial" w:eastAsia="Arial" w:hAnsi="Arial"/>
          <w:sz w:val="17"/>
          <w:szCs w:val="17"/>
          <w:color w:val="auto"/>
        </w:rPr>
        <w:t xml:space="preserve">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 Intermediate Parent, the Borrower or any of their respective Subsidiaries on the Discounted Prepayment Effective Date in accordance with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below (subject to </w:t>
      </w:r>
      <w:r>
        <w:rPr>
          <w:rFonts w:ascii="Arial" w:cs="Arial" w:eastAsia="Arial" w:hAnsi="Arial"/>
          <w:sz w:val="17"/>
          <w:szCs w:val="17"/>
          <w:u w:val="single" w:color="auto"/>
          <w:color w:val="auto"/>
        </w:rPr>
        <w:t>subsection (J)</w:t>
      </w:r>
      <w:r>
        <w:rPr>
          <w:rFonts w:ascii="Arial" w:cs="Arial" w:eastAsia="Arial" w:hAnsi="Arial"/>
          <w:sz w:val="17"/>
          <w:szCs w:val="17"/>
          <w:color w:val="auto"/>
        </w:rPr>
        <w:t xml:space="preserve"> below).</w:t>
      </w:r>
    </w:p>
    <w:p>
      <w:pPr>
        <w:spacing w:after="0" w:line="152" w:lineRule="exact"/>
        <w:rPr>
          <w:sz w:val="20"/>
          <w:szCs w:val="20"/>
          <w:color w:val="auto"/>
        </w:rPr>
      </w:pPr>
    </w:p>
    <w:p>
      <w:pPr>
        <w:jc w:val="both"/>
        <w:ind w:firstLine="638"/>
        <w:spacing w:after="0" w:line="275" w:lineRule="auto"/>
        <w:tabs>
          <w:tab w:leader="none" w:pos="115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(1) Subject to the proviso to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7"/>
          <w:szCs w:val="17"/>
          <w:u w:val="single" w:color="auto"/>
          <w:color w:val="auto"/>
        </w:rPr>
        <w:t>Discount Range Prepayment Amount</w:t>
      </w:r>
      <w:r>
        <w:rPr>
          <w:rFonts w:ascii="Arial" w:cs="Arial" w:eastAsia="Arial" w:hAnsi="Arial"/>
          <w:sz w:val="17"/>
          <w:szCs w:val="17"/>
          <w:color w:val="auto"/>
        </w:rPr>
        <w:t>”), the tranche or tranches of Term Loans subject to such offer and the maximum and minimum percentage discounts to par (the “</w:t>
      </w:r>
      <w:r>
        <w:rPr>
          <w:rFonts w:ascii="Arial" w:cs="Arial" w:eastAsia="Arial" w:hAnsi="Arial"/>
          <w:sz w:val="17"/>
          <w:szCs w:val="17"/>
          <w:u w:val="single" w:color="auto"/>
          <w:color w:val="auto"/>
        </w:rPr>
        <w:t>Discount Range</w:t>
      </w:r>
      <w:r>
        <w:rPr>
          <w:rFonts w:ascii="Arial" w:cs="Arial" w:eastAsia="Arial" w:hAnsi="Arial"/>
          <w:sz w:val="17"/>
          <w:szCs w:val="17"/>
          <w:color w:val="auto"/>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after the date of delivery of such notice to the relevant Term Lenders (the “</w:t>
      </w:r>
      <w:r>
        <w:rPr>
          <w:rFonts w:ascii="Arial" w:cs="Arial" w:eastAsia="Arial" w:hAnsi="Arial"/>
          <w:sz w:val="17"/>
          <w:szCs w:val="17"/>
          <w:u w:val="single" w:color="auto"/>
          <w:color w:val="auto"/>
        </w:rPr>
        <w:t>Discount Range Prepayment Response Date</w:t>
      </w:r>
      <w:r>
        <w:rPr>
          <w:rFonts w:ascii="Arial" w:cs="Arial" w:eastAsia="Arial" w:hAnsi="Arial"/>
          <w:sz w:val="17"/>
          <w:szCs w:val="17"/>
          <w:color w:val="auto"/>
        </w:rPr>
        <w:t xml:space="preserve">”). Each relevant Term Lender’s Discount Range Prepayment Offer shall be irrevocable and shall specify a discount to par within the Discount Range (the “ </w:t>
      </w:r>
      <w:r>
        <w:rPr>
          <w:rFonts w:ascii="Arial" w:cs="Arial" w:eastAsia="Arial" w:hAnsi="Arial"/>
          <w:sz w:val="17"/>
          <w:szCs w:val="17"/>
          <w:u w:val="single" w:color="auto"/>
          <w:color w:val="auto"/>
        </w:rPr>
        <w:t>Submitted Discount</w:t>
      </w:r>
      <w:r>
        <w:rPr>
          <w:rFonts w:ascii="Arial" w:cs="Arial" w:eastAsia="Arial" w:hAnsi="Arial"/>
          <w:sz w:val="17"/>
          <w:szCs w:val="17"/>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7"/>
          <w:szCs w:val="17"/>
          <w:u w:val="single" w:color="auto"/>
          <w:color w:val="auto"/>
        </w:rPr>
        <w:t>Submitted Amount</w:t>
      </w:r>
      <w:r>
        <w:rPr>
          <w:rFonts w:ascii="Arial" w:cs="Arial" w:eastAsia="Arial" w:hAnsi="Arial"/>
          <w:sz w:val="17"/>
          <w:szCs w:val="17"/>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75" w:lineRule="exact"/>
        <w:rPr>
          <w:sz w:val="20"/>
          <w:szCs w:val="20"/>
          <w:color w:val="auto"/>
        </w:rPr>
      </w:pPr>
    </w:p>
    <w:p>
      <w:pPr>
        <w:jc w:val="both"/>
        <w:ind w:firstLine="638"/>
        <w:spacing w:after="0" w:line="263" w:lineRule="auto"/>
        <w:tabs>
          <w:tab w:leader="none" w:pos="113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w:t>
      </w:r>
    </w:p>
    <w:p>
      <w:pPr>
        <w:sectPr>
          <w:pgSz w:w="11900" w:h="16838" w:orient="portrait"/>
          <w:cols w:equalWidth="0" w:num="1">
            <w:col w:w="10600"/>
          </w:cols>
          <w:pgMar w:left="960" w:top="1395" w:right="339" w:bottom="1440" w:gutter="0" w:footer="0" w:header="0"/>
        </w:sectPr>
      </w:pPr>
    </w:p>
    <w:bookmarkStart w:id="158" w:name="page159"/>
    <w:bookmarkEnd w:id="158"/>
    <w:p>
      <w:pPr>
        <w:jc w:val="both"/>
        <w:spacing w:after="0" w:line="265" w:lineRule="auto"/>
        <w:rPr>
          <w:sz w:val="20"/>
          <w:szCs w:val="20"/>
          <w:color w:val="auto"/>
        </w:rPr>
      </w:pPr>
      <w:r>
        <w:rPr>
          <w:rFonts w:ascii="Arial" w:cs="Arial" w:eastAsia="Arial" w:hAnsi="Arial"/>
          <w:sz w:val="18"/>
          <w:szCs w:val="18"/>
          <w:color w:val="auto"/>
        </w:rPr>
        <w:t xml:space="preserve">reasonable discretion) the Applicable Discount and Term Loans to be prepaid at such Applicable Discount in accordance with this </w:t>
      </w:r>
      <w:r>
        <w:rPr>
          <w:rFonts w:ascii="Arial" w:cs="Arial" w:eastAsia="Arial" w:hAnsi="Arial"/>
          <w:sz w:val="18"/>
          <w:szCs w:val="18"/>
          <w:u w:val="single" w:color="auto"/>
          <w:color w:val="auto"/>
        </w:rPr>
        <w:t>subsection (C)</w:t>
      </w:r>
      <w:r>
        <w:rPr>
          <w:rFonts w:ascii="Arial" w:cs="Arial" w:eastAsia="Arial" w:hAnsi="Arial"/>
          <w:sz w:val="18"/>
          <w:szCs w:val="18"/>
          <w:color w:val="auto"/>
        </w:rPr>
        <w:t>. 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8"/>
          <w:szCs w:val="18"/>
          <w:u w:val="single" w:color="auto"/>
          <w:color w:val="auto"/>
        </w:rPr>
        <w:t>Applicable Discount</w:t>
      </w:r>
      <w:r>
        <w:rPr>
          <w:rFonts w:ascii="Arial" w:cs="Arial" w:eastAsia="Arial" w:hAnsi="Arial"/>
          <w:sz w:val="18"/>
          <w:szCs w:val="18"/>
          <w:color w:val="auto"/>
        </w:rPr>
        <w:t xml:space="preserve">”)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paragraph </w:t>
      </w:r>
      <w:r>
        <w:rPr>
          <w:rFonts w:ascii="Arial" w:cs="Arial" w:eastAsia="Arial" w:hAnsi="Arial"/>
          <w:sz w:val="18"/>
          <w:szCs w:val="18"/>
          <w:u w:val="single" w:color="auto"/>
          <w:color w:val="auto"/>
        </w:rPr>
        <w:t>(3)</w:t>
      </w:r>
      <w:r>
        <w:rPr>
          <w:rFonts w:ascii="Arial" w:cs="Arial" w:eastAsia="Arial" w:hAnsi="Arial"/>
          <w:sz w:val="18"/>
          <w:szCs w:val="18"/>
          <w:color w:val="auto"/>
        </w:rPr>
        <w:t>) at the Applicable Discount (each such Lender, a “</w:t>
      </w:r>
      <w:r>
        <w:rPr>
          <w:rFonts w:ascii="Arial" w:cs="Arial" w:eastAsia="Arial" w:hAnsi="Arial"/>
          <w:sz w:val="18"/>
          <w:szCs w:val="18"/>
          <w:u w:val="single" w:color="auto"/>
          <w:color w:val="auto"/>
        </w:rPr>
        <w:t>Participating Lender</w:t>
      </w:r>
      <w:r>
        <w:rPr>
          <w:rFonts w:ascii="Arial" w:cs="Arial" w:eastAsia="Arial" w:hAnsi="Arial"/>
          <w:sz w:val="18"/>
          <w:szCs w:val="18"/>
          <w:color w:val="auto"/>
        </w:rPr>
        <w:t>”).</w:t>
      </w:r>
    </w:p>
    <w:p>
      <w:pPr>
        <w:spacing w:after="0" w:line="176" w:lineRule="exact"/>
        <w:rPr>
          <w:sz w:val="20"/>
          <w:szCs w:val="20"/>
          <w:color w:val="auto"/>
        </w:rPr>
      </w:pPr>
    </w:p>
    <w:p>
      <w:pPr>
        <w:jc w:val="both"/>
        <w:ind w:firstLine="638"/>
        <w:spacing w:after="0" w:line="263" w:lineRule="auto"/>
        <w:tabs>
          <w:tab w:leader="none" w:pos="112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8"/>
          <w:szCs w:val="18"/>
          <w:u w:val="single" w:color="auto"/>
          <w:color w:val="auto"/>
        </w:rPr>
        <w:t>Identified Participating Lenders</w:t>
      </w:r>
      <w:r>
        <w:rPr>
          <w:rFonts w:ascii="Arial" w:cs="Arial" w:eastAsia="Arial" w:hAnsi="Arial"/>
          <w:sz w:val="18"/>
          <w:szCs w:val="18"/>
          <w:color w:val="auto"/>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Arial" w:cs="Arial" w:eastAsia="Arial" w:hAnsi="Arial"/>
          <w:sz w:val="18"/>
          <w:szCs w:val="18"/>
          <w:u w:val="single" w:color="auto"/>
          <w:color w:val="auto"/>
        </w:rPr>
        <w:t>Discount Range Proration</w:t>
      </w:r>
      <w:r>
        <w:rPr>
          <w:rFonts w:ascii="Arial" w:cs="Arial" w:eastAsia="Arial" w:hAnsi="Arial"/>
          <w:sz w:val="18"/>
          <w:szCs w:val="18"/>
          <w:color w:val="auto"/>
        </w:rPr>
        <w:t xml:space="preserve">”). The Auction Agent shall promptly, and in any case within five (5) 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such Borrower on the Discounted Prepayment Effective Date in accordance with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below (subject to </w:t>
      </w:r>
      <w:r>
        <w:rPr>
          <w:rFonts w:ascii="Arial" w:cs="Arial" w:eastAsia="Arial" w:hAnsi="Arial"/>
          <w:sz w:val="18"/>
          <w:szCs w:val="18"/>
          <w:u w:val="single" w:color="auto"/>
          <w:color w:val="auto"/>
        </w:rPr>
        <w:t>subsection (J)</w:t>
      </w:r>
      <w:r>
        <w:rPr>
          <w:rFonts w:ascii="Arial" w:cs="Arial" w:eastAsia="Arial" w:hAnsi="Arial"/>
          <w:sz w:val="18"/>
          <w:szCs w:val="18"/>
          <w:color w:val="auto"/>
        </w:rPr>
        <w:t xml:space="preserve"> below).</w:t>
      </w:r>
    </w:p>
    <w:p>
      <w:pPr>
        <w:spacing w:after="0" w:line="179" w:lineRule="exact"/>
        <w:rPr>
          <w:sz w:val="20"/>
          <w:szCs w:val="20"/>
          <w:color w:val="auto"/>
        </w:rPr>
      </w:pPr>
    </w:p>
    <w:p>
      <w:pPr>
        <w:ind w:firstLine="638"/>
        <w:spacing w:after="0" w:line="278" w:lineRule="auto"/>
        <w:tabs>
          <w:tab w:leader="none" w:pos="121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(1) Subject to the proviso to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above, Holdings, any Intermediate Parent, the Borrower or any of their respective Subsidiaries may from time to time</w:t>
      </w:r>
    </w:p>
    <w:p>
      <w:pPr>
        <w:sectPr>
          <w:pgSz w:w="11900" w:h="16838" w:orient="portrait"/>
          <w:cols w:equalWidth="0" w:num="1">
            <w:col w:w="10600"/>
          </w:cols>
          <w:pgMar w:left="960" w:top="1395" w:right="339" w:bottom="1440" w:gutter="0" w:footer="0" w:header="0"/>
        </w:sectPr>
      </w:pPr>
    </w:p>
    <w:bookmarkStart w:id="159" w:name="page160"/>
    <w:bookmarkEnd w:id="159"/>
    <w:p>
      <w:pPr>
        <w:jc w:val="both"/>
        <w:spacing w:after="0" w:line="275" w:lineRule="auto"/>
        <w:rPr>
          <w:sz w:val="20"/>
          <w:szCs w:val="20"/>
          <w:color w:val="auto"/>
        </w:rPr>
      </w:pPr>
      <w:r>
        <w:rPr>
          <w:rFonts w:ascii="Arial" w:cs="Arial" w:eastAsia="Arial" w:hAnsi="Arial"/>
          <w:sz w:val="17"/>
          <w:szCs w:val="17"/>
          <w:color w:val="auto"/>
        </w:rPr>
        <w:t>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7"/>
          <w:szCs w:val="17"/>
          <w:u w:val="single" w:color="auto"/>
          <w:color w:val="auto"/>
        </w:rPr>
        <w:t>Solicited Discounted Prepayment Amount</w:t>
      </w:r>
      <w:r>
        <w:rPr>
          <w:rFonts w:ascii="Arial" w:cs="Arial" w:eastAsia="Arial" w:hAnsi="Arial"/>
          <w:sz w:val="17"/>
          <w:szCs w:val="17"/>
          <w:color w:val="auto"/>
        </w:rPr>
        <w:t>”) and the tranche or tranches of Term Loans that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after the date of delivery of such notice to the relevant Term Lenders (the “</w:t>
      </w:r>
      <w:r>
        <w:rPr>
          <w:rFonts w:ascii="Arial" w:cs="Arial" w:eastAsia="Arial" w:hAnsi="Arial"/>
          <w:sz w:val="17"/>
          <w:szCs w:val="17"/>
          <w:u w:val="single" w:color="auto"/>
          <w:color w:val="auto"/>
        </w:rPr>
        <w:t>Solicited Discounted Prepayment Response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Each Term Lender’s Solicited Discounted Prepayment Offer shall (x) be irrevocable, (y) remain outstanding until the Acceptance Date, and (z) specify both a discount to par (the “</w:t>
      </w:r>
      <w:r>
        <w:rPr>
          <w:rFonts w:ascii="Arial" w:cs="Arial" w:eastAsia="Arial" w:hAnsi="Arial"/>
          <w:sz w:val="17"/>
          <w:szCs w:val="17"/>
          <w:u w:val="single" w:color="auto"/>
          <w:color w:val="auto"/>
        </w:rPr>
        <w:t>Offered Discount</w:t>
      </w:r>
      <w:r>
        <w:rPr>
          <w:rFonts w:ascii="Arial" w:cs="Arial" w:eastAsia="Arial" w:hAnsi="Arial"/>
          <w:sz w:val="17"/>
          <w:szCs w:val="17"/>
          <w:color w:val="auto"/>
        </w:rPr>
        <w:t>”) such Term Lender is willing to allow to be applied to the prepayment of its then outstanding Term Loan and the maximum aggregate principal amount and tranches of such Term Loans (the “</w:t>
      </w:r>
      <w:r>
        <w:rPr>
          <w:rFonts w:ascii="Arial" w:cs="Arial" w:eastAsia="Arial" w:hAnsi="Arial"/>
          <w:sz w:val="17"/>
          <w:szCs w:val="17"/>
          <w:u w:val="single" w:color="auto"/>
          <w:color w:val="auto"/>
        </w:rPr>
        <w:t>Offered Amount</w:t>
      </w:r>
      <w:r>
        <w:rPr>
          <w:rFonts w:ascii="Arial" w:cs="Arial" w:eastAsia="Arial" w:hAnsi="Arial"/>
          <w:sz w:val="17"/>
          <w:szCs w:val="17"/>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396" w:lineRule="exact"/>
        <w:rPr>
          <w:sz w:val="20"/>
          <w:szCs w:val="20"/>
          <w:color w:val="auto"/>
        </w:rPr>
      </w:pPr>
    </w:p>
    <w:p>
      <w:pPr>
        <w:jc w:val="both"/>
        <w:ind w:firstLine="638"/>
        <w:spacing w:after="0" w:line="275" w:lineRule="auto"/>
        <w:tabs>
          <w:tab w:leader="none" w:pos="118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Arial" w:cs="Arial" w:eastAsia="Arial" w:hAnsi="Arial"/>
          <w:sz w:val="17"/>
          <w:szCs w:val="17"/>
          <w:u w:val="single" w:color="auto"/>
          <w:color w:val="auto"/>
        </w:rPr>
        <w:t>Acceptable Discount</w:t>
      </w:r>
      <w:r>
        <w:rPr>
          <w:rFonts w:ascii="Arial" w:cs="Arial" w:eastAsia="Arial" w:hAnsi="Arial"/>
          <w:sz w:val="17"/>
          <w:szCs w:val="17"/>
          <w:color w:val="auto"/>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Business Day after the date of receipt by Holdings, any Intermediate Parent, the Borrower or any of their respective Subsidiaries from the Auction Agent of a copy of all Solicited Discounted Prepayment Offers pursuant to the first sentence of this paragraph </w:t>
      </w:r>
      <w:r>
        <w:rPr>
          <w:rFonts w:ascii="Arial" w:cs="Arial" w:eastAsia="Arial" w:hAnsi="Arial"/>
          <w:sz w:val="17"/>
          <w:szCs w:val="17"/>
          <w:u w:val="single" w:color="auto"/>
          <w:color w:val="auto"/>
        </w:rPr>
        <w:t>(2)</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Acceptance Date</w:t>
      </w:r>
      <w:r>
        <w:rPr>
          <w:rFonts w:ascii="Arial" w:cs="Arial" w:eastAsia="Arial" w:hAnsi="Arial"/>
          <w:sz w:val="17"/>
          <w:szCs w:val="17"/>
          <w:color w:val="auto"/>
        </w:rPr>
        <w:t>”),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sectPr>
          <w:pgSz w:w="11900" w:h="16838" w:orient="portrait"/>
          <w:cols w:equalWidth="0" w:num="1">
            <w:col w:w="10600"/>
          </w:cols>
          <w:pgMar w:left="960" w:top="1395" w:right="339" w:bottom="1440" w:gutter="0" w:footer="0" w:header="0"/>
        </w:sectPr>
      </w:pPr>
    </w:p>
    <w:bookmarkStart w:id="160" w:name="page161"/>
    <w:bookmarkEnd w:id="160"/>
    <w:p>
      <w:pPr>
        <w:jc w:val="both"/>
        <w:ind w:left="-2" w:firstLine="638"/>
        <w:spacing w:after="0" w:line="278" w:lineRule="auto"/>
        <w:tabs>
          <w:tab w:leader="none" w:pos="1138" w:val="left"/>
        </w:tabs>
        <w:numPr>
          <w:ilvl w:val="1"/>
          <w:numId w:val="119"/>
        </w:numPr>
        <w:rPr>
          <w:rFonts w:ascii="Arial" w:cs="Arial" w:eastAsia="Arial" w:hAnsi="Arial"/>
          <w:sz w:val="17"/>
          <w:szCs w:val="17"/>
          <w:color w:val="auto"/>
        </w:rPr>
      </w:pPr>
      <w:r>
        <w:rPr>
          <w:rFonts w:ascii="Arial" w:cs="Arial" w:eastAsia="Arial" w:hAnsi="Arial"/>
          <w:sz w:val="17"/>
          <w:szCs w:val="17"/>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7"/>
          <w:szCs w:val="17"/>
          <w:u w:val="single" w:color="auto"/>
          <w:color w:val="auto"/>
        </w:rPr>
        <w:t>Discounted Prepayment Determination Date</w:t>
      </w:r>
      <w:r>
        <w:rPr>
          <w:rFonts w:ascii="Arial" w:cs="Arial" w:eastAsia="Arial" w:hAnsi="Arial"/>
          <w:sz w:val="17"/>
          <w:szCs w:val="17"/>
          <w:color w:val="auto"/>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Arial" w:cs="Arial" w:eastAsia="Arial" w:hAnsi="Arial"/>
          <w:sz w:val="17"/>
          <w:szCs w:val="17"/>
          <w:u w:val="single" w:color="auto"/>
          <w:color w:val="auto"/>
        </w:rPr>
        <w:t>Acceptable Prepayment Amount</w:t>
      </w:r>
      <w:r>
        <w:rPr>
          <w:rFonts w:ascii="Arial" w:cs="Arial" w:eastAsia="Arial" w:hAnsi="Arial"/>
          <w:sz w:val="17"/>
          <w:szCs w:val="17"/>
          <w:color w:val="auto"/>
        </w:rPr>
        <w:t xml:space="preserve">”) to be prepaid by Holdings, any Intermediate Parent, the Borrower or any of their respective Subsidiaries at the Acceptable Discount in accordance with this </w:t>
      </w:r>
      <w:r>
        <w:rPr>
          <w:rFonts w:ascii="Arial" w:cs="Arial" w:eastAsia="Arial" w:hAnsi="Arial"/>
          <w:sz w:val="17"/>
          <w:szCs w:val="17"/>
          <w:u w:val="single" w:color="auto"/>
          <w:color w:val="auto"/>
        </w:rPr>
        <w:t>Section 2.11(a)(ii)(D)</w:t>
      </w:r>
      <w:r>
        <w:rPr>
          <w:rFonts w:ascii="Arial" w:cs="Arial" w:eastAsia="Arial" w:hAnsi="Arial"/>
          <w:sz w:val="17"/>
          <w:szCs w:val="17"/>
          <w:color w:val="auto"/>
        </w:rPr>
        <w:t>. If Holdings, any Intermediate Parent, the Borrower or any of their respective Subsidiaries elects to accept any Acceptable Discount, then Holdings, any Intermediate Parent, the Borrower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7"/>
          <w:szCs w:val="17"/>
          <w:u w:val="single" w:color="auto"/>
          <w:color w:val="auto"/>
        </w:rPr>
        <w:t>Qualifying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Holdings, any Intermediate Parent, the Borrower or any of their respective Subsidiaries will prepay outstanding Term Loans pursuant to this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to each Qualifying Lender in the aggregate principal amount and of the tranches specified in such Lender’s Solicited Discounted Prepayment Offer at the Acceptable Discount;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7"/>
          <w:szCs w:val="17"/>
          <w:u w:val="single" w:color="auto"/>
          <w:color w:val="auto"/>
        </w:rPr>
        <w:t>Identified Qualifying Lenders</w:t>
      </w:r>
      <w:r>
        <w:rPr>
          <w:rFonts w:ascii="Arial" w:cs="Arial" w:eastAsia="Arial" w:hAnsi="Arial"/>
          <w:sz w:val="17"/>
          <w:szCs w:val="17"/>
          <w:color w:val="auto"/>
        </w:rPr>
        <w:t>”) shall be made pro-rata among the Identified Qualifying Lenders in accordance with the Offered Amount of each such Identified 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Arial" w:cs="Arial" w:eastAsia="Arial" w:hAnsi="Arial"/>
          <w:sz w:val="17"/>
          <w:szCs w:val="17"/>
          <w:u w:val="single" w:color="auto"/>
          <w:color w:val="auto"/>
        </w:rPr>
        <w:t>Solicited Discount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Proration</w:t>
      </w:r>
      <w:r>
        <w:rPr>
          <w:rFonts w:ascii="Arial" w:cs="Arial" w:eastAsia="Arial" w:hAnsi="Arial"/>
          <w:sz w:val="17"/>
          <w:szCs w:val="17"/>
          <w:color w:val="auto"/>
        </w:rPr>
        <w:t>”). On or prior to the Discounted Prepayment Determination Date, the Auction Agent shall promptly notify (I) 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w:t>
      </w:r>
    </w:p>
    <w:p>
      <w:pPr>
        <w:spacing w:after="0" w:line="210" w:lineRule="exact"/>
        <w:rPr>
          <w:rFonts w:ascii="Arial" w:cs="Arial" w:eastAsia="Arial" w:hAnsi="Arial"/>
          <w:sz w:val="17"/>
          <w:szCs w:val="17"/>
          <w:color w:val="auto"/>
        </w:rPr>
      </w:pPr>
    </w:p>
    <w:p>
      <w:pPr>
        <w:jc w:val="both"/>
        <w:ind w:left="-2" w:firstLine="2"/>
        <w:spacing w:after="0" w:line="276" w:lineRule="auto"/>
        <w:tabs>
          <w:tab w:leader="none" w:pos="40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 on the Discounted Prepayment Effective Date in accordance with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below (subject to </w:t>
      </w:r>
      <w:r>
        <w:rPr>
          <w:rFonts w:ascii="Arial" w:cs="Arial" w:eastAsia="Arial" w:hAnsi="Arial"/>
          <w:sz w:val="17"/>
          <w:szCs w:val="17"/>
          <w:u w:val="single" w:color="auto"/>
          <w:color w:val="auto"/>
        </w:rPr>
        <w:t>subsection</w:t>
      </w:r>
    </w:p>
    <w:p>
      <w:pPr>
        <w:spacing w:after="0" w:line="2" w:lineRule="exact"/>
        <w:rPr>
          <w:rFonts w:ascii="Arial" w:cs="Arial" w:eastAsia="Arial" w:hAnsi="Arial"/>
          <w:sz w:val="17"/>
          <w:szCs w:val="17"/>
          <w:color w:val="auto"/>
        </w:rPr>
      </w:pPr>
    </w:p>
    <w:p>
      <w:pPr>
        <w:ind w:left="258" w:hanging="258"/>
        <w:spacing w:after="0"/>
        <w:tabs>
          <w:tab w:leader="none" w:pos="258" w:val="left"/>
        </w:tabs>
        <w:numPr>
          <w:ilvl w:val="0"/>
          <w:numId w:val="121"/>
        </w:numPr>
        <w:rPr>
          <w:rFonts w:ascii="Arial" w:cs="Arial" w:eastAsia="Arial" w:hAnsi="Arial"/>
          <w:sz w:val="19"/>
          <w:szCs w:val="19"/>
          <w:u w:val="single" w:color="auto"/>
          <w:color w:val="auto"/>
        </w:rPr>
      </w:pPr>
      <w:r>
        <w:rPr>
          <w:rFonts w:ascii="Arial" w:cs="Arial" w:eastAsia="Arial" w:hAnsi="Arial"/>
          <w:sz w:val="19"/>
          <w:szCs w:val="19"/>
          <w:color w:val="auto"/>
        </w:rPr>
        <w:t>below).</w:t>
      </w:r>
    </w:p>
    <w:p>
      <w:pPr>
        <w:spacing w:after="0" w:line="203" w:lineRule="exact"/>
        <w:rPr>
          <w:sz w:val="20"/>
          <w:szCs w:val="20"/>
          <w:color w:val="auto"/>
        </w:rPr>
      </w:pPr>
    </w:p>
    <w:p>
      <w:pPr>
        <w:jc w:val="both"/>
        <w:ind w:left="-2" w:firstLine="638"/>
        <w:spacing w:after="0" w:line="263" w:lineRule="auto"/>
        <w:tabs>
          <w:tab w:leader="none" w:pos="118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connection with any Discounted Term Loan Prepayment, Holdings, any Intermediate Parent, the Borrower or any of their respective Subsidiaries and the Lenders acknowledge and agree that the Auction Agent may require as a condition to any Discounted</w:t>
      </w:r>
    </w:p>
    <w:p>
      <w:pPr>
        <w:sectPr>
          <w:pgSz w:w="11900" w:h="16838" w:orient="portrait"/>
          <w:cols w:equalWidth="0" w:num="1">
            <w:col w:w="10598"/>
          </w:cols>
          <w:pgMar w:left="962" w:top="1395" w:right="339" w:bottom="1440" w:gutter="0" w:footer="0" w:header="0"/>
        </w:sectPr>
      </w:pPr>
    </w:p>
    <w:bookmarkStart w:id="161" w:name="page162"/>
    <w:bookmarkEnd w:id="161"/>
    <w:p>
      <w:pPr>
        <w:ind w:right="20"/>
        <w:spacing w:after="0" w:line="278" w:lineRule="auto"/>
        <w:rPr>
          <w:sz w:val="20"/>
          <w:szCs w:val="20"/>
          <w:color w:val="auto"/>
        </w:rPr>
      </w:pPr>
      <w:r>
        <w:rPr>
          <w:rFonts w:ascii="Arial" w:cs="Arial" w:eastAsia="Arial" w:hAnsi="Arial"/>
          <w:sz w:val="19"/>
          <w:szCs w:val="19"/>
          <w:color w:val="auto"/>
        </w:rPr>
        <w:t>Term Loan Prepayment, the payment of reasonable and customary fees and expenses from Holdings, any Intermediate Parent, the Borrower or any of their respective Subsidiaries in connection therewith.</w:t>
      </w:r>
    </w:p>
    <w:p>
      <w:pPr>
        <w:spacing w:after="0" w:line="156" w:lineRule="exact"/>
        <w:rPr>
          <w:sz w:val="20"/>
          <w:szCs w:val="20"/>
          <w:color w:val="auto"/>
        </w:rPr>
      </w:pPr>
    </w:p>
    <w:p>
      <w:pPr>
        <w:jc w:val="both"/>
        <w:ind w:firstLine="638"/>
        <w:spacing w:after="0" w:line="265" w:lineRule="auto"/>
        <w:tabs>
          <w:tab w:leader="none" w:pos="117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If any Term Loan is prepaid in accordance with </w:t>
      </w:r>
      <w:r>
        <w:rPr>
          <w:rFonts w:ascii="Arial" w:cs="Arial" w:eastAsia="Arial" w:hAnsi="Arial"/>
          <w:sz w:val="18"/>
          <w:szCs w:val="18"/>
          <w:u w:val="single" w:color="auto"/>
          <w:color w:val="auto"/>
        </w:rPr>
        <w:t>subsections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72" w:lineRule="exact"/>
        <w:rPr>
          <w:rFonts w:ascii="Arial" w:cs="Arial" w:eastAsia="Arial" w:hAnsi="Arial"/>
          <w:sz w:val="18"/>
          <w:szCs w:val="18"/>
          <w:color w:val="auto"/>
        </w:rPr>
      </w:pPr>
    </w:p>
    <w:p>
      <w:pPr>
        <w:jc w:val="both"/>
        <w:ind w:firstLine="638"/>
        <w:spacing w:after="0" w:line="308" w:lineRule="auto"/>
        <w:tabs>
          <w:tab w:leader="none" w:pos="115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To the extent not expressly provided for herein, each Discounted Term Loan Prepayment shall be consummated pursuant to procedures consistent with the provisions in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established by the Auction Agent acting in its reasonable discretion and as reasonably agreed by Holdings, any Intermediate Parent, the Borrower or any of their respective Subsidiaries.</w:t>
      </w:r>
    </w:p>
    <w:p>
      <w:pPr>
        <w:spacing w:after="0" w:line="135" w:lineRule="exact"/>
        <w:rPr>
          <w:rFonts w:ascii="Arial" w:cs="Arial" w:eastAsia="Arial" w:hAnsi="Arial"/>
          <w:sz w:val="17"/>
          <w:szCs w:val="17"/>
          <w:color w:val="auto"/>
        </w:rPr>
      </w:pPr>
    </w:p>
    <w:p>
      <w:pPr>
        <w:jc w:val="both"/>
        <w:ind w:firstLine="638"/>
        <w:spacing w:after="0" w:line="255" w:lineRule="auto"/>
        <w:tabs>
          <w:tab w:leader="none" w:pos="118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Notwithstanding anything in any Loan Document to the contrary, for purposes of this </w:t>
      </w:r>
      <w:r>
        <w:rPr>
          <w:rFonts w:ascii="Arial" w:cs="Arial" w:eastAsia="Arial" w:hAnsi="Arial"/>
          <w:sz w:val="19"/>
          <w:szCs w:val="19"/>
          <w:u w:val="single" w:color="auto"/>
          <w:color w:val="auto"/>
        </w:rPr>
        <w:t>Section 2.11(a)(ii)</w:t>
      </w:r>
      <w:r>
        <w:rPr>
          <w:rFonts w:ascii="Arial" w:cs="Arial" w:eastAsia="Arial" w:hAnsi="Arial"/>
          <w:sz w:val="19"/>
          <w:szCs w:val="19"/>
          <w:color w:val="auto"/>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notice or communication actually received outside of normal business hours shall be deemed to have been given as of the opening of business on the next Business Day.</w:t>
      </w:r>
    </w:p>
    <w:p>
      <w:pPr>
        <w:spacing w:after="0" w:line="177" w:lineRule="exact"/>
        <w:rPr>
          <w:rFonts w:ascii="Arial" w:cs="Arial" w:eastAsia="Arial" w:hAnsi="Arial"/>
          <w:sz w:val="19"/>
          <w:szCs w:val="19"/>
          <w:color w:val="auto"/>
        </w:rPr>
      </w:pPr>
    </w:p>
    <w:p>
      <w:pPr>
        <w:jc w:val="both"/>
        <w:ind w:firstLine="638"/>
        <w:spacing w:after="0" w:line="253" w:lineRule="auto"/>
        <w:tabs>
          <w:tab w:leader="none" w:pos="126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Each of Holdings, any Intermediate Parent, the Borrower or any of their respective Subsidiaries and the Lenders acknowledges and agrees that the Auction Agent may perform any and all of its duties under this </w:t>
      </w:r>
      <w:r>
        <w:rPr>
          <w:rFonts w:ascii="Arial" w:cs="Arial" w:eastAsia="Arial" w:hAnsi="Arial"/>
          <w:sz w:val="19"/>
          <w:szCs w:val="19"/>
          <w:u w:val="single" w:color="auto"/>
          <w:color w:val="auto"/>
        </w:rPr>
        <w:t>Section 2.11(a)(ii)</w:t>
      </w:r>
      <w:r>
        <w:rPr>
          <w:rFonts w:ascii="Arial" w:cs="Arial" w:eastAsia="Arial" w:hAnsi="Arial"/>
          <w:sz w:val="19"/>
          <w:szCs w:val="19"/>
          <w:color w:val="auto"/>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Arial" w:cs="Arial" w:eastAsia="Arial" w:hAnsi="Arial"/>
          <w:sz w:val="19"/>
          <w:szCs w:val="19"/>
          <w:u w:val="single" w:color="auto"/>
          <w:color w:val="auto"/>
        </w:rPr>
        <w:t>Section 2.11(a)(ii)</w:t>
      </w:r>
      <w:r>
        <w:rPr>
          <w:rFonts w:ascii="Arial" w:cs="Arial" w:eastAsia="Arial" w:hAnsi="Arial"/>
          <w:sz w:val="19"/>
          <w:szCs w:val="19"/>
          <w:color w:val="auto"/>
        </w:rPr>
        <w:t xml:space="preserve"> as well as activities of the Auction Agent.</w:t>
      </w:r>
    </w:p>
    <w:p>
      <w:pPr>
        <w:spacing w:after="0" w:line="181" w:lineRule="exact"/>
        <w:rPr>
          <w:rFonts w:ascii="Arial" w:cs="Arial" w:eastAsia="Arial" w:hAnsi="Arial"/>
          <w:sz w:val="19"/>
          <w:szCs w:val="19"/>
          <w:color w:val="auto"/>
        </w:rPr>
      </w:pPr>
    </w:p>
    <w:p>
      <w:pPr>
        <w:jc w:val="both"/>
        <w:ind w:firstLine="638"/>
        <w:spacing w:after="0" w:line="263" w:lineRule="auto"/>
        <w:tabs>
          <w:tab w:leader="none" w:pos="115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w:t>
      </w:r>
    </w:p>
    <w:p>
      <w:pPr>
        <w:sectPr>
          <w:pgSz w:w="11900" w:h="16838" w:orient="portrait"/>
          <w:cols w:equalWidth="0" w:num="1">
            <w:col w:w="10600"/>
          </w:cols>
          <w:pgMar w:left="960" w:top="1395" w:right="339" w:bottom="1440" w:gutter="0" w:footer="0" w:header="0"/>
        </w:sectPr>
      </w:pPr>
    </w:p>
    <w:bookmarkStart w:id="162" w:name="page163"/>
    <w:bookmarkEnd w:id="162"/>
    <w:p>
      <w:pPr>
        <w:jc w:val="both"/>
        <w:spacing w:after="0" w:line="297" w:lineRule="auto"/>
        <w:rPr>
          <w:sz w:val="20"/>
          <w:szCs w:val="20"/>
          <w:color w:val="auto"/>
        </w:rPr>
      </w:pPr>
      <w:r>
        <w:rPr>
          <w:rFonts w:ascii="Arial" w:cs="Arial" w:eastAsia="Arial" w:hAnsi="Arial"/>
          <w:sz w:val="17"/>
          <w:szCs w:val="17"/>
          <w:color w:val="auto"/>
        </w:rPr>
        <w:t xml:space="preserve">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such Borrower to make any prepayment to a Term Lender, as applicable, pursuant to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shall not constitute a Default or Event of Default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or otherwise).</w:t>
      </w:r>
    </w:p>
    <w:p>
      <w:pPr>
        <w:spacing w:after="0" w:line="145" w:lineRule="exact"/>
        <w:rPr>
          <w:sz w:val="20"/>
          <w:szCs w:val="20"/>
          <w:color w:val="auto"/>
        </w:rPr>
      </w:pPr>
    </w:p>
    <w:p>
      <w:pPr>
        <w:jc w:val="both"/>
        <w:ind w:left="-640" w:firstLine="1278"/>
        <w:spacing w:after="0" w:line="257" w:lineRule="auto"/>
        <w:tabs>
          <w:tab w:leader="none" w:pos="106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In the event and on each occasion that the aggregate Revolving Exposures exceed the aggregate Revolving Commitments, the Borrower shall prepay Revolving Borrowings (or, if no such Borrowings are outstanding, deposit cash collateral in an account with the Administrative Agent pursuant to </w:t>
      </w:r>
      <w:r>
        <w:rPr>
          <w:rFonts w:ascii="Arial" w:cs="Arial" w:eastAsia="Arial" w:hAnsi="Arial"/>
          <w:sz w:val="19"/>
          <w:szCs w:val="19"/>
          <w:u w:val="single" w:color="auto"/>
          <w:color w:val="auto"/>
        </w:rPr>
        <w:t>Section 2.05(j)</w:t>
      </w:r>
      <w:r>
        <w:rPr>
          <w:rFonts w:ascii="Arial" w:cs="Arial" w:eastAsia="Arial" w:hAnsi="Arial"/>
          <w:sz w:val="19"/>
          <w:szCs w:val="19"/>
          <w:color w:val="auto"/>
        </w:rPr>
        <w:t xml:space="preserve"> or otherwise backstop or replace all existing Letters of Credit in a manner that is reasonably satisfactory to the applicable Issuing Banks) in an aggregate amount necessary to eliminate such excess.</w:t>
      </w:r>
    </w:p>
    <w:p>
      <w:pPr>
        <w:spacing w:after="0" w:line="177" w:lineRule="exact"/>
        <w:rPr>
          <w:rFonts w:ascii="Arial" w:cs="Arial" w:eastAsia="Arial" w:hAnsi="Arial"/>
          <w:sz w:val="19"/>
          <w:szCs w:val="19"/>
          <w:color w:val="auto"/>
        </w:rPr>
      </w:pPr>
    </w:p>
    <w:p>
      <w:pPr>
        <w:jc w:val="both"/>
        <w:ind w:left="-640" w:firstLine="1278"/>
        <w:spacing w:after="0" w:line="263" w:lineRule="auto"/>
        <w:tabs>
          <w:tab w:leader="none" w:pos="11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 the event and on each occasion that any Net Proceeds are received by or on behalf of the Borrower or any of its Restricted Subsidiaries in respect of any Prepayment Event, the Borrower shall, within ten (10) Business Days after such Net Proceeds are received (or, in the case of a Prepayment Event described in 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definition of the term “Prepayment Event,” on the date of such Prepayment Event), prepay Term Borrowings in an aggregate amount equal to 100% of such Net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event described in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the definition of the term “Prepayment Event”, if the Borrower or any of the Restricted Subsidiaries invest (or commit to invest) the Net Proceeds from such event (or a portion thereof) within 18 months after receipt of such Net Proceeds in the business of the Borrower and the other Subsidiaries (including any acquisitions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18-month period (or if committed to be so invested within such 18-month period, have not been so invested within 24 months after receipt thereof), at which time a prepayment shall be required in an amount equal to such Net Proceeds that have not been so invested (or committed to be invested);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may elect to deem expenditures that otherwise would be permissible reinvestments that occur prior to receipt of the Net Proceeds by or on behalf of the Borrower or any of its Restricted Subsidiaries in respect of any Prepayment Event triggered by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the definition of the term “Prepayment Event” to have been reinvested in accordance with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so long as such deemed expenditure shall have been made no earlier than the execution of a definitive agreement for such Prepayment Event triggered by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the definition of the term “Prepayment Event”;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may use a portion of such Net Proceeds to prepay or repurchase any other Indebtedness that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that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 and such amount so used shall reduce on a dollar-for-dollar basis, any prepayment amount due hereunder in respect of such Net Proceeds.</w:t>
      </w:r>
    </w:p>
    <w:p>
      <w:pPr>
        <w:spacing w:after="0" w:line="179" w:lineRule="exact"/>
        <w:rPr>
          <w:rFonts w:ascii="Arial" w:cs="Arial" w:eastAsia="Arial" w:hAnsi="Arial"/>
          <w:sz w:val="18"/>
          <w:szCs w:val="18"/>
          <w:color w:val="auto"/>
        </w:rPr>
      </w:pPr>
    </w:p>
    <w:p>
      <w:pPr>
        <w:jc w:val="both"/>
        <w:ind w:left="-640" w:firstLine="1278"/>
        <w:spacing w:after="0" w:line="257" w:lineRule="auto"/>
        <w:tabs>
          <w:tab w:leader="none" w:pos="112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Following the end of each fiscal year of the Borrower, commencing with the fiscal year of the Borrower ending on or about December 31, 2022 (each such fiscal year, an “</w:t>
      </w:r>
      <w:r>
        <w:rPr>
          <w:rFonts w:ascii="Arial" w:cs="Arial" w:eastAsia="Arial" w:hAnsi="Arial"/>
          <w:sz w:val="19"/>
          <w:szCs w:val="19"/>
          <w:u w:val="single" w:color="auto"/>
          <w:color w:val="auto"/>
        </w:rPr>
        <w:t>Excess Cash Flow Period</w:t>
      </w:r>
      <w:r>
        <w:rPr>
          <w:rFonts w:ascii="Arial" w:cs="Arial" w:eastAsia="Arial" w:hAnsi="Arial"/>
          <w:sz w:val="19"/>
          <w:szCs w:val="19"/>
          <w:color w:val="auto"/>
        </w:rPr>
        <w:t xml:space="preserve">”), the Borrower shall prepay Term Borrowings in an aggregate amount equal to the ECF Percentage (after giving effect to any adjustment pursuant to the Permitted ECF Recalculation Considerations (as defined below)) of Excess Cash Flow for such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w:t>
      </w:r>
    </w:p>
    <w:p>
      <w:pPr>
        <w:sectPr>
          <w:pgSz w:w="11900" w:h="16838" w:orient="portrait"/>
          <w:cols w:equalWidth="0" w:num="1">
            <w:col w:w="10600"/>
          </w:cols>
          <w:pgMar w:left="960" w:top="1395" w:right="339" w:bottom="1440" w:gutter="0" w:footer="0" w:header="0"/>
        </w:sectPr>
      </w:pPr>
    </w:p>
    <w:bookmarkStart w:id="163" w:name="page164"/>
    <w:bookmarkEnd w:id="163"/>
    <w:p>
      <w:pPr>
        <w:jc w:val="both"/>
        <w:spacing w:after="0" w:line="278" w:lineRule="auto"/>
        <w:rPr>
          <w:sz w:val="20"/>
          <w:szCs w:val="20"/>
          <w:color w:val="auto"/>
        </w:rPr>
      </w:pPr>
      <w:r>
        <w:rPr>
          <w:rFonts w:ascii="Arial" w:cs="Arial" w:eastAsia="Arial" w:hAnsi="Arial"/>
          <w:sz w:val="17"/>
          <w:szCs w:val="17"/>
          <w:color w:val="auto"/>
        </w:rPr>
        <w:t xml:space="preserve">shall be reduced by the aggregate amount (other than any amount applied to reduce the prepayment required under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in respect of any prior year) of: (i) voluntary prepayments of Term Loans (and, to the extent the Revolving Commitments are permanently reduced in a corresponding amount, Revolving Loans) during such fiscal year (and in the case of Excess Cash Flow for the fiscal year of the Borrower ending on or about December 31, 2022, any such prepayments made during such fiscal year or the fiscal year ended December 31, 2021) or, at the option of the Borrower, after such fiscal year and prior to the time such prepayment is due as provided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reduction as a result of prepayments pursuant to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shall be limited to the actual amount of such cash prepayment), (ii) voluntary prepayments of Indebtedness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Term Loans that are incurred under Incremental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the prepayment of any loans issued under any Additional Revolving Commitment there is a corresponding permanent reduction in such Additional Revolving Commitment), Incremental Equivalent Debt, Credit Agreement Refinancing Indebtedness or Ratio Debt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Term Loans, in each case, during such fiscal year (and in the case of Excess Cash Flow for the fiscal year of the Borrower ending on or about December 31, 2022, any such prepayments made during such fiscal year or the fiscal year ended December 31, 2021) or, at the option of the Borrower, after such fiscal year and prior to the time such prepayment is due as provided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reduction as a result of prepayments pursuant to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or similar provisions shall be limited to the actual amount of such cash prepayment) (the aggregate amount of prepayments made pursuant to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shall be referred to as the “</w:t>
      </w:r>
      <w:r>
        <w:rPr>
          <w:rFonts w:ascii="Arial" w:cs="Arial" w:eastAsia="Arial" w:hAnsi="Arial"/>
          <w:sz w:val="17"/>
          <w:szCs w:val="17"/>
          <w:u w:val="single" w:color="auto"/>
          <w:color w:val="auto"/>
        </w:rPr>
        <w:t>Voluntary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 and Repurchase Amount</w:t>
      </w:r>
      <w:r>
        <w:rPr>
          <w:rFonts w:ascii="Arial" w:cs="Arial" w:eastAsia="Arial" w:hAnsi="Arial"/>
          <w:sz w:val="17"/>
          <w:szCs w:val="17"/>
          <w:color w:val="auto"/>
        </w:rPr>
        <w:t xml:space="preserve">”), (iii) amortization payments made pursuant to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during such fiscal year, (iv) except to the extent deducted in the calculation of Excess Cash Flow, the amount of any reduction in the outstanding amount of any Term Loans resulting from any assignment made in accordance with </w:t>
      </w:r>
      <w:r>
        <w:rPr>
          <w:rFonts w:ascii="Arial" w:cs="Arial" w:eastAsia="Arial" w:hAnsi="Arial"/>
          <w:sz w:val="17"/>
          <w:szCs w:val="17"/>
          <w:u w:val="single" w:color="auto"/>
          <w:color w:val="auto"/>
        </w:rPr>
        <w:t>Section 9.04(g)</w:t>
      </w:r>
      <w:r>
        <w:rPr>
          <w:rFonts w:ascii="Arial" w:cs="Arial" w:eastAsia="Arial" w:hAnsi="Arial"/>
          <w:sz w:val="17"/>
          <w:szCs w:val="17"/>
          <w:color w:val="auto"/>
        </w:rPr>
        <w:t xml:space="preserve"> during such fiscal year or, at the option of the Borrower, after such fiscal year and prior to the time such prepayment is due as provided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reduction shall be limited to the actual amount of cash paid in connection with the relevant assignment) (in each case, excluding all such prepayments funded with the proceeds of other long-term Indebtedness (other than revolving Indebtedness)), (v) except to the extent deducted in the calculation of Excess Cash Flow, without duplication of any Contract Consideration already deducted in a previous Excess Cash Flow Period, capital expenditures, Permitted Acquisitions or other Investments not prohibited by this Agreement (other than Investments among the Borrower and its Restricted Subsidiaries and Investments in cash or Permitted Investments) during such fiscal year and, at the option of the Borrower, after fiscal year-end and prior to the date such prepayment is due as provided below (or committed during such period to be used for such purposes within the succeeding twelve month period, in each case subject to reversal of such deduction if any such committed amount is not actually expended within such twelve-month period), (vi) except to the extent deducted in the calculation of Excess Cash Flow, Restricted Payments (other than non-cash Restricted Payments, Restricted Payments made by any wholly-owned Restricted Subsidiary to its direct parent and Restricted Payments made in reliance on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Available Amount) and prepayments, redemptions, purchases, defeasances and other payments in respect of any Junior Financing, in each case, during such fiscal year or, at the option of the Borrower, after such fiscal year and prior to the time such prepayment is due as provided below, other than any non-cash prepayments, redemptions, purchases, defeasances and other payments in respect of any Junior Financing and any prepayments, redemptions, purchases, defeasances and other payments in respect of any Junior Financing made pursuant to </w:t>
      </w:r>
      <w:r>
        <w:rPr>
          <w:rFonts w:ascii="Arial" w:cs="Arial" w:eastAsia="Arial" w:hAnsi="Arial"/>
          <w:sz w:val="17"/>
          <w:szCs w:val="17"/>
          <w:u w:val="single" w:color="auto"/>
          <w:color w:val="auto"/>
        </w:rPr>
        <w:t>Section 6.07(b)(ii)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(iii)(1)</w:t>
      </w:r>
      <w:r>
        <w:rPr>
          <w:rFonts w:ascii="Arial" w:cs="Arial" w:eastAsia="Arial" w:hAnsi="Arial"/>
          <w:sz w:val="17"/>
          <w:szCs w:val="17"/>
          <w:color w:val="auto"/>
        </w:rPr>
        <w:t xml:space="preserve">, in each case, except to the extent funded with the proceeds of long-term Indebtedness (other than revolving Indebtedness) and (vii) transaction costs and expenses related to items set forth in the preceding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(any payments described in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proviso that are made after the end of the applicable Excess Cash Flow Period but prior to the making of the applicable prepayment in respect of such Excess Cash Flow Period being referred to herein as an “</w:t>
      </w:r>
      <w:r>
        <w:rPr>
          <w:rFonts w:ascii="Arial" w:cs="Arial" w:eastAsia="Arial" w:hAnsi="Arial"/>
          <w:sz w:val="17"/>
          <w:szCs w:val="17"/>
          <w:u w:val="single" w:color="auto"/>
          <w:color w:val="auto"/>
        </w:rPr>
        <w:t>After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Year End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 Excess Cash Flow payment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shall only be</w:t>
      </w:r>
    </w:p>
    <w:p>
      <w:pPr>
        <w:sectPr>
          <w:pgSz w:w="11900" w:h="16838" w:orient="portrait"/>
          <w:cols w:equalWidth="0" w:num="1">
            <w:col w:w="11240"/>
          </w:cols>
          <w:pgMar w:left="320" w:top="1395" w:right="339" w:bottom="1440" w:gutter="0" w:footer="0" w:header="0"/>
        </w:sectPr>
      </w:pPr>
    </w:p>
    <w:bookmarkStart w:id="164" w:name="page165"/>
    <w:bookmarkEnd w:id="164"/>
    <w:p>
      <w:pPr>
        <w:jc w:val="both"/>
        <w:spacing w:after="0" w:line="283" w:lineRule="auto"/>
        <w:rPr>
          <w:sz w:val="20"/>
          <w:szCs w:val="20"/>
          <w:color w:val="auto"/>
        </w:rPr>
      </w:pPr>
      <w:r>
        <w:rPr>
          <w:rFonts w:ascii="Arial" w:cs="Arial" w:eastAsia="Arial" w:hAnsi="Arial"/>
          <w:sz w:val="17"/>
          <w:szCs w:val="17"/>
          <w:color w:val="auto"/>
        </w:rPr>
        <w:t>required with respect to amounts in excess of $10,000,000 for any Excess Cash Flow Period (and only such excess amount shall be applied to the payment thereof), (2) following the making of any After Year End Payment, (i) the First Lien Net Leverage Ratio shall be recalculated giving Pro Forma Effect to (x) such After Year End Payment as if such payment were made during the applicable Excess Cash Flow Period and</w:t>
      </w:r>
    </w:p>
    <w:p>
      <w:pPr>
        <w:jc w:val="both"/>
        <w:ind w:firstLine="6"/>
        <w:spacing w:after="0" w:line="279" w:lineRule="auto"/>
        <w:tabs>
          <w:tab w:leader="none" w:pos="27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mandatory prepayments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otherwise required to be made for the applicable Excess Cash Flow Period, and the ECF Percentage for purposes of making such Excess Cash Flow prepayment shall be determined by reference to such recalculated First Lien Net Leverage Ratio and (ii) such After Year End Payment shall not be applied to the calculation of the First Lien Net Leverage Ratio in connection with the determination of the ECF Percentage for purposes of (and shall not reduce the required amount of any subsequent Excess Cash Flow payment in another Excess Cash Flow Period) and (3) to the extent the Voluntary Prepayment and Repurchase Amount for any Excess Cash Flow Period exceeds the amount of Excess Cash Flow required to be prepaid with respect to such Excess Cash Flow Period, the amount of any such excess shall be permitted to be carried forward indefinitely to reduce the amount of any future Excess Cash Flow payment otherwise required on a dollar-for-dollar basis for any subsequent Excess Cash Flow Period (the foregoing the “</w:t>
      </w:r>
      <w:r>
        <w:rPr>
          <w:rFonts w:ascii="Arial" w:cs="Arial" w:eastAsia="Arial" w:hAnsi="Arial"/>
          <w:sz w:val="17"/>
          <w:szCs w:val="17"/>
          <w:u w:val="single" w:color="auto"/>
          <w:color w:val="auto"/>
        </w:rPr>
        <w:t>Permitted ECF Recalculation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Considerations</w:t>
      </w:r>
      <w:r>
        <w:rPr>
          <w:rFonts w:ascii="Arial" w:cs="Arial" w:eastAsia="Arial" w:hAnsi="Arial"/>
          <w:sz w:val="17"/>
          <w:szCs w:val="17"/>
          <w:color w:val="auto"/>
        </w:rPr>
        <w:t xml:space="preserve">”). Notwithstanding anything to the contrary in the foregoing, the Borrower may use a portion of such amount of Excess Cash Flow (as so reduced) in respect of any such fiscal year that would otherwise be required to be applied to prepay Term Loans to prepay or repurchase any other Indebtedness that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Term Loans to the extent such other Indebtedness and the Liens securing such other Indebtedness are permitted hereunder and the documentation governing such other Indebtedness requires such a prepayment or repurchase thereof with Excess Cash Flow, in each case in an amount not to exceed the product of (A) the amount of Excess Cash Flow (as so reduced) in respect of such fiscal year otherwise required to be applied to prepay Term Borrowings (without giving effect to this sentence) and (B) a fraction, the numerator of which is the outstanding principal amount of such other Indebtedness and the denominator of which is the aggregate outstanding principal amount of Term Loans and such other Indebtedness. Each prepayment pursuant to this paragraph shall be made on or before the date that is five (5) Business Days after the date on which financial statements are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with respect to the fiscal year for which Excess Cash Flow is being calculated.</w:t>
      </w:r>
    </w:p>
    <w:p>
      <w:pPr>
        <w:spacing w:after="0" w:line="160" w:lineRule="exact"/>
        <w:rPr>
          <w:rFonts w:ascii="Arial" w:cs="Arial" w:eastAsia="Arial" w:hAnsi="Arial"/>
          <w:sz w:val="17"/>
          <w:szCs w:val="17"/>
          <w:color w:val="auto"/>
        </w:rPr>
      </w:pPr>
    </w:p>
    <w:p>
      <w:pPr>
        <w:jc w:val="both"/>
        <w:ind w:firstLine="1278"/>
        <w:spacing w:after="0" w:line="264" w:lineRule="auto"/>
        <w:tabs>
          <w:tab w:leader="none" w:pos="169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Prior to any optional prepayment of Borrowings pursuant to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the Borrower shall select the Borrowing or Borrowings to be prepaid and shall specify such selection in the notice of such prepayment pursuant to paragraph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Term Lender (and, to the extent provided in the Refinancing Amendment or Loan Modification Agreement for any Class of Other Term Loans, any Lender that holds Other Term Loans of such Class) may elect, by notice to the Administrative Agent in writing by telecopy, electronic mail, facsimile or overnight courier at least two (2) Business Days prior to the prepayment date, to decline all or any portion of any prepayment of its Term Loans or Other Term Loans of any such Class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(other than an optional prepayment pursuant to paragraph </w:t>
      </w:r>
      <w:r>
        <w:rPr>
          <w:rFonts w:ascii="Arial" w:cs="Arial" w:eastAsia="Arial" w:hAnsi="Arial"/>
          <w:sz w:val="18"/>
          <w:szCs w:val="18"/>
          <w:u w:val="single" w:color="auto"/>
          <w:color w:val="auto"/>
        </w:rPr>
        <w:t>(a)(i)</w:t>
      </w:r>
      <w:r>
        <w:rPr>
          <w:rFonts w:ascii="Arial" w:cs="Arial" w:eastAsia="Arial" w:hAnsi="Arial"/>
          <w:sz w:val="18"/>
          <w:szCs w:val="18"/>
          <w:color w:val="auto"/>
        </w:rPr>
        <w:t xml:space="preserve"> of this Section or a mandatory prepayment as a result of the Prepayment Event set forth in 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be retained by the Borrower and added to the Available Amount (such amounts, “</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Optional prepayments of Term</w:t>
      </w:r>
    </w:p>
    <w:p>
      <w:pPr>
        <w:sectPr>
          <w:pgSz w:w="11900" w:h="16838" w:orient="portrait"/>
          <w:cols w:equalWidth="0" w:num="1">
            <w:col w:w="11240"/>
          </w:cols>
          <w:pgMar w:left="320" w:top="1395" w:right="339" w:bottom="1440" w:gutter="0" w:footer="0" w:header="0"/>
        </w:sectPr>
      </w:pPr>
    </w:p>
    <w:bookmarkStart w:id="165" w:name="page166"/>
    <w:bookmarkEnd w:id="165"/>
    <w:p>
      <w:pPr>
        <w:jc w:val="both"/>
        <w:spacing w:after="0" w:line="253" w:lineRule="auto"/>
        <w:rPr>
          <w:sz w:val="20"/>
          <w:szCs w:val="20"/>
          <w:color w:val="auto"/>
        </w:rPr>
      </w:pPr>
      <w:r>
        <w:rPr>
          <w:rFonts w:ascii="Arial" w:cs="Arial" w:eastAsia="Arial" w:hAnsi="Arial"/>
          <w:sz w:val="19"/>
          <w:szCs w:val="19"/>
          <w:color w:val="auto"/>
        </w:rPr>
        <w:t xml:space="preserve">Borrowings shall be allocated among the Classes of Term Borrowings as directed by the Borrower. In the absence of a designation by the Borrower as described in the preceding provisions of this paragraph of the Type of Borrowing of any Class, the Administrative Agent shall make such designation in its reasonable discretion with a view, but no obligation, to minimize breakage costs owing under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provided that, in connection with any mandatory prepayments by the Borrower of the Term Loans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such prepayments shall be applied on a pro rata basis to the then outstanding Term Loans being prepaid irrespective of whether such outstanding Term Loans are ABR Loans or Eurodollar Loans.</w:t>
      </w:r>
    </w:p>
    <w:p>
      <w:pPr>
        <w:spacing w:after="0" w:line="182" w:lineRule="exact"/>
        <w:rPr>
          <w:sz w:val="20"/>
          <w:szCs w:val="20"/>
          <w:color w:val="auto"/>
        </w:rPr>
      </w:pPr>
    </w:p>
    <w:p>
      <w:pPr>
        <w:jc w:val="both"/>
        <w:ind w:firstLine="1278"/>
        <w:spacing w:after="0" w:line="264" w:lineRule="auto"/>
        <w:tabs>
          <w:tab w:leader="none" w:pos="169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optional prepayment pursuant to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in writing by telecopy, electronic mail, facsimile or overnight courier of any prepayment hereunder (i) in the case of prepayment of a Eurodollar Borrowing, not later than 11:00 a.m., New York City time, three (3) Business Days before the date of prepayment or (ii) in the case of prepayment of an ABR Borrowing, not later than 11:00 a.m., New York City time, one (1) Business Day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shall be without premium or penalty. At the Borrower’s election in connection with any prepayment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such prepayment shall not be applied to any Term Loan or Revolving Loan of a Defaulting Lender (under any of subclauses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definition of “Defaulting Lender”) and shall be allocated ratably among the relevant non-Defaulting Lenders.</w:t>
      </w:r>
    </w:p>
    <w:p>
      <w:pPr>
        <w:spacing w:after="0" w:line="170" w:lineRule="exact"/>
        <w:rPr>
          <w:rFonts w:ascii="Arial" w:cs="Arial" w:eastAsia="Arial" w:hAnsi="Arial"/>
          <w:sz w:val="18"/>
          <w:szCs w:val="18"/>
          <w:color w:val="auto"/>
        </w:rPr>
      </w:pPr>
    </w:p>
    <w:p>
      <w:pPr>
        <w:jc w:val="both"/>
        <w:ind w:firstLine="1278"/>
        <w:spacing w:after="0" w:line="265" w:lineRule="auto"/>
        <w:tabs>
          <w:tab w:leader="none" w:pos="170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 to the extent that any of or all the Net Proceeds of any Prepayment Event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thereof by a Foreign Subsidiary giving rise to a prepayment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Foreign Prepayment Event</w:t>
      </w:r>
      <w:r>
        <w:rPr>
          <w:rFonts w:ascii="Arial" w:cs="Arial" w:eastAsia="Arial" w:hAnsi="Arial"/>
          <w:sz w:val="18"/>
          <w:szCs w:val="18"/>
          <w:color w:val="auto"/>
        </w:rPr>
        <w:t xml:space="preserve">”) or Excess Cash Flow of a Foreign Subsidiary giving rise to a payment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2.11(d)</w:t>
      </w:r>
      <w:r>
        <w:rPr>
          <w:rFonts w:ascii="Arial" w:cs="Arial" w:eastAsia="Arial" w:hAnsi="Arial"/>
          <w:sz w:val="18"/>
          <w:szCs w:val="18"/>
          <w:color w:val="auto"/>
        </w:rPr>
        <w:t xml:space="preserve"> are prohibited by, would violate or conflict with, or be delayed by, applicable local law from being repatriated to the Borrower, the portion of such Net Proceeds or Excess Cash Flow so affected will not be required to be applied to repay Term Loans at the times provided in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applied (net of additional taxes payable or reserved against as a result thereof) to the repayment of the Term Loans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as applicable, (B) to the extent that and for so long as the Borrower has determined in good faith that repatriation of any of or all the Net Proceeds of any Foreign Prepayment Event or Excess Cash Flow would have a material adverse tax or cost consequence with</w:t>
      </w:r>
    </w:p>
    <w:p>
      <w:pPr>
        <w:sectPr>
          <w:pgSz w:w="11900" w:h="16838" w:orient="portrait"/>
          <w:cols w:equalWidth="0" w:num="1">
            <w:col w:w="11240"/>
          </w:cols>
          <w:pgMar w:left="320" w:top="1395" w:right="339" w:bottom="1440" w:gutter="0" w:footer="0" w:header="0"/>
        </w:sectPr>
      </w:pPr>
    </w:p>
    <w:bookmarkStart w:id="166" w:name="page167"/>
    <w:bookmarkEnd w:id="166"/>
    <w:p>
      <w:pPr>
        <w:jc w:val="both"/>
        <w:spacing w:after="0" w:line="265" w:lineRule="auto"/>
        <w:rPr>
          <w:sz w:val="20"/>
          <w:szCs w:val="20"/>
          <w:color w:val="auto"/>
        </w:rPr>
      </w:pPr>
      <w:r>
        <w:rPr>
          <w:rFonts w:ascii="Arial" w:cs="Arial" w:eastAsia="Arial" w:hAnsi="Arial"/>
          <w:sz w:val="18"/>
          <w:szCs w:val="18"/>
          <w:color w:val="auto"/>
        </w:rPr>
        <w:t xml:space="preserve">respect to such Net Proceeds or Excess Cash Flow, the Net Proceeds or Excess Cash Flow so affected will not be required to be applied to repay Term Loans at the times provided in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as the case may be, and such amounts may be retained by such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the Borrower determines in good faith that repatriation of any of or all the Net Proceeds of any Foreign Prepayment Event or Excess Cash Flow would no longer have a material adverse tax consequence with respect to such Net Proceeds or Excess Cash Flow, such Net Proceeds or Excess Cash Flow shall be applied (net of additional taxes payable or reserved against as a result thereof) to the repayment of the Term Loans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as applicable, and (C) to the extent that and for so long as the Borrower has determined in good faith that repatriation of any of or all the Net Proceeds of any Foreign Prepayment Event or Excess Cash Flow would conflict with the fiduciary duties of a Subsidiary’s directors, or result in, or could reasonably be expected to result in, a material risk of personal or criminal liability for any officer, director, employee, manager, member or management or consultant of such Subsidiary, the Net Proceeds or Excess Cash Flow so affected will not be required to be applied to repay Term Loans at the times provided in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2.11(d)</w:t>
      </w:r>
      <w:r>
        <w:rPr>
          <w:rFonts w:ascii="Arial" w:cs="Arial" w:eastAsia="Arial" w:hAnsi="Arial"/>
          <w:sz w:val="18"/>
          <w:szCs w:val="18"/>
          <w:color w:val="auto"/>
        </w:rPr>
        <w:t>, as the case may be, and such amounts may be retained by such Subsidiary.</w:t>
      </w:r>
    </w:p>
    <w:p>
      <w:pPr>
        <w:spacing w:after="0" w:line="17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9" w:lineRule="exact"/>
        <w:rPr>
          <w:sz w:val="20"/>
          <w:szCs w:val="20"/>
          <w:color w:val="auto"/>
        </w:rPr>
      </w:pPr>
    </w:p>
    <w:p>
      <w:pPr>
        <w:jc w:val="both"/>
        <w:ind w:firstLine="1278"/>
        <w:spacing w:after="0" w:line="251" w:lineRule="auto"/>
        <w:tabs>
          <w:tab w:leader="none" w:pos="185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for each fiscal quarter on the date that is 15 days after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w:t>
      </w:r>
    </w:p>
    <w:p>
      <w:pPr>
        <w:spacing w:after="0" w:line="182" w:lineRule="exact"/>
        <w:rPr>
          <w:rFonts w:ascii="Arial" w:cs="Arial" w:eastAsia="Arial" w:hAnsi="Arial"/>
          <w:sz w:val="19"/>
          <w:szCs w:val="19"/>
          <w:color w:val="auto"/>
        </w:rPr>
      </w:pPr>
    </w:p>
    <w:p>
      <w:pPr>
        <w:jc w:val="both"/>
        <w:ind w:firstLine="1278"/>
        <w:spacing w:after="0" w:line="281" w:lineRule="auto"/>
        <w:tabs>
          <w:tab w:leader="none" w:pos="174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Borrower agrees to pay (i) to the Administrative Agent in dollars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equal to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November of each year shall be payable on the day that is 15 days after the last day of March, June, September and November, respectively, commencing on the first such</w:t>
      </w:r>
    </w:p>
    <w:p>
      <w:pPr>
        <w:sectPr>
          <w:pgSz w:w="11900" w:h="16838" w:orient="portrait"/>
          <w:cols w:equalWidth="0" w:num="1">
            <w:col w:w="11240"/>
          </w:cols>
          <w:pgMar w:left="320" w:top="1395" w:right="339" w:bottom="1440" w:gutter="0" w:footer="0" w:header="0"/>
        </w:sectPr>
      </w:pPr>
    </w:p>
    <w:bookmarkStart w:id="167" w:name="page168"/>
    <w:bookmarkEnd w:id="167"/>
    <w:p>
      <w:pPr>
        <w:jc w:val="both"/>
        <w:spacing w:after="0" w:line="255" w:lineRule="auto"/>
        <w:rPr>
          <w:sz w:val="20"/>
          <w:szCs w:val="20"/>
          <w:color w:val="auto"/>
        </w:rPr>
      </w:pPr>
      <w:r>
        <w:rPr>
          <w:rFonts w:ascii="Arial" w:cs="Arial" w:eastAsia="Arial" w:hAnsi="Arial"/>
          <w:sz w:val="19"/>
          <w:szCs w:val="19"/>
          <w:color w:val="auto"/>
        </w:rPr>
        <w:t xml:space="preserve">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78" w:lineRule="exact"/>
        <w:rPr>
          <w:sz w:val="20"/>
          <w:szCs w:val="20"/>
          <w:color w:val="auto"/>
        </w:rPr>
      </w:pPr>
    </w:p>
    <w:p>
      <w:pPr>
        <w:ind w:firstLine="1278"/>
        <w:spacing w:after="0" w:line="278" w:lineRule="auto"/>
        <w:tabs>
          <w:tab w:leader="none" w:pos="168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its own account, fees payable in the amounts and at the times separately agreed upon between the Borrower and the Administrative Agent in the Fee Letter.</w:t>
      </w:r>
    </w:p>
    <w:p>
      <w:pPr>
        <w:spacing w:after="0" w:line="156" w:lineRule="exact"/>
        <w:rPr>
          <w:rFonts w:ascii="Arial" w:cs="Arial" w:eastAsia="Arial" w:hAnsi="Arial"/>
          <w:sz w:val="19"/>
          <w:szCs w:val="19"/>
          <w:color w:val="auto"/>
        </w:rPr>
      </w:pPr>
    </w:p>
    <w:p>
      <w:pPr>
        <w:ind w:firstLine="1278"/>
        <w:spacing w:after="0" w:line="278" w:lineRule="auto"/>
        <w:tabs>
          <w:tab w:leader="none" w:pos="169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Notwithstanding the foregoing, and subject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the Borrower shall not be obligated to pay any amounts to any Defaulting Lender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2.13</w:t>
      </w:r>
      <w:r>
        <w:rPr>
          <w:sz w:val="20"/>
          <w:szCs w:val="20"/>
          <w:color w:val="auto"/>
        </w:rPr>
        <w:tab/>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219" w:lineRule="exact"/>
        <w:rPr>
          <w:sz w:val="20"/>
          <w:szCs w:val="20"/>
          <w:color w:val="auto"/>
        </w:rPr>
      </w:pPr>
    </w:p>
    <w:p>
      <w:pPr>
        <w:ind w:left="1680" w:hanging="402"/>
        <w:spacing w:after="0"/>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Loans comprising each ABR Borrowing shall bear interest at the Alternate Base Rate plus the Applicable Rate.</w:t>
      </w:r>
    </w:p>
    <w:p>
      <w:pPr>
        <w:spacing w:after="0" w:line="230" w:lineRule="exact"/>
        <w:rPr>
          <w:rFonts w:ascii="Arial" w:cs="Arial" w:eastAsia="Arial" w:hAnsi="Arial"/>
          <w:sz w:val="18"/>
          <w:szCs w:val="18"/>
          <w:color w:val="auto"/>
        </w:rPr>
      </w:pPr>
    </w:p>
    <w:p>
      <w:pPr>
        <w:ind w:firstLine="1278"/>
        <w:spacing w:after="0" w:line="278" w:lineRule="auto"/>
        <w:tabs>
          <w:tab w:leader="none" w:pos="171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Loans comprising each Eurodollar Borrowing shall bear interest at the Adjusted LIBO Rate for the Interest Period in effect for such Borrowing plus the Applicable Rate.</w:t>
      </w:r>
    </w:p>
    <w:p>
      <w:pPr>
        <w:spacing w:after="0" w:line="156" w:lineRule="exact"/>
        <w:rPr>
          <w:rFonts w:ascii="Arial" w:cs="Arial" w:eastAsia="Arial" w:hAnsi="Arial"/>
          <w:sz w:val="19"/>
          <w:szCs w:val="19"/>
          <w:color w:val="auto"/>
        </w:rPr>
      </w:pPr>
    </w:p>
    <w:p>
      <w:pPr>
        <w:jc w:val="both"/>
        <w:ind w:firstLine="1278"/>
        <w:spacing w:after="0" w:line="266" w:lineRule="auto"/>
        <w:tabs>
          <w:tab w:leader="none" w:pos="184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upon the occurrence and during the continuance of any Event of Default under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any principal of or interest on any Loan or any fee or other amount payable by any Loan Party under a Loan Document is not paid when due, whether at stated maturity, upon acceleration or otherwise, all overdue principal amounts of the Loans shall bear interest, after as well as before judgment, at a rate per annum equal to (i) in the case of the principal of any Loan, 2.00% per annum plus the rate otherwise applicable to such Loan as provided in the preceding paragraphs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(ii) in the case of any other amount, 2.00% per annum plus the rate applicable to ABR Loans as provided in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shall be payable pursuant to this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to a Defaulting Lender so long as such Lender shall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amounts shall accrue pursuant to this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on any overdue amount, reimbursement obligation in respect of any LC Disbursement or other amount payable to a Defaulting Lender so long as such Lender shall be a Defaulting Lender.</w:t>
      </w:r>
    </w:p>
    <w:p>
      <w:pPr>
        <w:spacing w:after="0" w:line="174" w:lineRule="exact"/>
        <w:rPr>
          <w:rFonts w:ascii="Arial" w:cs="Arial" w:eastAsia="Arial" w:hAnsi="Arial"/>
          <w:sz w:val="18"/>
          <w:szCs w:val="18"/>
          <w:color w:val="auto"/>
        </w:rPr>
      </w:pPr>
    </w:p>
    <w:p>
      <w:pPr>
        <w:jc w:val="both"/>
        <w:ind w:firstLine="1278"/>
        <w:spacing w:after="0" w:line="270" w:lineRule="auto"/>
        <w:tabs>
          <w:tab w:leader="none" w:pos="16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66" w:lineRule="exact"/>
        <w:rPr>
          <w:rFonts w:ascii="Arial" w:cs="Arial" w:eastAsia="Arial" w:hAnsi="Arial"/>
          <w:sz w:val="18"/>
          <w:szCs w:val="18"/>
          <w:color w:val="auto"/>
        </w:rPr>
      </w:pPr>
    </w:p>
    <w:p>
      <w:pPr>
        <w:jc w:val="both"/>
        <w:ind w:firstLine="1278"/>
        <w:spacing w:after="0" w:line="284" w:lineRule="auto"/>
        <w:tabs>
          <w:tab w:leader="none" w:pos="16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w:t>
      </w:r>
    </w:p>
    <w:p>
      <w:pPr>
        <w:sectPr>
          <w:pgSz w:w="11900" w:h="16838" w:orient="portrait"/>
          <w:cols w:equalWidth="0" w:num="1">
            <w:col w:w="11240"/>
          </w:cols>
          <w:pgMar w:left="320" w:top="1395"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Adjusted LIBO Rate shall be determined by the Administrative Agent, and such determination shall be conclusive absent manifest error.</w:t>
      </w:r>
    </w:p>
    <w:p>
      <w:pPr>
        <w:spacing w:after="0" w:line="230"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2.14</w:t>
      </w:r>
      <w:r>
        <w:rPr>
          <w:sz w:val="20"/>
          <w:szCs w:val="20"/>
          <w:color w:val="auto"/>
        </w:rPr>
        <w:tab/>
      </w:r>
      <w:r>
        <w:rPr>
          <w:rFonts w:ascii="Arial" w:cs="Arial" w:eastAsia="Arial" w:hAnsi="Arial"/>
          <w:sz w:val="17"/>
          <w:szCs w:val="17"/>
          <w:u w:val="single" w:color="auto"/>
          <w:color w:val="auto"/>
        </w:rPr>
        <w:t>Alternate Rate of Interest</w:t>
      </w:r>
      <w:r>
        <w:rPr>
          <w:rFonts w:ascii="Arial" w:cs="Arial" w:eastAsia="Arial" w:hAnsi="Arial"/>
          <w:sz w:val="17"/>
          <w:szCs w:val="17"/>
          <w:color w:val="auto"/>
        </w:rPr>
        <w:t>.</w:t>
      </w:r>
    </w:p>
    <w:p>
      <w:pPr>
        <w:spacing w:after="0" w:line="219" w:lineRule="exact"/>
        <w:rPr>
          <w:sz w:val="20"/>
          <w:szCs w:val="20"/>
          <w:color w:val="auto"/>
        </w:rPr>
      </w:pPr>
    </w:p>
    <w:p>
      <w:pPr>
        <w:ind w:firstLine="1278"/>
        <w:spacing w:after="0" w:line="278" w:lineRule="auto"/>
        <w:tabs>
          <w:tab w:leader="none" w:pos="169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Subject to clauses (b), (c), (d), (e), (f) and (g) of this Section 2.14, if prior to the commencement of any Interest Period for a Eurodollar Borrowing:</w:t>
      </w:r>
    </w:p>
    <w:p>
      <w:pPr>
        <w:spacing w:after="0" w:line="156" w:lineRule="exact"/>
        <w:rPr>
          <w:sz w:val="20"/>
          <w:szCs w:val="20"/>
          <w:color w:val="auto"/>
        </w:rPr>
      </w:pPr>
    </w:p>
    <w:p>
      <w:pPr>
        <w:jc w:val="both"/>
        <w:ind w:left="640" w:firstLine="638"/>
        <w:spacing w:after="0" w:line="257" w:lineRule="auto"/>
        <w:tabs>
          <w:tab w:leader="none" w:pos="175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Administrative Agent determines (which determination shall be conclusive absent manifest error) that adequate and reasonable means do not exist for ascertaining the Adjusted LIBO Rate of the LIBO Rate, as applicable (including because the LIBO Screen Rate is not available or published on a current basis), for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Benchmark Transition Event shall have occurred at such time; or</w:t>
      </w:r>
    </w:p>
    <w:p>
      <w:pPr>
        <w:spacing w:after="0" w:line="177" w:lineRule="exact"/>
        <w:rPr>
          <w:rFonts w:ascii="Arial" w:cs="Arial" w:eastAsia="Arial" w:hAnsi="Arial"/>
          <w:sz w:val="19"/>
          <w:szCs w:val="19"/>
          <w:color w:val="auto"/>
        </w:rPr>
      </w:pPr>
    </w:p>
    <w:p>
      <w:pPr>
        <w:jc w:val="both"/>
        <w:ind w:left="640" w:firstLine="638"/>
        <w:spacing w:after="0" w:line="263" w:lineRule="auto"/>
        <w:tabs>
          <w:tab w:leader="none" w:pos="184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Administrative Agent is advised by the Required Lenders that the Adjusted LIBO Rate or the LIBO Rate, as applicable, for such Interest Period will not adequately and fairly reflect the cost to such Lenders (or Lender) of making, maintaining, continuing or converting their Loans (or its Loan) included in such Borrowing for such Interest Period;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then in each such case, the Administrative Agent shall give notice thereof to the Borrower and the Lenders in writing by telecopy, electronic mail, facsimile or overnight courier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then such Borrowing shall be made as an ABR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the Borrower may revoke any Borrowing Request that is pending when such notice is received. Furthermore, if any Eurodollar Loan is outstanding on the date of the Borrower’s receipt of the notice from the Administrative Agent referred to in this Section 2.14(a) with respect to such Eurodollar Loan, then until the Administrative Agent notifies the Borrower and the Lenders that the circumstances giving rise to such notice no longer exist, then on the last day of the Interest Period applicable to such Loan (or the next succeeding Business Day if such day is not a Business Day), such Loan shall be converted by the Administrative Agent to, and shall constitute, an ABR Loan.</w:t>
      </w:r>
    </w:p>
    <w:p>
      <w:pPr>
        <w:spacing w:after="0" w:line="170" w:lineRule="exact"/>
        <w:rPr>
          <w:sz w:val="20"/>
          <w:szCs w:val="20"/>
          <w:color w:val="auto"/>
        </w:rPr>
      </w:pPr>
    </w:p>
    <w:p>
      <w:pPr>
        <w:jc w:val="both"/>
        <w:ind w:firstLine="1278"/>
        <w:spacing w:after="0" w:line="250" w:lineRule="auto"/>
        <w:tabs>
          <w:tab w:leader="none" w:pos="1878"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w:t>
      </w:r>
    </w:p>
    <w:p>
      <w:pPr>
        <w:sectPr>
          <w:pgSz w:w="11900" w:h="16838" w:orient="portrait"/>
          <w:cols w:equalWidth="0" w:num="1">
            <w:col w:w="11240"/>
          </w:cols>
          <w:pgMar w:left="320" w:top="1395" w:right="339" w:bottom="1440" w:gutter="0" w:footer="0" w:header="0"/>
        </w:sectPr>
      </w:pPr>
    </w:p>
    <w:bookmarkStart w:id="169" w:name="page170"/>
    <w:bookmarkEnd w:id="169"/>
    <w:p>
      <w:pPr>
        <w:spacing w:after="0" w:line="278" w:lineRule="auto"/>
        <w:rPr>
          <w:sz w:val="20"/>
          <w:szCs w:val="20"/>
          <w:color w:val="auto"/>
        </w:rPr>
      </w:pPr>
      <w:r>
        <w:rPr>
          <w:rFonts w:ascii="Arial" w:cs="Arial" w:eastAsia="Arial" w:hAnsi="Arial"/>
          <w:sz w:val="19"/>
          <w:szCs w:val="19"/>
          <w:color w:val="auto"/>
        </w:rPr>
        <w:t>Document so long as the Administrative Agent has not received, by such time, written notice of objection to such Benchmark Replacement from Lenders comprising the Required Lenders of each Class.</w:t>
      </w:r>
    </w:p>
    <w:p>
      <w:pPr>
        <w:spacing w:after="0" w:line="156" w:lineRule="exact"/>
        <w:rPr>
          <w:sz w:val="20"/>
          <w:szCs w:val="20"/>
          <w:color w:val="auto"/>
        </w:rPr>
      </w:pPr>
    </w:p>
    <w:p>
      <w:pPr>
        <w:jc w:val="both"/>
        <w:ind w:firstLine="1278"/>
        <w:spacing w:after="0" w:line="267" w:lineRule="auto"/>
        <w:tabs>
          <w:tab w:leader="none" w:pos="172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and subject to the proviso below in this paragraph, if a Term SOFR Transition Event and its related Benchmark Replacement Date have occurred prior to 11:00 a.m. (London time) on the day that is two London banking days preceding the date of such setting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 shall not be effective unless the Administrative Agent has delivered to the Lenders and the Borrower a Term SOFR Notice. For the avoidance of doubt, the Administrative Agent shall not be required to deliver a Term SOFR Notice after the occurrence of a Term SOFR Transition Event and may do so in its sole discretion.</w:t>
      </w:r>
    </w:p>
    <w:p>
      <w:pPr>
        <w:spacing w:after="0" w:line="171" w:lineRule="exact"/>
        <w:rPr>
          <w:rFonts w:ascii="Arial" w:cs="Arial" w:eastAsia="Arial" w:hAnsi="Arial"/>
          <w:sz w:val="18"/>
          <w:szCs w:val="18"/>
          <w:color w:val="auto"/>
        </w:rPr>
      </w:pPr>
    </w:p>
    <w:p>
      <w:pPr>
        <w:jc w:val="both"/>
        <w:ind w:firstLine="1278"/>
        <w:spacing w:after="0" w:line="276" w:lineRule="auto"/>
        <w:tabs>
          <w:tab w:leader="none" w:pos="170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0" w:lineRule="exact"/>
        <w:rPr>
          <w:rFonts w:ascii="Arial" w:cs="Arial" w:eastAsia="Arial" w:hAnsi="Arial"/>
          <w:sz w:val="18"/>
          <w:szCs w:val="18"/>
          <w:color w:val="auto"/>
        </w:rPr>
      </w:pPr>
    </w:p>
    <w:p>
      <w:pPr>
        <w:jc w:val="both"/>
        <w:ind w:firstLine="1278"/>
        <w:spacing w:after="0" w:line="284" w:lineRule="auto"/>
        <w:tabs>
          <w:tab w:leader="none" w:pos="1735"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xml:space="preserve">. The Administrative Agent will promptly notify the Borrower and the Lenders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firstLine="1278"/>
        <w:spacing w:after="0" w:line="266" w:lineRule="auto"/>
        <w:tabs>
          <w:tab w:leader="none" w:pos="16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w:t>
      </w:r>
    </w:p>
    <w:p>
      <w:pPr>
        <w:sectPr>
          <w:pgSz w:w="11900" w:h="16838" w:orient="portrait"/>
          <w:cols w:equalWidth="0" w:num="1">
            <w:col w:w="11240"/>
          </w:cols>
          <w:pgMar w:left="320" w:top="1395"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may modify the definition of “Interest Period” for all Benchmark settings at or after such time to reinstate such previously removed tenor.</w:t>
      </w:r>
    </w:p>
    <w:p>
      <w:pPr>
        <w:spacing w:after="0" w:line="230" w:lineRule="exact"/>
        <w:rPr>
          <w:sz w:val="20"/>
          <w:szCs w:val="20"/>
          <w:color w:val="auto"/>
        </w:rPr>
      </w:pPr>
    </w:p>
    <w:p>
      <w:pPr>
        <w:jc w:val="both"/>
        <w:ind w:firstLine="1278"/>
        <w:spacing w:after="0" w:line="266" w:lineRule="auto"/>
        <w:tabs>
          <w:tab w:leader="none" w:pos="1865"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Furthermore, if any Eurodollar Loan is outstanding on the date of the Borrower’s receipt of notice of the commencement of a Benchmark Unavailability Period with respect such Eurodollar Loan, then until such time as a Benchmark Replacement is implemented pursuant to this Section 2.14, then on the last day of the Interest Period applicable to such Loan (or the next succeeding Business Day if such day is not a Business Day), such Loan shall be converted by the Administrative Agent to, and shall constitute, an ABR Loan on such day.</w:t>
      </w:r>
    </w:p>
    <w:p>
      <w:pPr>
        <w:spacing w:after="0" w:line="170" w:lineRule="exact"/>
        <w:rPr>
          <w:rFonts w:ascii="Arial" w:cs="Arial" w:eastAsia="Arial" w:hAnsi="Arial"/>
          <w:sz w:val="18"/>
          <w:szCs w:val="18"/>
          <w:color w:val="auto"/>
        </w:rPr>
      </w:pPr>
    </w:p>
    <w:p>
      <w:pPr>
        <w:ind w:left="1700" w:hanging="422"/>
        <w:spacing w:after="0"/>
        <w:tabs>
          <w:tab w:leader="none" w:pos="170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Certain Defined Terms</w:t>
      </w:r>
      <w:r>
        <w:rPr>
          <w:rFonts w:ascii="Arial" w:cs="Arial" w:eastAsia="Arial" w:hAnsi="Arial"/>
          <w:sz w:val="19"/>
          <w:szCs w:val="19"/>
          <w:color w:val="auto"/>
        </w:rPr>
        <w:t xml:space="preserve">. As used in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USD LIBOR;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clause (b) or (c) of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for any Available Tenor, the first alternative set forth in the order below that can be determined by the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for the applicable Benchmark Replacement Date:</w:t>
      </w:r>
    </w:p>
    <w:p>
      <w:pPr>
        <w:spacing w:after="0" w:line="203" w:lineRule="exact"/>
        <w:rPr>
          <w:sz w:val="20"/>
          <w:szCs w:val="20"/>
          <w:color w:val="auto"/>
        </w:rPr>
      </w:pPr>
    </w:p>
    <w:p>
      <w:pPr>
        <w:ind w:left="600" w:hanging="276"/>
        <w:spacing w:after="0"/>
        <w:tabs>
          <w:tab w:leader="none" w:pos="6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sum of: (a) Term SOFR and (b) the related Benchmark Replacement Adjustment;</w:t>
      </w:r>
    </w:p>
    <w:p>
      <w:pPr>
        <w:spacing w:after="0" w:line="218" w:lineRule="exact"/>
        <w:rPr>
          <w:rFonts w:ascii="Arial" w:cs="Arial" w:eastAsia="Arial" w:hAnsi="Arial"/>
          <w:sz w:val="19"/>
          <w:szCs w:val="19"/>
          <w:color w:val="auto"/>
        </w:rPr>
      </w:pPr>
    </w:p>
    <w:p>
      <w:pPr>
        <w:ind w:left="600" w:hanging="276"/>
        <w:spacing w:after="0"/>
        <w:tabs>
          <w:tab w:leader="none" w:pos="6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sum of: (a) Daily Simple SOFR and (b) the related Benchmark Replacement Adjustment;</w:t>
      </w:r>
    </w:p>
    <w:p>
      <w:pPr>
        <w:spacing w:after="0" w:line="218" w:lineRule="exact"/>
        <w:rPr>
          <w:rFonts w:ascii="Arial" w:cs="Arial" w:eastAsia="Arial" w:hAnsi="Arial"/>
          <w:sz w:val="19"/>
          <w:szCs w:val="19"/>
          <w:color w:val="auto"/>
        </w:rPr>
      </w:pPr>
    </w:p>
    <w:p>
      <w:pPr>
        <w:jc w:val="both"/>
        <w:ind w:left="320" w:firstLine="4"/>
        <w:spacing w:after="0" w:line="272" w:lineRule="auto"/>
        <w:tabs>
          <w:tab w:leader="none" w:pos="59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ectPr>
          <w:pgSz w:w="11900" w:h="16838" w:orient="portrait"/>
          <w:cols w:equalWidth="0" w:num="1">
            <w:col w:w="11240"/>
          </w:cols>
          <w:pgMar w:left="320" w:top="1395" w:right="339" w:bottom="1440" w:gutter="0" w:footer="0" w:header="0"/>
        </w:sectPr>
      </w:pPr>
    </w:p>
    <w:bookmarkStart w:id="171" w:name="page172"/>
    <w:bookmarkEnd w:id="171"/>
    <w:p>
      <w:pPr>
        <w:jc w:val="both"/>
        <w:spacing w:after="0" w:line="28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 If the Benchmark Replacement as determined pursuant to clause (1), (2) or (3) above would be less than the Floor, the Benchmark Replacement will be deemed to be the Floor for the purposes of this Agreement and the other Loan Documents.</w:t>
      </w:r>
    </w:p>
    <w:p>
      <w:pPr>
        <w:spacing w:after="0" w:line="152" w:lineRule="exact"/>
        <w:rPr>
          <w:sz w:val="20"/>
          <w:szCs w:val="20"/>
          <w:color w:val="auto"/>
        </w:rPr>
      </w:pPr>
    </w:p>
    <w:p>
      <w:pPr>
        <w:jc w:val="both"/>
        <w:spacing w:after="0" w:line="3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10" w:lineRule="exact"/>
        <w:rPr>
          <w:sz w:val="20"/>
          <w:szCs w:val="20"/>
          <w:color w:val="auto"/>
        </w:rPr>
      </w:pPr>
    </w:p>
    <w:p>
      <w:pPr>
        <w:ind w:left="320" w:firstLine="4"/>
        <w:spacing w:after="0" w:line="278" w:lineRule="auto"/>
        <w:tabs>
          <w:tab w:leader="none" w:pos="60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for purposes of clauses (1) and (2) of the definition of “Benchmark Replacement,” the first alternative set forth in the order below that can be determined by the Administrative Agent:</w:t>
      </w:r>
    </w:p>
    <w:p>
      <w:pPr>
        <w:spacing w:after="0" w:line="156" w:lineRule="exact"/>
        <w:rPr>
          <w:rFonts w:ascii="Arial" w:cs="Arial" w:eastAsia="Arial" w:hAnsi="Arial"/>
          <w:sz w:val="19"/>
          <w:szCs w:val="19"/>
          <w:color w:val="auto"/>
        </w:rPr>
      </w:pPr>
    </w:p>
    <w:p>
      <w:pPr>
        <w:jc w:val="both"/>
        <w:ind w:left="640" w:firstLine="2"/>
        <w:spacing w:after="0" w:line="257" w:lineRule="auto"/>
        <w:tabs>
          <w:tab w:leader="none" w:pos="90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7" w:lineRule="exact"/>
        <w:rPr>
          <w:rFonts w:ascii="Arial" w:cs="Arial" w:eastAsia="Arial" w:hAnsi="Arial"/>
          <w:sz w:val="19"/>
          <w:szCs w:val="19"/>
          <w:color w:val="auto"/>
        </w:rPr>
      </w:pPr>
    </w:p>
    <w:p>
      <w:pPr>
        <w:jc w:val="both"/>
        <w:ind w:left="640" w:firstLine="2"/>
        <w:spacing w:after="0" w:line="308" w:lineRule="auto"/>
        <w:tabs>
          <w:tab w:leader="none" w:pos="915"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35" w:lineRule="exact"/>
        <w:rPr>
          <w:rFonts w:ascii="Arial" w:cs="Arial" w:eastAsia="Arial" w:hAnsi="Arial"/>
          <w:sz w:val="17"/>
          <w:szCs w:val="17"/>
          <w:color w:val="auto"/>
        </w:rPr>
      </w:pPr>
    </w:p>
    <w:p>
      <w:pPr>
        <w:jc w:val="both"/>
        <w:ind w:left="320" w:firstLine="4"/>
        <w:spacing w:after="0" w:line="251" w:lineRule="auto"/>
        <w:tabs>
          <w:tab w:leader="none" w:pos="642" w:val="left"/>
        </w:tabs>
        <w:numPr>
          <w:ilvl w:val="0"/>
          <w:numId w:val="136"/>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“Alternate Base Rate,” the definition of “Business Day,” the definition of “Interest Period,” timing and frequency of</w:t>
      </w:r>
    </w:p>
    <w:p>
      <w:pPr>
        <w:sectPr>
          <w:pgSz w:w="11900" w:h="16838" w:orient="portrait"/>
          <w:cols w:equalWidth="0" w:num="1">
            <w:col w:w="11240"/>
          </w:cols>
          <w:pgMar w:left="320" w:top="1395" w:right="339" w:bottom="1440" w:gutter="0" w:footer="0" w:header="0"/>
        </w:sectPr>
      </w:pPr>
    </w:p>
    <w:bookmarkStart w:id="172" w:name="page173"/>
    <w:bookmarkEnd w:id="172"/>
    <w:p>
      <w:pPr>
        <w:jc w:val="both"/>
        <w:spacing w:after="0" w:line="268" w:lineRule="auto"/>
        <w:rPr>
          <w:sz w:val="20"/>
          <w:szCs w:val="20"/>
          <w:color w:val="auto"/>
        </w:rPr>
      </w:pPr>
      <w:r>
        <w:rPr>
          <w:rFonts w:ascii="Arial" w:cs="Arial" w:eastAsia="Arial" w:hAnsi="Arial"/>
          <w:sz w:val="18"/>
          <w:szCs w:val="18"/>
          <w:color w:val="auto"/>
        </w:rPr>
        <w:t>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 Benchmark:</w:t>
      </w:r>
    </w:p>
    <w:p>
      <w:pPr>
        <w:spacing w:after="0" w:line="219" w:lineRule="exact"/>
        <w:rPr>
          <w:sz w:val="20"/>
          <w:szCs w:val="20"/>
          <w:color w:val="auto"/>
        </w:rPr>
      </w:pPr>
    </w:p>
    <w:p>
      <w:pPr>
        <w:jc w:val="both"/>
        <w:ind w:left="320" w:firstLine="4"/>
        <w:spacing w:after="0" w:line="257" w:lineRule="auto"/>
        <w:tabs>
          <w:tab w:leader="none" w:pos="612"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77" w:lineRule="exact"/>
        <w:rPr>
          <w:rFonts w:ascii="Arial" w:cs="Arial" w:eastAsia="Arial" w:hAnsi="Arial"/>
          <w:sz w:val="19"/>
          <w:szCs w:val="19"/>
          <w:color w:val="auto"/>
        </w:rPr>
      </w:pPr>
    </w:p>
    <w:p>
      <w:pPr>
        <w:jc w:val="both"/>
        <w:ind w:left="320" w:firstLine="4"/>
        <w:spacing w:after="0" w:line="255" w:lineRule="auto"/>
        <w:tabs>
          <w:tab w:leader="none" w:pos="60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7" w:lineRule="exact"/>
        <w:rPr>
          <w:rFonts w:ascii="Arial" w:cs="Arial" w:eastAsia="Arial" w:hAnsi="Arial"/>
          <w:sz w:val="19"/>
          <w:szCs w:val="19"/>
          <w:color w:val="auto"/>
        </w:rPr>
      </w:pPr>
    </w:p>
    <w:p>
      <w:pPr>
        <w:ind w:left="320" w:firstLine="4"/>
        <w:spacing w:after="0" w:line="278" w:lineRule="auto"/>
        <w:tabs>
          <w:tab w:leader="none" w:pos="61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 the case of a Term SOFR Transition Event, the date that is thirty (30) days after the date a Term SOFR Notice is provided to the Lenders and the Borrower pursuant to Section 2.14(c); or</w:t>
      </w:r>
    </w:p>
    <w:p>
      <w:pPr>
        <w:spacing w:after="0" w:line="156" w:lineRule="exact"/>
        <w:rPr>
          <w:rFonts w:ascii="Arial" w:cs="Arial" w:eastAsia="Arial" w:hAnsi="Arial"/>
          <w:sz w:val="19"/>
          <w:szCs w:val="19"/>
          <w:color w:val="auto"/>
        </w:rPr>
      </w:pPr>
    </w:p>
    <w:p>
      <w:pPr>
        <w:jc w:val="both"/>
        <w:ind w:left="320" w:firstLine="4"/>
        <w:spacing w:after="0" w:line="257" w:lineRule="auto"/>
        <w:tabs>
          <w:tab w:leader="none" w:pos="59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the occurrence of one or more of the following events with respect to the then-current Benchmark:</w:t>
      </w:r>
    </w:p>
    <w:p>
      <w:pPr>
        <w:spacing w:after="0" w:line="230" w:lineRule="exact"/>
        <w:rPr>
          <w:sz w:val="20"/>
          <w:szCs w:val="20"/>
          <w:color w:val="auto"/>
        </w:rPr>
      </w:pPr>
    </w:p>
    <w:p>
      <w:pPr>
        <w:ind w:left="320" w:right="20" w:firstLine="4"/>
        <w:spacing w:after="0" w:line="278" w:lineRule="auto"/>
        <w:tabs>
          <w:tab w:leader="none" w:pos="60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announcing that such</w:t>
      </w:r>
    </w:p>
    <w:p>
      <w:pPr>
        <w:sectPr>
          <w:pgSz w:w="11900" w:h="16838" w:orient="portrait"/>
          <w:cols w:equalWidth="0" w:num="1">
            <w:col w:w="11240"/>
          </w:cols>
          <w:pgMar w:left="320" w:top="1395" w:right="339" w:bottom="1440" w:gutter="0" w:footer="0" w:header="0"/>
        </w:sectPr>
      </w:pPr>
    </w:p>
    <w:bookmarkStart w:id="173" w:name="page174"/>
    <w:bookmarkEnd w:id="173"/>
    <w:p>
      <w:pPr>
        <w:jc w:val="both"/>
        <w:ind w:left="320"/>
        <w:spacing w:after="0" w:line="263" w:lineRule="auto"/>
        <w:rPr>
          <w:sz w:val="20"/>
          <w:szCs w:val="20"/>
          <w:color w:val="auto"/>
        </w:rPr>
      </w:pPr>
      <w:r>
        <w:rPr>
          <w:rFonts w:ascii="Arial" w:cs="Arial" w:eastAsia="Arial" w:hAnsi="Arial"/>
          <w:sz w:val="19"/>
          <w:szCs w:val="19"/>
          <w:color w:val="auto"/>
        </w:rPr>
        <w:t>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9" w:lineRule="exact"/>
        <w:rPr>
          <w:sz w:val="20"/>
          <w:szCs w:val="20"/>
          <w:color w:val="auto"/>
        </w:rPr>
      </w:pPr>
    </w:p>
    <w:p>
      <w:pPr>
        <w:jc w:val="both"/>
        <w:ind w:left="320" w:firstLine="4"/>
        <w:spacing w:after="0" w:line="251" w:lineRule="auto"/>
        <w:tabs>
          <w:tab w:leader="none" w:pos="60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5" w:lineRule="exact"/>
        <w:rPr>
          <w:rFonts w:ascii="Arial" w:cs="Arial" w:eastAsia="Arial" w:hAnsi="Arial"/>
          <w:sz w:val="19"/>
          <w:szCs w:val="19"/>
          <w:color w:val="auto"/>
        </w:rPr>
      </w:pPr>
    </w:p>
    <w:p>
      <w:pPr>
        <w:jc w:val="both"/>
        <w:ind w:left="320" w:firstLine="4"/>
        <w:spacing w:after="0" w:line="263" w:lineRule="auto"/>
        <w:tabs>
          <w:tab w:leader="none" w:pos="60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means the period (if any) (x) beginning at the time that a Benchmark Replacement Date pursuant to clauses</w:t>
      </w:r>
    </w:p>
    <w:p>
      <w:pPr>
        <w:spacing w:after="0" w:line="46" w:lineRule="exact"/>
        <w:rPr>
          <w:sz w:val="20"/>
          <w:szCs w:val="20"/>
          <w:color w:val="auto"/>
        </w:rPr>
      </w:pPr>
    </w:p>
    <w:p>
      <w:pPr>
        <w:jc w:val="both"/>
        <w:ind w:firstLine="6"/>
        <w:spacing w:after="0" w:line="298" w:lineRule="auto"/>
        <w:tabs>
          <w:tab w:leader="none" w:pos="28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or (2) of that definition has occurred if, at such time, no Benchmark Replacement has replaced the then-current Benchmark for all purposes hereunder and under any Loan Document in accordance with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(y) ending at the time that a Benchmark Replacement has replaced the then-current Benchmark for all purposes hereunder and under any Loan Document in accordance with this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Opt-in Election</w:t>
      </w:r>
      <w:r>
        <w:rPr>
          <w:rFonts w:ascii="Arial" w:cs="Arial" w:eastAsia="Arial" w:hAnsi="Arial"/>
          <w:sz w:val="19"/>
          <w:szCs w:val="19"/>
          <w:color w:val="auto"/>
        </w:rPr>
        <w:t>” means, if the then-current Benchmark is USD LIBOR, the occurrence of:</w:t>
      </w:r>
    </w:p>
    <w:p>
      <w:pPr>
        <w:spacing w:after="0" w:line="219" w:lineRule="exact"/>
        <w:rPr>
          <w:sz w:val="20"/>
          <w:szCs w:val="20"/>
          <w:color w:val="auto"/>
        </w:rPr>
      </w:pPr>
    </w:p>
    <w:p>
      <w:pPr>
        <w:jc w:val="both"/>
        <w:ind w:left="320" w:firstLine="4"/>
        <w:spacing w:after="0" w:line="263" w:lineRule="auto"/>
        <w:tabs>
          <w:tab w:leader="none" w:pos="60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w:t>
      </w:r>
    </w:p>
    <w:p>
      <w:pPr>
        <w:sectPr>
          <w:pgSz w:w="11900" w:h="16838" w:orient="portrait"/>
          <w:cols w:equalWidth="0" w:num="1">
            <w:col w:w="11240"/>
          </w:cols>
          <w:pgMar w:left="320" w:top="1395" w:right="339" w:bottom="1440" w:gutter="0" w:footer="0" w:header="0"/>
        </w:sectPr>
      </w:pPr>
    </w:p>
    <w:bookmarkStart w:id="174" w:name="page175"/>
    <w:bookmarkEnd w:id="174"/>
    <w:p>
      <w:pPr>
        <w:ind w:left="320"/>
        <w:spacing w:after="0" w:line="278" w:lineRule="auto"/>
        <w:rPr>
          <w:sz w:val="20"/>
          <w:szCs w:val="20"/>
          <w:color w:val="auto"/>
        </w:rPr>
      </w:pPr>
      <w:r>
        <w:rPr>
          <w:rFonts w:ascii="Arial" w:cs="Arial" w:eastAsia="Arial" w:hAnsi="Arial"/>
          <w:sz w:val="19"/>
          <w:szCs w:val="19"/>
          <w:color w:val="auto"/>
        </w:rPr>
        <w:t>as originally executed) a SOFR-based rate (including SOFR, a term SOFR or any other rate based upon SOFR) as a benchmark rate (and such syndicated credit facilities are identified in such notice and are publicly available for review), and</w:t>
      </w:r>
    </w:p>
    <w:p>
      <w:pPr>
        <w:spacing w:after="0" w:line="156" w:lineRule="exact"/>
        <w:rPr>
          <w:sz w:val="20"/>
          <w:szCs w:val="20"/>
          <w:color w:val="auto"/>
        </w:rPr>
      </w:pPr>
    </w:p>
    <w:p>
      <w:pPr>
        <w:ind w:left="320" w:firstLine="4"/>
        <w:spacing w:after="0" w:line="278" w:lineRule="auto"/>
        <w:tabs>
          <w:tab w:leader="none" w:pos="62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joint election by the Administrative Agent and the Borrower to trigger a fallback from USD LIBOR and the provision by the Administrative Agent of written notice of such election to the Lenders.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means the benchmark rate floor, if any, provided in this Agreement initially (as of the execution of this Agreement, the modification, amendment or renewal of this Agreement or otherwise) with respect to USD LIBOR.</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16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Federal Reserve Board or the Federal Reserve Bank of New York, or a committee officially endorsed or convened by the Federal Reserve Board or the Federal Reserve Bank of New York, or any successor thereto.</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Federal Reserve Bank of New York (or a successor administrator of the secured overnight financing rate).</w:t>
      </w:r>
    </w:p>
    <w:p>
      <w:pPr>
        <w:spacing w:after="0" w:line="230"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for the applicable Corresponding Tenor as of the applicable Reference Time, the forward-looking term rate based on SOFR that has been selected or recommended by the Relevant Governmental Body.</w:t>
      </w:r>
    </w:p>
    <w:p>
      <w:pPr>
        <w:spacing w:after="0" w:line="156"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Notice</w:t>
      </w:r>
      <w:r>
        <w:rPr>
          <w:rFonts w:ascii="Arial" w:cs="Arial" w:eastAsia="Arial" w:hAnsi="Arial"/>
          <w:sz w:val="19"/>
          <w:szCs w:val="19"/>
          <w:color w:val="auto"/>
        </w:rPr>
        <w:t>” means a notification by the Administrative Agent to the Lenders and the Borrower of the occurrence of a Term SOFR Transition Event.</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Transition Event</w:t>
      </w:r>
      <w:r>
        <w:rPr>
          <w:rFonts w:ascii="Arial" w:cs="Arial" w:eastAsia="Arial" w:hAnsi="Arial"/>
          <w:sz w:val="19"/>
          <w:szCs w:val="19"/>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w:t>
      </w:r>
    </w:p>
    <w:p>
      <w:pPr>
        <w:sectPr>
          <w:pgSz w:w="11900" w:h="16838" w:orient="portrait"/>
          <w:cols w:equalWidth="0" w:num="1">
            <w:col w:w="11240"/>
          </w:cols>
          <w:pgMar w:left="320" w:top="1395" w:right="339" w:bottom="1440" w:gutter="0" w:footer="0" w:header="0"/>
        </w:sectPr>
      </w:pPr>
    </w:p>
    <w:bookmarkStart w:id="175" w:name="page176"/>
    <w:bookmarkEnd w:id="175"/>
    <w:p>
      <w:pPr>
        <w:ind w:right="2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Unadjusted Benchmark Replacement</w:t>
      </w:r>
      <w:r>
        <w:rPr>
          <w:rFonts w:ascii="Arial" w:cs="Arial" w:eastAsia="Arial" w:hAnsi="Arial"/>
          <w:sz w:val="19"/>
          <w:szCs w:val="19"/>
          <w:color w:val="auto"/>
        </w:rPr>
        <w:t>” means the applicable Benchmark Replacement excluding the related Benchmark Replacement Adjustment.</w:t>
      </w:r>
    </w:p>
    <w:p>
      <w:pPr>
        <w:spacing w:after="0" w:line="156" w:lineRule="exact"/>
        <w:rPr>
          <w:sz w:val="20"/>
          <w:szCs w:val="20"/>
          <w:color w:val="auto"/>
        </w:rPr>
      </w:pPr>
    </w:p>
    <w:p>
      <w:pPr>
        <w:jc w:val="center"/>
        <w:ind w:right="5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LIBOR</w:t>
      </w:r>
      <w:r>
        <w:rPr>
          <w:rFonts w:ascii="Arial" w:cs="Arial" w:eastAsia="Arial" w:hAnsi="Arial"/>
          <w:sz w:val="18"/>
          <w:szCs w:val="18"/>
          <w:color w:val="auto"/>
        </w:rPr>
        <w:t>” means the London interbank offered rate for dollars.</w:t>
      </w:r>
    </w:p>
    <w:p>
      <w:pPr>
        <w:spacing w:after="0" w:line="230"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2.15</w:t>
      </w:r>
      <w:r>
        <w:rPr>
          <w:sz w:val="20"/>
          <w:szCs w:val="20"/>
          <w:color w:val="auto"/>
        </w:rPr>
        <w:tab/>
      </w:r>
      <w:r>
        <w:rPr>
          <w:rFonts w:ascii="Arial" w:cs="Arial" w:eastAsia="Arial" w:hAnsi="Arial"/>
          <w:sz w:val="17"/>
          <w:szCs w:val="17"/>
          <w:u w:val="single" w:color="auto"/>
          <w:color w:val="auto"/>
        </w:rPr>
        <w:t>Increased Costs</w:t>
      </w:r>
      <w:r>
        <w:rPr>
          <w:rFonts w:ascii="Arial" w:cs="Arial" w:eastAsia="Arial" w:hAnsi="Arial"/>
          <w:sz w:val="17"/>
          <w:szCs w:val="17"/>
          <w:color w:val="auto"/>
        </w:rPr>
        <w:t>.</w:t>
      </w:r>
    </w:p>
    <w:p>
      <w:pPr>
        <w:spacing w:after="0" w:line="219" w:lineRule="exact"/>
        <w:rPr>
          <w:sz w:val="20"/>
          <w:szCs w:val="20"/>
          <w:color w:val="auto"/>
        </w:rPr>
      </w:pPr>
    </w:p>
    <w:p>
      <w:pPr>
        <w:ind w:left="1680" w:hanging="402"/>
        <w:spacing w:after="0"/>
        <w:tabs>
          <w:tab w:leader="none" w:pos="168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any Change in Law shall:</w:t>
      </w:r>
    </w:p>
    <w:p>
      <w:pPr>
        <w:spacing w:after="0" w:line="218" w:lineRule="exact"/>
        <w:rPr>
          <w:rFonts w:ascii="Arial" w:cs="Arial" w:eastAsia="Arial" w:hAnsi="Arial"/>
          <w:sz w:val="19"/>
          <w:szCs w:val="19"/>
          <w:color w:val="auto"/>
        </w:rPr>
      </w:pPr>
    </w:p>
    <w:p>
      <w:pPr>
        <w:jc w:val="both"/>
        <w:ind w:left="960" w:firstLine="1272"/>
        <w:spacing w:after="0" w:line="263" w:lineRule="auto"/>
        <w:tabs>
          <w:tab w:leader="none" w:pos="263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w:t>
      </w:r>
    </w:p>
    <w:p>
      <w:pPr>
        <w:spacing w:after="0" w:line="169" w:lineRule="exact"/>
        <w:rPr>
          <w:rFonts w:ascii="Arial" w:cs="Arial" w:eastAsia="Arial" w:hAnsi="Arial"/>
          <w:sz w:val="19"/>
          <w:szCs w:val="19"/>
          <w:color w:val="auto"/>
        </w:rPr>
      </w:pPr>
    </w:p>
    <w:p>
      <w:pPr>
        <w:jc w:val="both"/>
        <w:ind w:left="960" w:firstLine="1272"/>
        <w:spacing w:after="0" w:line="257" w:lineRule="auto"/>
        <w:tabs>
          <w:tab w:leader="none" w:pos="2699" w:val="left"/>
        </w:tabs>
        <w:numPr>
          <w:ilvl w:val="1"/>
          <w:numId w:val="143"/>
        </w:numPr>
        <w:rPr>
          <w:rFonts w:ascii="Arial" w:cs="Arial" w:eastAsia="Arial" w:hAnsi="Arial"/>
          <w:sz w:val="19"/>
          <w:szCs w:val="19"/>
          <w:color w:val="auto"/>
        </w:rPr>
      </w:pPr>
      <w:r>
        <w:rPr>
          <w:rFonts w:ascii="Arial" w:cs="Arial" w:eastAsia="Arial" w:hAnsi="Arial"/>
          <w:sz w:val="19"/>
          <w:szCs w:val="19"/>
          <w:color w:val="auto"/>
        </w:rPr>
        <w:t>subject the Administrative Agent, any Lender, any Issuing Bank or any other recipient of any payment to be made by or on account of any obligation of any Loan Party hereunder or under any other Loan Document to any Taxes (other than Indemnified Taxes, Other Taxes or Excluded Taxes) on its loans, loan principal, letters of credit, commitments, or other obligations, or its deposits, reserves, other liabilities or capital attributable thereto; or</w:t>
      </w:r>
    </w:p>
    <w:p>
      <w:pPr>
        <w:spacing w:after="0" w:line="177" w:lineRule="exact"/>
        <w:rPr>
          <w:rFonts w:ascii="Arial" w:cs="Arial" w:eastAsia="Arial" w:hAnsi="Arial"/>
          <w:sz w:val="19"/>
          <w:szCs w:val="19"/>
          <w:color w:val="auto"/>
        </w:rPr>
      </w:pPr>
    </w:p>
    <w:p>
      <w:pPr>
        <w:jc w:val="both"/>
        <w:ind w:left="960" w:firstLine="1272"/>
        <w:spacing w:after="0" w:line="263" w:lineRule="auto"/>
        <w:tabs>
          <w:tab w:leader="none" w:pos="2808" w:val="left"/>
        </w:tabs>
        <w:numPr>
          <w:ilvl w:val="1"/>
          <w:numId w:val="143"/>
        </w:numPr>
        <w:rPr>
          <w:rFonts w:ascii="Arial" w:cs="Arial" w:eastAsia="Arial" w:hAnsi="Arial"/>
          <w:sz w:val="19"/>
          <w:szCs w:val="19"/>
          <w:color w:val="auto"/>
        </w:rPr>
      </w:pPr>
      <w:r>
        <w:rPr>
          <w:rFonts w:ascii="Arial" w:cs="Arial" w:eastAsia="Arial" w:hAnsi="Arial"/>
          <w:sz w:val="19"/>
          <w:szCs w:val="19"/>
          <w:color w:val="auto"/>
        </w:rPr>
        <w:t>impose on any Lender or any Issuing Bank or the London interbank market any other condition, cost or expense (other than Taxes) affecting this Agreement or Eurodollar Loans made by such Lender or any Letter of Credit or participation therein;</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and the result of any of the foregoing shall be to increase the cost to such Lender of making or maintaining any Eurodollar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liable for such compensation if, in the case of requests for reimbursement under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resulting from a market disruption, (A) the relevant circumstances are not generally affecting the banking market or (B) the applicable request has not been made by (1) the Majority in Interest of Term Lenders with respect to Term Loans or (2) Majority in Interest of Revolving Lenders with respect to Revolving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to the extent any such costs or reductions are incurred by any Lender as a result of any requests, rules, guidelines or directives enacted or promulgated under the Dodd-Frank Wall Street Reform and Consumer Protection Act of 2010 and Basel III, then such Lender shall be compensated pursuant to this </w:t>
      </w:r>
      <w:r>
        <w:rPr>
          <w:rFonts w:ascii="Arial" w:cs="Arial" w:eastAsia="Arial" w:hAnsi="Arial"/>
          <w:sz w:val="17"/>
          <w:szCs w:val="17"/>
          <w:u w:val="single" w:color="auto"/>
          <w:color w:val="auto"/>
        </w:rPr>
        <w:t>Section 2.15(a)</w:t>
      </w:r>
      <w:r>
        <w:rPr>
          <w:rFonts w:ascii="Arial" w:cs="Arial" w:eastAsia="Arial" w:hAnsi="Arial"/>
          <w:sz w:val="17"/>
          <w:szCs w:val="17"/>
          <w:color w:val="auto"/>
        </w:rPr>
        <w:t xml:space="preserve"> only to the extent such Lender is imposing such charges on similarly situated borrowers where the terms of other syndicated credit facilities permit it to impose such charges.</w:t>
      </w:r>
    </w:p>
    <w:p>
      <w:pPr>
        <w:spacing w:after="0" w:line="165" w:lineRule="exact"/>
        <w:rPr>
          <w:sz w:val="20"/>
          <w:szCs w:val="20"/>
          <w:color w:val="auto"/>
        </w:rPr>
      </w:pPr>
    </w:p>
    <w:p>
      <w:pPr>
        <w:jc w:val="both"/>
        <w:ind w:firstLine="1278"/>
        <w:spacing w:after="0" w:line="255" w:lineRule="auto"/>
        <w:tabs>
          <w:tab w:leader="none" w:pos="169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any Lender or Issuing Bank determines that any Change in Law regarding capital requirements or liquidity requirements has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w:t>
      </w:r>
    </w:p>
    <w:p>
      <w:pPr>
        <w:sectPr>
          <w:pgSz w:w="11900" w:h="16838" w:orient="portrait"/>
          <w:cols w:equalWidth="0" w:num="1">
            <w:col w:w="11240"/>
          </w:cols>
          <w:pgMar w:left="320" w:top="1395" w:right="339" w:bottom="1440" w:gutter="0" w:footer="0" w:header="0"/>
        </w:sectPr>
      </w:pPr>
    </w:p>
    <w:bookmarkStart w:id="176" w:name="page177"/>
    <w:bookmarkEnd w:id="176"/>
    <w:p>
      <w:pPr>
        <w:jc w:val="both"/>
        <w:spacing w:after="0" w:line="276" w:lineRule="auto"/>
        <w:rPr>
          <w:sz w:val="20"/>
          <w:szCs w:val="20"/>
          <w:color w:val="auto"/>
        </w:rPr>
      </w:pPr>
      <w:r>
        <w:rPr>
          <w:rFonts w:ascii="Arial" w:cs="Arial" w:eastAsia="Arial" w:hAnsi="Arial"/>
          <w:sz w:val="18"/>
          <w:szCs w:val="18"/>
          <w:color w:val="auto"/>
        </w:rPr>
        <w:t>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61" w:lineRule="exact"/>
        <w:rPr>
          <w:sz w:val="20"/>
          <w:szCs w:val="20"/>
          <w:color w:val="auto"/>
        </w:rPr>
      </w:pPr>
    </w:p>
    <w:p>
      <w:pPr>
        <w:jc w:val="both"/>
        <w:ind w:firstLine="1278"/>
        <w:spacing w:after="0" w:line="257" w:lineRule="auto"/>
        <w:tabs>
          <w:tab w:leader="none" w:pos="1693"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A certificate of a Lender or an Issuing Bank setting forth the amount or amounts necessary to compensate such Lender or Issuing Bank or its holding company in reasonable detail, as the case may be, as specified in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delivered to the Borrower shall be conclusive absent manifest error. The Borrower shall pay such Lender or Issuing Bank, as the case may be, the amount shown as due on any such certificate within fifteen (15) days after receipt thereof.</w:t>
      </w:r>
    </w:p>
    <w:p>
      <w:pPr>
        <w:spacing w:after="0" w:line="177" w:lineRule="exact"/>
        <w:rPr>
          <w:rFonts w:ascii="Arial" w:cs="Arial" w:eastAsia="Arial" w:hAnsi="Arial"/>
          <w:sz w:val="19"/>
          <w:szCs w:val="19"/>
          <w:color w:val="auto"/>
        </w:rPr>
      </w:pPr>
    </w:p>
    <w:p>
      <w:pPr>
        <w:jc w:val="both"/>
        <w:ind w:firstLine="1278"/>
        <w:spacing w:after="0" w:line="252" w:lineRule="auto"/>
        <w:tabs>
          <w:tab w:leader="none" w:pos="1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Issuing Bank to demand compensation pursuant to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not constitute a waiver of such Lender’s or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Issuing Bank pursuant to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for any increased costs incurred or reductions suffered more than one hundred and eighty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2.16</w:t>
      </w:r>
      <w:r>
        <w:rPr>
          <w:sz w:val="20"/>
          <w:szCs w:val="20"/>
          <w:color w:val="auto"/>
        </w:rPr>
        <w:tab/>
      </w:r>
      <w:r>
        <w:rPr>
          <w:rFonts w:ascii="Arial" w:cs="Arial" w:eastAsia="Arial" w:hAnsi="Arial"/>
          <w:sz w:val="17"/>
          <w:szCs w:val="17"/>
          <w:u w:val="single" w:color="auto"/>
          <w:color w:val="auto"/>
        </w:rPr>
        <w:t>Break Funding Payments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 xml:space="preserve">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Revolving Loan or Term Loan on the date specified in any notice delivered pursuant hereto (regardless of whether such notice may be revoked under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and is revoked in accordance therewith) or (d) the assignment of any Eurodollar Loan other than on the last day of the Interest Period applicable thereto as a result of a request by the Borrower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9.02(c)</w:t>
      </w:r>
      <w:r>
        <w:rPr>
          <w:rFonts w:ascii="Arial" w:cs="Arial" w:eastAsia="Arial" w:hAnsi="Arial"/>
          <w:sz w:val="18"/>
          <w:szCs w:val="18"/>
          <w:color w:val="auto"/>
        </w:rPr>
        <w:t xml:space="preserve">,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Such loss, cost or expense shall in no event exceed that which would have been incurred by such Lender had it funded each Eurodollar Loan made by it at the Adjusted LIBO Rate for such Loan by a matching deposit or other borrowing in the applicable interbank eurodollar market for a comparable amount and for a comparable period, whether or not such Eurodollar Loan was in fact so funded. A certificate of any Lender setting forth in reasonable detail any amount or amounts that such Lender is entitled to receive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the reasons therefor delivered to the Borrower shall be prima facie evidence of such amounts. The Borrower shall pay such Lender the amount shown as due on any such certificate within fifteen (15) days after receipt of such demand. Notwithstanding the foregoing,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will not apply to losses, costs or expenses resulting from Taxes, as to which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govern. Notwithstanding the foregoing, no Lender shall demand compensation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if it shall not at the time be the general policy or practice of such Lender to demand such compensation in similar circumstances under comparable provisions of other credit agreements.</w:t>
      </w:r>
    </w:p>
    <w:p>
      <w:pPr>
        <w:sectPr>
          <w:pgSz w:w="11900" w:h="16838" w:orient="portrait"/>
          <w:cols w:equalWidth="0" w:num="1">
            <w:col w:w="11240"/>
          </w:cols>
          <w:pgMar w:left="320" w:top="1395" w:right="339" w:bottom="1440" w:gutter="0" w:footer="0" w:header="0"/>
        </w:sectPr>
      </w:pPr>
    </w:p>
    <w:bookmarkStart w:id="177" w:name="page178"/>
    <w:bookmarkEnd w:id="177"/>
    <w:p>
      <w:pPr>
        <w:ind w:left="160"/>
        <w:spacing w:after="0"/>
        <w:tabs>
          <w:tab w:leader="none" w:pos="1540" w:val="left"/>
        </w:tabs>
        <w:rPr>
          <w:sz w:val="20"/>
          <w:szCs w:val="20"/>
          <w:color w:val="auto"/>
        </w:rPr>
      </w:pPr>
      <w:r>
        <w:rPr>
          <w:rFonts w:ascii="Arial" w:cs="Arial" w:eastAsia="Arial" w:hAnsi="Arial"/>
          <w:sz w:val="19"/>
          <w:szCs w:val="19"/>
          <w:color w:val="auto"/>
        </w:rPr>
        <w:t>SECTION 2.17</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9" w:lineRule="exact"/>
        <w:rPr>
          <w:sz w:val="20"/>
          <w:szCs w:val="20"/>
          <w:color w:val="auto"/>
        </w:rPr>
      </w:pPr>
    </w:p>
    <w:p>
      <w:pPr>
        <w:jc w:val="both"/>
        <w:ind w:left="-1120" w:firstLine="1278"/>
        <w:spacing w:after="0" w:line="251" w:lineRule="auto"/>
        <w:tabs>
          <w:tab w:leader="none" w:pos="56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Any and all payments by or on account of any obligation of any Loan Party under any Loan Document shall be made free and clear of and without deduction for any Taxes, except as required by applicable Requirements of Law. If the applicable withholding agent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each Lender (or, in the case of a payment made to the Administrative Agent for its own account, the Administrative Agent) receives an amount equal to the sum it would have received had no such deductions been made.</w:t>
      </w:r>
    </w:p>
    <w:p>
      <w:pPr>
        <w:spacing w:after="0" w:line="182" w:lineRule="exact"/>
        <w:rPr>
          <w:rFonts w:ascii="Arial" w:cs="Arial" w:eastAsia="Arial" w:hAnsi="Arial"/>
          <w:sz w:val="19"/>
          <w:szCs w:val="19"/>
          <w:color w:val="auto"/>
        </w:rPr>
      </w:pPr>
    </w:p>
    <w:p>
      <w:pPr>
        <w:ind w:left="-1120" w:firstLine="1278"/>
        <w:spacing w:after="0" w:line="278" w:lineRule="auto"/>
        <w:tabs>
          <w:tab w:leader="none" w:pos="60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Without duplication of any amounts described in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above, the Borrower shall timely pay any Other Taxes to the relevant Governmental Authority in accordance with Requirements of Law.</w:t>
      </w:r>
    </w:p>
    <w:p>
      <w:pPr>
        <w:spacing w:after="0" w:line="156" w:lineRule="exact"/>
        <w:rPr>
          <w:rFonts w:ascii="Arial" w:cs="Arial" w:eastAsia="Arial" w:hAnsi="Arial"/>
          <w:sz w:val="19"/>
          <w:szCs w:val="19"/>
          <w:color w:val="auto"/>
        </w:rPr>
      </w:pPr>
    </w:p>
    <w:p>
      <w:pPr>
        <w:jc w:val="both"/>
        <w:ind w:left="-1120" w:firstLine="1278"/>
        <w:spacing w:after="0" w:line="267" w:lineRule="auto"/>
        <w:tabs>
          <w:tab w:leader="none" w:pos="6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Borrower shall indemnify the Administrative Agent and each Lender within thirty (30) days after written demand therefor, for the full amount of any Indemnified Taxes or Other Taxes paid by the Administrative Agent or such Lender as the case may be, on or with respect to any payment by or on account of any obligation of any Loan Party under any Loan Document and any Other Taxes paid by the Administrative Agent or such Lender, as the case may be (including Indemnified Taxes or Other Taxes imposed or asserted on or attributable to amounts payable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71" w:lineRule="exact"/>
        <w:rPr>
          <w:rFonts w:ascii="Arial" w:cs="Arial" w:eastAsia="Arial" w:hAnsi="Arial"/>
          <w:sz w:val="18"/>
          <w:szCs w:val="18"/>
          <w:color w:val="auto"/>
        </w:rPr>
      </w:pPr>
    </w:p>
    <w:p>
      <w:pPr>
        <w:jc w:val="both"/>
        <w:ind w:left="-1120" w:firstLine="1278"/>
        <w:spacing w:after="0" w:line="257" w:lineRule="auto"/>
        <w:tabs>
          <w:tab w:leader="none" w:pos="64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As soon as practicable after any payment of any Taxes by a Loan Party to a Governmental Authority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7" w:lineRule="exact"/>
        <w:rPr>
          <w:rFonts w:ascii="Arial" w:cs="Arial" w:eastAsia="Arial" w:hAnsi="Arial"/>
          <w:sz w:val="19"/>
          <w:szCs w:val="19"/>
          <w:color w:val="auto"/>
        </w:rPr>
      </w:pPr>
    </w:p>
    <w:p>
      <w:pPr>
        <w:jc w:val="both"/>
        <w:ind w:left="-1120" w:firstLine="1278"/>
        <w:spacing w:after="0" w:line="266" w:lineRule="auto"/>
        <w:tabs>
          <w:tab w:leader="none" w:pos="58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Each Lender shall, at such times as are reasonably requested by Borrower or the Administrative Agent, provide Borrower and the Administrative Agent with any properly completed and executed documentation prescribed by any Requirement of Law, or reasonably requested by Borrower or the Administrative Agent, certifying as to any entitlement of such Lender to an exemption from, or reduction in, any withholding Tax with respect to any payments to be made to such Lender under the Loan Documents. Each such Lender shall, whenever a lapse in time or change in circumstances renders any such documentation expired, obsolete or inaccurate in any respect (including any specific documentation required below in this </w:t>
      </w:r>
      <w:r>
        <w:rPr>
          <w:rFonts w:ascii="Arial" w:cs="Arial" w:eastAsia="Arial" w:hAnsi="Arial"/>
          <w:sz w:val="18"/>
          <w:szCs w:val="18"/>
          <w:u w:val="single" w:color="auto"/>
          <w:color w:val="auto"/>
        </w:rPr>
        <w:t>Section 2.17(e)</w:t>
      </w:r>
      <w:r>
        <w:rPr>
          <w:rFonts w:ascii="Arial" w:cs="Arial" w:eastAsia="Arial" w:hAnsi="Arial"/>
          <w:sz w:val="18"/>
          <w:szCs w:val="18"/>
          <w:color w:val="auto"/>
        </w:rPr>
        <w:t>), deliver promptly to Borrower and the Administrative Agent updated or other appropriate documentation (including any new documentation reasonably requested by the applicable withholding agent) or promptly notify Borrower and the Administrative Agent in writing of its legal ineligibility to do so. Unless the applicable withholding agent has received forms or other documents satisfactory to it indicating that payments under any Loan</w:t>
      </w:r>
    </w:p>
    <w:p>
      <w:pPr>
        <w:sectPr>
          <w:pgSz w:w="11900" w:h="16838" w:orient="portrait"/>
          <w:cols w:equalWidth="0" w:num="1">
            <w:col w:w="10120"/>
          </w:cols>
          <w:pgMar w:left="1440" w:top="1395" w:right="339" w:bottom="1440" w:gutter="0" w:footer="0" w:header="0"/>
        </w:sectPr>
      </w:pPr>
    </w:p>
    <w:bookmarkStart w:id="178" w:name="page179"/>
    <w:bookmarkEnd w:id="178"/>
    <w:p>
      <w:pPr>
        <w:jc w:val="both"/>
        <w:spacing w:after="0" w:line="263" w:lineRule="auto"/>
        <w:rPr>
          <w:sz w:val="20"/>
          <w:szCs w:val="20"/>
          <w:color w:val="auto"/>
        </w:rPr>
      </w:pPr>
      <w:r>
        <w:rPr>
          <w:rFonts w:ascii="Arial" w:cs="Arial" w:eastAsia="Arial" w:hAnsi="Arial"/>
          <w:sz w:val="19"/>
          <w:szCs w:val="19"/>
          <w:color w:val="auto"/>
        </w:rPr>
        <w:t>Document to or for a Lender are not subject to withholding tax or are subject to Tax at a rate reduced by an applicable tax treaty, Borrower, Administrative Agent or other applicable withholding agent shall withhold amounts required to be withheld by applicable law from such payments at the applicable statutory rate.</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Without limiting the generality of the foregoing:</w:t>
      </w:r>
    </w:p>
    <w:p>
      <w:pPr>
        <w:spacing w:after="0" w:line="219" w:lineRule="exact"/>
        <w:rPr>
          <w:sz w:val="20"/>
          <w:szCs w:val="20"/>
          <w:color w:val="auto"/>
        </w:rPr>
      </w:pPr>
    </w:p>
    <w:p>
      <w:pPr>
        <w:jc w:val="both"/>
        <w:ind w:left="960" w:firstLine="1272"/>
        <w:spacing w:after="0" w:line="255" w:lineRule="auto"/>
        <w:tabs>
          <w:tab w:leader="none" w:pos="2682" w:val="left"/>
        </w:tabs>
        <w:numPr>
          <w:ilvl w:val="2"/>
          <w:numId w:val="147"/>
        </w:numPr>
        <w:rPr>
          <w:rFonts w:ascii="Arial" w:cs="Arial" w:eastAsia="Arial" w:hAnsi="Arial"/>
          <w:sz w:val="19"/>
          <w:szCs w:val="19"/>
          <w:color w:val="auto"/>
        </w:rPr>
      </w:pPr>
      <w:r>
        <w:rPr>
          <w:rFonts w:ascii="Arial" w:cs="Arial" w:eastAsia="Arial" w:hAnsi="Arial"/>
          <w:sz w:val="19"/>
          <w:szCs w:val="19"/>
          <w:color w:val="auto"/>
        </w:rPr>
        <w:t>Each Lender that is a United States person (as defined in Section 7701(a)(30) of the Code) shall deliver to Borrower and the Administrative Agent on or before the date on which it becomes a party to this Agreement (and from time to time thereafter upon the reasonable request of the Borrower or the Administrative Agent) two properly completed and duly signed copies of Internal Revenue Service Form W-9 (or any successor form) certifying that such Lender is exempt from U.S. federal backup withholding.</w:t>
      </w:r>
    </w:p>
    <w:p>
      <w:pPr>
        <w:spacing w:after="0" w:line="177" w:lineRule="exact"/>
        <w:rPr>
          <w:rFonts w:ascii="Arial" w:cs="Arial" w:eastAsia="Arial" w:hAnsi="Arial"/>
          <w:sz w:val="19"/>
          <w:szCs w:val="19"/>
          <w:color w:val="auto"/>
        </w:rPr>
      </w:pPr>
    </w:p>
    <w:p>
      <w:pPr>
        <w:jc w:val="both"/>
        <w:ind w:left="960" w:firstLine="1272"/>
        <w:spacing w:after="0" w:line="257" w:lineRule="auto"/>
        <w:tabs>
          <w:tab w:leader="none" w:pos="2663" w:val="left"/>
        </w:tabs>
        <w:numPr>
          <w:ilvl w:val="2"/>
          <w:numId w:val="147"/>
        </w:numPr>
        <w:rPr>
          <w:rFonts w:ascii="Arial" w:cs="Arial" w:eastAsia="Arial" w:hAnsi="Arial"/>
          <w:sz w:val="19"/>
          <w:szCs w:val="19"/>
          <w:color w:val="auto"/>
        </w:rPr>
      </w:pPr>
      <w:r>
        <w:rPr>
          <w:rFonts w:ascii="Arial" w:cs="Arial" w:eastAsia="Arial" w:hAnsi="Arial"/>
          <w:sz w:val="19"/>
          <w:szCs w:val="19"/>
          <w:color w:val="auto"/>
        </w:rPr>
        <w:t>Each Lender that is not a United States person (as defined in Section 7701(a)(30) of the Code) (such Lender, a “</w:t>
      </w:r>
      <w:r>
        <w:rPr>
          <w:rFonts w:ascii="Arial" w:cs="Arial" w:eastAsia="Arial" w:hAnsi="Arial"/>
          <w:sz w:val="19"/>
          <w:szCs w:val="19"/>
          <w:u w:val="single" w:color="auto"/>
          <w:color w:val="auto"/>
        </w:rPr>
        <w:t>Foreign Lender</w:t>
      </w:r>
      <w:r>
        <w:rPr>
          <w:rFonts w:ascii="Arial" w:cs="Arial" w:eastAsia="Arial" w:hAnsi="Arial"/>
          <w:sz w:val="19"/>
          <w:szCs w:val="19"/>
          <w:color w:val="auto"/>
        </w:rPr>
        <w:t>”) shall deliver (to the extent it is legally entitled to do so) to Borrower and the Administrative Agent on or before the date on which it becomes a party to this Agreement (and from time to time thereafter upon the reasonable request of Borrower or the Administrative Agent) whichever of the following is applicable:</w:t>
      </w:r>
    </w:p>
    <w:p>
      <w:pPr>
        <w:spacing w:after="0" w:line="177" w:lineRule="exact"/>
        <w:rPr>
          <w:rFonts w:ascii="Arial" w:cs="Arial" w:eastAsia="Arial" w:hAnsi="Arial"/>
          <w:sz w:val="19"/>
          <w:szCs w:val="19"/>
          <w:color w:val="auto"/>
        </w:rPr>
      </w:pPr>
    </w:p>
    <w:p>
      <w:pPr>
        <w:ind w:left="2380" w:hanging="466"/>
        <w:spacing w:after="0"/>
        <w:tabs>
          <w:tab w:leader="none" w:pos="238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w:t>
      </w:r>
    </w:p>
    <w:p>
      <w:pPr>
        <w:spacing w:after="0" w:line="45" w:lineRule="exact"/>
        <w:rPr>
          <w:rFonts w:ascii="Arial" w:cs="Arial" w:eastAsia="Arial" w:hAnsi="Arial"/>
          <w:sz w:val="17"/>
          <w:szCs w:val="17"/>
          <w:color w:val="auto"/>
        </w:rPr>
      </w:pPr>
    </w:p>
    <w:p>
      <w:pPr>
        <w:jc w:val="both"/>
        <w:ind w:left="1280" w:hanging="2"/>
        <w:spacing w:after="0" w:line="250" w:lineRule="auto"/>
        <w:tabs>
          <w:tab w:leader="none" w:pos="157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4" w:lineRule="exact"/>
        <w:rPr>
          <w:rFonts w:ascii="Arial" w:cs="Arial" w:eastAsia="Arial" w:hAnsi="Arial"/>
          <w:sz w:val="19"/>
          <w:szCs w:val="19"/>
          <w:color w:val="auto"/>
        </w:rPr>
      </w:pPr>
    </w:p>
    <w:p>
      <w:pPr>
        <w:ind w:left="2500" w:hanging="586"/>
        <w:spacing w:after="0"/>
        <w:tabs>
          <w:tab w:leader="none" w:pos="25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two properly completed and duly signed copies of Internal Revenue Service Form W-8ECI (or any successor</w:t>
      </w:r>
    </w:p>
    <w:p>
      <w:pPr>
        <w:spacing w:after="0" w:line="34"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9"/>
          <w:szCs w:val="19"/>
          <w:color w:val="auto"/>
        </w:rPr>
        <w:t>forms),</w:t>
      </w:r>
    </w:p>
    <w:p>
      <w:pPr>
        <w:spacing w:after="0" w:line="202" w:lineRule="exact"/>
        <w:rPr>
          <w:rFonts w:ascii="Arial" w:cs="Arial" w:eastAsia="Arial" w:hAnsi="Arial"/>
          <w:sz w:val="18"/>
          <w:szCs w:val="18"/>
          <w:color w:val="auto"/>
        </w:rPr>
      </w:pPr>
    </w:p>
    <w:p>
      <w:pPr>
        <w:jc w:val="both"/>
        <w:ind w:left="1280" w:firstLine="634"/>
        <w:spacing w:after="0" w:line="252" w:lineRule="auto"/>
        <w:tabs>
          <w:tab w:leader="none" w:pos="2388"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871(h) or Section 881(c) of the Code, (x) two properly completed and duly signed certificates, substantially in the form of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to the effect that such Foreign Lender is not a “bank” within the meaning of Section 881(c)(3)(A) of the Code, a “10 percent shareholder” of such Borrower within the meaning of Section 871(h)(3)(B) of the Code, or a “controlled foreign corporation” related to such Borrower as described in Section 881(c)(3)(C) of the Code (any such certificate a “</w:t>
      </w:r>
      <w:r>
        <w:rPr>
          <w:rFonts w:ascii="Arial" w:cs="Arial" w:eastAsia="Arial" w:hAnsi="Arial"/>
          <w:sz w:val="19"/>
          <w:szCs w:val="19"/>
          <w:u w:val="single" w:color="auto"/>
          <w:color w:val="auto"/>
        </w:rPr>
        <w:t>United States 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and (y) two properly completed and duly signed copies of Internal Revenue Service Form W-8BEN or W-8BEN-E, as applicable (or any successor forms),</w:t>
      </w:r>
    </w:p>
    <w:p>
      <w:pPr>
        <w:spacing w:after="0" w:line="182" w:lineRule="exact"/>
        <w:rPr>
          <w:rFonts w:ascii="Arial" w:cs="Arial" w:eastAsia="Arial" w:hAnsi="Arial"/>
          <w:sz w:val="19"/>
          <w:szCs w:val="19"/>
          <w:color w:val="auto"/>
        </w:rPr>
      </w:pPr>
    </w:p>
    <w:p>
      <w:pPr>
        <w:jc w:val="both"/>
        <w:ind w:left="1280" w:firstLine="634"/>
        <w:spacing w:after="0" w:line="257" w:lineRule="auto"/>
        <w:tabs>
          <w:tab w:leader="none" w:pos="2433"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 or W-8BEN-E, United States Tax Compliance Certificate, Form W-9, Form W-8IMY (or other successor</w:t>
      </w:r>
    </w:p>
    <w:p>
      <w:pPr>
        <w:sectPr>
          <w:pgSz w:w="11900" w:h="16838" w:orient="portrait"/>
          <w:cols w:equalWidth="0" w:num="1">
            <w:col w:w="11240"/>
          </w:cols>
          <w:pgMar w:left="320" w:top="1395" w:right="339" w:bottom="1440" w:gutter="0" w:footer="0" w:header="0"/>
        </w:sectPr>
      </w:pPr>
    </w:p>
    <w:bookmarkStart w:id="179" w:name="page180"/>
    <w:bookmarkEnd w:id="179"/>
    <w:p>
      <w:pPr>
        <w:jc w:val="both"/>
        <w:ind w:left="160"/>
        <w:spacing w:after="0" w:line="263" w:lineRule="auto"/>
        <w:rPr>
          <w:sz w:val="20"/>
          <w:szCs w:val="20"/>
          <w:color w:val="auto"/>
        </w:rPr>
      </w:pPr>
      <w:r>
        <w:rPr>
          <w:rFonts w:ascii="Arial" w:cs="Arial" w:eastAsia="Arial" w:hAnsi="Arial"/>
          <w:sz w:val="19"/>
          <w:szCs w:val="19"/>
          <w:color w:val="auto"/>
        </w:rPr>
        <w:t>forms) or any other required information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Lender is a partnership and one or more direct or indirect partners are claiming the portfolio interest exemption, the United States Tax Compliance Certificate may be provided by such Lender on behalf of such direct or indirect partner(s)), or</w:t>
      </w:r>
    </w:p>
    <w:p>
      <w:pPr>
        <w:spacing w:after="0" w:line="169" w:lineRule="exact"/>
        <w:rPr>
          <w:sz w:val="20"/>
          <w:szCs w:val="20"/>
          <w:color w:val="auto"/>
        </w:rPr>
      </w:pPr>
    </w:p>
    <w:p>
      <w:pPr>
        <w:jc w:val="both"/>
        <w:ind w:left="160" w:firstLine="634"/>
        <w:spacing w:after="0" w:line="257" w:lineRule="auto"/>
        <w:tabs>
          <w:tab w:leader="none" w:pos="1357" w:val="left"/>
        </w:tabs>
        <w:numPr>
          <w:ilvl w:val="1"/>
          <w:numId w:val="150"/>
        </w:numPr>
        <w:rPr>
          <w:rFonts w:ascii="Arial" w:cs="Arial" w:eastAsia="Arial" w:hAnsi="Arial"/>
          <w:sz w:val="19"/>
          <w:szCs w:val="19"/>
          <w:color w:val="auto"/>
        </w:rPr>
      </w:pPr>
      <w:r>
        <w:rPr>
          <w:rFonts w:ascii="Arial" w:cs="Arial" w:eastAsia="Arial" w:hAnsi="Arial"/>
          <w:sz w:val="19"/>
          <w:szCs w:val="19"/>
          <w:color w:val="auto"/>
        </w:rPr>
        <w:t>any other form prescribed by applicable Requirements of Law as a basis for claiming exemption from or a reduction in U.S. federal withholding tax duly completed together with such supplementary documentation as may be prescribed by applicable Requirements of Law to permit Borrower and the Administrative Agent to determine the withholding or deduction required to be made.</w:t>
      </w:r>
    </w:p>
    <w:p>
      <w:pPr>
        <w:spacing w:after="0" w:line="177" w:lineRule="exact"/>
        <w:rPr>
          <w:rFonts w:ascii="Arial" w:cs="Arial" w:eastAsia="Arial" w:hAnsi="Arial"/>
          <w:sz w:val="19"/>
          <w:szCs w:val="19"/>
          <w:color w:val="auto"/>
        </w:rPr>
      </w:pPr>
    </w:p>
    <w:p>
      <w:pPr>
        <w:jc w:val="both"/>
        <w:ind w:left="-160" w:firstLine="1272"/>
        <w:spacing w:after="0" w:line="250" w:lineRule="auto"/>
        <w:tabs>
          <w:tab w:leader="none" w:pos="1597" w:val="left"/>
        </w:tabs>
        <w:numPr>
          <w:ilvl w:val="2"/>
          <w:numId w:val="150"/>
        </w:numPr>
        <w:rPr>
          <w:rFonts w:ascii="Arial" w:cs="Arial" w:eastAsia="Arial" w:hAnsi="Arial"/>
          <w:sz w:val="19"/>
          <w:szCs w:val="19"/>
          <w:color w:val="auto"/>
        </w:rPr>
      </w:pPr>
      <w:r>
        <w:rPr>
          <w:rFonts w:ascii="Arial" w:cs="Arial" w:eastAsia="Arial" w:hAnsi="Arial"/>
          <w:sz w:val="19"/>
          <w:szCs w:val="19"/>
          <w:color w:val="auto"/>
        </w:rPr>
        <w:t xml:space="preserve">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or has not complied with such Lender’s obligations under FATCA and to determine the amount, if any, to deduct and withhold from such payment. Solely for purposes of this clause </w:t>
      </w:r>
      <w:r>
        <w:rPr>
          <w:rFonts w:ascii="Arial" w:cs="Arial" w:eastAsia="Arial" w:hAnsi="Arial"/>
          <w:sz w:val="19"/>
          <w:szCs w:val="19"/>
          <w:u w:val="single" w:color="auto"/>
          <w:color w:val="auto"/>
        </w:rPr>
        <w:t>(iii)</w:t>
      </w:r>
      <w:r>
        <w:rPr>
          <w:rFonts w:ascii="Arial" w:cs="Arial" w:eastAsia="Arial" w:hAnsi="Arial"/>
          <w:sz w:val="19"/>
          <w:szCs w:val="19"/>
          <w:color w:val="auto"/>
        </w:rPr>
        <w:t>, “FATCA” shall include any amendments made to FATCA after the date of this Agreement.</w:t>
      </w:r>
    </w:p>
    <w:p>
      <w:pPr>
        <w:spacing w:after="0" w:line="188" w:lineRule="exact"/>
        <w:rPr>
          <w:rFonts w:ascii="Arial" w:cs="Arial" w:eastAsia="Arial" w:hAnsi="Arial"/>
          <w:sz w:val="19"/>
          <w:szCs w:val="19"/>
          <w:color w:val="auto"/>
        </w:rPr>
      </w:pPr>
    </w:p>
    <w:p>
      <w:pPr>
        <w:jc w:val="both"/>
        <w:ind w:left="-1120" w:firstLine="1278"/>
        <w:spacing w:after="0" w:line="280" w:lineRule="auto"/>
        <w:tabs>
          <w:tab w:leader="none" w:pos="60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Lender determines, in its sole discretion exercised in good faith, that it has received a refund of any Indemnified Taxes or Other Taxes as to which it has been indemnified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with respect to which additional amounts have been paid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it shall pay over such refund to the Borrower (but only to the extent of indemnity payments made, or additional amounts paid,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or such Lender, agrees promptly to repay the amount paid over to the Borrower pursuant to this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or such Lender may delete any information therein that the Administrative Agent or such Lender deems confidential). Notwithstanding anything to the contrary in this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in no event will the Administrative Agent or any Lender be required to pay any amount to the Borrowers pursuant to this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the payment of which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w:t>
      </w:r>
    </w:p>
    <w:p>
      <w:pPr>
        <w:sectPr>
          <w:pgSz w:w="11900" w:h="16838" w:orient="portrait"/>
          <w:cols w:equalWidth="0" w:num="1">
            <w:col w:w="10120"/>
          </w:cols>
          <w:pgMar w:left="1440" w:top="1395" w:right="339" w:bottom="1440" w:gutter="0" w:footer="0" w:header="0"/>
        </w:sectPr>
      </w:pPr>
    </w:p>
    <w:bookmarkStart w:id="180" w:name="page181"/>
    <w:bookmarkEnd w:id="180"/>
    <w:p>
      <w:pPr>
        <w:spacing w:after="0" w:line="307" w:lineRule="auto"/>
        <w:rPr>
          <w:sz w:val="20"/>
          <w:szCs w:val="20"/>
          <w:color w:val="auto"/>
        </w:rPr>
      </w:pPr>
      <w:r>
        <w:rPr>
          <w:rFonts w:ascii="Arial" w:cs="Arial" w:eastAsia="Arial" w:hAnsi="Arial"/>
          <w:sz w:val="18"/>
          <w:szCs w:val="18"/>
          <w:color w:val="auto"/>
        </w:rPr>
        <w:t xml:space="preserve">Notwithstanding anything to the contrary, this </w:t>
      </w:r>
      <w:r>
        <w:rPr>
          <w:rFonts w:ascii="Arial" w:cs="Arial" w:eastAsia="Arial" w:hAnsi="Arial"/>
          <w:sz w:val="18"/>
          <w:szCs w:val="18"/>
          <w:u w:val="single" w:color="auto"/>
          <w:color w:val="auto"/>
        </w:rPr>
        <w:t>Section 2.17(f)</w:t>
      </w:r>
      <w:r>
        <w:rPr>
          <w:rFonts w:ascii="Arial" w:cs="Arial" w:eastAsia="Arial" w:hAnsi="Arial"/>
          <w:sz w:val="18"/>
          <w:szCs w:val="18"/>
          <w:color w:val="auto"/>
        </w:rPr>
        <w:t xml:space="preserve"> shall not be construed to require the Administrative Agent or any Lender to make available its Tax returns (or any other information relating to Taxes which it deems confidential) to any Loan Party or any other person.</w:t>
      </w:r>
    </w:p>
    <w:p>
      <w:pPr>
        <w:spacing w:after="0" w:line="133" w:lineRule="exact"/>
        <w:rPr>
          <w:sz w:val="20"/>
          <w:szCs w:val="20"/>
          <w:color w:val="auto"/>
        </w:rPr>
      </w:pPr>
    </w:p>
    <w:p>
      <w:pPr>
        <w:jc w:val="both"/>
        <w:ind w:firstLine="1278"/>
        <w:spacing w:after="0" w:line="263" w:lineRule="auto"/>
        <w:tabs>
          <w:tab w:leader="none" w:pos="178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The agreements in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shall survive the resignation or replacement of the Administrative Agent or any assignment of rights by, or the replacement of, a Lender, the termination of this Agreement and the payment of the Loans and all other amounts payable hereunder.</w:t>
      </w:r>
    </w:p>
    <w:p>
      <w:pPr>
        <w:spacing w:after="0" w:line="169" w:lineRule="exact"/>
        <w:rPr>
          <w:rFonts w:ascii="Arial" w:cs="Arial" w:eastAsia="Arial" w:hAnsi="Arial"/>
          <w:sz w:val="19"/>
          <w:szCs w:val="19"/>
          <w:color w:val="auto"/>
        </w:rPr>
      </w:pPr>
    </w:p>
    <w:p>
      <w:pPr>
        <w:ind w:firstLine="1278"/>
        <w:spacing w:after="0" w:line="278" w:lineRule="auto"/>
        <w:tabs>
          <w:tab w:leader="none" w:pos="189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term “Lender” shall include any Issuing Bank and the term “applicable Requirements of Law” includes FATCA.</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2.18</w:t>
      </w:r>
      <w:r>
        <w:rPr>
          <w:sz w:val="20"/>
          <w:szCs w:val="20"/>
          <w:color w:val="auto"/>
        </w:rPr>
        <w:tab/>
      </w:r>
      <w:r>
        <w:rPr>
          <w:rFonts w:ascii="Arial" w:cs="Arial" w:eastAsia="Arial" w:hAnsi="Arial"/>
          <w:sz w:val="17"/>
          <w:szCs w:val="17"/>
          <w:u w:val="single" w:color="auto"/>
          <w:color w:val="auto"/>
        </w:rPr>
        <w:t>Payments Generally; Pro Rata Treatment; Sharing of Setoffs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63" w:lineRule="auto"/>
        <w:tabs>
          <w:tab w:leader="none" w:pos="178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Borrower shall make each payment required to be made by it under any Loan Document (whether of principal, interest, fees or reimbursement of LC Disbursements, or of amounts payable under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otherwise) prior to the time expressly required hereunder or under such other Loan Document for such payment (or, if no such time is expressly required, prior to 12:00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shall be made as expressly provided herein and except that payments pursuant to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Except as otherwise provided herein, if any payment under any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shall be made in dollars, all reimbursements of any LC Disbursements shall be made in dollars, all payments of accrued interest payable on a Loan or LC Disbursement shall be made in dollars, and all other payments under each Loan Document shall be made in dollars.</w:t>
      </w:r>
    </w:p>
    <w:p>
      <w:pPr>
        <w:spacing w:after="0" w:line="183" w:lineRule="exact"/>
        <w:rPr>
          <w:rFonts w:ascii="Arial" w:cs="Arial" w:eastAsia="Arial" w:hAnsi="Arial"/>
          <w:sz w:val="18"/>
          <w:szCs w:val="18"/>
          <w:color w:val="auto"/>
        </w:rPr>
      </w:pPr>
    </w:p>
    <w:p>
      <w:pPr>
        <w:jc w:val="both"/>
        <w:ind w:firstLine="1278"/>
        <w:spacing w:after="0" w:line="272" w:lineRule="auto"/>
        <w:tabs>
          <w:tab w:leader="none" w:pos="17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65" w:lineRule="exact"/>
        <w:rPr>
          <w:rFonts w:ascii="Arial" w:cs="Arial" w:eastAsia="Arial" w:hAnsi="Arial"/>
          <w:sz w:val="18"/>
          <w:szCs w:val="18"/>
          <w:color w:val="auto"/>
        </w:rPr>
      </w:pPr>
    </w:p>
    <w:p>
      <w:pPr>
        <w:jc w:val="both"/>
        <w:ind w:firstLine="1278"/>
        <w:spacing w:after="0" w:line="263" w:lineRule="auto"/>
        <w:tabs>
          <w:tab w:leader="none" w:pos="1781"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If any Lender shall, by exercising any right of setoff or counterclaim or otherwise, obtain payment in respect of any principal of or interest on any of its Revolving Loans, Term Loans or participations in LC Disbursements resulting in such Lender receiving payment of a greater</w:t>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64" w:lineRule="auto"/>
        <w:rPr>
          <w:sz w:val="20"/>
          <w:szCs w:val="20"/>
          <w:color w:val="auto"/>
        </w:rPr>
      </w:pPr>
      <w:r>
        <w:rPr>
          <w:rFonts w:ascii="Arial" w:cs="Arial" w:eastAsia="Arial" w:hAnsi="Arial"/>
          <w:sz w:val="18"/>
          <w:szCs w:val="18"/>
          <w:color w:val="auto"/>
        </w:rPr>
        <w:t xml:space="preserve">proportion of the aggregate amount of its Revolving Loans, Term Loans and participations in LC Disbursements and accrued interest thereon than the proportion received by any other Lender, then the Lender receiving such greater proportion shall purchase (for cash at face value) participations in the Revolving Loans, Term Loans and participations in LC Disbursements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6" w:lineRule="exact"/>
        <w:rPr>
          <w:sz w:val="20"/>
          <w:szCs w:val="20"/>
          <w:color w:val="auto"/>
        </w:rPr>
      </w:pPr>
    </w:p>
    <w:p>
      <w:pPr>
        <w:jc w:val="both"/>
        <w:ind w:firstLine="1278"/>
        <w:spacing w:after="0" w:line="251" w:lineRule="auto"/>
        <w:tabs>
          <w:tab w:leader="none" w:pos="171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2" w:lineRule="exact"/>
        <w:rPr>
          <w:rFonts w:ascii="Arial" w:cs="Arial" w:eastAsia="Arial" w:hAnsi="Arial"/>
          <w:sz w:val="19"/>
          <w:szCs w:val="19"/>
          <w:color w:val="auto"/>
        </w:rPr>
      </w:pPr>
    </w:p>
    <w:p>
      <w:pPr>
        <w:jc w:val="both"/>
        <w:ind w:firstLine="1278"/>
        <w:spacing w:after="0" w:line="253" w:lineRule="auto"/>
        <w:tabs>
          <w:tab w:leader="none" w:pos="175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If any Lender shall fail to make any payment required to be made by it pursuant to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9.03(c)</w:t>
      </w:r>
      <w:r>
        <w:rPr>
          <w:rFonts w:ascii="Arial" w:cs="Arial" w:eastAsia="Arial" w:hAnsi="Arial"/>
          <w:sz w:val="19"/>
          <w:szCs w:val="19"/>
          <w:color w:val="auto"/>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8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2.19</w:t>
      </w:r>
      <w:r>
        <w:rPr>
          <w:sz w:val="20"/>
          <w:szCs w:val="20"/>
          <w:color w:val="auto"/>
        </w:rPr>
        <w:tab/>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84" w:lineRule="auto"/>
        <w:tabs>
          <w:tab w:leader="none" w:pos="172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any event gives rise to the operation of </w:t>
      </w:r>
      <w:r>
        <w:rPr>
          <w:rFonts w:ascii="Arial" w:cs="Arial" w:eastAsia="Arial" w:hAnsi="Arial"/>
          <w:sz w:val="18"/>
          <w:szCs w:val="18"/>
          <w:u w:val="single" w:color="auto"/>
          <w:color w:val="auto"/>
        </w:rPr>
        <w:t>Section 2.23</w:t>
      </w:r>
      <w:r>
        <w:rPr>
          <w:rFonts w:ascii="Arial" w:cs="Arial" w:eastAsia="Arial" w:hAnsi="Arial"/>
          <w:sz w:val="18"/>
          <w:szCs w:val="18"/>
          <w:color w:val="auto"/>
        </w:rPr>
        <w:t>, then such Lender shall (at the request of the Borrower) use reasonable efforts to designate a different lending office</w:t>
      </w:r>
    </w:p>
    <w:p>
      <w:pPr>
        <w:sectPr>
          <w:pgSz w:w="11900" w:h="16838" w:orient="portrait"/>
          <w:cols w:equalWidth="0" w:num="1">
            <w:col w:w="11240"/>
          </w:cols>
          <w:pgMar w:left="320" w:top="1395" w:right="339" w:bottom="1440" w:gutter="0" w:footer="0" w:header="0"/>
        </w:sectPr>
      </w:pPr>
    </w:p>
    <w:bookmarkStart w:id="182" w:name="page183"/>
    <w:bookmarkEnd w:id="182"/>
    <w:p>
      <w:pPr>
        <w:jc w:val="both"/>
        <w:spacing w:after="0" w:line="253" w:lineRule="auto"/>
        <w:rPr>
          <w:sz w:val="20"/>
          <w:szCs w:val="20"/>
          <w:color w:val="auto"/>
        </w:rPr>
      </w:pPr>
      <w:r>
        <w:rPr>
          <w:rFonts w:ascii="Arial" w:cs="Arial" w:eastAsia="Arial" w:hAnsi="Arial"/>
          <w:sz w:val="19"/>
          <w:szCs w:val="19"/>
          <w:color w:val="auto"/>
        </w:rPr>
        <w:t xml:space="preserve">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or mitigate the applicability of </w:t>
      </w:r>
      <w:r>
        <w:rPr>
          <w:rFonts w:ascii="Arial" w:cs="Arial" w:eastAsia="Arial" w:hAnsi="Arial"/>
          <w:sz w:val="19"/>
          <w:szCs w:val="19"/>
          <w:u w:val="single" w:color="auto"/>
          <w:color w:val="auto"/>
        </w:rPr>
        <w:t>Section 2.23</w:t>
      </w:r>
      <w:r>
        <w:rPr>
          <w:rFonts w:ascii="Arial" w:cs="Arial" w:eastAsia="Arial" w:hAnsi="Arial"/>
          <w:sz w:val="19"/>
          <w:szCs w:val="19"/>
          <w:color w:val="auto"/>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82" w:lineRule="exact"/>
        <w:rPr>
          <w:sz w:val="20"/>
          <w:szCs w:val="20"/>
          <w:color w:val="auto"/>
        </w:rPr>
      </w:pPr>
    </w:p>
    <w:p>
      <w:pPr>
        <w:jc w:val="both"/>
        <w:ind w:firstLine="1278"/>
        <w:spacing w:after="0" w:line="263" w:lineRule="auto"/>
        <w:tabs>
          <w:tab w:leader="none" w:pos="180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If (i)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gives notice under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(ii) the Borrower is required to pay any additional amount to any Lender or to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(iii) any Lender is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all its interests, rights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 shall have received the prior written consent of the Administrative Agent to the extent such consent would be required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9.04(b)</w:t>
      </w:r>
      <w:r>
        <w:rPr>
          <w:rFonts w:ascii="Arial" w:cs="Arial" w:eastAsia="Arial" w:hAnsi="Arial"/>
          <w:sz w:val="18"/>
          <w:szCs w:val="18"/>
          <w:color w:val="auto"/>
        </w:rPr>
        <w:t xml:space="preserve"> for an assignment of Loans or Commitments, as applicable (and if a Revolving Commitment is being assigned and delegated, each Issuing Bank), which consents, in each case, shall not unreasonably be withheld or delayed, (B) such Lender shall have received payment of an amount equal to the outstanding principal of its Loans and unreimbursed participations in LC Disbursements,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w:t>
      </w:r>
      <w:r>
        <w:rPr>
          <w:rFonts w:ascii="Arial" w:cs="Arial" w:eastAsia="Arial" w:hAnsi="Arial"/>
          <w:sz w:val="18"/>
          <w:szCs w:val="18"/>
          <w:u w:val="single" w:color="auto"/>
          <w:color w:val="auto"/>
        </w:rPr>
        <w:t>Section 9.04(b)(ii)</w:t>
      </w:r>
      <w:r>
        <w:rPr>
          <w:rFonts w:ascii="Arial" w:cs="Arial" w:eastAsia="Arial" w:hAnsi="Arial"/>
          <w:sz w:val="18"/>
          <w:szCs w:val="18"/>
          <w:color w:val="auto"/>
        </w:rPr>
        <w:t xml:space="preserve"> and (D) in the case of any such assignment resulting from a claim for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a notice given under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8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2.20</w:t>
      </w:r>
      <w:r>
        <w:rPr>
          <w:sz w:val="20"/>
          <w:szCs w:val="20"/>
          <w:color w:val="auto"/>
        </w:rPr>
        <w:tab/>
      </w:r>
      <w:r>
        <w:rPr>
          <w:rFonts w:ascii="Arial" w:cs="Arial" w:eastAsia="Arial" w:hAnsi="Arial"/>
          <w:sz w:val="17"/>
          <w:szCs w:val="17"/>
          <w:u w:val="single" w:color="auto"/>
          <w:color w:val="auto"/>
        </w:rPr>
        <w:t>Incremental Credit Extensions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51" w:lineRule="auto"/>
        <w:tabs>
          <w:tab w:leader="none" w:pos="171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Borrower may at any time or from time to time on one or more occasions after the Effective Date, by written notice delivered to the Administrative Agent request (i) add one or more additional Classes of term loans or additional term loans of the same Class as any existing Class of term loans (an “</w:t>
      </w:r>
      <w:r>
        <w:rPr>
          <w:rFonts w:ascii="Arial" w:cs="Arial" w:eastAsia="Arial" w:hAnsi="Arial"/>
          <w:sz w:val="19"/>
          <w:szCs w:val="19"/>
          <w:u w:val="single" w:color="auto"/>
          <w:color w:val="auto"/>
        </w:rPr>
        <w:t>Incremental Term Facility</w:t>
      </w:r>
      <w:r>
        <w:rPr>
          <w:rFonts w:ascii="Arial" w:cs="Arial" w:eastAsia="Arial" w:hAnsi="Arial"/>
          <w:sz w:val="19"/>
          <w:szCs w:val="19"/>
          <w:color w:val="auto"/>
        </w:rPr>
        <w:t>”) and/or increase the principal amount of the Term Loans by requesting new term loan commitments to be added to such Loans (an “</w:t>
      </w:r>
      <w:r>
        <w:rPr>
          <w:rFonts w:ascii="Arial" w:cs="Arial" w:eastAsia="Arial" w:hAnsi="Arial"/>
          <w:sz w:val="19"/>
          <w:szCs w:val="19"/>
          <w:u w:val="single" w:color="auto"/>
          <w:color w:val="auto"/>
        </w:rPr>
        <w:t>Incremental Term Increase</w:t>
      </w:r>
      <w:r>
        <w:rPr>
          <w:rFonts w:ascii="Arial" w:cs="Arial" w:eastAsia="Arial" w:hAnsi="Arial"/>
          <w:sz w:val="19"/>
          <w:szCs w:val="19"/>
          <w:color w:val="auto"/>
        </w:rPr>
        <w:t>”, and together with any Incremental Term Facility, the “</w:t>
      </w:r>
      <w:r>
        <w:rPr>
          <w:rFonts w:ascii="Arial" w:cs="Arial" w:eastAsia="Arial" w:hAnsi="Arial"/>
          <w:sz w:val="19"/>
          <w:szCs w:val="19"/>
          <w:u w:val="single" w:color="auto"/>
          <w:color w:val="auto"/>
        </w:rPr>
        <w:t>Incremental Term Loans</w:t>
      </w:r>
      <w:r>
        <w:rPr>
          <w:rFonts w:ascii="Arial" w:cs="Arial" w:eastAsia="Arial" w:hAnsi="Arial"/>
          <w:sz w:val="19"/>
          <w:szCs w:val="19"/>
          <w:color w:val="auto"/>
        </w:rPr>
        <w:t>”), (ii) one or more increases in the amount of the Revolving Commitments of any Class (each such increase, an “</w:t>
      </w:r>
      <w:r>
        <w:rPr>
          <w:rFonts w:ascii="Arial" w:cs="Arial" w:eastAsia="Arial" w:hAnsi="Arial"/>
          <w:sz w:val="19"/>
          <w:szCs w:val="19"/>
          <w:u w:val="single" w:color="auto"/>
          <w:color w:val="auto"/>
        </w:rPr>
        <w:t>Incremental Revolving Commitment Increase</w:t>
      </w:r>
      <w:r>
        <w:rPr>
          <w:rFonts w:ascii="Arial" w:cs="Arial" w:eastAsia="Arial" w:hAnsi="Arial"/>
          <w:sz w:val="19"/>
          <w:szCs w:val="19"/>
          <w:color w:val="auto"/>
        </w:rPr>
        <w:t>”) and/or (iii) one or more additional tranches of revolving commitments (the “</w:t>
      </w:r>
      <w:r>
        <w:rPr>
          <w:rFonts w:ascii="Arial" w:cs="Arial" w:eastAsia="Arial" w:hAnsi="Arial"/>
          <w:sz w:val="19"/>
          <w:szCs w:val="19"/>
          <w:u w:val="single" w:color="auto"/>
          <w:color w:val="auto"/>
        </w:rPr>
        <w:t>Additional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Revolving Commitments</w:t>
      </w:r>
      <w:r>
        <w:rPr>
          <w:rFonts w:ascii="Arial" w:cs="Arial" w:eastAsia="Arial" w:hAnsi="Arial"/>
          <w:sz w:val="19"/>
          <w:szCs w:val="19"/>
          <w:color w:val="auto"/>
        </w:rPr>
        <w:t>” and, together with the Incremental Term Loans and the Incremental Revolving Commitment Increase, the “</w:t>
      </w:r>
      <w:r>
        <w:rPr>
          <w:rFonts w:ascii="Arial" w:cs="Arial" w:eastAsia="Arial" w:hAnsi="Arial"/>
          <w:sz w:val="19"/>
          <w:szCs w:val="19"/>
          <w:u w:val="single" w:color="auto"/>
          <w:color w:val="auto"/>
        </w:rPr>
        <w:t>Incremental Facilities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that</w:t>
      </w:r>
    </w:p>
    <w:p>
      <w:pPr>
        <w:sectPr>
          <w:pgSz w:w="11900" w:h="16838" w:orient="portrait"/>
          <w:cols w:equalWidth="0" w:num="1">
            <w:col w:w="11240"/>
          </w:cols>
          <w:pgMar w:left="320" w:top="1395" w:right="339" w:bottom="1440" w:gutter="0" w:footer="0" w:header="0"/>
        </w:sectPr>
      </w:pPr>
    </w:p>
    <w:bookmarkStart w:id="183" w:name="page184"/>
    <w:bookmarkEnd w:id="183"/>
    <w:p>
      <w:pPr>
        <w:jc w:val="both"/>
        <w:spacing w:after="0" w:line="251" w:lineRule="auto"/>
        <w:rPr>
          <w:sz w:val="20"/>
          <w:szCs w:val="20"/>
          <w:color w:val="auto"/>
        </w:rPr>
      </w:pPr>
      <w:r>
        <w:rPr>
          <w:rFonts w:ascii="Arial" w:cs="Arial" w:eastAsia="Arial" w:hAnsi="Arial"/>
          <w:sz w:val="19"/>
          <w:szCs w:val="19"/>
          <w:color w:val="auto"/>
        </w:rPr>
        <w:t xml:space="preserve">any such Incremental Term Loan, Incremental Revolving Commitment Increase or Additional Revolving Commitment is made or effected, no Event of Default (except, in the case of the incurrence or provision of any Incremental Facility in connection with a Limited Condition Acquisition, no Event of Default pursuant to </w:t>
      </w:r>
      <w:r>
        <w:rPr>
          <w:rFonts w:ascii="Arial" w:cs="Arial" w:eastAsia="Arial" w:hAnsi="Arial"/>
          <w:sz w:val="19"/>
          <w:szCs w:val="19"/>
          <w:u w:val="single" w:color="auto"/>
          <w:color w:val="auto"/>
        </w:rPr>
        <w:t>Sections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have occurred and be continuing. Notwithstanding anything to contrary herein, the aggregate principal amount of the Incremental Facilities that can be incurred at any time shall not exceed the Incremental Cap at such time. Each Incremental Facility shall be in a minimum principal amount of $2,000,000 and integral multiples of $500,000 in excess thereof if such Incremental Facilities are denominated in dollars (unless the Borrower and the Administrative Agent otherwise agree);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 may be less than $2,000,000 if such amount represents all the remaining availability under the aggregate principal amount of Incremental Facilities set forth above.</w:t>
      </w:r>
    </w:p>
    <w:p>
      <w:pPr>
        <w:spacing w:after="0" w:line="186" w:lineRule="exact"/>
        <w:rPr>
          <w:sz w:val="20"/>
          <w:szCs w:val="20"/>
          <w:color w:val="auto"/>
        </w:rPr>
      </w:pPr>
    </w:p>
    <w:p>
      <w:pPr>
        <w:jc w:val="both"/>
        <w:ind w:firstLine="1278"/>
        <w:spacing w:after="0" w:line="277" w:lineRule="auto"/>
        <w:tabs>
          <w:tab w:leader="none" w:pos="169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(i) The Incremental Term Loans (a) shall rank equal in right of payment with the Term Loans, shall be secured only by the Collateral securing the Secured Obligations, shall be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Credit Facilities, and shall not be guaranteed by any Person which is not a Loan Party, (b) shall not mature earlier than the Term Maturity Date with respect to the Initial Term Loans (except in the case of bridge loans the terms of which provide for an automatic extension of the maturity date thereof, subject to customary conditions, to a date that is not earlier than the Term Maturity Date respect to the Initial Term Loans), (c) shall not have a shorter Weighted Average Life to Maturity (except in the case of bridge loans the terms of which provide for an automatic extension of the maturity date thereof, subject to customary conditions, to a date that is not earlier than the Term Maturity Date applicable to the then-existing Term Loans) than the remaining Term Loans, (d) shall have a maturity date (subject to 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 amortization schedule (subject to clause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interest rates (including through fixed interest rates), interest margins, rate floors, upfront fees, funding discounts, original issue discounts and prepayment terms and premiums for the Incremental Term Loans as determined by the Borrower and the Additional Term Lenders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Effective Yield for any Incremental Term Loans that are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Secured Obligations and incurred on or prior to the date that is eighteen months after the Effective Date is greater than the Effective Yield for any Class of Term Loans by more than the MFN Cushion, then the Effective Yield for each such Class of Term Loans shall be increased to the extent necessary so that the Effective Yield for each such Class of Term Loans are equal to the Effective Yield for the Incremental Term Loans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MFN Cushion (provided that the “LIBOR floor” applicable to the outstanding Term Loans shall be increased to an amount not to exceed the “LIBOR floor” applicable to such Incremental Term Loans prior to any increase in the Applicable Rate applicable to such Term Loans then outstanding) (any required adjustment to the Effective Yield described in this clause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shall be referred to herein as an “</w:t>
      </w:r>
      <w:r>
        <w:rPr>
          <w:rFonts w:ascii="Arial" w:cs="Arial" w:eastAsia="Arial" w:hAnsi="Arial"/>
          <w:sz w:val="17"/>
          <w:szCs w:val="17"/>
          <w:u w:val="single" w:color="auto"/>
          <w:color w:val="auto"/>
        </w:rPr>
        <w:t>MFN Adjustment</w:t>
      </w:r>
      <w:r>
        <w:rPr>
          <w:rFonts w:ascii="Arial" w:cs="Arial" w:eastAsia="Arial" w:hAnsi="Arial"/>
          <w:sz w:val="17"/>
          <w:szCs w:val="17"/>
          <w:color w:val="auto"/>
        </w:rPr>
        <w:t xml:space="preserve">”), (e) other than with respect to Credit Agreement Refinancing Indebtedness shall not participate on a greater than pro rata basis than the Initial Term Loans with respect to any mandatory prepayment (other than any scheduled amortization payment) provided that the Borrower and the lenders providing the relevant Incremental Term Loans shall be permitted, in their sole discretion, to elect to prepay or receive, as applicable, any such prepayment on a less than pro rata basis and (f) may otherwise have terms and conditions different from those of the Term Loans (including currency denomination);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with respect to matters contemplated by clauses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p>
    <w:p>
      <w:pPr>
        <w:spacing w:after="0" w:line="8" w:lineRule="exact"/>
        <w:rPr>
          <w:rFonts w:ascii="Arial" w:cs="Arial" w:eastAsia="Arial" w:hAnsi="Arial"/>
          <w:sz w:val="17"/>
          <w:szCs w:val="17"/>
          <w:color w:val="auto"/>
        </w:rPr>
      </w:pPr>
    </w:p>
    <w:p>
      <w:pPr>
        <w:jc w:val="both"/>
        <w:ind w:firstLine="6"/>
        <w:spacing w:after="0" w:line="285" w:lineRule="auto"/>
        <w:tabs>
          <w:tab w:leader="none" w:pos="283" w:val="left"/>
        </w:tabs>
        <w:numPr>
          <w:ilvl w:val="0"/>
          <w:numId w:val="159"/>
        </w:numPr>
        <w:rPr>
          <w:rFonts w:ascii="Arial" w:cs="Arial" w:eastAsia="Arial" w:hAnsi="Arial"/>
          <w:sz w:val="17"/>
          <w:szCs w:val="17"/>
          <w:u w:val="single" w:color="auto"/>
          <w:color w:val="auto"/>
        </w:rPr>
      </w:pPr>
      <w:r>
        <w:rPr>
          <w:rFonts w:ascii="Arial" w:cs="Arial" w:eastAsia="Arial" w:hAnsi="Arial"/>
          <w:sz w:val="17"/>
          <w:szCs w:val="17"/>
          <w:color w:val="auto"/>
        </w:rPr>
        <w:t>and (e) above, the covenants, events of default and guarantees of any such Incremental Term Loans shall not be materially more restrictive to the Borrower, when taken as a whole, than the terms of the Initial Term Loans, unless (1) the Lenders under the Term Loans also receive the benefit of such more restrictive terms (together with, at the election of the Borrower, any applicable “equity cure” provisions with respect to any financial maintenance covenant) (it being understood to the extent that any covenant is added for the benefit of any such Incremental Facility, no consent shall be required from the Administrative Agent or any Lender to the extent that such covenant is also added for the benefit of any corresponding existing Term Loans), (2) any such provisions apply after the Latest Maturity Date at the time of incurrence of</w:t>
      </w:r>
    </w:p>
    <w:p>
      <w:pPr>
        <w:sectPr>
          <w:pgSz w:w="11900" w:h="16838" w:orient="portrait"/>
          <w:cols w:equalWidth="0" w:num="1">
            <w:col w:w="11240"/>
          </w:cols>
          <w:pgMar w:left="320" w:top="1395" w:right="339" w:bottom="1440" w:gutter="0" w:footer="0" w:header="0"/>
        </w:sectPr>
      </w:pPr>
    </w:p>
    <w:bookmarkStart w:id="184" w:name="page185"/>
    <w:bookmarkEnd w:id="184"/>
    <w:p>
      <w:pPr>
        <w:jc w:val="both"/>
        <w:spacing w:after="0" w:line="255" w:lineRule="auto"/>
        <w:rPr>
          <w:sz w:val="20"/>
          <w:szCs w:val="20"/>
          <w:color w:val="auto"/>
        </w:rPr>
      </w:pPr>
      <w:r>
        <w:rPr>
          <w:rFonts w:ascii="Arial" w:cs="Arial" w:eastAsia="Arial" w:hAnsi="Arial"/>
          <w:sz w:val="19"/>
          <w:szCs w:val="19"/>
          <w:color w:val="auto"/>
        </w:rPr>
        <w:t xml:space="preserve">such Incremental Facility, (3) such terms are on market terms at the time of establishment of such Incremental Term Facility, as determined in good faith by the Borrower or (4) such terms shall be reasonably satisfactory to the Administrative Agent and the Borrower;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it be a condition to the effectiveness of, or borrowing under, any such Incremental Term Loans that any representation or warranty of any Loan Party set forth herein (other than “specified representations”) be true and correct, except and solely to the extent required by the Additional Term Lenders providing such Incremental Term Loans.</w:t>
      </w:r>
    </w:p>
    <w:p>
      <w:pPr>
        <w:spacing w:after="0" w:line="178" w:lineRule="exact"/>
        <w:rPr>
          <w:sz w:val="20"/>
          <w:szCs w:val="20"/>
          <w:color w:val="auto"/>
        </w:rPr>
      </w:pPr>
    </w:p>
    <w:p>
      <w:pPr>
        <w:jc w:val="both"/>
        <w:ind w:firstLine="1914"/>
        <w:spacing w:after="0" w:line="289" w:lineRule="auto"/>
        <w:tabs>
          <w:tab w:leader="none" w:pos="2544"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Any Incremental Revolving Commitment Increase shall be treated the same as the Class of Revolving Commitments being increased (including with respect to the maturity date thereof and scheduled or mandatory prepayment or commitment reductions) and shall be considered to be part of the Class of Revolving Loans being increased (it being understood that, if required to consummate an Incremental Revolving Commitment Increase, the pricing, interest rate margins,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151" w:lineRule="exact"/>
        <w:rPr>
          <w:rFonts w:ascii="Arial" w:cs="Arial" w:eastAsia="Arial" w:hAnsi="Arial"/>
          <w:sz w:val="17"/>
          <w:szCs w:val="17"/>
          <w:color w:val="auto"/>
        </w:rPr>
      </w:pPr>
    </w:p>
    <w:p>
      <w:pPr>
        <w:jc w:val="both"/>
        <w:ind w:firstLine="1914"/>
        <w:spacing w:after="0" w:line="263" w:lineRule="auto"/>
        <w:tabs>
          <w:tab w:leader="none" w:pos="242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Any Additional Revolving Commitments (a) shall rank equal or subordinate in right of payment with the initial Revolving Loans, shall be secured only by the Collateral securing the Secured Obligations, shall be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Credit Facilities, and shall not be guaranteed by any Person that is not a Loan Party, (b) shall not mature earlier than the Revolving Maturity Date with respect to the Initial Revolving Loans, (c) shall not require any scheduled or mandatory prepayment or commitment reduction prior to the Revolving Maturity Date, (d) other than with respect to Credit Agreement Refinancing Indebtedness shall not participate on a greater than pro rata basis than the initial Revolving Commitments with respect to any mandatory prepayment or commitment reduction, provided that the Borrower and the lenders providing the relevant Additional Revolving Commitments shall be permitted, in their sole discretion, to elect to prepay or receive, as applicable, any such prepayment or commitment reduction on a less than pro rata basis and (e) may otherwise have terms and conditions different from those of the Revolving Loans (including currency denomination);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with respect to matters contemplated by clauses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(e) above, the covenants, events of default and guarantees of any such Additional Revolving Commitments shall not be materially more restrictive to the Borrower, when taken as a whole, than the terms of the initial Revolving Commitments, unless (1) the Lenders with initial Revolving Commitments also receive the benefit of such more restrictive terms (together with, at the election of the Borrower, any applicable “equity cure” provisions with respect to any financial maintenance covenant) (it being understood to the extent that any covenant is added for the benefit of any such Additional Revolving Commitments, no consent shall be required from the Administrative Agent or any Lender to the extent that such covenant is also added for the benefit of any corresponding initial Revolving Commitments), (2) any such provisions apply after the Latest Maturity Date at the time of incurrence of such Incremental Facility, (3) such terms are on market terms at the time of establishment of such Additional Revolving Commitments, as determined in good faith by the Borrower or (4) such terms shall be reasonably satisfactory to the Administrative Agent and the Borrower;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it be a condition to the effectiveness of, or borrowing under, any such Additional Revolving Commitments that any representation or warranty of any Loan Party set forth herein (other than “specified representations”) be true and correct, except and solely to the extent required by the Lenders providing such Additional Revolving Commitments.</w:t>
      </w:r>
    </w:p>
    <w:p>
      <w:pPr>
        <w:spacing w:after="0" w:line="179" w:lineRule="exact"/>
        <w:rPr>
          <w:rFonts w:ascii="Arial" w:cs="Arial" w:eastAsia="Arial" w:hAnsi="Arial"/>
          <w:sz w:val="18"/>
          <w:szCs w:val="18"/>
          <w:color w:val="auto"/>
        </w:rPr>
      </w:pPr>
    </w:p>
    <w:p>
      <w:pPr>
        <w:ind w:left="1740" w:hanging="462"/>
        <w:spacing w:after="0"/>
        <w:tabs>
          <w:tab w:leader="none" w:pos="1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notice from the Borrower pursuant to this Section shall set forth the requested amount of the relevant Incremental</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Facility.</w:t>
      </w:r>
    </w:p>
    <w:p>
      <w:pPr>
        <w:sectPr>
          <w:pgSz w:w="11900" w:h="16838" w:orient="portrait"/>
          <w:cols w:equalWidth="0" w:num="1">
            <w:col w:w="11240"/>
          </w:cols>
          <w:pgMar w:left="320" w:top="1395" w:right="339" w:bottom="1440" w:gutter="0" w:footer="0" w:header="0"/>
        </w:sectPr>
      </w:pPr>
    </w:p>
    <w:bookmarkStart w:id="185" w:name="page186"/>
    <w:bookmarkEnd w:id="185"/>
    <w:p>
      <w:pPr>
        <w:jc w:val="both"/>
        <w:ind w:firstLine="1278"/>
        <w:spacing w:after="0" w:line="263" w:lineRule="auto"/>
        <w:tabs>
          <w:tab w:leader="none" w:pos="183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Commitments in respect of any Incremental Facility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to this Agreement and, as appropriate, the other Loan Documents, executed by the Borrower, each Lender agreeing to provide such Commitment, if any, each Additional Lender, if any, and the Administrative Agent. An Incremental Facility may be provided, subject to the prior written consent of the Borrower (not to be unreasonably withheld), by any existing Lender (it being understood that no existing Lender shall, unless it agrees, be obligated to provide any Incremental Facilities) or by any Additional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Administrative Agent shall have consent rights (not to be unreasonably withheld, conditioned or delayed) with respect to such Additional Lender, if such consent would be required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9.04</w:t>
      </w:r>
      <w:r>
        <w:rPr>
          <w:rFonts w:ascii="Arial" w:cs="Arial" w:eastAsia="Arial" w:hAnsi="Arial"/>
          <w:sz w:val="18"/>
          <w:szCs w:val="18"/>
          <w:color w:val="auto"/>
        </w:rPr>
        <w:t xml:space="preserve"> for an assignment of Loans or Commitments, as applicable, to such Additional Lender and (ii) solely with respect to any Incremental Revolving Commitment Increase or any Additional Revolving Commitment, the Issuing Banks shall have consent rights (not to be unreasonably withheld, conditioned or delayed) with respect to such Additional Lender, if such consent would be required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9.04</w:t>
      </w:r>
      <w:r>
        <w:rPr>
          <w:rFonts w:ascii="Arial" w:cs="Arial" w:eastAsia="Arial" w:hAnsi="Arial"/>
          <w:sz w:val="18"/>
          <w:szCs w:val="18"/>
          <w:color w:val="auto"/>
        </w:rPr>
        <w:t xml:space="preserve"> for an assignment of Revolving Loans or Revolving Commitments, as applicable, to such Additional Lender. Incremental Term Loans and loans under Incremental Revolving Commitment Increases or Additional Revolving Commitments shall be a “Loan” for all purposes of this Agreement and the other Loan Documents. The Incremental Facility Amendment may, subject to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without the consent of any other Lenders, effect such amendments to this Agreement and the other Loan Documents as may be necessary, in the reasonable opinion of the Administrative Agent and the Borrower, to effect the provisions of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(including, in connection with an Incremental Revolving Commitment Increase, to reallocate Revolving Exposure on a pro rata basis among the relevant Revolving Lenders).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w:t>
      </w:r>
      <w:r>
        <w:rPr>
          <w:rFonts w:ascii="Arial" w:cs="Arial" w:eastAsia="Arial" w:hAnsi="Arial"/>
          <w:sz w:val="18"/>
          <w:szCs w:val="18"/>
          <w:u w:val="single" w:color="auto"/>
          <w:color w:val="auto"/>
        </w:rPr>
        <w:t>Section 2.20</w:t>
      </w:r>
      <w:r>
        <w:rPr>
          <w:rFonts w:ascii="Arial" w:cs="Arial" w:eastAsia="Arial" w:hAnsi="Arial"/>
          <w:sz w:val="18"/>
          <w:szCs w:val="18"/>
          <w:color w:val="auto"/>
        </w:rPr>
        <w:t>. The Borrower will use the proceeds of the Incremental Facilities for working capital and other general corporate purposes of the Borrower and its Subsidiaries, including capital expenditures, Permitted Acquisitions and other Investments, Restricted Payments and the refinancing of Indebtedness, and any other use not prohibited by the Loan Documents.</w:t>
      </w:r>
    </w:p>
    <w:p>
      <w:pPr>
        <w:spacing w:after="0" w:line="175" w:lineRule="exact"/>
        <w:rPr>
          <w:rFonts w:ascii="Arial" w:cs="Arial" w:eastAsia="Arial" w:hAnsi="Arial"/>
          <w:sz w:val="18"/>
          <w:szCs w:val="18"/>
          <w:color w:val="auto"/>
        </w:rPr>
      </w:pPr>
    </w:p>
    <w:p>
      <w:pPr>
        <w:ind w:left="1700" w:hanging="422"/>
        <w:spacing w:after="0"/>
        <w:tabs>
          <w:tab w:leader="none" w:pos="17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to the contrary.</w:t>
      </w:r>
    </w:p>
    <w:p>
      <w:pPr>
        <w:spacing w:after="0" w:line="20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2.21</w:t>
      </w:r>
      <w:r>
        <w:rPr>
          <w:sz w:val="20"/>
          <w:szCs w:val="20"/>
          <w:color w:val="auto"/>
        </w:rPr>
        <w:tab/>
      </w:r>
      <w:r>
        <w:rPr>
          <w:rFonts w:ascii="Arial" w:cs="Arial" w:eastAsia="Arial" w:hAnsi="Arial"/>
          <w:sz w:val="17"/>
          <w:szCs w:val="17"/>
          <w:u w:val="single" w:color="auto"/>
          <w:color w:val="auto"/>
        </w:rPr>
        <w:t>Refinancing Amendments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66" w:lineRule="auto"/>
        <w:tabs>
          <w:tab w:leader="none" w:pos="172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At any time after the Effective Date, the Borrower may obtain, from any Lender or any Additional Lender (but no such Lender or Additional Lender shall be obligated to provide), Credit Agreement Refinancing Indebtedness in respect of (i) all or any portion of the Term Loans then outstanding under this Agreement (which for purposes of this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will be deemed to include any then outstanding Other Term Loans) or (ii) all or any portion of the Revolving Loans (or unused Revolving Commitments) under this Agreement (which for purposes of this clause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will be deemed to include any then outstanding Other Revolving Loans, Other Revolving Commitments and Additional Revolving Commitments and loans issued thereunder), in the form of (x) Other Term Loans or Other Term Commitments or (y) Other Revolving Loans or Other Revolving Commitments,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Net Proceeds of such Credit Agreement Refinancing Indebtedness shall be applied, substantially concurrently with the incurrence thereof, to the prepayment (or reduction) of outstanding Indebtedness being so refinanced (or the case may be), as the case may be and accompanied by any</w:t>
      </w:r>
    </w:p>
    <w:p>
      <w:pPr>
        <w:sectPr>
          <w:pgSz w:w="11900" w:h="16838" w:orient="portrait"/>
          <w:cols w:equalWidth="0" w:num="1">
            <w:col w:w="11240"/>
          </w:cols>
          <w:pgMar w:left="320" w:top="1395" w:right="339" w:bottom="1440" w:gutter="0" w:footer="0" w:header="0"/>
        </w:sectPr>
      </w:pPr>
    </w:p>
    <w:bookmarkStart w:id="186" w:name="page187"/>
    <w:bookmarkEnd w:id="186"/>
    <w:p>
      <w:pPr>
        <w:jc w:val="both"/>
        <w:spacing w:after="0" w:line="263" w:lineRule="auto"/>
        <w:rPr>
          <w:sz w:val="20"/>
          <w:szCs w:val="20"/>
          <w:color w:val="auto"/>
        </w:rPr>
      </w:pPr>
      <w:r>
        <w:rPr>
          <w:rFonts w:ascii="Arial" w:cs="Arial" w:eastAsia="Arial" w:hAnsi="Arial"/>
          <w:sz w:val="18"/>
          <w:szCs w:val="18"/>
          <w:color w:val="auto"/>
        </w:rPr>
        <w:t xml:space="preserve">prepayment premium payable thereon in accordance with the terms hereof. Each Class of Credit Agreement Refinancing Indebtedness incurred under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shall be in an aggregate principal amount that is (x) not less than $5,000,000 in the case of Other Term Loans or $5,000,000 in the case of Other Revolving Loans and (y) an integral multiple of $1,000,000 in excess thereof (in each case unless the Borrower and the Administrative Agent otherwise agree). Any Refinancing Amendment may provide for the issuance of Letters of Credit for the account of the Borrower, pursuant to any Other Revolving Commitments established thereby, in each case on terms substantially equivalent to the terms applicable to Letters of Credit under the Revolving Commitments or as otherwise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required to act as “issuing bank”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the commission applicable thereto) shall be adjusted accordingly.</w:t>
      </w:r>
    </w:p>
    <w:p>
      <w:pPr>
        <w:spacing w:after="0" w:line="182" w:lineRule="exact"/>
        <w:rPr>
          <w:sz w:val="20"/>
          <w:szCs w:val="20"/>
          <w:color w:val="auto"/>
        </w:rPr>
      </w:pPr>
    </w:p>
    <w:p>
      <w:pPr>
        <w:ind w:left="1280" w:right="2100" w:hanging="2"/>
        <w:spacing w:after="0" w:line="480" w:lineRule="auto"/>
        <w:tabs>
          <w:tab w:leader="none" w:pos="169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to the contrary. SECTION 2.22 </w:t>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1" w:lineRule="exact"/>
        <w:rPr>
          <w:sz w:val="20"/>
          <w:szCs w:val="20"/>
          <w:color w:val="auto"/>
        </w:rPr>
      </w:pPr>
    </w:p>
    <w:p>
      <w:pPr>
        <w:ind w:firstLine="1278"/>
        <w:spacing w:after="0" w:line="278" w:lineRule="auto"/>
        <w:tabs>
          <w:tab w:leader="none" w:pos="1708"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6" w:lineRule="exact"/>
        <w:rPr>
          <w:rFonts w:ascii="Arial" w:cs="Arial" w:eastAsia="Arial" w:hAnsi="Arial"/>
          <w:sz w:val="19"/>
          <w:szCs w:val="19"/>
          <w:color w:val="auto"/>
        </w:rPr>
      </w:pPr>
    </w:p>
    <w:p>
      <w:pPr>
        <w:ind w:left="960" w:firstLine="1272"/>
        <w:spacing w:after="0" w:line="278" w:lineRule="auto"/>
        <w:tabs>
          <w:tab w:leader="none" w:pos="2649"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960" w:firstLine="1272"/>
        <w:spacing w:after="0" w:line="252" w:lineRule="auto"/>
        <w:tabs>
          <w:tab w:leader="none" w:pos="2703"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Subject to the last sentence of </w:t>
      </w:r>
      <w:r>
        <w:rPr>
          <w:rFonts w:ascii="Arial" w:cs="Arial" w:eastAsia="Arial" w:hAnsi="Arial"/>
          <w:sz w:val="19"/>
          <w:szCs w:val="19"/>
          <w:u w:val="single" w:color="auto"/>
          <w:color w:val="auto"/>
        </w:rPr>
        <w:t>Section 2.11(f)</w:t>
      </w:r>
      <w:r>
        <w:rPr>
          <w:rFonts w:ascii="Arial" w:cs="Arial" w:eastAsia="Arial" w:hAnsi="Arial"/>
          <w:sz w:val="19"/>
          <w:szCs w:val="19"/>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otherwise, and including any amounts made available to the Administrative Agent by that Defaulting Lender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in the case of a Revolving Lender, to the payment on a pro rata basis of any amounts owing by that Defaulting Lender to each Issuing Bank;</w:t>
      </w:r>
    </w:p>
    <w:p>
      <w:pPr>
        <w:sectPr>
          <w:pgSz w:w="11900" w:h="16838" w:orient="portrait"/>
          <w:cols w:equalWidth="0" w:num="1">
            <w:col w:w="11240"/>
          </w:cols>
          <w:pgMar w:left="320" w:top="1395" w:right="339" w:bottom="1440" w:gutter="0" w:footer="0" w:header="0"/>
        </w:sectPr>
      </w:pPr>
    </w:p>
    <w:bookmarkStart w:id="187" w:name="page188"/>
    <w:bookmarkEnd w:id="187"/>
    <w:p>
      <w:pPr>
        <w:jc w:val="both"/>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in the case of a Revolving Lender,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payment of any amounts owing to the Lenders, the Issuing Banks as a result of any judgment of a court of competent jurisdiction obtained by any Lender, such Issuing Bank against that Defaulting Lender as a result of that Defaulting Lender’s breach of its obligations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payment is a payment of the principal amount of any Loans or LC Disbursements and such Lender is a Defaulting Lender under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the definition thereof, such payment shall be applied solely to pay the relevant Loans of, and LC Disbursements owed to, the relevant non-Defaulting Lenders on a pro rata basis prior to being applied pursuant to </w:t>
      </w:r>
      <w:r>
        <w:rPr>
          <w:rFonts w:ascii="Arial" w:cs="Arial" w:eastAsia="Arial" w:hAnsi="Arial"/>
          <w:sz w:val="18"/>
          <w:szCs w:val="18"/>
          <w:u w:val="single" w:color="auto"/>
          <w:color w:val="auto"/>
        </w:rPr>
        <w:t>Section 2.05(j)</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2.22(a)(ii)</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w:t>
      </w:r>
      <w:r>
        <w:rPr>
          <w:rFonts w:ascii="Arial" w:cs="Arial" w:eastAsia="Arial" w:hAnsi="Arial"/>
          <w:sz w:val="18"/>
          <w:szCs w:val="18"/>
          <w:u w:val="single" w:color="auto"/>
          <w:color w:val="auto"/>
        </w:rPr>
        <w:t>Section 2.05(j)</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73" w:lineRule="exact"/>
        <w:rPr>
          <w:sz w:val="20"/>
          <w:szCs w:val="20"/>
          <w:color w:val="auto"/>
        </w:rPr>
      </w:pPr>
    </w:p>
    <w:p>
      <w:pPr>
        <w:jc w:val="both"/>
        <w:ind w:firstLine="1272"/>
        <w:spacing w:after="0" w:line="257" w:lineRule="auto"/>
        <w:tabs>
          <w:tab w:leader="none" w:pos="1863"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That Defaulting Lender (x) shall not be entitled to receive or accrue any commitment fee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9"/>
          <w:szCs w:val="19"/>
          <w:u w:val="single" w:color="auto"/>
          <w:color w:val="auto"/>
        </w:rPr>
        <w:t>Section 2.12(b)</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1272"/>
        <w:spacing w:after="0" w:line="287" w:lineRule="auto"/>
        <w:tabs>
          <w:tab w:leader="none" w:pos="1773"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the payments of participation fees pursuant to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the “Applicable Percentage” of each non-Defaulting Lender shall be computed without giving effect to the Revolving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obligation of each non-Defaulting Lender to acquire, refinance or fund participations in Letters of Credit shall not exceed the positive difference, if any, of (1) the Revolving Commitment of that non-Defaulting Lender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the aggregate principal amount of the Revolving Loans of that non-Defaulting Lender.</w:t>
      </w:r>
    </w:p>
    <w:p>
      <w:pPr>
        <w:spacing w:after="0" w:line="152" w:lineRule="exact"/>
        <w:rPr>
          <w:rFonts w:ascii="Arial" w:cs="Arial" w:eastAsia="Arial" w:hAnsi="Arial"/>
          <w:sz w:val="17"/>
          <w:szCs w:val="17"/>
          <w:color w:val="auto"/>
        </w:rPr>
      </w:pPr>
    </w:p>
    <w:p>
      <w:pPr>
        <w:jc w:val="both"/>
        <w:ind w:firstLine="1272"/>
        <w:spacing w:after="0" w:line="284" w:lineRule="auto"/>
        <w:tabs>
          <w:tab w:leader="none" w:pos="1692"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If the reallocation described in clause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cannot, or can only partially, be effected, the Borrower shall, without prejudice to any right or remedy available to it hereunder or under law, cash collateralize the Applicable Fronting Exposure of each Issuing Bank in accordance with the procedures set forth in </w:t>
      </w:r>
      <w:r>
        <w:rPr>
          <w:rFonts w:ascii="Arial" w:cs="Arial" w:eastAsia="Arial" w:hAnsi="Arial"/>
          <w:sz w:val="18"/>
          <w:szCs w:val="18"/>
          <w:u w:val="single" w:color="auto"/>
          <w:color w:val="auto"/>
        </w:rPr>
        <w:t>Section 2.05(j)</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jc w:val="both"/>
        <w:ind w:left="-960" w:firstLine="1278"/>
        <w:spacing w:after="0" w:line="263" w:lineRule="auto"/>
        <w:tabs>
          <w:tab w:leader="none" w:pos="772"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If the Borrower, the Administrative Agent and each Issuing Bank agree in writing in their sole discretion that a Defaulting Lender should no longer be deemed to be a Defaulting Lender, the Administrative Agent will so notify the parties hereto, whereupon</w:t>
      </w:r>
    </w:p>
    <w:p>
      <w:pPr>
        <w:sectPr>
          <w:pgSz w:w="11900" w:h="16838" w:orient="portrait"/>
          <w:cols w:equalWidth="0" w:num="1">
            <w:col w:w="10280"/>
          </w:cols>
          <w:pgMar w:left="1280" w:top="1395" w:right="339" w:bottom="1440" w:gutter="0" w:footer="0" w:header="0"/>
        </w:sectPr>
      </w:pPr>
    </w:p>
    <w:bookmarkStart w:id="188" w:name="page189"/>
    <w:bookmarkEnd w:id="188"/>
    <w:p>
      <w:pPr>
        <w:jc w:val="both"/>
        <w:spacing w:after="0" w:line="281" w:lineRule="auto"/>
        <w:rPr>
          <w:sz w:val="20"/>
          <w:szCs w:val="20"/>
          <w:color w:val="auto"/>
        </w:rPr>
      </w:pPr>
      <w:r>
        <w:rPr>
          <w:rFonts w:ascii="Arial" w:cs="Arial" w:eastAsia="Arial" w:hAnsi="Arial"/>
          <w:sz w:val="17"/>
          <w:szCs w:val="17"/>
          <w:color w:val="auto"/>
        </w:rPr>
        <w:t xml:space="preserve">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Percentages (without giving effect to </w:t>
      </w:r>
      <w:r>
        <w:rPr>
          <w:rFonts w:ascii="Arial" w:cs="Arial" w:eastAsia="Arial" w:hAnsi="Arial"/>
          <w:sz w:val="17"/>
          <w:szCs w:val="17"/>
          <w:u w:val="single" w:color="auto"/>
          <w:color w:val="auto"/>
        </w:rPr>
        <w:t>Section 2.22(a)</w:t>
      </w:r>
    </w:p>
    <w:p>
      <w:pPr>
        <w:spacing w:after="0" w:line="2" w:lineRule="exact"/>
        <w:rPr>
          <w:sz w:val="20"/>
          <w:szCs w:val="20"/>
          <w:color w:val="auto"/>
        </w:rPr>
      </w:pPr>
    </w:p>
    <w:p>
      <w:pPr>
        <w:jc w:val="both"/>
        <w:ind w:firstLine="6"/>
        <w:spacing w:after="0" w:line="291" w:lineRule="auto"/>
        <w:tabs>
          <w:tab w:leader="none" w:pos="336" w:val="left"/>
        </w:tabs>
        <w:numPr>
          <w:ilvl w:val="0"/>
          <w:numId w:val="168"/>
        </w:numPr>
        <w:rPr>
          <w:rFonts w:ascii="Arial" w:cs="Arial" w:eastAsia="Arial" w:hAnsi="Arial"/>
          <w:sz w:val="17"/>
          <w:szCs w:val="17"/>
          <w:u w:val="single" w:color="auto"/>
          <w:color w:val="auto"/>
        </w:rPr>
      </w:pPr>
      <w:r>
        <w:rPr>
          <w:rFonts w:ascii="Arial" w:cs="Arial" w:eastAsia="Arial" w:hAnsi="Arial"/>
          <w:sz w:val="17"/>
          <w:szCs w:val="17"/>
          <w:color w:val="auto"/>
        </w:rPr>
        <w:t xml:space="preserve">or the proviso to the definition thereof), whereupon that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4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2.23</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19" w:lineRule="exact"/>
        <w:rPr>
          <w:sz w:val="20"/>
          <w:szCs w:val="20"/>
          <w:color w:val="auto"/>
        </w:rPr>
      </w:pPr>
    </w:p>
    <w:p>
      <w:pPr>
        <w:jc w:val="both"/>
        <w:ind w:firstLine="1272"/>
        <w:spacing w:after="0" w:line="280" w:lineRule="auto"/>
        <w:rPr>
          <w:sz w:val="20"/>
          <w:szCs w:val="20"/>
          <w:color w:val="auto"/>
        </w:rPr>
      </w:pPr>
      <w:r>
        <w:rPr>
          <w:rFonts w:ascii="Arial" w:cs="Arial" w:eastAsia="Arial" w:hAnsi="Arial"/>
          <w:sz w:val="17"/>
          <w:szCs w:val="17"/>
          <w:color w:val="auto"/>
        </w:rPr>
        <w:t>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(i) any obligation of such Lender to make or continue Eurodollar Loans denominated in dollars or to convert ABR Loans denominated in dollars to Eurodollar Loans shall be suspended, and (ii)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such Lender notifies the Administrative Agent and the Borrower that the circumstances giving rise to such determination no longer exist. Upon receipt of such notice, (x) the Borrower shall, upon three (3) Business Days’ notice from such Lender (with a copy to the Administrative Agent), prepay or, if applicable, convert all Eurodollar Loans denominated in dollars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384"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2.24</w:t>
      </w:r>
      <w:r>
        <w:rPr>
          <w:sz w:val="20"/>
          <w:szCs w:val="20"/>
          <w:color w:val="auto"/>
        </w:rPr>
        <w:tab/>
      </w:r>
      <w:r>
        <w:rPr>
          <w:rFonts w:ascii="Arial" w:cs="Arial" w:eastAsia="Arial" w:hAnsi="Arial"/>
          <w:sz w:val="18"/>
          <w:szCs w:val="18"/>
          <w:u w:val="single" w:color="auto"/>
          <w:color w:val="auto"/>
        </w:rPr>
        <w:t>Loan Modification Offers</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263" w:lineRule="auto"/>
        <w:tabs>
          <w:tab w:leader="none" w:pos="169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At any time after the Effective Date, the Borrower may on one or more occasions, by written notice to the Administrative Agent, make one or more offers (each, a “</w:t>
      </w:r>
      <w:r>
        <w:rPr>
          <w:rFonts w:ascii="Arial" w:cs="Arial" w:eastAsia="Arial" w:hAnsi="Arial"/>
          <w:sz w:val="19"/>
          <w:szCs w:val="19"/>
          <w:u w:val="single" w:color="auto"/>
          <w:color w:val="auto"/>
        </w:rPr>
        <w:t>Loan Modification Offer</w:t>
      </w:r>
      <w:r>
        <w:rPr>
          <w:rFonts w:ascii="Arial" w:cs="Arial" w:eastAsia="Arial" w:hAnsi="Arial"/>
          <w:sz w:val="19"/>
          <w:szCs w:val="19"/>
          <w:color w:val="auto"/>
        </w:rPr>
        <w:t>”) to all the Lenders of one or more Classes (each Class subject to such a Loan</w:t>
      </w:r>
    </w:p>
    <w:p>
      <w:pPr>
        <w:sectPr>
          <w:pgSz w:w="11900" w:h="16838" w:orient="portrait"/>
          <w:cols w:equalWidth="0" w:num="1">
            <w:col w:w="11240"/>
          </w:cols>
          <w:pgMar w:left="320" w:top="1395" w:right="339" w:bottom="1440" w:gutter="0" w:footer="0" w:header="0"/>
        </w:sectPr>
      </w:pPr>
    </w:p>
    <w:bookmarkStart w:id="189" w:name="page190"/>
    <w:bookmarkEnd w:id="189"/>
    <w:p>
      <w:pPr>
        <w:jc w:val="both"/>
        <w:spacing w:after="0" w:line="268" w:lineRule="auto"/>
        <w:rPr>
          <w:sz w:val="20"/>
          <w:szCs w:val="20"/>
          <w:color w:val="auto"/>
        </w:rPr>
      </w:pPr>
      <w:r>
        <w:rPr>
          <w:rFonts w:ascii="Arial" w:cs="Arial" w:eastAsia="Arial" w:hAnsi="Arial"/>
          <w:sz w:val="18"/>
          <w:szCs w:val="18"/>
          <w:color w:val="auto"/>
        </w:rPr>
        <w:t>Modification Offer, an “</w:t>
      </w:r>
      <w:r>
        <w:rPr>
          <w:rFonts w:ascii="Arial" w:cs="Arial" w:eastAsia="Arial" w:hAnsi="Arial"/>
          <w:sz w:val="18"/>
          <w:szCs w:val="18"/>
          <w:u w:val="single" w:color="auto"/>
          <w:color w:val="auto"/>
        </w:rPr>
        <w:t>Affected Class</w:t>
      </w:r>
      <w:r>
        <w:rPr>
          <w:rFonts w:ascii="Arial" w:cs="Arial" w:eastAsia="Arial" w:hAnsi="Arial"/>
          <w:sz w:val="18"/>
          <w:szCs w:val="18"/>
          <w:color w:val="auto"/>
        </w:rPr>
        <w:t>”) to effect one or more Permitted Amendments relating to such Affected Class pursuant to procedures reasonably specified by the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Arial" w:cs="Arial" w:eastAsia="Arial" w:hAnsi="Arial"/>
          <w:sz w:val="18"/>
          <w:szCs w:val="18"/>
          <w:u w:val="single" w:color="auto"/>
          <w:color w:val="auto"/>
        </w:rPr>
        <w:t>Accepting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and, in the case of any Accepting Lender, only with respect to such Lender’s Loans and Commitments of such Affected Class as to which such Lender’s acceptance has been made.</w:t>
      </w:r>
    </w:p>
    <w:p>
      <w:pPr>
        <w:spacing w:after="0" w:line="171" w:lineRule="exact"/>
        <w:rPr>
          <w:sz w:val="20"/>
          <w:szCs w:val="20"/>
          <w:color w:val="auto"/>
        </w:rPr>
      </w:pPr>
    </w:p>
    <w:p>
      <w:pPr>
        <w:jc w:val="both"/>
        <w:ind w:firstLine="1278"/>
        <w:spacing w:after="0" w:line="251" w:lineRule="auto"/>
        <w:tabs>
          <w:tab w:leader="none" w:pos="183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A Permitted Amendment shall be effected pursuant to a Loan Modification Agreement executed and delivered by Holdings, the Borrower, each applicable Accepting Lender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Permitted Amendment shall become effective unless Holdings and the Borrower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Arial" w:cs="Arial" w:eastAsia="Arial" w:hAnsi="Arial"/>
          <w:sz w:val="19"/>
          <w:szCs w:val="19"/>
          <w:u w:val="single" w:color="auto"/>
          <w:color w:val="auto"/>
        </w:rPr>
        <w:t>Section 2.24</w:t>
      </w:r>
      <w:r>
        <w:rPr>
          <w:rFonts w:ascii="Arial" w:cs="Arial" w:eastAsia="Arial" w:hAnsi="Arial"/>
          <w:sz w:val="19"/>
          <w:szCs w:val="19"/>
          <w:color w:val="auto"/>
        </w:rPr>
        <w:t>, including any amendments necessary to treat the applicable Loans and/or Commitments of the Accepting Lenders as a new “Class” of loans and/or commitments hereunder.</w:t>
      </w:r>
    </w:p>
    <w:p>
      <w:pPr>
        <w:spacing w:after="0" w:line="182" w:lineRule="exact"/>
        <w:rPr>
          <w:rFonts w:ascii="Arial" w:cs="Arial" w:eastAsia="Arial" w:hAnsi="Arial"/>
          <w:sz w:val="19"/>
          <w:szCs w:val="19"/>
          <w:color w:val="auto"/>
        </w:rPr>
      </w:pPr>
    </w:p>
    <w:p>
      <w:pPr>
        <w:jc w:val="both"/>
        <w:ind w:firstLine="1278"/>
        <w:spacing w:after="0" w:line="264" w:lineRule="auto"/>
        <w:tabs>
          <w:tab w:leader="none" w:pos="17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8"/>
          <w:szCs w:val="18"/>
          <w:u w:val="single" w:color="auto"/>
          <w:color w:val="auto"/>
        </w:rPr>
        <w:t>Non-Accepting Lender</w:t>
      </w:r>
      <w:r>
        <w:rPr>
          <w:rFonts w:ascii="Arial" w:cs="Arial" w:eastAsia="Arial" w:hAnsi="Arial"/>
          <w:sz w:val="18"/>
          <w:szCs w:val="18"/>
          <w:color w:val="auto"/>
        </w:rPr>
        <w:t xml:space="preserve">”) then after receipt of consents from Lenders constituting the Required Lenders hereunder, the Borrower may, on notice to the Administrative Agent and the Non-Accepting Lender, (i) replace such Non-Accepting Lender in whole or in part by causing such Lender to (and such Lender shall be obligated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all or any part of its interests, rights and obligations under this Agreement in respect of the Loans and Commitments of the Affected Class to one or more Eligible Assignees (which Eligible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obligation to the Borrower to find a replacement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w:t>
      </w:r>
      <w:r>
        <w:rPr>
          <w:rFonts w:ascii="Arial" w:cs="Arial" w:eastAsia="Arial" w:hAnsi="Arial"/>
          <w:sz w:val="18"/>
          <w:szCs w:val="18"/>
          <w:u w:val="single" w:color="auto"/>
          <w:color w:val="auto"/>
        </w:rPr>
        <w:t>Section 2.24(c)</w:t>
      </w:r>
      <w:r>
        <w:rPr>
          <w:rFonts w:ascii="Arial" w:cs="Arial" w:eastAsia="Arial" w:hAnsi="Arial"/>
          <w:sz w:val="18"/>
          <w:szCs w:val="18"/>
          <w:color w:val="auto"/>
        </w:rPr>
        <w:t xml:space="preserve">, accrued interest thereon, accrued fees and all other amounts (including any amounts under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payable to it hereunder from the Eligible Assignee (to the extent of such outstanding principal and accrued interest and fees) and (c) unless waived, the Borrower or such Eligible Assignee shall have paid to the Administrative Agent the processing and recordation fee specified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left="1720" w:hanging="442"/>
        <w:spacing w:after="0"/>
        <w:tabs>
          <w:tab w:leader="none" w:pos="17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to the contrary.</w:t>
      </w:r>
    </w:p>
    <w:p>
      <w:pPr>
        <w:sectPr>
          <w:pgSz w:w="11900" w:h="16838" w:orient="portrait"/>
          <w:cols w:equalWidth="0" w:num="1">
            <w:col w:w="11240"/>
          </w:cols>
          <w:pgMar w:left="320" w:top="1395" w:right="339" w:bottom="1440" w:gutter="0" w:footer="0" w:header="0"/>
        </w:sectPr>
      </w:pPr>
    </w:p>
    <w:bookmarkStart w:id="190" w:name="page191"/>
    <w:bookmarkEnd w:id="190"/>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REPRESENTATIONS AND WARRANTIES</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Each of the Borrower and Holdings represents and warrants to the Lenders and each Agent that:</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3.01</w:t>
      </w:r>
      <w:r>
        <w:rPr>
          <w:sz w:val="20"/>
          <w:szCs w:val="20"/>
          <w:color w:val="auto"/>
        </w:rPr>
        <w:tab/>
      </w:r>
      <w:r>
        <w:rPr>
          <w:rFonts w:ascii="Arial" w:cs="Arial" w:eastAsia="Arial" w:hAnsi="Arial"/>
          <w:sz w:val="17"/>
          <w:szCs w:val="17"/>
          <w:u w:val="single" w:color="auto"/>
          <w:color w:val="auto"/>
        </w:rPr>
        <w:t>Organization; Powers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 xml:space="preserve">Each of Holdings, the Borrower and its Restricted Subsidiaries is (a) duly organized or incorporated, validly existing and in good standing (to the extent such concept exists in the relevant jurisdictions) under the laws of the jurisdiction of its organization or incorporation, (b) has the corporate or other organizational power and authority to carry on its business as now conducted and to execute, deliver and perform its obligations under each Loan Document to which it is a party and (c) is qualified to do business in, and is in good standing (to the extent such concept exists in the relevant jurisdictions) in, every jurisdiction where such qualification is required, except in the case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(other than with respect to Holdings and the Borrower),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(other than with respect to Holdings and the Borrower) and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where the failure to do so, individually or in the aggregate, would not reasonably be expected to result in a Material Adverse Effect.</w:t>
      </w:r>
    </w:p>
    <w:p>
      <w:pPr>
        <w:spacing w:after="0" w:line="18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3.02</w:t>
      </w:r>
      <w:r>
        <w:rPr>
          <w:sz w:val="20"/>
          <w:szCs w:val="20"/>
          <w:color w:val="auto"/>
        </w:rPr>
        <w:tab/>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68" w:lineRule="auto"/>
        <w:rPr>
          <w:sz w:val="20"/>
          <w:szCs w:val="20"/>
          <w:color w:val="auto"/>
        </w:rPr>
      </w:pPr>
      <w:r>
        <w:rPr>
          <w:rFonts w:ascii="Arial" w:cs="Arial" w:eastAsia="Arial" w:hAnsi="Arial"/>
          <w:sz w:val="18"/>
          <w:szCs w:val="18"/>
          <w:color w:val="auto"/>
        </w:rPr>
        <w:t>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(i) applicable bankruptcy, insolvency, reorganization, moratorium or other laws affecting creditors’ rights generally, (ii) general principles of equity, regardless of whether considered in a proceeding in equity or at law, and similar concepts under applicable law, (iii) any other matters which are set out as qualifications or reservations as to matters of law or general application in any legal opinion delivered to an Agent in connection with any Loan Document (together, the “</w:t>
      </w:r>
      <w:r>
        <w:rPr>
          <w:rFonts w:ascii="Arial" w:cs="Arial" w:eastAsia="Arial" w:hAnsi="Arial"/>
          <w:sz w:val="18"/>
          <w:szCs w:val="18"/>
          <w:u w:val="single" w:color="auto"/>
          <w:color w:val="auto"/>
        </w:rPr>
        <w:t>Legal Reservations</w:t>
      </w:r>
      <w:r>
        <w:rPr>
          <w:rFonts w:ascii="Arial" w:cs="Arial" w:eastAsia="Arial" w:hAnsi="Arial"/>
          <w:sz w:val="18"/>
          <w:szCs w:val="18"/>
          <w:color w:val="auto"/>
        </w:rPr>
        <w:t>”) and (iv) the Perfection Requirements.</w:t>
      </w:r>
    </w:p>
    <w:p>
      <w:pPr>
        <w:spacing w:after="0" w:line="17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3.03</w:t>
      </w:r>
      <w:r>
        <w:rPr>
          <w:sz w:val="20"/>
          <w:szCs w:val="20"/>
          <w:color w:val="auto"/>
        </w:rPr>
        <w:tab/>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3.03</w:t>
      </w:r>
      <w:r>
        <w:rPr>
          <w:rFonts w:ascii="Arial" w:cs="Arial" w:eastAsia="Arial" w:hAnsi="Arial"/>
          <w:sz w:val="18"/>
          <w:szCs w:val="18"/>
          <w:color w:val="auto"/>
        </w:rPr>
        <w:t xml:space="preserve"> and subject to the Legal Reservations and the Perfection Requirements, the execution, delivery and performance by any Loan Party of this Agreement or any other Loan Document (a) does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Holdings, the Borrower or any other Loan Party, or (ii) any Requirements of Law applicable to Holdings, the Borrower or any other Loan Party, (c)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or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except (in the case of each of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78" w:lineRule="auto"/>
        <w:rPr>
          <w:sz w:val="20"/>
          <w:szCs w:val="20"/>
          <w:color w:val="auto"/>
        </w:rPr>
      </w:pPr>
      <w:r>
        <w:rPr>
          <w:rFonts w:ascii="Arial" w:cs="Arial" w:eastAsia="Arial" w:hAnsi="Arial"/>
          <w:sz w:val="19"/>
          <w:szCs w:val="19"/>
          <w:color w:val="auto"/>
        </w:rPr>
        <w:t>the failure to obtain or make such consent, approval, registration, filing or action, or such violation, default or right, or imposition of Lien, as the case may be, individually or in the aggregate, would not reasonably be expected to have a Material Adverse Effect.</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3.04</w:t>
      </w:r>
      <w:r>
        <w:rPr>
          <w:sz w:val="20"/>
          <w:szCs w:val="20"/>
          <w:color w:val="auto"/>
        </w:rPr>
        <w:tab/>
      </w:r>
      <w:r>
        <w:rPr>
          <w:rFonts w:ascii="Arial" w:cs="Arial" w:eastAsia="Arial" w:hAnsi="Arial"/>
          <w:sz w:val="18"/>
          <w:szCs w:val="18"/>
          <w:u w:val="single" w:color="auto"/>
          <w:color w:val="auto"/>
        </w:rPr>
        <w:t>Financial Condition; No Material Adverse Effect</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255" w:lineRule="auto"/>
        <w:tabs>
          <w:tab w:leader="none" w:pos="169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including the notes thereto and (ii) fairly present in all material respects the financial condition of Holdings, the Borrower and its subsidiaries as of the respective dates thereof and their results of operations for the period covered thereby in accordance with GAAP consistently applied throughout the period covered thereby, except as otherwise expressly noted therein, including the notes thereto.</w:t>
      </w:r>
    </w:p>
    <w:p>
      <w:pPr>
        <w:spacing w:after="0" w:line="177" w:lineRule="exact"/>
        <w:rPr>
          <w:rFonts w:ascii="Arial" w:cs="Arial" w:eastAsia="Arial" w:hAnsi="Arial"/>
          <w:sz w:val="19"/>
          <w:szCs w:val="19"/>
          <w:color w:val="auto"/>
        </w:rPr>
      </w:pPr>
    </w:p>
    <w:p>
      <w:pPr>
        <w:jc w:val="both"/>
        <w:ind w:firstLine="1278"/>
        <w:spacing w:after="0" w:line="276" w:lineRule="auto"/>
        <w:tabs>
          <w:tab w:leader="none" w:pos="178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Unaudited Financial Statements (i) were prepared in accordance with GAAP consistently applied throughout the period covered thereby, except as otherwise expressly noted therein, and (ii) fairly present in all material respects the financial condition of Holdings, the Borrower and its subsidiaries as of the respective dates thereof and their results of operations for the period covered thereby, subject, in the case of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to the absence of footnotes and to normal year-end audit adjustments.</w:t>
      </w:r>
    </w:p>
    <w:p>
      <w:pPr>
        <w:spacing w:after="0" w:line="160" w:lineRule="exact"/>
        <w:rPr>
          <w:rFonts w:ascii="Arial" w:cs="Arial" w:eastAsia="Arial" w:hAnsi="Arial"/>
          <w:sz w:val="18"/>
          <w:szCs w:val="18"/>
          <w:color w:val="auto"/>
        </w:rPr>
      </w:pPr>
    </w:p>
    <w:p>
      <w:pPr>
        <w:ind w:left="1680" w:hanging="402"/>
        <w:spacing w:after="0"/>
        <w:tabs>
          <w:tab w:leader="none" w:pos="168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Since December 31, 2020, there has been no Material Adverse Effect.</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3.05</w:t>
      </w:r>
      <w:r>
        <w:rPr>
          <w:sz w:val="20"/>
          <w:szCs w:val="20"/>
          <w:color w:val="auto"/>
        </w:rPr>
        <w:tab/>
      </w:r>
      <w:r>
        <w:rPr>
          <w:rFonts w:ascii="Arial" w:cs="Arial" w:eastAsia="Arial" w:hAnsi="Arial"/>
          <w:sz w:val="17"/>
          <w:szCs w:val="17"/>
          <w:u w:val="single" w:color="auto"/>
          <w:color w:val="auto"/>
        </w:rPr>
        <w:t>Properties; Insurance</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 xml:space="preserve">Each of Holdings, the Borrower and its Restricted Subsidiaries has good title to, or valid interests in, all its real and personal property material to its business, if any (i) free and clear of all Liens except for Liens permitted or not prohibited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and (ii) except for minor defects in title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 The Borrower and each Restricted Subsidiary are maintaining insurance policies as required by </w:t>
      </w:r>
      <w:r>
        <w:rPr>
          <w:rFonts w:ascii="Arial" w:cs="Arial" w:eastAsia="Arial" w:hAnsi="Arial"/>
          <w:sz w:val="19"/>
          <w:szCs w:val="19"/>
          <w:u w:val="single" w:color="auto"/>
          <w:color w:val="auto"/>
        </w:rPr>
        <w:t>Section 5.07</w:t>
      </w:r>
      <w:r>
        <w:rPr>
          <w:rFonts w:ascii="Arial" w:cs="Arial" w:eastAsia="Arial" w:hAnsi="Arial"/>
          <w:sz w:val="19"/>
          <w:szCs w:val="19"/>
          <w:color w:val="auto"/>
        </w:rPr>
        <w:t>.</w:t>
      </w:r>
    </w:p>
    <w:p>
      <w:pPr>
        <w:spacing w:after="0" w:line="18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3.06</w:t>
      </w:r>
      <w:r>
        <w:rPr>
          <w:sz w:val="20"/>
          <w:szCs w:val="20"/>
          <w:color w:val="auto"/>
        </w:rPr>
        <w:tab/>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308" w:lineRule="auto"/>
        <w:tabs>
          <w:tab w:leader="none" w:pos="168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3.06</w:t>
      </w:r>
      <w:r>
        <w:rPr>
          <w:rFonts w:ascii="Arial" w:cs="Arial" w:eastAsia="Arial" w:hAnsi="Arial"/>
          <w:sz w:val="17"/>
          <w:szCs w:val="17"/>
          <w:color w:val="auto"/>
        </w:rPr>
        <w:t>, there are no actions, suits or proceedings by or before any arbitrator or Governmental Authority pending against or, to the knowledge of the Borrower, threatened in writing against or affecting Holdings, the Borrower or any Restricted Subsidiary that could reasonably be expected, individually or in the aggregate, to result in a Material Adverse Effect.</w:t>
      </w:r>
    </w:p>
    <w:p>
      <w:pPr>
        <w:spacing w:after="0" w:line="135" w:lineRule="exact"/>
        <w:rPr>
          <w:rFonts w:ascii="Arial" w:cs="Arial" w:eastAsia="Arial" w:hAnsi="Arial"/>
          <w:sz w:val="17"/>
          <w:szCs w:val="17"/>
          <w:color w:val="auto"/>
        </w:rPr>
      </w:pPr>
    </w:p>
    <w:p>
      <w:pPr>
        <w:jc w:val="both"/>
        <w:ind w:firstLine="1278"/>
        <w:spacing w:after="0" w:line="270" w:lineRule="auto"/>
        <w:tabs>
          <w:tab w:leader="none" w:pos="17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3.06</w:t>
      </w:r>
      <w:r>
        <w:rPr>
          <w:rFonts w:ascii="Arial" w:cs="Arial" w:eastAsia="Arial" w:hAnsi="Arial"/>
          <w:sz w:val="18"/>
          <w:szCs w:val="18"/>
          <w:color w:val="auto"/>
        </w:rPr>
        <w:t>, and except with respect to any other matters that, individually or in the aggregate, would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the Borrower, become subject to any Environmental Liability, (iii) has received written notice of any claim with respect to any Environmental Liability or (iv) has, to the knowledge of the Borrower, any basis to reasonably expect that Holdings, the Borrower or any Restricted Subsidiary will become subject to any Environmental Liability.</w:t>
      </w:r>
    </w:p>
    <w:p>
      <w:pPr>
        <w:sectPr>
          <w:pgSz w:w="11900" w:h="16838" w:orient="portrait"/>
          <w:cols w:equalWidth="0" w:num="1">
            <w:col w:w="11240"/>
          </w:cols>
          <w:pgMar w:left="320" w:top="1395" w:right="339" w:bottom="1440" w:gutter="0" w:footer="0" w:header="0"/>
        </w:sectPr>
      </w:pPr>
    </w:p>
    <w:bookmarkStart w:id="192" w:name="page193"/>
    <w:bookmarkEnd w:id="192"/>
    <w:p>
      <w:pPr>
        <w:ind w:left="1280"/>
        <w:spacing w:after="0"/>
        <w:tabs>
          <w:tab w:leader="none" w:pos="2660" w:val="left"/>
        </w:tabs>
        <w:rPr>
          <w:sz w:val="20"/>
          <w:szCs w:val="20"/>
          <w:color w:val="auto"/>
        </w:rPr>
      </w:pPr>
      <w:r>
        <w:rPr>
          <w:rFonts w:ascii="Arial" w:cs="Arial" w:eastAsia="Arial" w:hAnsi="Arial"/>
          <w:sz w:val="19"/>
          <w:szCs w:val="19"/>
          <w:color w:val="auto"/>
        </w:rPr>
        <w:t>SECTION 3.07</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Each of Holdings, the Borrower and its Restricted Subsidiaries is in compliance with all Requirements of Law applicable to it or its property, except where the failure to do so, individually or in the aggregate, would not reasonably be expected to result in a Material Adverse Effect.</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3.08</w:t>
      </w:r>
      <w:r>
        <w:rPr>
          <w:sz w:val="20"/>
          <w:szCs w:val="20"/>
          <w:color w:val="auto"/>
        </w:rPr>
        <w:tab/>
      </w:r>
      <w:r>
        <w:rPr>
          <w:rFonts w:ascii="Arial" w:cs="Arial" w:eastAsia="Arial" w:hAnsi="Arial"/>
          <w:sz w:val="17"/>
          <w:szCs w:val="17"/>
          <w:u w:val="single" w:color="auto"/>
          <w:color w:val="auto"/>
        </w:rPr>
        <w:t>Investment Company Status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None of the Loan Parties is required to register as an “investment company” under the Investment Company Act of 1940, as amended from time to time.</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3.09</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9" w:lineRule="exact"/>
        <w:rPr>
          <w:sz w:val="20"/>
          <w:szCs w:val="20"/>
          <w:color w:val="auto"/>
        </w:rPr>
      </w:pPr>
    </w:p>
    <w:p>
      <w:pPr>
        <w:jc w:val="both"/>
        <w:ind w:firstLine="1272"/>
        <w:spacing w:after="0" w:line="286" w:lineRule="auto"/>
        <w:rPr>
          <w:sz w:val="20"/>
          <w:szCs w:val="20"/>
          <w:color w:val="auto"/>
        </w:rPr>
      </w:pPr>
      <w:r>
        <w:rPr>
          <w:rFonts w:ascii="Arial" w:cs="Arial" w:eastAsia="Arial" w:hAnsi="Arial"/>
          <w:sz w:val="17"/>
          <w:szCs w:val="17"/>
          <w:color w:val="auto"/>
        </w:rPr>
        <w:t>Except as would not, individually or in the aggregate, reasonably be expected to have a Material Adverse Effect, Holdings, the Borrower and each Restricted Subsidiary (a) have timely filed or caused to be filed all Tax returns and reports required to have been filed and</w:t>
      </w:r>
    </w:p>
    <w:p>
      <w:pPr>
        <w:spacing w:after="0" w:line="1" w:lineRule="exact"/>
        <w:rPr>
          <w:sz w:val="20"/>
          <w:szCs w:val="20"/>
          <w:color w:val="auto"/>
        </w:rPr>
      </w:pPr>
    </w:p>
    <w:p>
      <w:pPr>
        <w:jc w:val="both"/>
        <w:ind w:firstLine="6"/>
        <w:spacing w:after="0" w:line="268" w:lineRule="auto"/>
        <w:tabs>
          <w:tab w:leader="none" w:pos="29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the Borrower or such Subsidiary, as the case may be, has set aside on its books adequate reserves therefor in accordance with GAAP. There is no proposed Tax assessment, deficiency or other claim against Holdings, the Borrower or any Restricted Subsidiary that would reasonably be expected to, individually or in the aggregate, have a Material Adverse Effect.</w:t>
      </w:r>
    </w:p>
    <w:p>
      <w:pPr>
        <w:spacing w:after="0" w:line="16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3.10</w:t>
      </w:r>
      <w:r>
        <w:rPr>
          <w:sz w:val="20"/>
          <w:szCs w:val="20"/>
          <w:color w:val="auto"/>
        </w:rPr>
        <w:tab/>
      </w:r>
      <w:r>
        <w:rPr>
          <w:rFonts w:ascii="Arial" w:cs="Arial" w:eastAsia="Arial" w:hAnsi="Arial"/>
          <w:sz w:val="18"/>
          <w:szCs w:val="18"/>
          <w:u w:val="single" w:color="auto"/>
          <w:color w:val="auto"/>
        </w:rPr>
        <w:t>ERISA; Labor Matters</w:t>
      </w:r>
      <w:r>
        <w:rPr>
          <w:rFonts w:ascii="Arial" w:cs="Arial" w:eastAsia="Arial" w:hAnsi="Arial"/>
          <w:sz w:val="18"/>
          <w:szCs w:val="18"/>
          <w:color w:val="auto"/>
        </w:rPr>
        <w:t>.</w:t>
      </w:r>
    </w:p>
    <w:p>
      <w:pPr>
        <w:spacing w:after="0" w:line="219" w:lineRule="exact"/>
        <w:rPr>
          <w:sz w:val="20"/>
          <w:szCs w:val="20"/>
          <w:color w:val="auto"/>
        </w:rPr>
      </w:pPr>
    </w:p>
    <w:p>
      <w:pPr>
        <w:ind w:firstLine="1278"/>
        <w:spacing w:after="0" w:line="278" w:lineRule="auto"/>
        <w:tabs>
          <w:tab w:leader="none" w:pos="170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reasonably be expected to result in a Material Adverse Effect, each Plan is in compliance with the applicable provisions of ERISA, the Code and other federal or state laws.</w:t>
      </w:r>
    </w:p>
    <w:p>
      <w:pPr>
        <w:spacing w:after="0" w:line="156" w:lineRule="exact"/>
        <w:rPr>
          <w:rFonts w:ascii="Arial" w:cs="Arial" w:eastAsia="Arial" w:hAnsi="Arial"/>
          <w:sz w:val="19"/>
          <w:szCs w:val="19"/>
          <w:color w:val="auto"/>
        </w:rPr>
      </w:pPr>
    </w:p>
    <w:p>
      <w:pPr>
        <w:jc w:val="both"/>
        <w:ind w:firstLine="1278"/>
        <w:spacing w:after="0" w:line="257" w:lineRule="auto"/>
        <w:tabs>
          <w:tab w:leader="none" w:pos="1701"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any ERISA Affiliate has engaged in a transaction that could reasonably be expected to be subject to Section 4069 or 4212(c) of ERISA.</w:t>
      </w:r>
    </w:p>
    <w:p>
      <w:pPr>
        <w:spacing w:after="0" w:line="177" w:lineRule="exact"/>
        <w:rPr>
          <w:rFonts w:ascii="Arial" w:cs="Arial" w:eastAsia="Arial" w:hAnsi="Arial"/>
          <w:sz w:val="19"/>
          <w:szCs w:val="19"/>
          <w:color w:val="auto"/>
        </w:rPr>
      </w:pPr>
    </w:p>
    <w:p>
      <w:pPr>
        <w:jc w:val="both"/>
        <w:ind w:firstLine="1278"/>
        <w:spacing w:after="0" w:line="251" w:lineRule="auto"/>
        <w:tabs>
          <w:tab w:leader="none" w:pos="174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Except as would not reasonably be expected, individually or in the aggregate to result in a Material Adverse Effect, (i) each employee benefit plan (as defined in Section 3(2) of ERISA)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(ii) to the knowledge of the Borrower, nothing has occurred that would prevent or cause the loss of such tax-qualified status; and (iii) there are no pending or, to the knowledge of Holdings and the Borrower, threatened in writing claims, actions or lawsuits, or action by any Governmental Authority, with respect to any such plan.</w:t>
      </w:r>
    </w:p>
    <w:p>
      <w:pPr>
        <w:spacing w:after="0" w:line="185" w:lineRule="exact"/>
        <w:rPr>
          <w:rFonts w:ascii="Arial" w:cs="Arial" w:eastAsia="Arial" w:hAnsi="Arial"/>
          <w:sz w:val="19"/>
          <w:szCs w:val="19"/>
          <w:color w:val="auto"/>
        </w:rPr>
      </w:pPr>
    </w:p>
    <w:p>
      <w:pPr>
        <w:ind w:firstLine="1278"/>
        <w:spacing w:after="0" w:line="278" w:lineRule="auto"/>
        <w:tabs>
          <w:tab w:leader="none" w:pos="172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(i) none of Holdings, the Borrower or its Restricted Subsidiaries has experienced any labor strike or work</w:t>
      </w:r>
    </w:p>
    <w:p>
      <w:pPr>
        <w:sectPr>
          <w:pgSz w:w="11900" w:h="16838" w:orient="portrait"/>
          <w:cols w:equalWidth="0" w:num="1">
            <w:col w:w="11240"/>
          </w:cols>
          <w:pgMar w:left="320" w:top="1395" w:right="339" w:bottom="1440" w:gutter="0" w:footer="0" w:header="0"/>
        </w:sectPr>
      </w:pPr>
    </w:p>
    <w:bookmarkStart w:id="193" w:name="page194"/>
    <w:bookmarkEnd w:id="193"/>
    <w:p>
      <w:pPr>
        <w:spacing w:after="0" w:line="278" w:lineRule="auto"/>
        <w:rPr>
          <w:sz w:val="20"/>
          <w:szCs w:val="20"/>
          <w:color w:val="auto"/>
        </w:rPr>
      </w:pPr>
      <w:r>
        <w:rPr>
          <w:rFonts w:ascii="Arial" w:cs="Arial" w:eastAsia="Arial" w:hAnsi="Arial"/>
          <w:sz w:val="19"/>
          <w:szCs w:val="19"/>
          <w:color w:val="auto"/>
        </w:rPr>
        <w:t>stoppage or other collective labor dispute by employees due to labor disagreements and (ii) each of Holdings, the Borrower and its Restricted Subsidiaries is in compliance in all respects with any collective bargaining agreement to which it is a party.</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3.11</w:t>
      </w:r>
      <w:r>
        <w:rPr>
          <w:sz w:val="20"/>
          <w:szCs w:val="20"/>
          <w:color w:val="auto"/>
        </w:rPr>
        <w:tab/>
      </w:r>
      <w:r>
        <w:rPr>
          <w:rFonts w:ascii="Arial" w:cs="Arial" w:eastAsia="Arial" w:hAnsi="Arial"/>
          <w:sz w:val="17"/>
          <w:szCs w:val="17"/>
          <w:u w:val="single" w:color="auto"/>
          <w:color w:val="auto"/>
        </w:rPr>
        <w:t>Disclosure</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82" w:lineRule="auto"/>
        <w:tabs>
          <w:tab w:leader="none" w:pos="172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As of the Effective Date, the written reports, financial statements, certificates or other written factual information (other than projections and information of a general economic or industry specific nature) furnished by or on behalf of any Loan Party to the Administrative Agent or any Lender in connection with the negotiation of any Loan Document or delivered thereunder (as modified or supplemented by other information so furnished), when taken as a whole, do not contain any untrue statement of a material fact or omit to state any material fact necessary to make the statements therein,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and pro forma financial information, the Borrower represents only that such information, when taken as a whole, was prepared in good faith based upon assumptions believed by it to be reasonable at the time delivered, it being understood that (i) any such projected financial information is merely a prediction as to future events and is not to be viewed as fact, (ii) such projected financial information is subject to significant uncertainties and contingencies, many of which are beyond the control of Holdings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163" w:lineRule="exact"/>
        <w:rPr>
          <w:rFonts w:ascii="Arial" w:cs="Arial" w:eastAsia="Arial" w:hAnsi="Arial"/>
          <w:sz w:val="17"/>
          <w:szCs w:val="17"/>
          <w:color w:val="auto"/>
        </w:rPr>
      </w:pPr>
    </w:p>
    <w:p>
      <w:pPr>
        <w:ind w:right="20" w:firstLine="1278"/>
        <w:spacing w:after="0" w:line="278" w:lineRule="auto"/>
        <w:tabs>
          <w:tab w:leader="none" w:pos="174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As of the Effective Date, to the best knowledge of the Borrower, the information included in the Beneficial Ownership Certification provided pursuant to Section 4.01(j) is true and correct in all respects.</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3.12</w:t>
      </w:r>
      <w:r>
        <w:rPr>
          <w:sz w:val="20"/>
          <w:szCs w:val="20"/>
          <w:color w:val="auto"/>
        </w:rPr>
        <w:tab/>
      </w:r>
      <w:r>
        <w:rPr>
          <w:rFonts w:ascii="Arial" w:cs="Arial" w:eastAsia="Arial" w:hAnsi="Arial"/>
          <w:sz w:val="17"/>
          <w:szCs w:val="17"/>
          <w:u w:val="single" w:color="auto"/>
          <w:color w:val="auto"/>
        </w:rPr>
        <w:t>Subsidiaries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 xml:space="preserve">As of the Effective Date, </w:t>
      </w:r>
      <w:r>
        <w:rPr>
          <w:rFonts w:ascii="Arial" w:cs="Arial" w:eastAsia="Arial" w:hAnsi="Arial"/>
          <w:sz w:val="19"/>
          <w:szCs w:val="19"/>
          <w:u w:val="single" w:color="auto"/>
          <w:color w:val="auto"/>
        </w:rPr>
        <w:t>Schedule 3.12</w:t>
      </w:r>
      <w:r>
        <w:rPr>
          <w:rFonts w:ascii="Arial" w:cs="Arial" w:eastAsia="Arial" w:hAnsi="Arial"/>
          <w:sz w:val="19"/>
          <w:szCs w:val="19"/>
          <w:color w:val="auto"/>
        </w:rPr>
        <w:t xml:space="preserve"> sets forth the name of, and the ownership interest of Holdings and each of its subsidiaries in, each subsidiary of Holdings.</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3.13</w:t>
      </w:r>
      <w:r>
        <w:rPr>
          <w:sz w:val="20"/>
          <w:szCs w:val="20"/>
          <w:color w:val="auto"/>
        </w:rPr>
        <w:tab/>
      </w:r>
      <w:r>
        <w:rPr>
          <w:rFonts w:ascii="Arial" w:cs="Arial" w:eastAsia="Arial" w:hAnsi="Arial"/>
          <w:sz w:val="17"/>
          <w:szCs w:val="17"/>
          <w:u w:val="single" w:color="auto"/>
          <w:color w:val="auto"/>
        </w:rPr>
        <w:t>Intellectual Property; Licenses, Etc</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Except as would not reasonably be expected to have a Material Adverse Effect, each of Holdings, the Borrower and its Restricted Subsidiaries owns, licenses or possesses the right to use all Intellectual Property that is reasonably necessary for the operation of its business as currently conducted. The Intellectual Property owned by Holdings, the Borrower or any Restricted Subsidiary or used in the operation of its business as currently conducted, and the conduct of the businesses of Holdings, Borrower and its Restricted Subsidiaries, does not infringe upon, misappropriate or otherwise violate the Intellectual Property of any Person except for such infringements that would not reasonably be expected to have, individually or in the aggregate, a Material Adverse Effect. No claim or litigation regarding any of the Intellectual Property owned by or used in the conduct of the businesses of Holdings, the Borrower and its Restricted Subsidiaries is pending or threatened in writing against Holdings, the Borrower or any Restricted Subsidiary, which, individually or in the aggregate, would reasonably be expected to have a Material Adverse Effect.</w:t>
      </w:r>
    </w:p>
    <w:p>
      <w:pPr>
        <w:sectPr>
          <w:pgSz w:w="11900" w:h="16838" w:orient="portrait"/>
          <w:cols w:equalWidth="0" w:num="1">
            <w:col w:w="11240"/>
          </w:cols>
          <w:pgMar w:left="320" w:top="1395" w:right="339" w:bottom="1440" w:gutter="0" w:footer="0" w:header="0"/>
        </w:sectPr>
      </w:pPr>
    </w:p>
    <w:bookmarkStart w:id="194" w:name="page195"/>
    <w:bookmarkEnd w:id="194"/>
    <w:p>
      <w:pPr>
        <w:ind w:left="1280"/>
        <w:spacing w:after="0"/>
        <w:tabs>
          <w:tab w:leader="none" w:pos="2660" w:val="left"/>
        </w:tabs>
        <w:rPr>
          <w:sz w:val="20"/>
          <w:szCs w:val="20"/>
          <w:color w:val="auto"/>
        </w:rPr>
      </w:pPr>
      <w:r>
        <w:rPr>
          <w:rFonts w:ascii="Arial" w:cs="Arial" w:eastAsia="Arial" w:hAnsi="Arial"/>
          <w:sz w:val="19"/>
          <w:szCs w:val="19"/>
          <w:color w:val="auto"/>
        </w:rPr>
        <w:t>SECTION 3.14</w:t>
      </w:r>
      <w:r>
        <w:rPr>
          <w:sz w:val="20"/>
          <w:szCs w:val="20"/>
          <w:color w:val="auto"/>
        </w:rPr>
        <w:tab/>
      </w:r>
      <w:r>
        <w:rPr>
          <w:rFonts w:ascii="Arial" w:cs="Arial" w:eastAsia="Arial" w:hAnsi="Arial"/>
          <w:sz w:val="17"/>
          <w:szCs w:val="17"/>
          <w:u w:val="single" w:color="auto"/>
          <w:color w:val="auto"/>
        </w:rPr>
        <w:t>Solvency</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Immediately after the consummation of each of the Transactions that occurred on the Effective Date (including the execution and delivery of this Agreement, the making of the Loans and the use of proceeds of such Loans on the date hereof), Holdings and its Subsidiaries are Solvent.</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3.15</w:t>
      </w:r>
      <w:r>
        <w:rPr>
          <w:sz w:val="20"/>
          <w:szCs w:val="20"/>
          <w:color w:val="auto"/>
        </w:rPr>
        <w:tab/>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2" w:lineRule="auto"/>
        <w:rPr>
          <w:sz w:val="20"/>
          <w:szCs w:val="20"/>
          <w:color w:val="auto"/>
        </w:rPr>
      </w:pPr>
      <w:r>
        <w:rPr>
          <w:rFonts w:ascii="Arial" w:cs="Arial" w:eastAsia="Arial" w:hAnsi="Arial"/>
          <w:sz w:val="18"/>
          <w:szCs w:val="18"/>
          <w:color w:val="auto"/>
        </w:rPr>
        <w:t>None of Holdings,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65"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3.16</w:t>
      </w:r>
      <w:r>
        <w:rPr>
          <w:sz w:val="20"/>
          <w:szCs w:val="20"/>
          <w:color w:val="auto"/>
        </w:rPr>
        <w:tab/>
      </w:r>
      <w:r>
        <w:rPr>
          <w:rFonts w:ascii="Arial" w:cs="Arial" w:eastAsia="Arial" w:hAnsi="Arial"/>
          <w:sz w:val="17"/>
          <w:szCs w:val="17"/>
          <w:u w:val="single" w:color="auto"/>
          <w:color w:val="auto"/>
        </w:rPr>
        <w:t>Use of Proceeds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The Borrower will use the proceeds of the Loans, and Letters of Credit issued, for working capital and other general corporate purposes of the Borrower and its Subsidiaries, including capital expenditures, Permitted Acquisitions and other Investments, Restricted Payments and the refinancing of Indebtedness, and any other use not prohibited by the Loan Documents and, with respect to the Initial Term Loans made on the Effective Date, additionally, to directly or indirectly finance the Transactions and to fund any original issue discount or upfront fees payable in connection therewith.</w:t>
      </w:r>
    </w:p>
    <w:p>
      <w:pPr>
        <w:spacing w:after="0" w:line="17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3.17</w:t>
      </w:r>
      <w:r>
        <w:rPr>
          <w:sz w:val="20"/>
          <w:szCs w:val="20"/>
          <w:color w:val="auto"/>
        </w:rPr>
        <w:tab/>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76" w:lineRule="auto"/>
        <w:tabs>
          <w:tab w:leader="none" w:pos="17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of Holdings, the Borrower and each of its Subsidiaries will not, directly or to their knowledge indirectly, use the proceeds of the Loans or Letters of Credit to fund any activity or business with any Person, or in any country or territory that, at the time of such funding, is the subject of Sanctions except where such activities are authorized under a general or specific license, law, or regulation, or in violation of any Anti-Corruption Laws, the USA PATRIOT Act, or other applicable anti-money laundering or anti-terrorism laws.</w:t>
      </w:r>
    </w:p>
    <w:p>
      <w:pPr>
        <w:spacing w:after="0" w:line="160" w:lineRule="exact"/>
        <w:rPr>
          <w:rFonts w:ascii="Arial" w:cs="Arial" w:eastAsia="Arial" w:hAnsi="Arial"/>
          <w:sz w:val="18"/>
          <w:szCs w:val="18"/>
          <w:color w:val="auto"/>
        </w:rPr>
      </w:pPr>
    </w:p>
    <w:p>
      <w:pPr>
        <w:jc w:val="both"/>
        <w:ind w:firstLine="1278"/>
        <w:spacing w:after="0" w:line="284" w:lineRule="auto"/>
        <w:tabs>
          <w:tab w:leader="none" w:pos="178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Holdings, the Borrower and its Restricted Subsidiaries and, to the knowledge of the Borrower, the officers, directors, employees and agents of Holdings, the Borrower and its Restricted Subsidiaries are in compliance in all material respects with applicable Anti-Corruption Laws and applicable Sanctions, the USA PATRIOT Act, and other applicable anti-money laundering and anti-terrorism laws.</w:t>
      </w:r>
    </w:p>
    <w:p>
      <w:pPr>
        <w:spacing w:after="0" w:line="152" w:lineRule="exact"/>
        <w:rPr>
          <w:rFonts w:ascii="Arial" w:cs="Arial" w:eastAsia="Arial" w:hAnsi="Arial"/>
          <w:sz w:val="18"/>
          <w:szCs w:val="18"/>
          <w:color w:val="auto"/>
        </w:rPr>
      </w:pPr>
    </w:p>
    <w:p>
      <w:pPr>
        <w:jc w:val="both"/>
        <w:ind w:firstLine="1278"/>
        <w:spacing w:after="0" w:line="263" w:lineRule="auto"/>
        <w:tabs>
          <w:tab w:leader="none" w:pos="171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 None of Holdings, the Borrower or its Restricted Subsidiaries and (ii) to the knowledge of Holdings, the Borrower, or its Restricted Subsidiaries, none of their respective directors, officers, employees and agents that will act in any capacity in connection with or benefit from the credit facility established hereby, is a Sanctioned Person.</w:t>
      </w:r>
    </w:p>
    <w:p>
      <w:pPr>
        <w:spacing w:after="0" w:line="169" w:lineRule="exact"/>
        <w:rPr>
          <w:rFonts w:ascii="Arial" w:cs="Arial" w:eastAsia="Arial" w:hAnsi="Arial"/>
          <w:sz w:val="19"/>
          <w:szCs w:val="19"/>
          <w:color w:val="auto"/>
        </w:rPr>
      </w:pPr>
    </w:p>
    <w:p>
      <w:pPr>
        <w:ind w:firstLine="1278"/>
        <w:spacing w:after="0" w:line="339" w:lineRule="auto"/>
        <w:tabs>
          <w:tab w:leader="none" w:pos="17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Borrower has implemented and maintains in effect policies and procedures reasonably designed to ensure compliance in all material respects by the Borrower and its Restricted Subsidiaries with applicable Anti-Corruption Laws and applicable Sanctions.</w:t>
      </w:r>
    </w:p>
    <w:p>
      <w:pPr>
        <w:sectPr>
          <w:pgSz w:w="11900" w:h="16838" w:orient="portrait"/>
          <w:cols w:equalWidth="0" w:num="1">
            <w:col w:w="11240"/>
          </w:cols>
          <w:pgMar w:left="320" w:top="1395" w:right="339" w:bottom="1440" w:gutter="0" w:footer="0" w:header="0"/>
        </w:sectPr>
      </w:pPr>
    </w:p>
    <w:bookmarkStart w:id="195" w:name="page196"/>
    <w:bookmarkEnd w:id="195"/>
    <w:p>
      <w:pPr>
        <w:ind w:left="1280"/>
        <w:spacing w:after="0"/>
        <w:tabs>
          <w:tab w:leader="none" w:pos="2660" w:val="left"/>
        </w:tabs>
        <w:rPr>
          <w:sz w:val="20"/>
          <w:szCs w:val="20"/>
          <w:color w:val="auto"/>
        </w:rPr>
      </w:pPr>
      <w:r>
        <w:rPr>
          <w:rFonts w:ascii="Arial" w:cs="Arial" w:eastAsia="Arial" w:hAnsi="Arial"/>
          <w:sz w:val="19"/>
          <w:szCs w:val="19"/>
          <w:color w:val="auto"/>
        </w:rPr>
        <w:t>SECTION 3.18</w:t>
      </w:r>
      <w:r>
        <w:rPr>
          <w:sz w:val="20"/>
          <w:szCs w:val="20"/>
          <w:color w:val="auto"/>
        </w:rPr>
        <w:tab/>
      </w:r>
      <w:r>
        <w:rPr>
          <w:rFonts w:ascii="Arial" w:cs="Arial" w:eastAsia="Arial" w:hAnsi="Arial"/>
          <w:sz w:val="17"/>
          <w:szCs w:val="17"/>
          <w:u w:val="single" w:color="auto"/>
          <w:color w:val="auto"/>
        </w:rPr>
        <w:t>Security Documents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5.14</w:t>
      </w:r>
      <w:r>
        <w:rPr>
          <w:rFonts w:ascii="Arial" w:cs="Arial" w:eastAsia="Arial" w:hAnsi="Arial"/>
          <w:sz w:val="18"/>
          <w:szCs w:val="18"/>
          <w:color w:val="auto"/>
        </w:rPr>
        <w:t>, the Legal Reservations and the Perfection Requirements, the Security Documents are effective to create in favor of the Collateral Agent, for the benefit of the Secured Parties, a legal, valid, binding and enforceable security interest in the Collateral described therein and proceeds and products thereof. In the case of (i) Pledged Equity Interests represented by certificates, (x) when such certificates are delivered to the Collateral Agent or (y) when financing statements and Intellectual Property Security Agreements in appropriate form are filed in the appropriate filing offices, and (ii) the other Collateral described in the Collateral Agreement, which can be perfected by filing a financing statement, when financing statements in appropriate form are filed in the appropriate filing offices and such other filings as are required in the Collateral Agreement have been completed, the Lien created by the Collateral Agreement shall constitute, to the extent such perfection is required by the Collateral Agreement, a fully perfected Lien on, and security interest in, all right, title and interest of the Loan Parties in such Collateral and the proceeds and products thereof, as security for the Secured Obligations.</w:t>
      </w:r>
    </w:p>
    <w:p>
      <w:pPr>
        <w:spacing w:after="0" w:line="175"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ARTICLE IV</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9"/>
          <w:szCs w:val="19"/>
          <w:u w:val="single" w:color="auto"/>
          <w:color w:val="auto"/>
        </w:rPr>
        <w:t>CONDITIONS</w:t>
      </w:r>
    </w:p>
    <w:p>
      <w:pPr>
        <w:spacing w:after="0" w:line="20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4.01</w:t>
      </w:r>
      <w:r>
        <w:rPr>
          <w:sz w:val="20"/>
          <w:szCs w:val="20"/>
          <w:color w:val="auto"/>
        </w:rPr>
        <w:tab/>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307" w:lineRule="auto"/>
        <w:rPr>
          <w:sz w:val="20"/>
          <w:szCs w:val="20"/>
          <w:color w:val="auto"/>
        </w:rPr>
      </w:pPr>
      <w:r>
        <w:rPr>
          <w:rFonts w:ascii="Arial" w:cs="Arial" w:eastAsia="Arial" w:hAnsi="Arial"/>
          <w:sz w:val="18"/>
          <w:szCs w:val="18"/>
          <w:color w:val="auto"/>
        </w:rPr>
        <w:t xml:space="preserve">The obligation of each Lender to make Loans and the obligations of each Issuing Bank to issue Letters of Credit hereunder on the Effective Date shall be subject to satisfaction of the following conditions (or waiver thereof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33" w:lineRule="exact"/>
        <w:rPr>
          <w:sz w:val="20"/>
          <w:szCs w:val="20"/>
          <w:color w:val="auto"/>
        </w:rPr>
      </w:pPr>
    </w:p>
    <w:p>
      <w:pPr>
        <w:jc w:val="both"/>
        <w:ind w:firstLine="1278"/>
        <w:spacing w:after="0" w:line="284" w:lineRule="auto"/>
        <w:tabs>
          <w:tab w:leader="none" w:pos="179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facsimile or other electronic transmission of a signed counterpart of this Agreement) that such party has signed a counterpart of this Agreement.</w:t>
      </w:r>
    </w:p>
    <w:p>
      <w:pPr>
        <w:spacing w:after="0" w:line="152" w:lineRule="exact"/>
        <w:rPr>
          <w:rFonts w:ascii="Arial" w:cs="Arial" w:eastAsia="Arial" w:hAnsi="Arial"/>
          <w:sz w:val="18"/>
          <w:szCs w:val="18"/>
          <w:color w:val="auto"/>
        </w:rPr>
      </w:pPr>
    </w:p>
    <w:p>
      <w:pPr>
        <w:jc w:val="both"/>
        <w:ind w:firstLine="1278"/>
        <w:spacing w:after="0" w:line="308" w:lineRule="auto"/>
        <w:tabs>
          <w:tab w:leader="none" w:pos="175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Administrative Agent shall have received a customary written opinion (addressed to the Administrative Agent, the Lenders and the Issuing Banks and dated the Effective Date) of Cooley LLP, New York counsel to the Loan Parties in form and substance reasonably satisfactory to the Administrative Agent. Each of Holdings and the Borrower hereby requests such counsel to deliver such opinion.</w:t>
      </w:r>
    </w:p>
    <w:p>
      <w:pPr>
        <w:spacing w:after="0" w:line="135" w:lineRule="exact"/>
        <w:rPr>
          <w:rFonts w:ascii="Arial" w:cs="Arial" w:eastAsia="Arial" w:hAnsi="Arial"/>
          <w:sz w:val="17"/>
          <w:szCs w:val="17"/>
          <w:color w:val="auto"/>
        </w:rPr>
      </w:pPr>
    </w:p>
    <w:p>
      <w:pPr>
        <w:jc w:val="both"/>
        <w:ind w:firstLine="1278"/>
        <w:spacing w:after="0" w:line="255" w:lineRule="auto"/>
        <w:tabs>
          <w:tab w:leader="none" w:pos="1683" w:val="left"/>
        </w:tabs>
        <w:numPr>
          <w:ilvl w:val="1"/>
          <w:numId w:val="177"/>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(i) a certificate of each Loan Party, dated the Effective Date,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with appropriate insertions, or otherwise in form and substance reasonably satisfactory to the Administrative Agent, executed by any Responsible Officer of such Loan Party, and (ii) an officer certificate of each Loan Party, dated the Effective Date, in form and substance reasonably satisfactory to the Administrative Agent, executed by any Responsible Officer of such Loan Party, including or attaching the documents referred to in paragraph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4.01</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1278"/>
        <w:spacing w:after="0" w:line="283" w:lineRule="auto"/>
        <w:tabs>
          <w:tab w:leader="none" w:pos="1696"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Administrative Agent shall have received a copy of (i) each Organizational Document of each Loan Party certified, to the extent applicable, as of a recent date by the applicable Governmental Authority, (ii) with respect to each Loan Party executing the Loan Documents, an incumbency certificate identifying the name and title and bearing the signatures of the authorized signatories of such Loan Party,</w:t>
      </w:r>
    </w:p>
    <w:p>
      <w:pPr>
        <w:ind w:firstLine="6"/>
        <w:spacing w:after="0" w:line="261" w:lineRule="auto"/>
        <w:tabs>
          <w:tab w:leader="none" w:pos="35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copies of resolutions of the Board of Directors of each Loan Party approving and authorizing the execution, delivery and performance of Loan Documents to which it is a</w:t>
      </w:r>
    </w:p>
    <w:p>
      <w:pPr>
        <w:sectPr>
          <w:pgSz w:w="11900" w:h="16838" w:orient="portrait"/>
          <w:cols w:equalWidth="0" w:num="1">
            <w:col w:w="11240"/>
          </w:cols>
          <w:pgMar w:left="320" w:top="1395" w:right="339" w:bottom="1440" w:gutter="0" w:footer="0" w:header="0"/>
        </w:sectPr>
      </w:pPr>
    </w:p>
    <w:bookmarkStart w:id="196" w:name="page197"/>
    <w:bookmarkEnd w:id="196"/>
    <w:p>
      <w:pPr>
        <w:jc w:val="both"/>
        <w:spacing w:after="0" w:line="263" w:lineRule="auto"/>
        <w:rPr>
          <w:sz w:val="20"/>
          <w:szCs w:val="20"/>
          <w:color w:val="auto"/>
        </w:rPr>
      </w:pPr>
      <w:r>
        <w:rPr>
          <w:rFonts w:ascii="Arial" w:cs="Arial" w:eastAsia="Arial" w:hAnsi="Arial"/>
          <w:sz w:val="19"/>
          <w:szCs w:val="19"/>
          <w:color w:val="auto"/>
        </w:rPr>
        <w:t>party, certified as of the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69" w:lineRule="exact"/>
        <w:rPr>
          <w:sz w:val="20"/>
          <w:szCs w:val="20"/>
          <w:color w:val="auto"/>
        </w:rPr>
      </w:pPr>
    </w:p>
    <w:p>
      <w:pPr>
        <w:jc w:val="both"/>
        <w:ind w:firstLine="1278"/>
        <w:spacing w:after="0" w:line="257" w:lineRule="auto"/>
        <w:tabs>
          <w:tab w:leader="none" w:pos="1698"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The Administrative Agent shall have received all fees required to be paid on the Effective Date pursuant to the Fee Letter and reasonable and documented out-of-pocket expenses required to be paid on the Effective Date, to the extent invoiced (in the case of expenses) at least three (3) Business Days prior to the Effective Date (except as otherwise agreed to by the Borrower), which amounts may, at the option of the Borrower, be offset against the proceeds of the initial Loans made hereunder.</w:t>
      </w:r>
    </w:p>
    <w:p>
      <w:pPr>
        <w:spacing w:after="0" w:line="177" w:lineRule="exact"/>
        <w:rPr>
          <w:rFonts w:ascii="Arial" w:cs="Arial" w:eastAsia="Arial" w:hAnsi="Arial"/>
          <w:sz w:val="19"/>
          <w:szCs w:val="19"/>
          <w:color w:val="auto"/>
        </w:rPr>
      </w:pPr>
    </w:p>
    <w:p>
      <w:pPr>
        <w:jc w:val="both"/>
        <w:ind w:firstLine="1278"/>
        <w:spacing w:after="0" w:line="280" w:lineRule="auto"/>
        <w:tabs>
          <w:tab w:leader="none" w:pos="1691"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The Collateral and Guarantee Requirement (other than in accordance with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shall have been satisfied and the Administrative Agent shall have received a completed Perfection Certificate dated the Effective Date and signed by a Responsible Officer of the Borrower, together with all attachments contemplated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notwithstanding the use by the Borrower of commercially reasonable efforts without undue burden or expense to cause the Collateral and Guarantee Requirement to be satisfied on the Effective Date, the requirements thereof (other than (i) the execution and delivery of the Guarantee Agreement and the Collateral Agreement by the Loan Parties,</w:t>
      </w:r>
    </w:p>
    <w:p>
      <w:pPr>
        <w:spacing w:after="0" w:line="1" w:lineRule="exact"/>
        <w:rPr>
          <w:rFonts w:ascii="Arial" w:cs="Arial" w:eastAsia="Arial" w:hAnsi="Arial"/>
          <w:sz w:val="17"/>
          <w:szCs w:val="17"/>
          <w:color w:val="auto"/>
        </w:rPr>
      </w:pPr>
    </w:p>
    <w:p>
      <w:pPr>
        <w:jc w:val="both"/>
        <w:ind w:firstLine="6"/>
        <w:spacing w:after="0" w:line="249" w:lineRule="auto"/>
        <w:tabs>
          <w:tab w:leader="none" w:pos="28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the creation and perfection of security interests in the Equity Interests of the Borrower and each Restricted Subsidiary owned by or on behalf of any Loan Party (provided that such Equity Interests are not Excluded Assets or owned or held by an Excluded Subsidiary), (iii) the execution and delivery of the Intellectual Property Security Agreements by the Loan Parties and (iv) delivery of Uniform Commercial Code financing statements with respect to perfection of security interests in the assets of the Loan Parties that may be perfected by the filing of a financing statement under the Uniform Commercial Code) are not satisfied as of the Effective Date, the satisfaction of such requirements shall not be a condition to the availability of the initial Loans on the Effective Date (but shall be required to be satisfied as promptly as practicable after the Effective Date and in any event within the period specified therefor in </w:t>
      </w:r>
      <w:r>
        <w:rPr>
          <w:rFonts w:ascii="Arial" w:cs="Arial" w:eastAsia="Arial" w:hAnsi="Arial"/>
          <w:sz w:val="19"/>
          <w:szCs w:val="19"/>
          <w:u w:val="single" w:color="auto"/>
          <w:color w:val="auto"/>
        </w:rPr>
        <w:t>Schedule 5.14</w:t>
      </w:r>
      <w:r>
        <w:rPr>
          <w:rFonts w:ascii="Arial" w:cs="Arial" w:eastAsia="Arial" w:hAnsi="Arial"/>
          <w:sz w:val="19"/>
          <w:szCs w:val="19"/>
          <w:color w:val="auto"/>
        </w:rPr>
        <w:t xml:space="preserve"> or such later date as the Administrative Agent may otherwise reasonably agree). Notwithstanding the foregoing, no Collateral shall be subject to any other pledges, security interest or mortgages, except for the Liens permitted under this Agreement.</w:t>
      </w:r>
    </w:p>
    <w:p>
      <w:pPr>
        <w:spacing w:after="0" w:line="183" w:lineRule="exact"/>
        <w:rPr>
          <w:rFonts w:ascii="Arial" w:cs="Arial" w:eastAsia="Arial" w:hAnsi="Arial"/>
          <w:sz w:val="19"/>
          <w:szCs w:val="19"/>
          <w:color w:val="auto"/>
        </w:rPr>
      </w:pPr>
    </w:p>
    <w:p>
      <w:pPr>
        <w:ind w:left="1700" w:hanging="422"/>
        <w:spacing w:after="0"/>
        <w:tabs>
          <w:tab w:leader="none" w:pos="17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Lead Arrangers shall have received the Audited Financial Statements and the Unaudited Financial Statements.</w:t>
      </w:r>
    </w:p>
    <w:p>
      <w:pPr>
        <w:spacing w:after="0" w:line="230" w:lineRule="exact"/>
        <w:rPr>
          <w:rFonts w:ascii="Arial" w:cs="Arial" w:eastAsia="Arial" w:hAnsi="Arial"/>
          <w:sz w:val="18"/>
          <w:szCs w:val="18"/>
          <w:color w:val="auto"/>
        </w:rPr>
      </w:pPr>
    </w:p>
    <w:p>
      <w:pPr>
        <w:jc w:val="both"/>
        <w:ind w:firstLine="1278"/>
        <w:spacing w:after="0" w:line="255" w:lineRule="auto"/>
        <w:tabs>
          <w:tab w:leader="none" w:pos="1755"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each Loan Party set forth in the Loan Documents shall be true and correct in all material respects on and as of the date of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w:t>
      </w:r>
    </w:p>
    <w:p>
      <w:pPr>
        <w:spacing w:after="0" w:line="177" w:lineRule="exact"/>
        <w:rPr>
          <w:rFonts w:ascii="Arial" w:cs="Arial" w:eastAsia="Arial" w:hAnsi="Arial"/>
          <w:sz w:val="19"/>
          <w:szCs w:val="19"/>
          <w:color w:val="auto"/>
        </w:rPr>
      </w:pPr>
    </w:p>
    <w:p>
      <w:pPr>
        <w:jc w:val="both"/>
        <w:ind w:firstLine="1278"/>
        <w:spacing w:after="0" w:line="276" w:lineRule="auto"/>
        <w:tabs>
          <w:tab w:leader="none" w:pos="171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(i) a certificate from the chief financial officer or equivalent Responsible Officer of the Borrower certifying as to the solvency (as of the Effective Date) of the Borrower and its Subsidiaries on a consolidated basis after giving effect to the Transactions, in substantially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(ii) certificates with respect to insurance policies of the Loan Parties as required under </w:t>
      </w:r>
      <w:r>
        <w:rPr>
          <w:rFonts w:ascii="Arial" w:cs="Arial" w:eastAsia="Arial" w:hAnsi="Arial"/>
          <w:sz w:val="18"/>
          <w:szCs w:val="18"/>
          <w:u w:val="single" w:color="auto"/>
          <w:color w:val="auto"/>
        </w:rPr>
        <w:t>Section 5.07</w:t>
      </w:r>
      <w:r>
        <w:rPr>
          <w:rFonts w:ascii="Arial" w:cs="Arial" w:eastAsia="Arial" w:hAnsi="Arial"/>
          <w:sz w:val="18"/>
          <w:szCs w:val="18"/>
          <w:color w:val="auto"/>
        </w:rPr>
        <w:t>, all in form and substance reasonably satisfactory to Administrative Agent.</w:t>
      </w:r>
    </w:p>
    <w:p>
      <w:pPr>
        <w:sectPr>
          <w:pgSz w:w="11900" w:h="16838" w:orient="portrait"/>
          <w:cols w:equalWidth="0" w:num="1">
            <w:col w:w="11240"/>
          </w:cols>
          <w:pgMar w:left="320" w:top="1395" w:right="339" w:bottom="1440" w:gutter="0" w:footer="0" w:header="0"/>
        </w:sectPr>
      </w:pPr>
    </w:p>
    <w:bookmarkStart w:id="197" w:name="page198"/>
    <w:bookmarkEnd w:id="197"/>
    <w:p>
      <w:pPr>
        <w:jc w:val="both"/>
        <w:ind w:firstLine="1278"/>
        <w:spacing w:after="0" w:line="287" w:lineRule="auto"/>
        <w:tabs>
          <w:tab w:leader="none" w:pos="184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(i) The Administrative Agent shall have received at least three (3) Business Days before the Effective Date all documentation and other information about the Loan Parties that the Administrative Agent reasonably determines is required by United States regulatory authorities under applicable “know your customer” and anti-money-laundering rules and regulations, including the USA PATRIOT Act and (ii) if the Borrower qualifies as a “legal entity customer” under the Beneficial Ownership Regulation, the Administrative Agent and each initial Lender that requests a Beneficial Ownership Certification will have received, at least three (3) Business Days prior to the Effective Date, a Beneficial Ownership Certification in relation to the Borrower, in each case of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to the extent that the Administrative Agent has reasonably requested in writing delivered to the Loan Parties at least ten (10) Business Days prior to the Effective Date.</w:t>
      </w:r>
    </w:p>
    <w:p>
      <w:pPr>
        <w:spacing w:after="0" w:line="152" w:lineRule="exact"/>
        <w:rPr>
          <w:rFonts w:ascii="Arial" w:cs="Arial" w:eastAsia="Arial" w:hAnsi="Arial"/>
          <w:sz w:val="17"/>
          <w:szCs w:val="17"/>
          <w:color w:val="auto"/>
        </w:rPr>
      </w:pPr>
    </w:p>
    <w:p>
      <w:pPr>
        <w:ind w:left="1740" w:hanging="462"/>
        <w:spacing w:after="0"/>
        <w:tabs>
          <w:tab w:leader="none" w:pos="1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and delivered Borrowing Request in accordance with the</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requirements hereof.</w:t>
      </w:r>
    </w:p>
    <w:p>
      <w:pPr>
        <w:spacing w:after="0" w:line="202" w:lineRule="exact"/>
        <w:rPr>
          <w:rFonts w:ascii="Arial" w:cs="Arial" w:eastAsia="Arial" w:hAnsi="Arial"/>
          <w:sz w:val="18"/>
          <w:szCs w:val="18"/>
          <w:color w:val="auto"/>
        </w:rPr>
      </w:pPr>
    </w:p>
    <w:p>
      <w:pPr>
        <w:ind w:firstLine="1278"/>
        <w:spacing w:after="0" w:line="278" w:lineRule="auto"/>
        <w:tabs>
          <w:tab w:leader="none" w:pos="173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Effective Date Refinancing shall have been consummated, or substantially simultaneously with the funding of the Initial Term Loans, shall be consummated.</w:t>
      </w:r>
    </w:p>
    <w:p>
      <w:pPr>
        <w:spacing w:after="0" w:line="156" w:lineRule="exact"/>
        <w:rPr>
          <w:rFonts w:ascii="Arial" w:cs="Arial" w:eastAsia="Arial" w:hAnsi="Arial"/>
          <w:sz w:val="19"/>
          <w:szCs w:val="19"/>
          <w:color w:val="auto"/>
        </w:rPr>
      </w:pPr>
    </w:p>
    <w:p>
      <w:pPr>
        <w:ind w:left="1760" w:hanging="482"/>
        <w:spacing w:after="0"/>
        <w:tabs>
          <w:tab w:leader="none" w:pos="17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the Transactions, no Default or Event of Default shall have occurred</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and be continuing.</w:t>
      </w:r>
    </w:p>
    <w:p>
      <w:pPr>
        <w:spacing w:after="0" w:line="20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4.02</w:t>
      </w:r>
      <w:r>
        <w:rPr>
          <w:sz w:val="20"/>
          <w:szCs w:val="20"/>
          <w:color w:val="auto"/>
        </w:rPr>
        <w:tab/>
      </w:r>
      <w:r>
        <w:rPr>
          <w:rFonts w:ascii="Arial" w:cs="Arial" w:eastAsia="Arial" w:hAnsi="Arial"/>
          <w:sz w:val="17"/>
          <w:szCs w:val="17"/>
          <w:u w:val="single" w:color="auto"/>
          <w:color w:val="auto"/>
        </w:rPr>
        <w:t>Each Credit Event after the Effective Date</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After the Effective Date, the obligation of each Lender to make a Loan on the occasion of any Borrowing, and of each Issuing Bank to issue, amend, renew or extend any Letter of Credit (other than any Borrowing or issuance, amendment, renewal or extension of a Letter of Credit on the Effective Date), is subject to receipt of the request therefor in accordance herewith and to the satisfaction of the following conditions:</w:t>
      </w:r>
    </w:p>
    <w:p>
      <w:pPr>
        <w:spacing w:after="0" w:line="177" w:lineRule="exact"/>
        <w:rPr>
          <w:sz w:val="20"/>
          <w:szCs w:val="20"/>
          <w:color w:val="auto"/>
        </w:rPr>
      </w:pPr>
    </w:p>
    <w:p>
      <w:pPr>
        <w:jc w:val="both"/>
        <w:ind w:firstLine="1278"/>
        <w:spacing w:after="0" w:line="266" w:lineRule="auto"/>
        <w:tabs>
          <w:tab w:leader="none" w:pos="184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 In the case of any Borrowing, other than a Borrowing under any Incremental Facility, the representations and warranties of each Loan Party set forth in the Loan Documents shall be true and correct in all material respects on and as of the date of such Borrowing or the date of issuance, amendment, renewal or extension of such Letter of Credit, as the case may be, and (ii) in the case of any Borrowing under any Incremental Facility, “specified representations” and, solely to the extent required by the Additional Lenders providing such Incremental Facility, other representations and warranties of each Loan Party set forth in the Loan Documents shall be true and correct in all material respects on and as of the date of such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to the extent that such representations and warranties specifically refer to an earlier date, they shall be true and correct in all material respects as of such earlier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w:t>
      </w:r>
    </w:p>
    <w:p>
      <w:pPr>
        <w:spacing w:after="0" w:line="174" w:lineRule="exact"/>
        <w:rPr>
          <w:rFonts w:ascii="Arial" w:cs="Arial" w:eastAsia="Arial" w:hAnsi="Arial"/>
          <w:sz w:val="18"/>
          <w:szCs w:val="18"/>
          <w:color w:val="auto"/>
        </w:rPr>
      </w:pPr>
    </w:p>
    <w:p>
      <w:pPr>
        <w:jc w:val="both"/>
        <w:ind w:firstLine="1278"/>
        <w:spacing w:after="0" w:line="257" w:lineRule="auto"/>
        <w:tabs>
          <w:tab w:leader="none" w:pos="169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At the time of and immediately after giving effect to such Borrowing or the issuance, amendment, renewal or extension of such Letter of Credit, as the case may be, no Default or Event of Default shall have occurred and be continuing (or, in the case of any Borrowing under any Incremental Facility incurred in connection with a Permitted Acquisition or an Investment not prohibited by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no Event of Default specified in </w:t>
      </w:r>
      <w:r>
        <w:rPr>
          <w:rFonts w:ascii="Arial" w:cs="Arial" w:eastAsia="Arial" w:hAnsi="Arial"/>
          <w:sz w:val="19"/>
          <w:szCs w:val="19"/>
          <w:u w:val="single" w:color="auto"/>
          <w:color w:val="auto"/>
        </w:rPr>
        <w:t>Sections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have occurred and be continuing).</w:t>
      </w:r>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Each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conversion or a continuation of a Borrowing shall not constitute a “Borrowing”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and each issuance, amendment, renewal or extension of a</w:t>
      </w:r>
    </w:p>
    <w:p>
      <w:pPr>
        <w:sectPr>
          <w:pgSz w:w="11900" w:h="16838" w:orient="portrait"/>
          <w:cols w:equalWidth="0" w:num="1">
            <w:col w:w="11240"/>
          </w:cols>
          <w:pgMar w:left="320" w:top="1395" w:right="339" w:bottom="1440" w:gutter="0" w:footer="0" w:header="0"/>
        </w:sectPr>
      </w:pPr>
    </w:p>
    <w:bookmarkStart w:id="198" w:name="page199"/>
    <w:bookmarkEnd w:id="198"/>
    <w:p>
      <w:pPr>
        <w:jc w:val="both"/>
        <w:spacing w:after="0" w:line="263" w:lineRule="auto"/>
        <w:rPr>
          <w:sz w:val="20"/>
          <w:szCs w:val="20"/>
          <w:color w:val="auto"/>
        </w:rPr>
      </w:pPr>
      <w:r>
        <w:rPr>
          <w:rFonts w:ascii="Arial" w:cs="Arial" w:eastAsia="Arial" w:hAnsi="Arial"/>
          <w:sz w:val="19"/>
          <w:szCs w:val="19"/>
          <w:color w:val="auto"/>
        </w:rPr>
        <w:t xml:space="preserve">Letter of Credit (other than any Borrowing or issuance, amendment, renewal or extension of a Letter of Credit on the Effective Date) shall be deemed to constitute a representation and warranty by Holdings and the Borrower on the date thereof as to the matters specified in paragraphs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4.02</w:t>
      </w:r>
      <w:r>
        <w:rPr>
          <w:rFonts w:ascii="Arial" w:cs="Arial" w:eastAsia="Arial" w:hAnsi="Arial"/>
          <w:sz w:val="19"/>
          <w:szCs w:val="19"/>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AFFIRMATIVE COVENANTS</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From and after the Effective Date and until the Commitments shall have expired or been terminated, the principal of and interest on each Loan and all fees, expenses and other amounts (other than contingent amounts not yet due) payable under any Loan Document shall have been paid in full and all Letters of Credit shall have expired or been terminated and all LC Disbursements shall have been fully reimbursed, each of Holdings and the Borrower covenants and agrees with the Lenders that:</w:t>
      </w:r>
    </w:p>
    <w:p>
      <w:pPr>
        <w:spacing w:after="0" w:line="17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5.01</w:t>
      </w:r>
      <w:r>
        <w:rPr>
          <w:sz w:val="20"/>
          <w:szCs w:val="20"/>
          <w:color w:val="auto"/>
        </w:rPr>
        <w:tab/>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Holdings, Borrower and its Restricted Subsidiaries will furnish to the Administrative Agent, on behalf of each Lender:</w:t>
      </w:r>
    </w:p>
    <w:p>
      <w:pPr>
        <w:spacing w:after="0" w:line="219" w:lineRule="exact"/>
        <w:rPr>
          <w:sz w:val="20"/>
          <w:szCs w:val="20"/>
          <w:color w:val="auto"/>
        </w:rPr>
      </w:pPr>
    </w:p>
    <w:p>
      <w:pPr>
        <w:jc w:val="both"/>
        <w:ind w:firstLine="1278"/>
        <w:spacing w:after="0" w:line="266" w:lineRule="auto"/>
        <w:tabs>
          <w:tab w:leader="none" w:pos="173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or before the date that is ninety (90) days after the end of each fiscal year of the Holdings ending after the Effective Date, the audited consolidated balance sheet and audited consolidated statements of operations and comprehensive income, shareholders’ equity and cash flows of Holdings and its Subsidiaries as of the end of and for such year, and related notes thereto,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(other than with respect to, or resulting from, (A) an upcoming maturity date of any indebtedness for borrowed money, (B) any actual or potential breach or inability to satisfy a financial covenant under any indebtedness for borrowed money or (C) any activities, operations, financial results, assets or liabilities of an Unrestricted Subsidiary)) to the effect that such consolidated financial statements present fairly in all material respects the financial condition as of the end of and for such year and results of operations and cash flows of Holdings and such Subsidiaries on a consolidated basis in accordance with GAAP consistently applied;</w:t>
      </w:r>
    </w:p>
    <w:p>
      <w:pPr>
        <w:spacing w:after="0" w:line="170" w:lineRule="exact"/>
        <w:rPr>
          <w:rFonts w:ascii="Arial" w:cs="Arial" w:eastAsia="Arial" w:hAnsi="Arial"/>
          <w:sz w:val="18"/>
          <w:szCs w:val="18"/>
          <w:color w:val="auto"/>
        </w:rPr>
      </w:pPr>
    </w:p>
    <w:p>
      <w:pPr>
        <w:jc w:val="both"/>
        <w:ind w:firstLine="1278"/>
        <w:spacing w:after="0" w:line="267" w:lineRule="auto"/>
        <w:tabs>
          <w:tab w:leader="none" w:pos="17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or before the date that is forty-five (45) days after the end of each fiscal quarter of Holdings ending after the Effective Date (but limited to the first three fiscal quarters of each fiscal year of the Borrower), the unaudited consolidated balance sheet and unaudited consolidated statements of operations and comprehensive income, shareholders’ equity and cash flows of Holdings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w:t>
      </w:r>
    </w:p>
    <w:p>
      <w:pPr>
        <w:spacing w:after="0" w:line="171" w:lineRule="exact"/>
        <w:rPr>
          <w:rFonts w:ascii="Arial" w:cs="Arial" w:eastAsia="Arial" w:hAnsi="Arial"/>
          <w:sz w:val="18"/>
          <w:szCs w:val="18"/>
          <w:color w:val="auto"/>
        </w:rPr>
      </w:pPr>
    </w:p>
    <w:p>
      <w:pPr>
        <w:ind w:left="1680" w:hanging="402"/>
        <w:spacing w:after="0"/>
        <w:tabs>
          <w:tab w:leader="none" w:pos="16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ind w:firstLine="1278"/>
        <w:spacing w:after="0" w:line="278" w:lineRule="auto"/>
        <w:tabs>
          <w:tab w:leader="none" w:pos="1753"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to the extent applicable, simultaneously with the delivery of each set of consolidated financial statements referred to in 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 related unaudited</w:t>
      </w:r>
    </w:p>
    <w:p>
      <w:pPr>
        <w:sectPr>
          <w:pgSz w:w="11900" w:h="16838" w:orient="portrait"/>
          <w:cols w:equalWidth="0" w:num="1">
            <w:col w:w="11240"/>
          </w:cols>
          <w:pgMar w:left="320" w:top="1395" w:right="339" w:bottom="1440" w:gutter="0" w:footer="0" w:header="0"/>
        </w:sectPr>
      </w:pPr>
    </w:p>
    <w:bookmarkStart w:id="199" w:name="page200"/>
    <w:bookmarkEnd w:id="199"/>
    <w:p>
      <w:pPr>
        <w:spacing w:after="0" w:line="278" w:lineRule="auto"/>
        <w:rPr>
          <w:sz w:val="20"/>
          <w:szCs w:val="20"/>
          <w:color w:val="auto"/>
        </w:rPr>
      </w:pPr>
      <w:r>
        <w:rPr>
          <w:rFonts w:ascii="Arial" w:cs="Arial" w:eastAsia="Arial" w:hAnsi="Arial"/>
          <w:sz w:val="19"/>
          <w:szCs w:val="19"/>
          <w:color w:val="auto"/>
        </w:rPr>
        <w:t>consolidating financial information reflecting adjustments necessary to eliminate the accounts of Unrestricted Subsidiaries (if any) from such consolidated financial statements;</w:t>
      </w:r>
    </w:p>
    <w:p>
      <w:pPr>
        <w:spacing w:after="0" w:line="156" w:lineRule="exact"/>
        <w:rPr>
          <w:sz w:val="20"/>
          <w:szCs w:val="20"/>
          <w:color w:val="auto"/>
        </w:rPr>
      </w:pPr>
    </w:p>
    <w:p>
      <w:pPr>
        <w:jc w:val="both"/>
        <w:ind w:firstLine="1278"/>
        <w:spacing w:after="0" w:line="265" w:lineRule="auto"/>
        <w:tabs>
          <w:tab w:leader="none" w:pos="178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on or before the date that is (i) forty-five (45) days after the end of each fiscal quarter of Holdings ending after the Effective Date (but limited to the first three fiscal quarters of each fiscal year of Holdings) and (ii) the later of the date that is (x) ninety (90) days after the end of each fiscal year of Holdings ending after the Effective Date and (y) 10 Business Days after delivery of the financial statements required under </w:t>
      </w:r>
      <w:r>
        <w:rPr>
          <w:rFonts w:ascii="Arial" w:cs="Arial" w:eastAsia="Arial" w:hAnsi="Arial"/>
          <w:sz w:val="18"/>
          <w:szCs w:val="18"/>
          <w:u w:val="single" w:color="auto"/>
          <w:color w:val="auto"/>
        </w:rPr>
        <w:t>Section 5.01(a)</w:t>
      </w:r>
      <w:r>
        <w:rPr>
          <w:rFonts w:ascii="Arial" w:cs="Arial" w:eastAsia="Arial" w:hAnsi="Arial"/>
          <w:sz w:val="18"/>
          <w:szCs w:val="18"/>
          <w:color w:val="auto"/>
        </w:rPr>
        <w:t>, a certificate (a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of a Financial Officer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hereof</w:t>
      </w:r>
    </w:p>
    <w:p>
      <w:pPr>
        <w:spacing w:after="0" w:line="2" w:lineRule="exact"/>
        <w:rPr>
          <w:rFonts w:ascii="Arial" w:cs="Arial" w:eastAsia="Arial" w:hAnsi="Arial"/>
          <w:sz w:val="18"/>
          <w:szCs w:val="18"/>
          <w:color w:val="auto"/>
        </w:rPr>
      </w:pPr>
    </w:p>
    <w:p>
      <w:pPr>
        <w:jc w:val="both"/>
        <w:ind w:firstLine="6"/>
        <w:spacing w:after="0" w:line="250" w:lineRule="auto"/>
        <w:tabs>
          <w:tab w:leader="none" w:pos="233"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certifying as to whether a Default then exists and, if a Default does then exist, specifying the details thereof and any action taken or proposed to be taken with respect thereto and (ii) setting forth reasonably detailed calculations (A) to the extent the Financial Performance Covenant is then required to be tested, demonstrating compliance with the Financial Performance Covenant, and (B) in the case of financial statements delivered under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above, beginning with the financial statements for the fiscal year of Holdings ending on or about December 31, 2022, of Excess Cash Flow for such fiscal year;</w:t>
      </w:r>
    </w:p>
    <w:p>
      <w:pPr>
        <w:spacing w:after="0" w:line="184" w:lineRule="exact"/>
        <w:rPr>
          <w:rFonts w:ascii="Arial" w:cs="Arial" w:eastAsia="Arial" w:hAnsi="Arial"/>
          <w:sz w:val="19"/>
          <w:szCs w:val="19"/>
          <w:color w:val="auto"/>
        </w:rPr>
      </w:pPr>
    </w:p>
    <w:p>
      <w:pPr>
        <w:ind w:left="1660" w:hanging="382"/>
        <w:spacing w:after="0"/>
        <w:tabs>
          <w:tab w:leader="none" w:pos="166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ind w:left="1740" w:hanging="462"/>
        <w:spacing w:after="0"/>
        <w:tabs>
          <w:tab w:leader="none" w:pos="17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not later than the later of (i) 10 Business Days after the delivery of financial information under Section 5.01(a) above or</w:t>
      </w:r>
    </w:p>
    <w:p>
      <w:pPr>
        <w:spacing w:after="0" w:line="34" w:lineRule="exact"/>
        <w:rPr>
          <w:rFonts w:ascii="Arial" w:cs="Arial" w:eastAsia="Arial" w:hAnsi="Arial"/>
          <w:sz w:val="18"/>
          <w:szCs w:val="18"/>
          <w:color w:val="auto"/>
        </w:rPr>
      </w:pPr>
    </w:p>
    <w:p>
      <w:pPr>
        <w:jc w:val="both"/>
        <w:ind w:firstLine="6"/>
        <w:spacing w:after="0" w:line="252" w:lineRule="auto"/>
        <w:tabs>
          <w:tab w:leader="none" w:pos="318"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ninety (90) days after the end of each fiscal year of the Borrower ending after the Effective Date, a detailed consolidated budget for Holdings and its Subsidiaries for such fiscal year (including a projected consolidated balance sheet and consolidated statements of projected income and cash flows as of the end of and for such fiscal year and setting forth the material assumptions used for purposes of preparing such budget);</w:t>
      </w:r>
    </w:p>
    <w:p>
      <w:pPr>
        <w:spacing w:after="0" w:line="179" w:lineRule="exact"/>
        <w:rPr>
          <w:rFonts w:ascii="Arial" w:cs="Arial" w:eastAsia="Arial" w:hAnsi="Arial"/>
          <w:sz w:val="19"/>
          <w:szCs w:val="19"/>
          <w:color w:val="auto"/>
        </w:rPr>
      </w:pPr>
    </w:p>
    <w:p>
      <w:pPr>
        <w:jc w:val="both"/>
        <w:ind w:firstLine="1278"/>
        <w:spacing w:after="0" w:line="255" w:lineRule="auto"/>
        <w:tabs>
          <w:tab w:leader="none" w:pos="1844" w:val="left"/>
        </w:tabs>
        <w:numPr>
          <w:ilvl w:val="1"/>
          <w:numId w:val="186"/>
        </w:numPr>
        <w:rPr>
          <w:rFonts w:ascii="Arial" w:cs="Arial" w:eastAsia="Arial" w:hAnsi="Arial"/>
          <w:sz w:val="19"/>
          <w:szCs w:val="19"/>
          <w:color w:val="auto"/>
        </w:rPr>
      </w:pPr>
      <w:r>
        <w:rPr>
          <w:rFonts w:ascii="Arial" w:cs="Arial" w:eastAsia="Arial" w:hAnsi="Arial"/>
          <w:sz w:val="19"/>
          <w:szCs w:val="19"/>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Restricted Subsidiary with the SEC or with any national securities exchange; and</w:t>
      </w:r>
    </w:p>
    <w:p>
      <w:pPr>
        <w:spacing w:after="0" w:line="177" w:lineRule="exact"/>
        <w:rPr>
          <w:rFonts w:ascii="Arial" w:cs="Arial" w:eastAsia="Arial" w:hAnsi="Arial"/>
          <w:sz w:val="19"/>
          <w:szCs w:val="19"/>
          <w:color w:val="auto"/>
        </w:rPr>
      </w:pPr>
    </w:p>
    <w:p>
      <w:pPr>
        <w:jc w:val="both"/>
        <w:ind w:firstLine="1278"/>
        <w:spacing w:after="0" w:line="263" w:lineRule="auto"/>
        <w:tabs>
          <w:tab w:leader="none" w:pos="172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promptly following any request therefor, such other information regarding the operations, business affairs and financial condition of Holdings, any Intermediate Parent, the Borrower or any Restricted Subsidiary, or compliance with the terms of any Loan Document, as the Administrative Agent on its own behalf or on behalf of any Lender may reasonably request in writing.</w:t>
      </w:r>
    </w:p>
    <w:p>
      <w:pPr>
        <w:spacing w:after="0" w:line="169"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8"/>
          <w:szCs w:val="18"/>
          <w:color w:val="auto"/>
        </w:rPr>
        <w:t xml:space="preserve">Notwithstanding the foregoing, the obligations in paragraphs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may be satisfied with respect to financial information of the Holdings and its Subsidiaries by furnishing (A) the Form 10-K or 10-Q (or the equivalent), as applicable, of Holdings (or a parent company thereof) filed with the SEC within the applicable time periods required by applicable law and regulations or (B) the applicable financial statements of any direct or indirect parent of Holdings;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Holdings and its Subsidiaries on a standalone basis, on the other hand, and (ii) to the extent such information is in lieu of information required to be provided under </w:t>
      </w:r>
      <w:r>
        <w:rPr>
          <w:rFonts w:ascii="Arial" w:cs="Arial" w:eastAsia="Arial" w:hAnsi="Arial"/>
          <w:sz w:val="18"/>
          <w:szCs w:val="18"/>
          <w:u w:val="single" w:color="auto"/>
          <w:color w:val="auto"/>
        </w:rPr>
        <w:t>Section 5.01(a)</w:t>
      </w:r>
      <w:r>
        <w:rPr>
          <w:rFonts w:ascii="Arial" w:cs="Arial" w:eastAsia="Arial" w:hAnsi="Arial"/>
          <w:sz w:val="18"/>
          <w:szCs w:val="18"/>
          <w:color w:val="auto"/>
        </w:rPr>
        <w:t>, such materials are accompanied by a report and opinion of Ernst &amp; Young LLP or any other independent registered public accounting firm of nationally recognized standing, which report and opinion shall be prepared in</w:t>
      </w:r>
    </w:p>
    <w:p>
      <w:pPr>
        <w:sectPr>
          <w:pgSz w:w="11900" w:h="16838" w:orient="portrait"/>
          <w:cols w:equalWidth="0" w:num="1">
            <w:col w:w="11240"/>
          </w:cols>
          <w:pgMar w:left="320" w:top="1395" w:right="339" w:bottom="1440" w:gutter="0" w:footer="0" w:header="0"/>
        </w:sectPr>
      </w:pPr>
    </w:p>
    <w:bookmarkStart w:id="200" w:name="page201"/>
    <w:bookmarkEnd w:id="200"/>
    <w:p>
      <w:pPr>
        <w:jc w:val="both"/>
        <w:spacing w:after="0" w:line="276" w:lineRule="auto"/>
        <w:rPr>
          <w:sz w:val="20"/>
          <w:szCs w:val="20"/>
          <w:color w:val="auto"/>
        </w:rPr>
      </w:pPr>
      <w:r>
        <w:rPr>
          <w:rFonts w:ascii="Arial" w:cs="Arial" w:eastAsia="Arial" w:hAnsi="Arial"/>
          <w:sz w:val="18"/>
          <w:szCs w:val="18"/>
          <w:color w:val="auto"/>
        </w:rPr>
        <w:t>accordance with generally accepted auditing standards and shall not be subject to any “going concern” or like qualification or exception or any qualification or exception as to the scope of such audit (other than with respect to, or resulting solely from, (i) an upcoming maturity date of any indebtedness for borrowed money, (ii) any actual or potential breach or inability to satisfy a financial covenant under any indebtedness for borrowed money or (iii) any activities, operations, financial results, assets or liabilities of an Unrestricted Subsidiary).</w:t>
      </w:r>
    </w:p>
    <w:p>
      <w:pPr>
        <w:spacing w:after="0" w:line="161" w:lineRule="exact"/>
        <w:rPr>
          <w:sz w:val="20"/>
          <w:szCs w:val="20"/>
          <w:color w:val="auto"/>
        </w:rPr>
      </w:pPr>
    </w:p>
    <w:p>
      <w:pPr>
        <w:jc w:val="both"/>
        <w:ind w:firstLine="1272"/>
        <w:spacing w:after="0" w:line="286"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5.01(a), (b)</w:t>
      </w:r>
      <w:r>
        <w:rPr>
          <w:rFonts w:ascii="Arial" w:cs="Arial" w:eastAsia="Arial" w:hAnsi="Arial"/>
          <w:sz w:val="17"/>
          <w:szCs w:val="17"/>
          <w:color w:val="auto"/>
        </w:rPr>
        <w:t xml:space="preserve"> or (h) (to the extent any such documents are included in materials otherwise filed with the SEC) may be delivered electronically and if so delivered, shall be deemed to have been delivered on the date</w:t>
      </w:r>
    </w:p>
    <w:p>
      <w:pPr>
        <w:spacing w:after="0" w:line="1" w:lineRule="exact"/>
        <w:rPr>
          <w:sz w:val="20"/>
          <w:szCs w:val="20"/>
          <w:color w:val="auto"/>
        </w:rPr>
      </w:pPr>
    </w:p>
    <w:p>
      <w:pPr>
        <w:jc w:val="both"/>
        <w:ind w:firstLine="6"/>
        <w:spacing w:after="0" w:line="250" w:lineRule="auto"/>
        <w:tabs>
          <w:tab w:leader="none" w:pos="23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on which Holdings or the Borrower posts such documents, or provides a link thereto on Holdings or the Borrower’s website on the Internet at the website address listed on </w:t>
      </w:r>
      <w:r>
        <w:rPr>
          <w:rFonts w:ascii="Arial" w:cs="Arial" w:eastAsia="Arial" w:hAnsi="Arial"/>
          <w:sz w:val="19"/>
          <w:szCs w:val="19"/>
          <w:u w:val="single" w:color="auto"/>
          <w:color w:val="auto"/>
        </w:rPr>
        <w:t>Schedule 9.01</w:t>
      </w:r>
      <w:r>
        <w:rPr>
          <w:rFonts w:ascii="Arial" w:cs="Arial" w:eastAsia="Arial" w:hAnsi="Arial"/>
          <w:sz w:val="19"/>
          <w:szCs w:val="19"/>
          <w:color w:val="auto"/>
        </w:rPr>
        <w:t xml:space="preserve"> (or otherwise notified pursuant to </w:t>
      </w:r>
      <w:r>
        <w:rPr>
          <w:rFonts w:ascii="Arial" w:cs="Arial" w:eastAsia="Arial" w:hAnsi="Arial"/>
          <w:sz w:val="19"/>
          <w:szCs w:val="19"/>
          <w:u w:val="single" w:color="auto"/>
          <w:color w:val="auto"/>
        </w:rPr>
        <w:t>Section 9.01(d)</w:t>
      </w:r>
      <w:r>
        <w:rPr>
          <w:rFonts w:ascii="Arial" w:cs="Arial" w:eastAsia="Arial" w:hAnsi="Arial"/>
          <w:sz w:val="19"/>
          <w:szCs w:val="19"/>
          <w:color w:val="auto"/>
        </w:rPr>
        <w:t>); or (ii) on which such documents are posted on Holdings or the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82"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 xml:space="preserve">Notwithstanding anything to the contrary herein, neither Holdings, the Borrower nor any Subsidiary shall be required to deliver, disclose, permit the inspection, examination or making of copies of or excerpts from, or any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applicable law, (iii) that is subject to attorney-client or similar privilege or constitutes attorney work product or (iv) with respect to which any Loan Party owes confidentiality obligations (to the extent not created in contemplation of such Loan Party’s obligations under this </w:t>
      </w:r>
      <w:r>
        <w:rPr>
          <w:rFonts w:ascii="Arial" w:cs="Arial" w:eastAsia="Arial" w:hAnsi="Arial"/>
          <w:sz w:val="18"/>
          <w:szCs w:val="18"/>
          <w:u w:val="single" w:color="auto"/>
          <w:color w:val="auto"/>
        </w:rPr>
        <w:t>Section 5.01</w:t>
      </w:r>
      <w:r>
        <w:rPr>
          <w:rFonts w:ascii="Arial" w:cs="Arial" w:eastAsia="Arial" w:hAnsi="Arial"/>
          <w:sz w:val="18"/>
          <w:szCs w:val="18"/>
          <w:color w:val="auto"/>
        </w:rPr>
        <w:t>) to any third party.</w:t>
      </w:r>
    </w:p>
    <w:p>
      <w:pPr>
        <w:spacing w:after="0" w:line="166"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Each of Holdings and the Borrower hereby acknowledges that (a) the Administrative Agent and/or the Bookrunners will make available to the Lenders and the Issuing Bank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and who may be engaged in investment and other market-related activities with respect to Holdings’ the Borrower’s or their Affiliates’ securities. Each of Holdings and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each of Holdings and the Borrower shall be deemed to have authorized the Administrative Agent, the Bookrunners, the Issuing Bank and the Lenders to treat such Borrower Materials as not containing any Material Non-Public Information (although it may be sensitive and proprietary)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(y) all Borrower Materials marked “PUBLIC” are permitted to be made available through a portion of the Platform designated “Public Side Information”; and (z) the Administrative Agent and the Lead Arrangers shall be entitled to treat any Borrower Materials that are not marked “PUBLIC” as being suitable only for posting on a portion of the Platform not designated “Public Side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or the Borrower’s failure to comply with this sentence shall not constitute a Default or an Event of Default under this Agreement or the Loan Documents. Notwithstanding the</w:t>
      </w:r>
    </w:p>
    <w:p>
      <w:pPr>
        <w:sectPr>
          <w:pgSz w:w="11900" w:h="16838" w:orient="portrait"/>
          <w:cols w:equalWidth="0" w:num="1">
            <w:col w:w="11240"/>
          </w:cols>
          <w:pgMar w:left="320" w:top="1395" w:right="339" w:bottom="1440" w:gutter="0" w:footer="0" w:header="0"/>
        </w:sectPr>
      </w:pPr>
    </w:p>
    <w:bookmarkStart w:id="201" w:name="page202"/>
    <w:bookmarkEnd w:id="201"/>
    <w:p>
      <w:pPr>
        <w:jc w:val="both"/>
        <w:spacing w:after="0" w:line="255" w:lineRule="auto"/>
        <w:rPr>
          <w:sz w:val="20"/>
          <w:szCs w:val="20"/>
          <w:color w:val="auto"/>
        </w:rPr>
      </w:pPr>
      <w:r>
        <w:rPr>
          <w:rFonts w:ascii="Arial" w:cs="Arial" w:eastAsia="Arial" w:hAnsi="Arial"/>
          <w:sz w:val="19"/>
          <w:szCs w:val="19"/>
          <w:color w:val="auto"/>
        </w:rPr>
        <w:t xml:space="preserve">foregoing, neither Holdings nor the Borrower shall be under any obligation to mark any Borrower Materials as “PUBLIC”. Each Loan Party hereby acknowledges and agrees that, unless Holdings or the Borrower notifies the Administrative Agent in advance, all financial statements and certificates furnished pursuant to </w:t>
      </w:r>
      <w:r>
        <w:rPr>
          <w:rFonts w:ascii="Arial" w:cs="Arial" w:eastAsia="Arial" w:hAnsi="Arial"/>
          <w:sz w:val="19"/>
          <w:szCs w:val="19"/>
          <w:u w:val="single" w:color="auto"/>
          <w:color w:val="auto"/>
        </w:rPr>
        <w:t>Sections 5.01(a)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17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5.02</w:t>
      </w:r>
      <w:r>
        <w:rPr>
          <w:sz w:val="20"/>
          <w:szCs w:val="20"/>
          <w:color w:val="auto"/>
        </w:rPr>
        <w:tab/>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Promptly after any Responsible Officer of Holdings, the Borrower or any Restricted Subsidiary obtains actual knowledge thereof, Holdings, the Borrower or the applicable Restricted Subsidiary will furnish to the Administrative Agent (for distribution to each Lender through the Administrative Agent) written notice of the following:</w:t>
      </w:r>
    </w:p>
    <w:p>
      <w:pPr>
        <w:spacing w:after="0" w:line="169" w:lineRule="exact"/>
        <w:rPr>
          <w:sz w:val="20"/>
          <w:szCs w:val="20"/>
          <w:color w:val="auto"/>
        </w:rPr>
      </w:pPr>
    </w:p>
    <w:p>
      <w:pPr>
        <w:ind w:left="1680" w:hanging="402"/>
        <w:spacing w:after="0"/>
        <w:tabs>
          <w:tab w:leader="none" w:pos="168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occurrence of any Default or Event of Default;</w:t>
      </w:r>
    </w:p>
    <w:p>
      <w:pPr>
        <w:spacing w:after="0" w:line="218" w:lineRule="exact"/>
        <w:rPr>
          <w:rFonts w:ascii="Arial" w:cs="Arial" w:eastAsia="Arial" w:hAnsi="Arial"/>
          <w:sz w:val="19"/>
          <w:szCs w:val="19"/>
          <w:color w:val="auto"/>
        </w:rPr>
      </w:pPr>
    </w:p>
    <w:p>
      <w:pPr>
        <w:ind w:firstLine="1278"/>
        <w:spacing w:after="0" w:line="278" w:lineRule="auto"/>
        <w:tabs>
          <w:tab w:leader="none" w:pos="176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occurrence of any ERISA Event that would reasonably be expected, individually or in the aggregate, to result in a Material Adverse Effect; and</w:t>
      </w:r>
    </w:p>
    <w:p>
      <w:pPr>
        <w:spacing w:after="0" w:line="156" w:lineRule="exact"/>
        <w:rPr>
          <w:rFonts w:ascii="Arial" w:cs="Arial" w:eastAsia="Arial" w:hAnsi="Arial"/>
          <w:sz w:val="19"/>
          <w:szCs w:val="19"/>
          <w:color w:val="auto"/>
        </w:rPr>
      </w:pPr>
    </w:p>
    <w:p>
      <w:pPr>
        <w:ind w:firstLine="1278"/>
        <w:spacing w:after="0" w:line="278" w:lineRule="auto"/>
        <w:tabs>
          <w:tab w:leader="none" w:pos="1717" w:val="left"/>
        </w:tabs>
        <w:numPr>
          <w:ilvl w:val="0"/>
          <w:numId w:val="188"/>
        </w:numPr>
        <w:rPr>
          <w:rFonts w:ascii="Arial" w:cs="Arial" w:eastAsia="Arial" w:hAnsi="Arial"/>
          <w:sz w:val="19"/>
          <w:szCs w:val="19"/>
          <w:color w:val="auto"/>
        </w:rPr>
      </w:pPr>
      <w:r>
        <w:rPr>
          <w:rFonts w:ascii="Arial" w:cs="Arial" w:eastAsia="Arial" w:hAnsi="Arial"/>
          <w:sz w:val="19"/>
          <w:szCs w:val="19"/>
          <w:color w:val="auto"/>
        </w:rPr>
        <w:t>any other development or event (including without limitation, litigation) that would reasonably be expected, individually or in the aggregate, to result in a Material Adverse Effect.</w:t>
      </w:r>
    </w:p>
    <w:p>
      <w:pPr>
        <w:spacing w:after="0" w:line="156" w:lineRule="exact"/>
        <w:rPr>
          <w:sz w:val="20"/>
          <w:szCs w:val="20"/>
          <w:color w:val="auto"/>
        </w:rPr>
      </w:pPr>
    </w:p>
    <w:p>
      <w:pPr>
        <w:spacing w:after="0" w:line="339" w:lineRule="auto"/>
        <w:rPr>
          <w:sz w:val="20"/>
          <w:szCs w:val="20"/>
          <w:color w:val="auto"/>
        </w:rPr>
      </w:pPr>
      <w:r>
        <w:rPr>
          <w:rFonts w:ascii="Arial" w:cs="Arial" w:eastAsia="Arial" w:hAnsi="Arial"/>
          <w:sz w:val="17"/>
          <w:szCs w:val="17"/>
          <w:color w:val="auto"/>
        </w:rPr>
        <w:t xml:space="preserve">Each notice delivered under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shall be accompanied by a written statement of a Responsible Officer of Holdings or the Borrower setting forth the details of the event or development requiring such notice and any action taken or proposed to be taken with respect thereto.</w:t>
      </w:r>
    </w:p>
    <w:p>
      <w:pPr>
        <w:spacing w:after="0" w:line="110"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5.03</w:t>
      </w:r>
      <w:r>
        <w:rPr>
          <w:sz w:val="20"/>
          <w:szCs w:val="20"/>
          <w:color w:val="auto"/>
        </w:rPr>
        <w:tab/>
      </w:r>
      <w:r>
        <w:rPr>
          <w:rFonts w:ascii="Arial" w:cs="Arial" w:eastAsia="Arial" w:hAnsi="Arial"/>
          <w:sz w:val="17"/>
          <w:szCs w:val="17"/>
          <w:u w:val="single" w:color="auto"/>
          <w:color w:val="auto"/>
        </w:rPr>
        <w:t>Information Regarding Collateral</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53" w:lineRule="auto"/>
        <w:tabs>
          <w:tab w:leader="none" w:pos="1746" w:val="left"/>
        </w:tabs>
        <w:numPr>
          <w:ilvl w:val="0"/>
          <w:numId w:val="189"/>
        </w:numPr>
        <w:rPr>
          <w:rFonts w:ascii="Arial" w:cs="Arial" w:eastAsia="Arial" w:hAnsi="Arial"/>
          <w:sz w:val="19"/>
          <w:szCs w:val="19"/>
          <w:color w:val="auto"/>
        </w:rPr>
      </w:pPr>
      <w:r>
        <w:rPr>
          <w:rFonts w:ascii="Arial" w:cs="Arial" w:eastAsia="Arial" w:hAnsi="Arial"/>
          <w:sz w:val="19"/>
          <w:szCs w:val="19"/>
          <w:color w:val="auto"/>
        </w:rPr>
        <w:t>Holdings or the Borrower will furnish to the Administrative Agent prompt (and in any event within thirty (30) days or such longer period as reasonably agreed to by the Administrative Agent) written notice of any change (i) in any Loan Party’s legal name (as set forth in its certificate of organization or incorporation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81" w:lineRule="exact"/>
        <w:rPr>
          <w:rFonts w:ascii="Arial" w:cs="Arial" w:eastAsia="Arial" w:hAnsi="Arial"/>
          <w:sz w:val="19"/>
          <w:szCs w:val="19"/>
          <w:color w:val="auto"/>
        </w:rPr>
      </w:pPr>
    </w:p>
    <w:p>
      <w:pPr>
        <w:jc w:val="both"/>
        <w:ind w:firstLine="1278"/>
        <w:spacing w:after="0" w:line="270" w:lineRule="auto"/>
        <w:tabs>
          <w:tab w:leader="none" w:pos="171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Not later than five (5) Business Days after delivery of the compliance certificate pursuant to </w:t>
      </w:r>
      <w:r>
        <w:rPr>
          <w:rFonts w:ascii="Arial" w:cs="Arial" w:eastAsia="Arial" w:hAnsi="Arial"/>
          <w:sz w:val="18"/>
          <w:szCs w:val="18"/>
          <w:u w:val="single" w:color="auto"/>
          <w:color w:val="auto"/>
        </w:rPr>
        <w:t>Section 5.01(e)</w:t>
      </w:r>
      <w:r>
        <w:rPr>
          <w:rFonts w:ascii="Arial" w:cs="Arial" w:eastAsia="Arial" w:hAnsi="Arial"/>
          <w:sz w:val="18"/>
          <w:szCs w:val="18"/>
          <w:color w:val="auto"/>
        </w:rPr>
        <w:t xml:space="preserve">, Holdings or the Borrower shall deliver to the Administrative Agent a certificate executed by a Responsible Officer of Holdings or the Borrower (i) setting forth any material changes to the information required pursuant to the Perfection Certificate or confirming that there has been no material change in such information since the date of the Perfection Certificate delivered on the Effective Date or the date of the most recent certificate delivered pursuant to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(ii) identifying any Wholly Owned Restricted Subsidiary that has become, or ceased to be, a Material Subsidiary or an Excluded Subsidiary during the most recently ended fiscal quarter.</w:t>
      </w:r>
    </w:p>
    <w:p>
      <w:pPr>
        <w:spacing w:after="0" w:line="16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5.04</w:t>
      </w:r>
      <w:r>
        <w:rPr>
          <w:sz w:val="20"/>
          <w:szCs w:val="20"/>
          <w:color w:val="auto"/>
        </w:rPr>
        <w:tab/>
      </w:r>
      <w:r>
        <w:rPr>
          <w:rFonts w:ascii="Arial" w:cs="Arial" w:eastAsia="Arial" w:hAnsi="Arial"/>
          <w:sz w:val="17"/>
          <w:szCs w:val="17"/>
          <w:u w:val="single" w:color="auto"/>
          <w:color w:val="auto"/>
        </w:rPr>
        <w:t>Existence; Conduct of Business</w:t>
      </w:r>
      <w:r>
        <w:rPr>
          <w:rFonts w:ascii="Arial" w:cs="Arial" w:eastAsia="Arial" w:hAnsi="Arial"/>
          <w:sz w:val="17"/>
          <w:szCs w:val="17"/>
          <w:color w:val="auto"/>
        </w:rPr>
        <w:t>.</w:t>
      </w:r>
    </w:p>
    <w:p>
      <w:pPr>
        <w:spacing w:after="0" w:line="219" w:lineRule="exact"/>
        <w:rPr>
          <w:sz w:val="20"/>
          <w:szCs w:val="20"/>
          <w:color w:val="auto"/>
        </w:rPr>
      </w:pPr>
    </w:p>
    <w:p>
      <w:pPr>
        <w:ind w:right="20" w:firstLine="1272"/>
        <w:spacing w:after="0" w:line="278" w:lineRule="auto"/>
        <w:rPr>
          <w:sz w:val="20"/>
          <w:szCs w:val="20"/>
          <w:color w:val="auto"/>
        </w:rPr>
      </w:pPr>
      <w:r>
        <w:rPr>
          <w:rFonts w:ascii="Arial" w:cs="Arial" w:eastAsia="Arial" w:hAnsi="Arial"/>
          <w:sz w:val="19"/>
          <w:szCs w:val="19"/>
          <w:color w:val="auto"/>
        </w:rPr>
        <w:t>Each of Holdings and the Borrower will, and will cause each Restricted Subsidiary to, do or cause to be done all things necessary to obtain, preserve, renew and keep in full force and effect its</w:t>
      </w:r>
    </w:p>
    <w:p>
      <w:pPr>
        <w:sectPr>
          <w:pgSz w:w="11900" w:h="16838" w:orient="portrait"/>
          <w:cols w:equalWidth="0" w:num="1">
            <w:col w:w="11240"/>
          </w:cols>
          <w:pgMar w:left="320" w:top="1395" w:right="339" w:bottom="1440" w:gutter="0" w:footer="0" w:header="0"/>
        </w:sectPr>
      </w:pPr>
    </w:p>
    <w:bookmarkStart w:id="202" w:name="page203"/>
    <w:bookmarkEnd w:id="202"/>
    <w:p>
      <w:pPr>
        <w:jc w:val="both"/>
        <w:spacing w:after="0" w:line="276" w:lineRule="auto"/>
        <w:rPr>
          <w:sz w:val="20"/>
          <w:szCs w:val="20"/>
          <w:color w:val="auto"/>
        </w:rPr>
      </w:pPr>
      <w:r>
        <w:rPr>
          <w:rFonts w:ascii="Arial" w:cs="Arial" w:eastAsia="Arial" w:hAnsi="Arial"/>
          <w:sz w:val="18"/>
          <w:szCs w:val="18"/>
          <w:color w:val="auto"/>
        </w:rPr>
        <w:t xml:space="preserve">legal existence and the rights, licenses, permits, privileges, franchises, Intellectual Property and Governmental Approvals used in the conduct of its business, except to the extent (other than with respect to the preservation of the existence of Holdings and the Borrower) that the failure to do so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or any Disposition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6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5.05</w:t>
      </w:r>
      <w:r>
        <w:rPr>
          <w:sz w:val="20"/>
          <w:szCs w:val="20"/>
          <w:color w:val="auto"/>
        </w:rPr>
        <w:tab/>
      </w:r>
      <w:r>
        <w:rPr>
          <w:rFonts w:ascii="Arial" w:cs="Arial" w:eastAsia="Arial" w:hAnsi="Arial"/>
          <w:sz w:val="17"/>
          <w:szCs w:val="17"/>
          <w:u w:val="single" w:color="auto"/>
          <w:color w:val="auto"/>
        </w:rPr>
        <w:t>Payment of Taxes, etc</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Each of Holdings and the Borrower will, and will cause each Restricted Subsidiary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its Subsidiaries or (b) the failure to make payment would not reasonably be expected, individually or in the aggregate, to result in a Material Adverse Effect.</w:t>
      </w:r>
    </w:p>
    <w:p>
      <w:pPr>
        <w:spacing w:after="0" w:line="17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5.06</w:t>
      </w:r>
      <w:r>
        <w:rPr>
          <w:sz w:val="20"/>
          <w:szCs w:val="20"/>
          <w:color w:val="auto"/>
        </w:rPr>
        <w:tab/>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Each of Holdings and the Borrower will, and will cause each Restricted Subsidiary to, keep and maintain all tangible property material to the conduct of its business in good working order and condition (subject to casualty, condemnation and ordinary wear and tear), except where the failure to do so would not reasonably be expected to have, individually or in the aggregate, a Material Adverse Effect.</w:t>
      </w:r>
    </w:p>
    <w:p>
      <w:pPr>
        <w:spacing w:after="0" w:line="15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5.07</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65" w:lineRule="auto"/>
        <w:tabs>
          <w:tab w:leader="none" w:pos="16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of Holdings and the Borrower will, and will cause each Restricted Subsidiary to, maintain,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or the management of the Borrower) are reasonable and prudent in light of the size and nature of its business, and will furnish to the Lenders, upon written request from the Collateral Agent, information presented in reasonable detail as to the insurance so carried. Each such general liability policy of insurance (other than directors and officers policies, workers compensation policies and business interruption insurance), to the extent covering Collateral and to the extent the Collateral Agent can be granted an insurable interest therein, shall (i) in the case of each such general liability policy, name the Collateral Agent, on behalf of the Secured Parties, as an additional insured thereunder as its interests may appear and (ii) in the case of each such casualty insurance policy, contain a loss payable clause or mortgagee endorsement that names the Collateral Agent, on behalf of the Lenders as the loss payee or mortgagee thereunder.</w:t>
      </w:r>
    </w:p>
    <w:p>
      <w:pPr>
        <w:spacing w:after="0" w:line="172" w:lineRule="exact"/>
        <w:rPr>
          <w:rFonts w:ascii="Arial" w:cs="Arial" w:eastAsia="Arial" w:hAnsi="Arial"/>
          <w:sz w:val="18"/>
          <w:szCs w:val="18"/>
          <w:color w:val="auto"/>
        </w:rPr>
      </w:pPr>
    </w:p>
    <w:p>
      <w:pPr>
        <w:jc w:val="both"/>
        <w:ind w:firstLine="1278"/>
        <w:spacing w:after="0" w:line="253" w:lineRule="auto"/>
        <w:tabs>
          <w:tab w:leader="none" w:pos="185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if required by the Flood Insurance Laws or other applicable law, maintain, or cause to be maintained, with insurance companies that the Borrower believes (in the good faith judgment of the management of the Borrower) are financially sound and responsible at the time the</w:t>
      </w:r>
    </w:p>
    <w:p>
      <w:pPr>
        <w:sectPr>
          <w:pgSz w:w="11900" w:h="16838" w:orient="portrait"/>
          <w:cols w:equalWidth="0" w:num="1">
            <w:col w:w="11240"/>
          </w:cols>
          <w:pgMar w:left="320" w:top="1395" w:right="339" w:bottom="1440" w:gutter="0" w:footer="0" w:header="0"/>
        </w:sectPr>
      </w:pPr>
    </w:p>
    <w:bookmarkStart w:id="203" w:name="page204"/>
    <w:bookmarkEnd w:id="203"/>
    <w:p>
      <w:pPr>
        <w:jc w:val="both"/>
        <w:spacing w:after="0" w:line="263" w:lineRule="auto"/>
        <w:rPr>
          <w:sz w:val="20"/>
          <w:szCs w:val="20"/>
          <w:color w:val="auto"/>
        </w:rPr>
      </w:pPr>
      <w:r>
        <w:rPr>
          <w:rFonts w:ascii="Arial" w:cs="Arial" w:eastAsia="Arial" w:hAnsi="Arial"/>
          <w:sz w:val="19"/>
          <w:szCs w:val="19"/>
          <w:color w:val="auto"/>
        </w:rPr>
        <w:t>relevant coverage is placed or renewed, flood insurance in an amount and otherwise sufficient to comply with all applicable rules and regulations promulgated pursuant to the Flood Insurance Laws and (ii) furnish to the Lenders, upon written request from the Collateral Agent, information presented in reasonable detail as to the flood insurance so carried.</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5.08</w:t>
      </w:r>
      <w:r>
        <w:rPr>
          <w:sz w:val="20"/>
          <w:szCs w:val="20"/>
          <w:color w:val="auto"/>
        </w:rPr>
        <w:tab/>
      </w:r>
      <w:r>
        <w:rPr>
          <w:rFonts w:ascii="Arial" w:cs="Arial" w:eastAsia="Arial" w:hAnsi="Arial"/>
          <w:sz w:val="17"/>
          <w:szCs w:val="17"/>
          <w:u w:val="single" w:color="auto"/>
          <w:color w:val="auto"/>
        </w:rPr>
        <w:t>Books and Records; Inspection and Audit Rights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81" w:lineRule="auto"/>
        <w:rPr>
          <w:sz w:val="20"/>
          <w:szCs w:val="20"/>
          <w:color w:val="auto"/>
        </w:rPr>
      </w:pPr>
      <w:r>
        <w:rPr>
          <w:rFonts w:ascii="Arial" w:cs="Arial" w:eastAsia="Arial" w:hAnsi="Arial"/>
          <w:sz w:val="17"/>
          <w:szCs w:val="17"/>
          <w:color w:val="auto"/>
        </w:rPr>
        <w:t xml:space="preserve">Each of Holdings and 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its Restricted Subsidiary, as the case may be. Each of Holdings and the Borrower will, and will cause each Restricted Subsidiary that is a Loan Party to, permit any representatives designated by the Administrative Agent or any Lender, during normal business hours and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excluding any such visits and inspections during the continuation of an Event of Default, only the Administrative Agent on behalf of the Lenders may exercise visitation and inspection rights of the Administrative Agent and the Lenders under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and the Administrative Agent shall not exercise such rights more often than one time during any calendar year absent the existence of an Event of Default and such time shall be at the Borrower’s expense;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(b) the Administrative Agent and the Lenders shall give Holdings and the Borrower the opportunity to participate in any discussions with Holdings’ or the Borrower’s independent public accountants.</w:t>
      </w:r>
    </w:p>
    <w:p>
      <w:pPr>
        <w:spacing w:after="0" w:line="16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5.09</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255" w:lineRule="auto"/>
        <w:tabs>
          <w:tab w:leader="none" w:pos="1706" w:val="left"/>
        </w:tabs>
        <w:numPr>
          <w:ilvl w:val="0"/>
          <w:numId w:val="191"/>
        </w:numPr>
        <w:rPr>
          <w:rFonts w:ascii="Arial" w:cs="Arial" w:eastAsia="Arial" w:hAnsi="Arial"/>
          <w:sz w:val="19"/>
          <w:szCs w:val="19"/>
          <w:color w:val="auto"/>
        </w:rPr>
      </w:pPr>
      <w:r>
        <w:rPr>
          <w:rFonts w:ascii="Arial" w:cs="Arial" w:eastAsia="Arial" w:hAnsi="Arial"/>
          <w:sz w:val="19"/>
          <w:szCs w:val="19"/>
          <w:color w:val="auto"/>
        </w:rPr>
        <w:t>Holdings and the Borrower will, and will cause each Restricted Subsidiary to, comply with its Organizational Documents and all Requirements of Law (including ERISA, Environmental Laws, the USA PATRIOT Act, Office of Foreign Assets Control of the U.S. Department of the Treasury or the U.S. Department of State, the U.S. Foreign Corrupt Practices Act of 1977 and other anti-money laundering, anti-corruption, sanctions and anti-terrorism laws) with respect to it, its property and operations, except where the failure to do so, individually or in the aggregate, would not reasonably be expected to result in a Material Adverse Effect.</w:t>
      </w:r>
    </w:p>
    <w:p>
      <w:pPr>
        <w:spacing w:after="0" w:line="177" w:lineRule="exact"/>
        <w:rPr>
          <w:rFonts w:ascii="Arial" w:cs="Arial" w:eastAsia="Arial" w:hAnsi="Arial"/>
          <w:sz w:val="19"/>
          <w:szCs w:val="19"/>
          <w:color w:val="auto"/>
        </w:rPr>
      </w:pPr>
    </w:p>
    <w:p>
      <w:pPr>
        <w:jc w:val="both"/>
        <w:ind w:firstLine="1278"/>
        <w:spacing w:after="0" w:line="251" w:lineRule="auto"/>
        <w:tabs>
          <w:tab w:leader="none" w:pos="1735"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Borrower will not request any Borrowing or Letter of Credit, and the Borrower shall not use, and Holdings and the Borrower shall procure that each of its Subsidiaries and its or their respective directors, officers, employees and agents shall not use, the proceeds of any Borrowing or Letter of Credit (i) for the purpose of funding, financing or facilitating any activities, business or transaction of or with any Sanctioned Person, or in any Sanctioned Country except to the extent permissible for a Person required to comply with Sanctions or where such activities are authorized under a general or specific license, law, or regulation, (ii) in any manner that would result in the violation of any Sanctions applicable to the Borrower and its Subsidiaries or to the knowledge of the Borrower, any other party hereto or (iii) in furtherance of an offer, payment, promise to pay, or authorization of the payment or giving of money, or anything else of value, to any Person in violation of any legislation.</w:t>
      </w:r>
    </w:p>
    <w:p>
      <w:pPr>
        <w:sectPr>
          <w:pgSz w:w="11900" w:h="16838" w:orient="portrait"/>
          <w:cols w:equalWidth="0" w:num="1">
            <w:col w:w="11240"/>
          </w:cols>
          <w:pgMar w:left="320" w:top="1395" w:right="339" w:bottom="1440" w:gutter="0" w:footer="0" w:header="0"/>
        </w:sectPr>
      </w:pPr>
    </w:p>
    <w:bookmarkStart w:id="204" w:name="page205"/>
    <w:bookmarkEnd w:id="204"/>
    <w:p>
      <w:pPr>
        <w:ind w:left="160"/>
        <w:spacing w:after="0"/>
        <w:tabs>
          <w:tab w:leader="none" w:pos="1540" w:val="left"/>
        </w:tabs>
        <w:rPr>
          <w:sz w:val="20"/>
          <w:szCs w:val="20"/>
          <w:color w:val="auto"/>
        </w:rPr>
      </w:pPr>
      <w:r>
        <w:rPr>
          <w:rFonts w:ascii="Arial" w:cs="Arial" w:eastAsia="Arial" w:hAnsi="Arial"/>
          <w:sz w:val="19"/>
          <w:szCs w:val="19"/>
          <w:color w:val="auto"/>
        </w:rPr>
        <w:t>SECTION 5.10</w:t>
      </w:r>
      <w:r>
        <w:rPr>
          <w:sz w:val="20"/>
          <w:szCs w:val="20"/>
          <w:color w:val="auto"/>
        </w:rPr>
        <w:tab/>
      </w:r>
      <w:r>
        <w:rPr>
          <w:rFonts w:ascii="Arial" w:cs="Arial" w:eastAsia="Arial" w:hAnsi="Arial"/>
          <w:sz w:val="17"/>
          <w:szCs w:val="17"/>
          <w:u w:val="single" w:color="auto"/>
          <w:color w:val="auto"/>
        </w:rPr>
        <w:t>Use of Proceeds and Letters of Credit</w:t>
      </w:r>
      <w:r>
        <w:rPr>
          <w:rFonts w:ascii="Arial" w:cs="Arial" w:eastAsia="Arial" w:hAnsi="Arial"/>
          <w:sz w:val="17"/>
          <w:szCs w:val="17"/>
          <w:color w:val="auto"/>
        </w:rPr>
        <w:t>.</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9"/>
          <w:szCs w:val="19"/>
          <w:color w:val="auto"/>
        </w:rPr>
        <w:t xml:space="preserve">The Borrower will use the proceeds of the Loans and Letters of Credit for the purposes set forth in </w:t>
      </w:r>
      <w:r>
        <w:rPr>
          <w:rFonts w:ascii="Arial" w:cs="Arial" w:eastAsia="Arial" w:hAnsi="Arial"/>
          <w:sz w:val="19"/>
          <w:szCs w:val="19"/>
          <w:u w:val="single" w:color="auto"/>
          <w:color w:val="auto"/>
        </w:rPr>
        <w:t>Section 3.16</w:t>
      </w:r>
      <w:r>
        <w:rPr>
          <w:rFonts w:ascii="Arial" w:cs="Arial" w:eastAsia="Arial" w:hAnsi="Arial"/>
          <w:sz w:val="19"/>
          <w:szCs w:val="19"/>
          <w:color w:val="auto"/>
        </w:rPr>
        <w:t>.</w:t>
      </w:r>
    </w:p>
    <w:p>
      <w:pPr>
        <w:spacing w:after="0" w:line="219"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9"/>
          <w:szCs w:val="19"/>
          <w:color w:val="auto"/>
        </w:rPr>
        <w:t>SECTION 5.11</w:t>
      </w:r>
      <w:r>
        <w:rPr>
          <w:sz w:val="20"/>
          <w:szCs w:val="20"/>
          <w:color w:val="auto"/>
        </w:rPr>
        <w:tab/>
      </w:r>
      <w:r>
        <w:rPr>
          <w:rFonts w:ascii="Arial" w:cs="Arial" w:eastAsia="Arial" w:hAnsi="Arial"/>
          <w:sz w:val="18"/>
          <w:szCs w:val="18"/>
          <w:u w:val="single" w:color="auto"/>
          <w:color w:val="auto"/>
        </w:rPr>
        <w:t>Additional Subsidiaries</w:t>
      </w:r>
      <w:r>
        <w:rPr>
          <w:rFonts w:ascii="Arial" w:cs="Arial" w:eastAsia="Arial" w:hAnsi="Arial"/>
          <w:sz w:val="18"/>
          <w:szCs w:val="18"/>
          <w:color w:val="auto"/>
        </w:rPr>
        <w:t>.</w:t>
      </w:r>
    </w:p>
    <w:p>
      <w:pPr>
        <w:spacing w:after="0" w:line="219" w:lineRule="exact"/>
        <w:rPr>
          <w:sz w:val="20"/>
          <w:szCs w:val="20"/>
          <w:color w:val="auto"/>
        </w:rPr>
      </w:pPr>
    </w:p>
    <w:p>
      <w:pPr>
        <w:jc w:val="both"/>
        <w:ind w:left="-1120" w:firstLine="1278"/>
        <w:spacing w:after="0" w:line="265" w:lineRule="auto"/>
        <w:tabs>
          <w:tab w:leader="none" w:pos="58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(i) any additional Restricted Subsidiary or Intermediate Parent is formed or acquired after the Effective Date, (ii) if any Restricted Subsidiary ceases to be an Excluded Subsidiary or (iii) if the Borrower, at its option, elects to cause a Domestic Subsidiary, or to the extent reasonably acceptable to the Administrative Agent, a Foreign Subsidiary that is not a Wholly Owned Subsidiary (including any consolidated Affiliate in which Holdings and its Subsidiaries own no Equity Interest) to become a Subsidiary Loan Party, then, Holdings and the Borrower will, within thirty (30) days (or such longer period as may be agreed to by the Administrative Agent in its reasonable discretion) after such newly formed or acquired Restricted Subsidiary or Intermediate Parent is formed or acquired or such Restricted Subsidiary ceases to be an Excluded Subsidiary or Holdings has made such election, notify the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thirty (30) days after such notice (or such longer period as the Administrative Agent shall reasonably agree) and the Administrative Agent shall have received a completed Perfection Certificate (or supplement thereof) with respect to such Restricted Subsidiary or Intermediate Parent signed by a Responsible Officer, together with all attachments contemplated thereby.</w:t>
      </w:r>
    </w:p>
    <w:p>
      <w:pPr>
        <w:spacing w:after="0" w:line="169" w:lineRule="exact"/>
        <w:rPr>
          <w:rFonts w:ascii="Arial" w:cs="Arial" w:eastAsia="Arial" w:hAnsi="Arial"/>
          <w:sz w:val="18"/>
          <w:szCs w:val="18"/>
          <w:color w:val="auto"/>
        </w:rPr>
      </w:pPr>
    </w:p>
    <w:p>
      <w:pPr>
        <w:jc w:val="both"/>
        <w:ind w:left="-1120" w:firstLine="1278"/>
        <w:spacing w:after="0" w:line="253" w:lineRule="auto"/>
        <w:tabs>
          <w:tab w:leader="none" w:pos="642"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Within sixty (60) days (or, to the extent any new Material Subsidiary is organized or incorporated under the laws of a jurisdiction in which no existing Loan Party is organized or incorporated, within ninety (90) days) (or, in each case, such longer period as otherwise provided in this Agreement or as the Administrative Agent may reasonably agree) after the Borrower identifies any new Material Subsidiary pursuant to </w:t>
      </w:r>
      <w:r>
        <w:rPr>
          <w:rFonts w:ascii="Arial" w:cs="Arial" w:eastAsia="Arial" w:hAnsi="Arial"/>
          <w:sz w:val="19"/>
          <w:szCs w:val="19"/>
          <w:u w:val="single" w:color="auto"/>
          <w:color w:val="auto"/>
        </w:rPr>
        <w:t>Section 5.03(b)</w:t>
      </w:r>
      <w:r>
        <w:rPr>
          <w:rFonts w:ascii="Arial" w:cs="Arial" w:eastAsia="Arial" w:hAnsi="Arial"/>
          <w:sz w:val="19"/>
          <w:szCs w:val="19"/>
          <w:color w:val="auto"/>
        </w:rPr>
        <w:t xml:space="preserve"> (unless such Material Subsidiary is an Excluded Subsidiary), all actions (if any) required to be taken with respect to such Subsidiary in order to satisfy the Collateral and Guarantee Requirement shall have been taken with respect to such Subsidiary, to the extent not already satisfied pursuant to </w:t>
      </w:r>
      <w:r>
        <w:rPr>
          <w:rFonts w:ascii="Arial" w:cs="Arial" w:eastAsia="Arial" w:hAnsi="Arial"/>
          <w:sz w:val="19"/>
          <w:szCs w:val="19"/>
          <w:u w:val="single" w:color="auto"/>
          <w:color w:val="auto"/>
        </w:rPr>
        <w:t>Section 5.11(a)</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jc w:val="both"/>
        <w:ind w:left="-1120" w:firstLine="1278"/>
        <w:spacing w:after="0" w:line="276" w:lineRule="auto"/>
        <w:tabs>
          <w:tab w:leader="none" w:pos="58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any real property would be required to be mortgaged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Holdings or the Borrower shall be required to comply with the “Collateral and Guarantee Requirement” as it relates to such real property within ninety (90) days, following the formation or acquisition of such real property or such Restricted Subsidiary or the identification of such new Material Subsidiary, or such longer time period as agreed by the Administrative Agent in its reasonable discretion.</w:t>
      </w:r>
    </w:p>
    <w:p>
      <w:pPr>
        <w:spacing w:after="0" w:line="161"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9"/>
          <w:szCs w:val="19"/>
          <w:color w:val="auto"/>
        </w:rPr>
        <w:t>SECTION 5.12</w:t>
      </w:r>
      <w:r>
        <w:rPr>
          <w:sz w:val="20"/>
          <w:szCs w:val="20"/>
          <w:color w:val="auto"/>
        </w:rPr>
        <w:tab/>
      </w:r>
      <w:r>
        <w:rPr>
          <w:rFonts w:ascii="Arial" w:cs="Arial" w:eastAsia="Arial" w:hAnsi="Arial"/>
          <w:sz w:val="17"/>
          <w:szCs w:val="17"/>
          <w:u w:val="single" w:color="auto"/>
          <w:color w:val="auto"/>
        </w:rPr>
        <w:t>Further Assurances</w:t>
      </w:r>
      <w:r>
        <w:rPr>
          <w:rFonts w:ascii="Arial" w:cs="Arial" w:eastAsia="Arial" w:hAnsi="Arial"/>
          <w:sz w:val="17"/>
          <w:szCs w:val="17"/>
          <w:color w:val="auto"/>
        </w:rPr>
        <w:t>.</w:t>
      </w:r>
    </w:p>
    <w:p>
      <w:pPr>
        <w:spacing w:after="0" w:line="219" w:lineRule="exact"/>
        <w:rPr>
          <w:sz w:val="20"/>
          <w:szCs w:val="20"/>
          <w:color w:val="auto"/>
        </w:rPr>
      </w:pPr>
    </w:p>
    <w:p>
      <w:pPr>
        <w:jc w:val="both"/>
        <w:ind w:left="-1120" w:firstLine="1278"/>
        <w:spacing w:after="0" w:line="255" w:lineRule="auto"/>
        <w:tabs>
          <w:tab w:leader="none" w:pos="66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w:t>
      </w:r>
    </w:p>
    <w:p>
      <w:pPr>
        <w:sectPr>
          <w:pgSz w:w="11900" w:h="16838" w:orient="portrait"/>
          <w:cols w:equalWidth="0" w:num="1">
            <w:col w:w="10120"/>
          </w:cols>
          <w:pgMar w:left="1440" w:top="1395" w:right="339" w:bottom="1440" w:gutter="0" w:footer="0" w:header="0"/>
        </w:sectPr>
      </w:pPr>
    </w:p>
    <w:bookmarkStart w:id="205" w:name="page206"/>
    <w:bookmarkEnd w:id="205"/>
    <w:p>
      <w:pPr>
        <w:jc w:val="both"/>
        <w:ind w:firstLine="1278"/>
        <w:spacing w:after="0" w:line="282" w:lineRule="auto"/>
        <w:tabs>
          <w:tab w:leader="none" w:pos="1784"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If, after the Effective Date, any material assets (other than Excluded Assets), including any owned (but not leased or ground-leased) Material Real Property or improvements thereto or any interest therein, are acquired by Holdings, the Borrower or any other Loan Party or are held by any Subsidiary on or after the time it becomes a Loan Party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(other than assets constituting Collateral under a Security Document that become subject to the Lien created by such Security Document upon acquisition thereof or constituting Excluded Assets), Holdings or the Borrower will notify the Administrative Agent thereof, and, if requested by the Administrative Agent, Holdings and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the Borrower or such other Loan Party, as applicable, shall be required to comply with the “Collateral and Guarantee Requirement” and paragraph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within ninety (90) days following the acquisition of such Material Real Property or such longer time period as agreed by the Administrative Agent in its reasonable discretion.</w:t>
      </w:r>
    </w:p>
    <w:p>
      <w:pPr>
        <w:spacing w:after="0" w:line="15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5.13</w:t>
      </w:r>
      <w:r>
        <w:rPr>
          <w:sz w:val="20"/>
          <w:szCs w:val="20"/>
          <w:color w:val="auto"/>
        </w:rPr>
        <w:tab/>
      </w:r>
      <w:r>
        <w:rPr>
          <w:rFonts w:ascii="Arial" w:cs="Arial" w:eastAsia="Arial" w:hAnsi="Arial"/>
          <w:sz w:val="17"/>
          <w:szCs w:val="17"/>
          <w:u w:val="single" w:color="auto"/>
          <w:color w:val="auto"/>
        </w:rPr>
        <w:t>Designation of Subsidiaries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 xml:space="preserve">The Borrower may at any time after the Effective Date designate any Restricted Subsidiary (other than Public Sector LLC) of the Borrower as an Unrestricted Subsidiary or any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after such designation on a Pro Forma Basis, no Event of Default pursuant to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have occurred and be continuing and (ii) no Subsidiary may be designated as an Unrestricted Subsidiary or continue as an Unrestricted Subsidiary if (A) it is a “Restricted Subsidiary” for the purpose of any other Material Indebtedness of Holdings or the Borrower, (B) it is the legal owner of Intellectual Property or (C) it owns any Indebtedness or Equity Interests (or holds any Lien on any property) of the Borrower or any Restricted Subsidiary. The designation of any Subsidiary as an Unrestricted Subsidiary after the Effective Date shall constitute an Investment by the Borrower therein at the date of designation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Subsidiary’s (as applicable) Investment in such Subsidiary.</w:t>
      </w:r>
    </w:p>
    <w:p>
      <w:pPr>
        <w:spacing w:after="0" w:line="17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5.14</w:t>
      </w:r>
      <w:r>
        <w:rPr>
          <w:sz w:val="20"/>
          <w:szCs w:val="20"/>
          <w:color w:val="auto"/>
        </w:rPr>
        <w:tab/>
      </w:r>
      <w:r>
        <w:rPr>
          <w:rFonts w:ascii="Arial" w:cs="Arial" w:eastAsia="Arial" w:hAnsi="Arial"/>
          <w:sz w:val="17"/>
          <w:szCs w:val="17"/>
          <w:u w:val="single" w:color="auto"/>
          <w:color w:val="auto"/>
        </w:rPr>
        <w:t>Certain Post-Closing Obligations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 xml:space="preserve">As promptly as practicable, and in any event within the time periods after the Effective Date specified in </w:t>
      </w:r>
      <w:r>
        <w:rPr>
          <w:rFonts w:ascii="Arial" w:cs="Arial" w:eastAsia="Arial" w:hAnsi="Arial"/>
          <w:sz w:val="18"/>
          <w:szCs w:val="18"/>
          <w:u w:val="single" w:color="auto"/>
          <w:color w:val="auto"/>
        </w:rPr>
        <w:t>Schedule 5.14(a)</w:t>
      </w:r>
      <w:r>
        <w:rPr>
          <w:rFonts w:ascii="Arial" w:cs="Arial" w:eastAsia="Arial" w:hAnsi="Arial"/>
          <w:sz w:val="18"/>
          <w:szCs w:val="18"/>
          <w:color w:val="auto"/>
        </w:rPr>
        <w:t xml:space="preserve"> or such later date as the Administrative Agent agrees to in writing, including to reasonably accommodate circumstances unforeseen on the Effective Date, Holdings, the Borrower and each other Loan Party shall deliver the documents or take the actions specified on </w:t>
      </w:r>
      <w:r>
        <w:rPr>
          <w:rFonts w:ascii="Arial" w:cs="Arial" w:eastAsia="Arial" w:hAnsi="Arial"/>
          <w:sz w:val="18"/>
          <w:szCs w:val="18"/>
          <w:u w:val="single" w:color="auto"/>
          <w:color w:val="auto"/>
        </w:rPr>
        <w:t>Schedules 5.14(a)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5.14(b)</w:t>
      </w:r>
      <w:r>
        <w:rPr>
          <w:rFonts w:ascii="Arial" w:cs="Arial" w:eastAsia="Arial" w:hAnsi="Arial"/>
          <w:sz w:val="18"/>
          <w:szCs w:val="18"/>
          <w:color w:val="auto"/>
        </w:rPr>
        <w:t>, as applicable, that, where such actions are to be taken to reasonably accommodate circumstances unforeseen on the Effective Date, would have been required to be delivered or taken on the Effective Date, in each case except to the extent otherwise agreed by the Administrative Agent pursuant to its authority as set forth in the definition of the term “Collateral and Guarantee Requirement”.</w:t>
      </w:r>
    </w:p>
    <w:p>
      <w:pPr>
        <w:sectPr>
          <w:pgSz w:w="11900" w:h="16838" w:orient="portrait"/>
          <w:cols w:equalWidth="0" w:num="1">
            <w:col w:w="11240"/>
          </w:cols>
          <w:pgMar w:left="320" w:top="1395" w:right="339" w:bottom="1440" w:gutter="0" w:footer="0" w:header="0"/>
        </w:sectPr>
      </w:pPr>
    </w:p>
    <w:bookmarkStart w:id="206" w:name="page207"/>
    <w:bookmarkEnd w:id="206"/>
    <w:p>
      <w:pPr>
        <w:ind w:left="1280"/>
        <w:spacing w:after="0"/>
        <w:tabs>
          <w:tab w:leader="none" w:pos="2660" w:val="left"/>
        </w:tabs>
        <w:rPr>
          <w:sz w:val="20"/>
          <w:szCs w:val="20"/>
          <w:color w:val="auto"/>
        </w:rPr>
      </w:pPr>
      <w:r>
        <w:rPr>
          <w:rFonts w:ascii="Arial" w:cs="Arial" w:eastAsia="Arial" w:hAnsi="Arial"/>
          <w:sz w:val="19"/>
          <w:szCs w:val="19"/>
          <w:color w:val="auto"/>
        </w:rPr>
        <w:t>SECTION 5.15</w:t>
      </w:r>
      <w:r>
        <w:rPr>
          <w:sz w:val="20"/>
          <w:szCs w:val="20"/>
          <w:color w:val="auto"/>
        </w:rPr>
        <w:tab/>
      </w:r>
      <w:r>
        <w:rPr>
          <w:rFonts w:ascii="Arial" w:cs="Arial" w:eastAsia="Arial" w:hAnsi="Arial"/>
          <w:sz w:val="17"/>
          <w:szCs w:val="17"/>
          <w:u w:val="single" w:color="auto"/>
          <w:color w:val="auto"/>
        </w:rPr>
        <w:t>Maintenance of Ratings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Each of Holdings and the Borrower shall use commercially reasonable efforts to maintain (i) a public corporate credit rating (but not any particular rating) from S&amp;P and a public corporate family rating (but not any particular rating) from Moody’s, in each case in respect of Holdings or the Borrower, and (ii) a public rating (but not any particular rating) in respect of the Term Loans made available under this Agreement from each of S&amp;P and Moody’s.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NEGATIVE COVENANTS</w:t>
      </w:r>
    </w:p>
    <w:p>
      <w:pPr>
        <w:spacing w:after="0" w:line="219" w:lineRule="exact"/>
        <w:rPr>
          <w:sz w:val="20"/>
          <w:szCs w:val="20"/>
          <w:color w:val="auto"/>
        </w:rPr>
      </w:pPr>
    </w:p>
    <w:p>
      <w:pPr>
        <w:jc w:val="both"/>
        <w:ind w:firstLine="1272"/>
        <w:spacing w:after="0" w:line="268" w:lineRule="auto"/>
        <w:rPr>
          <w:sz w:val="20"/>
          <w:szCs w:val="20"/>
          <w:color w:val="auto"/>
        </w:rPr>
      </w:pPr>
      <w:r>
        <w:rPr>
          <w:rFonts w:ascii="Arial" w:cs="Arial" w:eastAsia="Arial" w:hAnsi="Arial"/>
          <w:sz w:val="18"/>
          <w:szCs w:val="18"/>
          <w:color w:val="auto"/>
        </w:rPr>
        <w:t xml:space="preserve">From and after the Effective Date and until the Commitments have expired or been terminated and the principal of and interest on each Loan and all fees, expenses and other amounts payable (other than (i) contingent amounts not yet due and (ii) Cash Management Obligations) under any Loan Document have been paid in full and all Letters of Credit have expired or been terminated (unless such Letters of Credit have been cash collateralized or backstopped in amounts, by institutions and otherwise pursuant to arrangements, in each case reasonably satisfactory to the applicable Issuing Bank or deemed reissued under another agreement reasonably acceptable to the applicable Issuing Bank) and all LC Disbursements shall have been fully reimbursed, each of Holdings (with respect to </w:t>
      </w:r>
      <w:r>
        <w:rPr>
          <w:rFonts w:ascii="Arial" w:cs="Arial" w:eastAsia="Arial" w:hAnsi="Arial"/>
          <w:sz w:val="18"/>
          <w:szCs w:val="18"/>
          <w:u w:val="single" w:color="auto"/>
          <w:color w:val="auto"/>
        </w:rPr>
        <w:t>Sections 6.03(c)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Section 6.13 and as set forth below with respect to Public Sector only) and the Borrower covenants and agrees with the Lenders that:</w:t>
      </w:r>
    </w:p>
    <w:p>
      <w:pPr>
        <w:spacing w:after="0" w:line="17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6.01</w:t>
      </w:r>
      <w:r>
        <w:rPr>
          <w:sz w:val="20"/>
          <w:szCs w:val="20"/>
          <w:color w:val="auto"/>
        </w:rPr>
        <w:tab/>
      </w:r>
      <w:r>
        <w:rPr>
          <w:rFonts w:ascii="Arial" w:cs="Arial" w:eastAsia="Arial" w:hAnsi="Arial"/>
          <w:sz w:val="17"/>
          <w:szCs w:val="17"/>
          <w:u w:val="single" w:color="auto"/>
          <w:color w:val="auto"/>
        </w:rPr>
        <w:t>Indebtedness; Certain Equity Securities</w:t>
      </w:r>
      <w:r>
        <w:rPr>
          <w:rFonts w:ascii="Arial" w:cs="Arial" w:eastAsia="Arial" w:hAnsi="Arial"/>
          <w:sz w:val="17"/>
          <w:szCs w:val="17"/>
          <w:color w:val="auto"/>
        </w:rPr>
        <w:t>.</w:t>
      </w:r>
    </w:p>
    <w:p>
      <w:pPr>
        <w:spacing w:after="0" w:line="219" w:lineRule="exact"/>
        <w:rPr>
          <w:sz w:val="20"/>
          <w:szCs w:val="20"/>
          <w:color w:val="auto"/>
        </w:rPr>
      </w:pPr>
    </w:p>
    <w:p>
      <w:pPr>
        <w:ind w:firstLine="1278"/>
        <w:spacing w:after="0" w:line="278" w:lineRule="auto"/>
        <w:tabs>
          <w:tab w:leader="none" w:pos="1731"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Borrower will not, and will not permit any Restricted Subsidiary to, and Holdings will not permit Public Sector to, create, incur, assume or permit to exist any Indebtedness, except:</w:t>
      </w:r>
    </w:p>
    <w:p>
      <w:pPr>
        <w:spacing w:after="0" w:line="156" w:lineRule="exact"/>
        <w:rPr>
          <w:rFonts w:ascii="Arial" w:cs="Arial" w:eastAsia="Arial" w:hAnsi="Arial"/>
          <w:sz w:val="19"/>
          <w:szCs w:val="19"/>
          <w:color w:val="auto"/>
        </w:rPr>
      </w:pPr>
    </w:p>
    <w:p>
      <w:pPr>
        <w:ind w:left="960" w:firstLine="1272"/>
        <w:spacing w:after="0" w:line="278" w:lineRule="auto"/>
        <w:tabs>
          <w:tab w:leader="none" w:pos="2609"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Indebtedness of the Borrower and any of the Restricted Subsidiaries under the Loan Documents (including any Indebtedness incurred pursuant to </w:t>
      </w:r>
      <w:r>
        <w:rPr>
          <w:rFonts w:ascii="Arial" w:cs="Arial" w:eastAsia="Arial" w:hAnsi="Arial"/>
          <w:sz w:val="19"/>
          <w:szCs w:val="19"/>
          <w:u w:val="single" w:color="auto"/>
          <w:color w:val="auto"/>
        </w:rPr>
        <w:t>Sections 2.20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2.21</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960" w:firstLine="1272"/>
        <w:spacing w:after="0" w:line="263" w:lineRule="auto"/>
        <w:tabs>
          <w:tab w:leader="none" w:pos="2755"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Indebtedness outstanding on the Effective Date and any Permitted Refinancing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in excess of the greater of $3,500,000 and 3.0% of Consolidated EBITDA for the most recently ended Test Period as of such time, shall only be permitted if set forth on </w:t>
      </w:r>
      <w:r>
        <w:rPr>
          <w:rFonts w:ascii="Arial" w:cs="Arial" w:eastAsia="Arial" w:hAnsi="Arial"/>
          <w:sz w:val="19"/>
          <w:szCs w:val="19"/>
          <w:u w:val="single" w:color="auto"/>
          <w:color w:val="auto"/>
        </w:rPr>
        <w:t>Schedule 6.01</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left="960" w:firstLine="1272"/>
        <w:spacing w:after="0" w:line="287" w:lineRule="auto"/>
        <w:tabs>
          <w:tab w:leader="none" w:pos="2723" w:val="left"/>
        </w:tabs>
        <w:numPr>
          <w:ilvl w:val="1"/>
          <w:numId w:val="195"/>
        </w:numPr>
        <w:rPr>
          <w:rFonts w:ascii="Arial" w:cs="Arial" w:eastAsia="Arial" w:hAnsi="Arial"/>
          <w:sz w:val="17"/>
          <w:szCs w:val="17"/>
          <w:color w:val="auto"/>
        </w:rPr>
      </w:pPr>
      <w:r>
        <w:rPr>
          <w:rFonts w:ascii="Arial" w:cs="Arial" w:eastAsia="Arial" w:hAnsi="Arial"/>
          <w:sz w:val="17"/>
          <w:szCs w:val="17"/>
          <w:color w:val="auto"/>
        </w:rPr>
        <w:t xml:space="preserve">Guarantees by the Borrower and its Restricted Subsidiaries in respect of Indebtedness of the Borrower or any Restricted Subsidiary otherwise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Guarantee is otherwise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(B) no Guarantee by any Restricted Subsidiary of any Junior Financing or any unsecured Indebtedness for borrowed money that constitutes Material Indebtedness shall be permitted unless such Restricted Subsidiary shall have also provided a Guarantee of the applicable Loan Document Obligations pursuant to the Guarantee Agreement and (C)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w:t>
      </w:r>
    </w:p>
    <w:p>
      <w:pPr>
        <w:sectPr>
          <w:pgSz w:w="11900" w:h="16838" w:orient="portrait"/>
          <w:cols w:equalWidth="0" w:num="1">
            <w:col w:w="11240"/>
          </w:cols>
          <w:pgMar w:left="320" w:top="1395" w:right="339" w:bottom="1440" w:gutter="0" w:footer="0" w:header="0"/>
        </w:sectPr>
      </w:pPr>
    </w:p>
    <w:bookmarkStart w:id="207" w:name="page208"/>
    <w:bookmarkEnd w:id="207"/>
    <w:p>
      <w:pPr>
        <w:jc w:val="both"/>
        <w:ind w:firstLine="1272"/>
        <w:spacing w:after="0" w:line="251" w:lineRule="auto"/>
        <w:tabs>
          <w:tab w:leader="none" w:pos="180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 xml:space="preserve">Indebtedness of the Borrower owing to any Restricted Subsidiary or of any Restricted Subsidiary owing to any other Restricted Subsidiary or the Borrower, to the extent permitted by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Indebtedness of any Loan Party owing to any Restricted Subsidiary that is not a Loan Party shall be subordinated to the Loan Document Obligations (to the extent any such Indebtedness is outstanding at any time after the date that is thirty (30) days after the Effective Date (or the date of acquisition of such Subsidiary) or such later date as the Administrative Agent may reasonably agree) (but only to the extent permitted by applicable law and not giving rise to material adverse tax consequences) on terms (i) not materially less favorable, taken as a whole, to the Lenders as those set forth in the Master Intercompany Note or (ii) otherwise reasonably satisfactory to the Administrative Agent;</w:t>
      </w:r>
    </w:p>
    <w:p>
      <w:pPr>
        <w:spacing w:after="0" w:line="185" w:lineRule="exact"/>
        <w:rPr>
          <w:rFonts w:ascii="Arial" w:cs="Arial" w:eastAsia="Arial" w:hAnsi="Arial"/>
          <w:sz w:val="19"/>
          <w:szCs w:val="19"/>
          <w:color w:val="auto"/>
        </w:rPr>
      </w:pPr>
    </w:p>
    <w:p>
      <w:pPr>
        <w:jc w:val="both"/>
        <w:ind w:firstLine="1272"/>
        <w:spacing w:after="0" w:line="266" w:lineRule="auto"/>
        <w:tabs>
          <w:tab w:leader="none" w:pos="171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purchase money Indebtedness, such Indebtedness is incurred concurrently with or within 270 days after the applicable acquisition, purchase, lease, construction, repair, replacement or improvement;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clause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(excluding any Capital Leases Obligations incurred pursuant to a sale and leaseback transaction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not exceed the greater of $40,000,000 and 33.0% of Consolidated EBITDA for the most recently ended Test Period as of such time and (B) any Permitted Refinancing of any Indebtedness set forth in the immediately preceding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successive Permitted Refinancings thereof);</w:t>
      </w:r>
    </w:p>
    <w:p>
      <w:pPr>
        <w:spacing w:after="0" w:line="170" w:lineRule="exact"/>
        <w:rPr>
          <w:rFonts w:ascii="Arial" w:cs="Arial" w:eastAsia="Arial" w:hAnsi="Arial"/>
          <w:sz w:val="18"/>
          <w:szCs w:val="18"/>
          <w:color w:val="auto"/>
        </w:rPr>
      </w:pPr>
    </w:p>
    <w:p>
      <w:pPr>
        <w:ind w:left="1920" w:hanging="648"/>
        <w:spacing w:after="0"/>
        <w:tabs>
          <w:tab w:leader="none" w:pos="19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Indebtedness in respect of Swap Agreements incurred in the ordinary course of business and not for</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speculative purposes;</w:t>
      </w:r>
    </w:p>
    <w:p>
      <w:pPr>
        <w:spacing w:after="0" w:line="202" w:lineRule="exact"/>
        <w:rPr>
          <w:rFonts w:ascii="Arial" w:cs="Arial" w:eastAsia="Arial" w:hAnsi="Arial"/>
          <w:sz w:val="18"/>
          <w:szCs w:val="18"/>
          <w:color w:val="auto"/>
        </w:rPr>
      </w:pPr>
    </w:p>
    <w:p>
      <w:pPr>
        <w:jc w:val="both"/>
        <w:ind w:firstLine="1272"/>
        <w:spacing w:after="0" w:line="279" w:lineRule="auto"/>
        <w:tabs>
          <w:tab w:leader="none" w:pos="1927"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(A) Indebtedness of any Borrower, any Restricted Subsidiary or any Person that becomes a Restricted Subsidiary (or of any Person not previously a Restricted Subsidiary that is merged or consolidated with or into the Borrower or a Restricted Subsidiary) incurred, issued or assumed after the Effective Date (including in connection with, or in order to finance, any Permitted Acquisition or any other Investment not prohibited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(v) in the case of any such Indebtedness consisting of term loans secured by a Lien on the Collateral that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on the Collateral securing the Loans, the MFN Adjustment shall apply to such Indebtedness as if such Indebtedness was an Incremental Term Loan,</w:t>
      </w:r>
    </w:p>
    <w:p>
      <w:pPr>
        <w:spacing w:after="0" w:line="4" w:lineRule="exact"/>
        <w:rPr>
          <w:rFonts w:ascii="Arial" w:cs="Arial" w:eastAsia="Arial" w:hAnsi="Arial"/>
          <w:sz w:val="17"/>
          <w:szCs w:val="17"/>
          <w:color w:val="auto"/>
        </w:rPr>
      </w:pPr>
    </w:p>
    <w:p>
      <w:pPr>
        <w:jc w:val="both"/>
        <w:spacing w:after="0" w:line="249" w:lineRule="auto"/>
        <w:tabs>
          <w:tab w:leader="none" w:pos="36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such Indebtedness complies with the Required Additional Debt Terms, (x) the aggregate principal amount for all such Indebtedness incurred, issued or assumed pursuant to this clause shall not exceed, at the time of incurrence thereof, the Incremental Cap at such time, (y) any such Indebtedness incurred, issued or assumed in reliance on clauses (I) or (II) of the definition of “Incremental Cap” may be secured or unsecured bonds, notes, debentures or loans and, if secured by Liens on the Collateral securing the Secured Obligations, may be secured either by Liens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on the Collateral securing the Secured Obligations (but without regard to control of remedies) or by Liens having a junior priority relative to the Liens on the Collateral securing the Secured Obligations and (z) any such Indebtedness incurred, issued or assumed in reliance on clause (III) of the definition of “Incremental Cap” may be secured bonds, notes,</w:t>
      </w:r>
    </w:p>
    <w:p>
      <w:pPr>
        <w:sectPr>
          <w:pgSz w:w="11900" w:h="16838" w:orient="portrait"/>
          <w:cols w:equalWidth="0" w:num="1">
            <w:col w:w="10280"/>
          </w:cols>
          <w:pgMar w:left="1280" w:top="1395" w:right="339" w:bottom="1440" w:gutter="0" w:footer="0" w:header="0"/>
        </w:sectPr>
      </w:pPr>
    </w:p>
    <w:bookmarkStart w:id="208" w:name="page209"/>
    <w:bookmarkEnd w:id="208"/>
    <w:p>
      <w:pPr>
        <w:jc w:val="both"/>
        <w:spacing w:after="0" w:line="276" w:lineRule="auto"/>
        <w:rPr>
          <w:sz w:val="20"/>
          <w:szCs w:val="20"/>
          <w:color w:val="auto"/>
        </w:rPr>
      </w:pPr>
      <w:r>
        <w:rPr>
          <w:rFonts w:ascii="Arial" w:cs="Arial" w:eastAsia="Arial" w:hAnsi="Arial"/>
          <w:sz w:val="18"/>
          <w:szCs w:val="18"/>
          <w:color w:val="auto"/>
        </w:rPr>
        <w:t xml:space="preserve">debentures or loans and, if secured by Liens on the Collateral securing the Secured Obligations, may be secured by Liens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on the Collateral securing the Secured Obligations (but without regard to control of remedies) (any Indebtedness incurred pursuant to this subclause (A),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and (B) any Permitted Refinancing of Indebtedness incurred pursuant to the foregoing subclause (A) (or successive Permitted Refinancings thereof);</w:t>
      </w:r>
    </w:p>
    <w:p>
      <w:pPr>
        <w:spacing w:after="0" w:line="161" w:lineRule="exact"/>
        <w:rPr>
          <w:sz w:val="20"/>
          <w:szCs w:val="20"/>
          <w:color w:val="auto"/>
        </w:rPr>
      </w:pPr>
    </w:p>
    <w:p>
      <w:pPr>
        <w:jc w:val="both"/>
        <w:ind w:firstLine="1272"/>
        <w:spacing w:after="0" w:line="283" w:lineRule="auto"/>
        <w:tabs>
          <w:tab w:leader="none" w:pos="1974" w:val="left"/>
        </w:tabs>
        <w:numPr>
          <w:ilvl w:val="1"/>
          <w:numId w:val="198"/>
        </w:numPr>
        <w:rPr>
          <w:rFonts w:ascii="Arial" w:cs="Arial" w:eastAsia="Arial" w:hAnsi="Arial"/>
          <w:sz w:val="17"/>
          <w:szCs w:val="17"/>
          <w:color w:val="auto"/>
        </w:rPr>
      </w:pPr>
      <w:r>
        <w:rPr>
          <w:rFonts w:ascii="Arial" w:cs="Arial" w:eastAsia="Arial" w:hAnsi="Arial"/>
          <w:sz w:val="17"/>
          <w:szCs w:val="17"/>
          <w:color w:val="auto"/>
        </w:rPr>
        <w:t xml:space="preserve">(A) Indebtedness of the Borrower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if such Indebtedness is secured by a Lien on the Collateral that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on the Collateral securing the Loans, after giving effect to the incurrence of such Indebtedness on a Pro Forma Basis, the First Lien Net Leverage Ratio is less than or equal to 4.50 to 1.00,</w:t>
      </w:r>
    </w:p>
    <w:p>
      <w:pPr>
        <w:jc w:val="both"/>
        <w:spacing w:after="0" w:line="264" w:lineRule="auto"/>
        <w:tabs>
          <w:tab w:leader="none" w:pos="29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if such Indebtedness is secured by a Lien on the Collateral that ranks junior in priority (or is otherwise subordinated) to the Liens on the Collateral securing the Loans, after giving effect to the incurrence of such Indebtedness on a Pro Forma Basis, the Secured Net Leverage Ratio is less than or equal to 5.00 to 1.00 or (3) if such Indebtedness is unsecured, after giving effect to the incurrence of such Indebtedness on a Pro Forma Basis, the Total Net Leverage Ratio is less than or equal to 6.00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(x) such Indebtedness complies with the Required Additional Debt Terms and (y) in the case of any such Indebtedness consisting of term loans secured by a Lien on the Collateral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on the Collateral securing the Loans, the MFN Adjustment shall apply to such Indebtedness as if such Indebtedness was an Incremental Term Loan (any Indebtedness incurred pursuant to this subclause (A), “</w:t>
      </w:r>
      <w:r>
        <w:rPr>
          <w:rFonts w:ascii="Arial" w:cs="Arial" w:eastAsia="Arial" w:hAnsi="Arial"/>
          <w:sz w:val="18"/>
          <w:szCs w:val="18"/>
          <w:u w:val="single" w:color="auto"/>
          <w:color w:val="auto"/>
        </w:rPr>
        <w:t>Ratio Debt</w:t>
      </w:r>
      <w:r>
        <w:rPr>
          <w:rFonts w:ascii="Arial" w:cs="Arial" w:eastAsia="Arial" w:hAnsi="Arial"/>
          <w:sz w:val="18"/>
          <w:szCs w:val="18"/>
          <w:color w:val="auto"/>
        </w:rPr>
        <w:t>”), and (B) any Permitted Refinancing of Indebtedness incurred pursuant to the foregoing subclause (A) (or successive Permitted Refinancings thereof);</w:t>
      </w:r>
    </w:p>
    <w:p>
      <w:pPr>
        <w:spacing w:after="0" w:line="174" w:lineRule="exact"/>
        <w:rPr>
          <w:rFonts w:ascii="Arial" w:cs="Arial" w:eastAsia="Arial" w:hAnsi="Arial"/>
          <w:sz w:val="18"/>
          <w:szCs w:val="18"/>
          <w:color w:val="auto"/>
        </w:rPr>
      </w:pPr>
    </w:p>
    <w:p>
      <w:pPr>
        <w:ind w:left="1740" w:hanging="468"/>
        <w:spacing w:after="0"/>
        <w:tabs>
          <w:tab w:leader="none" w:pos="174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2"/>
        <w:spacing w:after="0" w:line="257" w:lineRule="auto"/>
        <w:tabs>
          <w:tab w:leader="none" w:pos="1852" w:val="left"/>
        </w:tabs>
        <w:numPr>
          <w:ilvl w:val="1"/>
          <w:numId w:val="199"/>
        </w:numPr>
        <w:rPr>
          <w:rFonts w:ascii="Arial" w:cs="Arial" w:eastAsia="Arial" w:hAnsi="Arial"/>
          <w:sz w:val="19"/>
          <w:szCs w:val="19"/>
          <w:color w:val="auto"/>
        </w:rPr>
      </w:pPr>
      <w:r>
        <w:rPr>
          <w:rFonts w:ascii="Arial" w:cs="Arial" w:eastAsia="Arial" w:hAnsi="Arial"/>
          <w:sz w:val="19"/>
          <w:szCs w:val="19"/>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177" w:lineRule="exact"/>
        <w:rPr>
          <w:rFonts w:ascii="Arial" w:cs="Arial" w:eastAsia="Arial" w:hAnsi="Arial"/>
          <w:sz w:val="19"/>
          <w:szCs w:val="19"/>
          <w:color w:val="auto"/>
        </w:rPr>
      </w:pPr>
    </w:p>
    <w:p>
      <w:pPr>
        <w:jc w:val="both"/>
        <w:ind w:firstLine="1272"/>
        <w:spacing w:after="0" w:line="257" w:lineRule="auto"/>
        <w:tabs>
          <w:tab w:leader="none" w:pos="1796" w:val="left"/>
        </w:tabs>
        <w:numPr>
          <w:ilvl w:val="1"/>
          <w:numId w:val="199"/>
        </w:numPr>
        <w:rPr>
          <w:rFonts w:ascii="Arial" w:cs="Arial" w:eastAsia="Arial" w:hAnsi="Arial"/>
          <w:sz w:val="19"/>
          <w:szCs w:val="19"/>
          <w:color w:val="auto"/>
        </w:rPr>
      </w:pPr>
      <w:r>
        <w:rPr>
          <w:rFonts w:ascii="Arial" w:cs="Arial" w:eastAsia="Arial" w:hAnsi="Arial"/>
          <w:sz w:val="19"/>
          <w:szCs w:val="19"/>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177" w:lineRule="exact"/>
        <w:rPr>
          <w:rFonts w:ascii="Arial" w:cs="Arial" w:eastAsia="Arial" w:hAnsi="Arial"/>
          <w:sz w:val="19"/>
          <w:szCs w:val="19"/>
          <w:color w:val="auto"/>
        </w:rPr>
      </w:pPr>
    </w:p>
    <w:p>
      <w:pPr>
        <w:jc w:val="both"/>
        <w:ind w:firstLine="1272"/>
        <w:spacing w:after="0" w:line="255" w:lineRule="auto"/>
        <w:tabs>
          <w:tab w:leader="none" w:pos="1892"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(A) Indebtedness of the Borrower or any of the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the incurrence thereof and after giving Pro Forma Effect thereto, the aggregate principal amount of Indebtedness outstanding in reliance on this clause </w:t>
      </w:r>
      <w:r>
        <w:rPr>
          <w:rFonts w:ascii="Arial" w:cs="Arial" w:eastAsia="Arial" w:hAnsi="Arial"/>
          <w:sz w:val="19"/>
          <w:szCs w:val="19"/>
          <w:u w:val="single" w:color="auto"/>
          <w:color w:val="auto"/>
        </w:rPr>
        <w:t>(xii)</w:t>
      </w:r>
      <w:r>
        <w:rPr>
          <w:rFonts w:ascii="Arial" w:cs="Arial" w:eastAsia="Arial" w:hAnsi="Arial"/>
          <w:sz w:val="19"/>
          <w:szCs w:val="19"/>
          <w:color w:val="auto"/>
        </w:rPr>
        <w:t xml:space="preserve"> shall not exceed the greater of $60,000,000 and 50.0% of Consolidated EBITDA for the most recently ended Test Period as of such time and (B) any Permitted Refinancing of any Indebtedness set forth in the immediately preceding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successive Permitted Refinancings thereof);</w:t>
      </w:r>
    </w:p>
    <w:p>
      <w:pPr>
        <w:spacing w:after="0" w:line="177" w:lineRule="exact"/>
        <w:rPr>
          <w:rFonts w:ascii="Arial" w:cs="Arial" w:eastAsia="Arial" w:hAnsi="Arial"/>
          <w:sz w:val="19"/>
          <w:szCs w:val="19"/>
          <w:color w:val="auto"/>
        </w:rPr>
      </w:pPr>
    </w:p>
    <w:p>
      <w:pPr>
        <w:ind w:firstLine="1272"/>
        <w:spacing w:after="0" w:line="278" w:lineRule="auto"/>
        <w:tabs>
          <w:tab w:leader="none" w:pos="188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 Indebtedness of, incurred on behalf of, or representing Guarantees of Indebtedness of, joint ventures in an aggregate outstanding principal amount</w:t>
      </w:r>
    </w:p>
    <w:p>
      <w:pPr>
        <w:sectPr>
          <w:pgSz w:w="11900" w:h="16838" w:orient="portrait"/>
          <w:cols w:equalWidth="0" w:num="1">
            <w:col w:w="10280"/>
          </w:cols>
          <w:pgMar w:left="1280" w:top="1395" w:right="339" w:bottom="1440" w:gutter="0" w:footer="0" w:header="0"/>
        </w:sectPr>
      </w:pPr>
    </w:p>
    <w:bookmarkStart w:id="209" w:name="page210"/>
    <w:bookmarkEnd w:id="209"/>
    <w:p>
      <w:pPr>
        <w:jc w:val="both"/>
        <w:spacing w:after="0" w:line="263" w:lineRule="auto"/>
        <w:rPr>
          <w:sz w:val="20"/>
          <w:szCs w:val="20"/>
          <w:color w:val="auto"/>
        </w:rPr>
      </w:pPr>
      <w:r>
        <w:rPr>
          <w:rFonts w:ascii="Arial" w:cs="Arial" w:eastAsia="Arial" w:hAnsi="Arial"/>
          <w:sz w:val="19"/>
          <w:szCs w:val="19"/>
          <w:color w:val="auto"/>
        </w:rPr>
        <w:t xml:space="preserve">not to exceed the greater of $30,000,000 and 25.0% of Consolidated EBITDA for the most recently ended Test Period and (B) any Permitted Refinancing of any Indebtedness set forth in the immediately preceding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successive Permitted Refinancings thereof);</w:t>
      </w:r>
    </w:p>
    <w:p>
      <w:pPr>
        <w:spacing w:after="0" w:line="169" w:lineRule="exact"/>
        <w:rPr>
          <w:sz w:val="20"/>
          <w:szCs w:val="20"/>
          <w:color w:val="auto"/>
        </w:rPr>
      </w:pPr>
    </w:p>
    <w:p>
      <w:pPr>
        <w:jc w:val="both"/>
        <w:ind w:firstLine="1272"/>
        <w:spacing w:after="0" w:line="270" w:lineRule="auto"/>
        <w:tabs>
          <w:tab w:leader="none" w:pos="18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(A) Indebtedness of the Borrower or any Restricted Subsidiary in an aggregate outstanding principal amount not to exceed 100.0% of the aggregate amount of capital contributions received by the Borrower after the Effective Date in cash or Permitted Investments (and the fair market value (as determined in good faith by Holdings or the Borrower) of non-cash capital contributions) in respect of Qualified Equity Interests (excluding any Qualified Equity Interests used for, or otherwise having the effect of increasing, any other basket under this Agreement) and (B) any Permitted Refinancing of any Indebtedness set forth in the immediately preceding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successive Permitted Refinancings thereof);</w:t>
      </w:r>
    </w:p>
    <w:p>
      <w:pPr>
        <w:spacing w:after="0" w:line="166" w:lineRule="exact"/>
        <w:rPr>
          <w:rFonts w:ascii="Arial" w:cs="Arial" w:eastAsia="Arial" w:hAnsi="Arial"/>
          <w:sz w:val="18"/>
          <w:szCs w:val="18"/>
          <w:color w:val="auto"/>
        </w:rPr>
      </w:pPr>
    </w:p>
    <w:p>
      <w:pPr>
        <w:ind w:firstLine="1272"/>
        <w:spacing w:after="0" w:line="278" w:lineRule="auto"/>
        <w:tabs>
          <w:tab w:leader="none" w:pos="1799"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Indebtedness consisting of (A) the financing of insurance premiums or (B) take-or-pay obligations contained in supply arrangements, in each case, in the ordinary course of business;</w:t>
      </w:r>
    </w:p>
    <w:p>
      <w:pPr>
        <w:spacing w:after="0" w:line="156" w:lineRule="exact"/>
        <w:rPr>
          <w:rFonts w:ascii="Arial" w:cs="Arial" w:eastAsia="Arial" w:hAnsi="Arial"/>
          <w:sz w:val="19"/>
          <w:szCs w:val="19"/>
          <w:color w:val="auto"/>
        </w:rPr>
      </w:pPr>
    </w:p>
    <w:p>
      <w:pPr>
        <w:ind w:left="1880" w:hanging="608"/>
        <w:spacing w:after="0"/>
        <w:tabs>
          <w:tab w:leader="none" w:pos="18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to exceed the face amount of such</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Letter of Credit;</w:t>
      </w:r>
    </w:p>
    <w:p>
      <w:pPr>
        <w:spacing w:after="0" w:line="202" w:lineRule="exact"/>
        <w:rPr>
          <w:rFonts w:ascii="Arial" w:cs="Arial" w:eastAsia="Arial" w:hAnsi="Arial"/>
          <w:sz w:val="17"/>
          <w:szCs w:val="17"/>
          <w:color w:val="auto"/>
        </w:rPr>
      </w:pPr>
    </w:p>
    <w:p>
      <w:pPr>
        <w:jc w:val="both"/>
        <w:ind w:firstLine="1272"/>
        <w:spacing w:after="0" w:line="255" w:lineRule="auto"/>
        <w:tabs>
          <w:tab w:leader="none" w:pos="198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 Indebtedness arising from an agreement providing for indemnification obligations or obligations in respect of purchase price (including earn-outs) or other similar adjustments incurred in any Permitted Acquisition, any other Investment or any Disposition, in each case permitted under this Agreement, and (B) Indebtedness arising from guaranties, letters of credit, bank guaranties, surety bonds, performance bonds or similar instruments securing the performance pursuant to any such agreement described in clause (A);</w:t>
      </w:r>
    </w:p>
    <w:p>
      <w:pPr>
        <w:spacing w:after="0" w:line="177" w:lineRule="exact"/>
        <w:rPr>
          <w:rFonts w:ascii="Arial" w:cs="Arial" w:eastAsia="Arial" w:hAnsi="Arial"/>
          <w:sz w:val="19"/>
          <w:szCs w:val="19"/>
          <w:color w:val="auto"/>
        </w:rPr>
      </w:pPr>
    </w:p>
    <w:p>
      <w:pPr>
        <w:ind w:left="1960" w:hanging="688"/>
        <w:spacing w:after="0"/>
        <w:tabs>
          <w:tab w:leader="none" w:pos="196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Permitted Unsecured Refinancing Debt and any Permitted Refinancing thereof;</w:t>
      </w:r>
    </w:p>
    <w:p>
      <w:pPr>
        <w:spacing w:after="0" w:line="218" w:lineRule="exact"/>
        <w:rPr>
          <w:rFonts w:ascii="Arial" w:cs="Arial" w:eastAsia="Arial" w:hAnsi="Arial"/>
          <w:sz w:val="19"/>
          <w:szCs w:val="19"/>
          <w:color w:val="auto"/>
        </w:rPr>
      </w:pPr>
    </w:p>
    <w:p>
      <w:pPr>
        <w:ind w:left="1840" w:hanging="568"/>
        <w:spacing w:after="0"/>
        <w:tabs>
          <w:tab w:leader="none" w:pos="184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Permitted First Priority Refinancing Debt and any Permitted Refinancing thereof;</w:t>
      </w:r>
    </w:p>
    <w:p>
      <w:pPr>
        <w:spacing w:after="0" w:line="218" w:lineRule="exact"/>
        <w:rPr>
          <w:rFonts w:ascii="Arial" w:cs="Arial" w:eastAsia="Arial" w:hAnsi="Arial"/>
          <w:sz w:val="19"/>
          <w:szCs w:val="19"/>
          <w:color w:val="auto"/>
        </w:rPr>
      </w:pPr>
    </w:p>
    <w:p>
      <w:pPr>
        <w:jc w:val="both"/>
        <w:ind w:firstLine="1272"/>
        <w:spacing w:after="0" w:line="287" w:lineRule="auto"/>
        <w:tabs>
          <w:tab w:leader="none" w:pos="183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(A)(I) Indebtedness of any Person that becomes a Restricted Subsidiary (or of any Person not previously a Restricted Subsidiary that is merged or consolidated with or into the Borrower or any Restricted Subsidiary) after the Effective Date as a result of any Permitted Acquisition or any other Investment not prohibited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(II) Indebtedness of any Person that is assumed by the Borrower or any Restricted Subsidiary in connection with an acquisition of assets by the Borrower or such Restricted Subsidiary in any Permitted Acquisition or any other Investment not prohibited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is not incurred in contemplation of such Permitted Acquisition or other Investment and (B) any Permitted Refinancing of any Indebtedness set forth in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successive Permitted Refinancings thereof);</w:t>
      </w:r>
    </w:p>
    <w:p>
      <w:pPr>
        <w:spacing w:after="0" w:line="152" w:lineRule="exact"/>
        <w:rPr>
          <w:rFonts w:ascii="Arial" w:cs="Arial" w:eastAsia="Arial" w:hAnsi="Arial"/>
          <w:sz w:val="17"/>
          <w:szCs w:val="17"/>
          <w:color w:val="auto"/>
        </w:rPr>
      </w:pPr>
    </w:p>
    <w:p>
      <w:pPr>
        <w:jc w:val="both"/>
        <w:ind w:firstLine="1272"/>
        <w:spacing w:after="0" w:line="263" w:lineRule="auto"/>
        <w:tabs>
          <w:tab w:leader="none" w:pos="185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(A) Indebtedness of any Restricted Subsidiary that is not a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Indebtedness of which the primary obligor or a guarantor is a Restricted Subsidiary that is not a Loan Party outstanding in reliance of this clause </w:t>
      </w:r>
      <w:r>
        <w:rPr>
          <w:rFonts w:ascii="Arial" w:cs="Arial" w:eastAsia="Arial" w:hAnsi="Arial"/>
          <w:sz w:val="19"/>
          <w:szCs w:val="19"/>
          <w:u w:val="single" w:color="auto"/>
          <w:color w:val="auto"/>
        </w:rPr>
        <w:t>(xxi)</w:t>
      </w:r>
      <w:r>
        <w:rPr>
          <w:rFonts w:ascii="Arial" w:cs="Arial" w:eastAsia="Arial" w:hAnsi="Arial"/>
          <w:sz w:val="19"/>
          <w:szCs w:val="19"/>
          <w:color w:val="auto"/>
        </w:rPr>
        <w:t xml:space="preserve"> shall not exceed, at the time of incurrence thereof and after giving</w:t>
      </w:r>
    </w:p>
    <w:p>
      <w:pPr>
        <w:sectPr>
          <w:pgSz w:w="11900" w:h="16838" w:orient="portrait"/>
          <w:cols w:equalWidth="0" w:num="1">
            <w:col w:w="10280"/>
          </w:cols>
          <w:pgMar w:left="1280" w:top="1395" w:right="339" w:bottom="1440" w:gutter="0" w:footer="0" w:header="0"/>
        </w:sectPr>
      </w:pPr>
    </w:p>
    <w:bookmarkStart w:id="210" w:name="page211"/>
    <w:bookmarkEnd w:id="210"/>
    <w:p>
      <w:pPr>
        <w:jc w:val="both"/>
        <w:spacing w:after="0" w:line="263" w:lineRule="auto"/>
        <w:rPr>
          <w:sz w:val="20"/>
          <w:szCs w:val="20"/>
          <w:color w:val="auto"/>
        </w:rPr>
      </w:pPr>
      <w:r>
        <w:rPr>
          <w:rFonts w:ascii="Arial" w:cs="Arial" w:eastAsia="Arial" w:hAnsi="Arial"/>
          <w:sz w:val="19"/>
          <w:szCs w:val="19"/>
          <w:color w:val="auto"/>
        </w:rPr>
        <w:t xml:space="preserve">Pro Forma Effect thereto, the greater of $60,000,000 and 50.0% of Consolidated EBITDA for the most recently ended Test Period and (B) any Permitted Refinancing of any Indebtedness set forth in the immediately preceding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successive Permitted Refinancings thereof);</w:t>
      </w:r>
    </w:p>
    <w:p>
      <w:pPr>
        <w:spacing w:after="0" w:line="169" w:lineRule="exact"/>
        <w:rPr>
          <w:sz w:val="20"/>
          <w:szCs w:val="20"/>
          <w:color w:val="auto"/>
        </w:rPr>
      </w:pPr>
    </w:p>
    <w:p>
      <w:pPr>
        <w:jc w:val="both"/>
        <w:ind w:firstLine="1272"/>
        <w:spacing w:after="0" w:line="297" w:lineRule="auto"/>
        <w:tabs>
          <w:tab w:leader="none" w:pos="193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Indebtedness incurred by the Borrower or any of the Restricted Subsidiaries in respect of letters of credit, bank guarantees, warehouse receipts,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spacing w:after="0" w:line="145" w:lineRule="exact"/>
        <w:rPr>
          <w:rFonts w:ascii="Arial" w:cs="Arial" w:eastAsia="Arial" w:hAnsi="Arial"/>
          <w:sz w:val="17"/>
          <w:szCs w:val="17"/>
          <w:color w:val="auto"/>
        </w:rPr>
      </w:pPr>
    </w:p>
    <w:p>
      <w:pPr>
        <w:jc w:val="both"/>
        <w:ind w:firstLine="1272"/>
        <w:spacing w:after="0" w:line="257" w:lineRule="auto"/>
        <w:tabs>
          <w:tab w:leader="none" w:pos="200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177" w:lineRule="exact"/>
        <w:rPr>
          <w:rFonts w:ascii="Arial" w:cs="Arial" w:eastAsia="Arial" w:hAnsi="Arial"/>
          <w:sz w:val="19"/>
          <w:szCs w:val="19"/>
          <w:color w:val="auto"/>
        </w:rPr>
      </w:pPr>
    </w:p>
    <w:p>
      <w:pPr>
        <w:jc w:val="both"/>
        <w:ind w:firstLine="1272"/>
        <w:spacing w:after="0" w:line="252" w:lineRule="auto"/>
        <w:tabs>
          <w:tab w:leader="none" w:pos="2032"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(x) Indebtedness representing deferred compensation or stock-based compensation owed to employees, consultants or independent contractors of Holdings, any Intermediate Parent, the Borrower or its Restricted Subsidiaries incurred in the ordinary course of business or consistent with past practice and (y) Indebtedness consisting of obligations of the Borrower (or any direct or indirect parent thereof) or its Restricted Subsidiaries under deferred compensation to employees, consultants or independent contractors of the Borrower (or any direct or indirect parent thereof) or its Restricted Subsidiaries or other similar arrangements incurred by such Persons in connection with the Transactions, any Permitted Acquisition or any other Investment not prohibited by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firstLine="1272"/>
        <w:spacing w:after="0" w:line="297" w:lineRule="auto"/>
        <w:tabs>
          <w:tab w:leader="none" w:pos="188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w:t>
      </w:r>
      <w:r>
        <w:rPr>
          <w:rFonts w:ascii="Arial" w:cs="Arial" w:eastAsia="Arial" w:hAnsi="Arial"/>
          <w:sz w:val="17"/>
          <w:szCs w:val="17"/>
          <w:u w:val="single" w:color="auto"/>
          <w:color w:val="auto"/>
        </w:rPr>
        <w:t>Section 6.07(a)</w:t>
      </w:r>
      <w:r>
        <w:rPr>
          <w:rFonts w:ascii="Arial" w:cs="Arial" w:eastAsia="Arial" w:hAnsi="Arial"/>
          <w:sz w:val="17"/>
          <w:szCs w:val="17"/>
          <w:color w:val="auto"/>
        </w:rPr>
        <w:t>;</w:t>
      </w:r>
    </w:p>
    <w:p>
      <w:pPr>
        <w:spacing w:after="0" w:line="145" w:lineRule="exact"/>
        <w:rPr>
          <w:rFonts w:ascii="Arial" w:cs="Arial" w:eastAsia="Arial" w:hAnsi="Arial"/>
          <w:sz w:val="17"/>
          <w:szCs w:val="17"/>
          <w:color w:val="auto"/>
        </w:rPr>
      </w:pPr>
    </w:p>
    <w:p>
      <w:pPr>
        <w:jc w:val="both"/>
        <w:ind w:firstLine="1272"/>
        <w:spacing w:after="0" w:line="253" w:lineRule="auto"/>
        <w:tabs>
          <w:tab w:leader="none" w:pos="2024"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(A) letters of credit or bank guarantees (exclusive of Letters of Credit provided hereunder) and similar instruments incurred by the Borrowers and their Restricted Subsidiaries; provided that at the time of the incurrence thereof and after giving Pro Forma Effect thereto, the aggregate principal amount of Indebtedness outstanding in reliance on this clause </w:t>
      </w:r>
      <w:r>
        <w:rPr>
          <w:rFonts w:ascii="Arial" w:cs="Arial" w:eastAsia="Arial" w:hAnsi="Arial"/>
          <w:sz w:val="19"/>
          <w:szCs w:val="19"/>
          <w:u w:val="single" w:color="auto"/>
          <w:color w:val="auto"/>
        </w:rPr>
        <w:t>(xxvi)</w:t>
      </w:r>
      <w:r>
        <w:rPr>
          <w:rFonts w:ascii="Arial" w:cs="Arial" w:eastAsia="Arial" w:hAnsi="Arial"/>
          <w:sz w:val="19"/>
          <w:szCs w:val="19"/>
          <w:color w:val="auto"/>
        </w:rPr>
        <w:t xml:space="preserve"> shall not exceed the greater of $12,000,000 and 10.0% of Consolidated EBITDA for the most recently ended Test Period as of such time and (B) any Permitted Refinancing of any Indebtedness set forth in the immediately preceding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successive Permitted Refinancings thereof);</w:t>
      </w:r>
    </w:p>
    <w:p>
      <w:pPr>
        <w:spacing w:after="0" w:line="181" w:lineRule="exact"/>
        <w:rPr>
          <w:rFonts w:ascii="Arial" w:cs="Arial" w:eastAsia="Arial" w:hAnsi="Arial"/>
          <w:sz w:val="19"/>
          <w:szCs w:val="19"/>
          <w:color w:val="auto"/>
        </w:rPr>
      </w:pPr>
    </w:p>
    <w:p>
      <w:pPr>
        <w:ind w:left="2000" w:hanging="728"/>
        <w:spacing w:after="0"/>
        <w:tabs>
          <w:tab w:leader="none" w:pos="20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Capital Lease Obligations arising under any sale and leaseback transaction permitted hereunder in reliance</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 xml:space="preserve">upon </w:t>
      </w:r>
      <w:r>
        <w:rPr>
          <w:rFonts w:ascii="Arial" w:cs="Arial" w:eastAsia="Arial" w:hAnsi="Arial"/>
          <w:sz w:val="19"/>
          <w:szCs w:val="19"/>
          <w:u w:val="single" w:color="auto"/>
          <w:color w:val="auto"/>
        </w:rPr>
        <w:t>Section 6.05(f)</w:t>
      </w:r>
      <w:r>
        <w:rPr>
          <w:rFonts w:ascii="Arial" w:cs="Arial" w:eastAsia="Arial" w:hAnsi="Arial"/>
          <w:sz w:val="19"/>
          <w:szCs w:val="19"/>
          <w:color w:val="auto"/>
        </w:rPr>
        <w:t>; and</w:t>
      </w:r>
    </w:p>
    <w:p>
      <w:pPr>
        <w:sectPr>
          <w:pgSz w:w="11900" w:h="16838" w:orient="portrait"/>
          <w:cols w:equalWidth="0" w:num="1">
            <w:col w:w="10280"/>
          </w:cols>
          <w:pgMar w:left="1280" w:top="1395" w:right="339" w:bottom="1440" w:gutter="0" w:footer="0" w:header="0"/>
        </w:sectPr>
      </w:pPr>
    </w:p>
    <w:bookmarkStart w:id="211" w:name="page212"/>
    <w:bookmarkEnd w:id="211"/>
    <w:p>
      <w:pPr>
        <w:ind w:left="960" w:firstLine="1272"/>
        <w:spacing w:after="0" w:line="278" w:lineRule="auto"/>
        <w:tabs>
          <w:tab w:leader="none" w:pos="3031"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all premiums (if any), interest (including post-petition interest), fees, expenses, charges and additional or contingent interest on obligations described in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(xxvii)</w:t>
      </w:r>
      <w:r>
        <w:rPr>
          <w:rFonts w:ascii="Arial" w:cs="Arial" w:eastAsia="Arial" w:hAnsi="Arial"/>
          <w:sz w:val="19"/>
          <w:szCs w:val="19"/>
          <w:color w:val="auto"/>
        </w:rPr>
        <w:t xml:space="preserve"> above.</w:t>
      </w:r>
    </w:p>
    <w:p>
      <w:pPr>
        <w:spacing w:after="0" w:line="156" w:lineRule="exact"/>
        <w:rPr>
          <w:rFonts w:ascii="Arial" w:cs="Arial" w:eastAsia="Arial" w:hAnsi="Arial"/>
          <w:sz w:val="19"/>
          <w:szCs w:val="19"/>
          <w:color w:val="auto"/>
        </w:rPr>
      </w:pPr>
    </w:p>
    <w:p>
      <w:pPr>
        <w:jc w:val="both"/>
        <w:ind w:firstLine="1278"/>
        <w:spacing w:after="0" w:line="251" w:lineRule="auto"/>
        <w:tabs>
          <w:tab w:leader="none" w:pos="174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The Borrower will not, and will not permit any Restricted Subsidiary to, and Holdings will not permit Public Sector to, issue any preferred Equity Interests or any Disqualified Equity Interests, except (A) in the case of the Borrower, preferred Equity Interests that are Qualified Equity Interests and (B)(x) preferred Equity Interests issued to and held by the Borrower or any Restricted Subsidiary and (y) preferred Equity Interests issued to and held by joint venture partners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this clause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(x) any such issuance of preferred Equity Interests that are not Qualified Equity Interests shall constitute incurred Indebtedness and be subject to the provisions set forth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shall only be permitted if the incurrence of such Indebtedness would have been permitted thereunder) and (y) if so incurred, any cash payments made with respect to such preferred Equity Interests shall constitute Restricted Payments and shall be subject to </w:t>
      </w:r>
      <w:r>
        <w:rPr>
          <w:rFonts w:ascii="Arial" w:cs="Arial" w:eastAsia="Arial" w:hAnsi="Arial"/>
          <w:sz w:val="19"/>
          <w:szCs w:val="19"/>
          <w:u w:val="single" w:color="auto"/>
          <w:color w:val="auto"/>
        </w:rPr>
        <w:t>Section 6.07(a)</w:t>
      </w:r>
      <w:r>
        <w:rPr>
          <w:rFonts w:ascii="Arial" w:cs="Arial" w:eastAsia="Arial" w:hAnsi="Arial"/>
          <w:sz w:val="19"/>
          <w:szCs w:val="19"/>
          <w:color w:val="auto"/>
        </w:rPr>
        <w:t>.</w:t>
      </w:r>
    </w:p>
    <w:p>
      <w:pPr>
        <w:spacing w:after="0" w:line="186" w:lineRule="exact"/>
        <w:rPr>
          <w:sz w:val="20"/>
          <w:szCs w:val="20"/>
          <w:color w:val="auto"/>
        </w:rPr>
      </w:pPr>
    </w:p>
    <w:p>
      <w:pPr>
        <w:jc w:val="both"/>
        <w:ind w:firstLine="1908"/>
        <w:spacing w:after="0" w:line="265" w:lineRule="auto"/>
        <w:rPr>
          <w:sz w:val="20"/>
          <w:szCs w:val="20"/>
          <w:color w:val="auto"/>
        </w:rPr>
      </w:pPr>
      <w:r>
        <w:rPr>
          <w:rFonts w:ascii="Arial" w:cs="Arial" w:eastAsia="Arial" w:hAnsi="Arial"/>
          <w:sz w:val="18"/>
          <w:szCs w:val="18"/>
          <w:color w:val="auto"/>
        </w:rPr>
        <w:t xml:space="preserve">For purposes of determining compliance with any U.S. dollar denominated restriction on the incurrence of Indebtedness, the U.S. dollar equivalent principal amount of Indebtedness denominated in a foreign currency will be calculated based on the relevant currency exchange rate in effect on the date such Indebtedness was incurred, in the case of term debt, or first committed, in the case of revolving credit debt; provided, however, that if such Indebtedness is a Permitted Refinancing incurred to extend, replace, refund, refinance, renew or defease other Indebtedness denominated in a foreign currency, and such extension, replacement, refunding, refinancing, renewal or defeasance would cause the applicable U.S. dollar denominated restriction to be exceeded if calculated at the relevant currency exchange rate in effect on the date of such extension, replacement, refunding, refinancing, renewal or defeasance such U.S. dollar denominated restriction shall be deemed not to have been exceeded so long as the principal amount of such Permitted Refinancing does not exceed the principal amount of such Indebtedness being extended, replaced, refunded, refinanced, renewed or defeased. Notwithstanding any other provision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the maximum amount of Indebtedness the Borrower or any Restricted Subsidiary may incur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shall not be deemed exceeded by fluctuations in the exchange rate of currencies. The principal amount of any Permitted Refinancing shall be calculated based on the currency exchange rate applicable to the currencies in which such respective Indebtedness is denominated that is in effect on the date of any extension, replacement, refunding, refinancing, renewal or defeasance of any Indebtedness.</w:t>
      </w:r>
    </w:p>
    <w:p>
      <w:pPr>
        <w:spacing w:after="0" w:line="169" w:lineRule="exact"/>
        <w:rPr>
          <w:sz w:val="20"/>
          <w:szCs w:val="20"/>
          <w:color w:val="auto"/>
        </w:rPr>
      </w:pPr>
    </w:p>
    <w:p>
      <w:pPr>
        <w:jc w:val="both"/>
        <w:ind w:firstLine="1908"/>
        <w:spacing w:after="0" w:line="250"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 Indebtedness need not be permitted solely by reference to one category of permitted Indebtedness (or any portion thereof) described in </w:t>
      </w:r>
      <w:r>
        <w:rPr>
          <w:rFonts w:ascii="Arial" w:cs="Arial" w:eastAsia="Arial" w:hAnsi="Arial"/>
          <w:sz w:val="19"/>
          <w:szCs w:val="19"/>
          <w:u w:val="single" w:color="auto"/>
          <w:color w:val="auto"/>
        </w:rPr>
        <w:t>Section 6.01(a)(i)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(xxviii)</w:t>
      </w:r>
      <w:r>
        <w:rPr>
          <w:rFonts w:ascii="Arial" w:cs="Arial" w:eastAsia="Arial" w:hAnsi="Arial"/>
          <w:sz w:val="19"/>
          <w:szCs w:val="19"/>
          <w:color w:val="auto"/>
        </w:rPr>
        <w:t xml:space="preserve"> but may be permitted in part under any combination thereof and (B) in the event that any item of Indebtedness (or any portion thereof) meets the criteria of one or more of the categories of permitted Indebtedness (or any portion thereof) described in </w:t>
      </w:r>
      <w:r>
        <w:rPr>
          <w:rFonts w:ascii="Arial" w:cs="Arial" w:eastAsia="Arial" w:hAnsi="Arial"/>
          <w:sz w:val="19"/>
          <w:szCs w:val="19"/>
          <w:u w:val="single" w:color="auto"/>
          <w:color w:val="auto"/>
        </w:rPr>
        <w:t>Section 6.01(a)(i)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(xxviii)</w:t>
      </w:r>
      <w:r>
        <w:rPr>
          <w:rFonts w:ascii="Arial" w:cs="Arial" w:eastAsia="Arial" w:hAnsi="Arial"/>
          <w:sz w:val="19"/>
          <w:szCs w:val="19"/>
          <w:color w:val="auto"/>
        </w:rPr>
        <w:t xml:space="preserve"> (except with respect to Indebtedness incurred on the Effective Date pursuant to </w:t>
      </w:r>
      <w:r>
        <w:rPr>
          <w:rFonts w:ascii="Arial" w:cs="Arial" w:eastAsia="Arial" w:hAnsi="Arial"/>
          <w:sz w:val="19"/>
          <w:szCs w:val="19"/>
          <w:u w:val="single" w:color="auto"/>
          <w:color w:val="auto"/>
        </w:rPr>
        <w:t>Section 6.01(a)(i)</w:t>
      </w:r>
      <w:r>
        <w:rPr>
          <w:rFonts w:ascii="Arial" w:cs="Arial" w:eastAsia="Arial" w:hAnsi="Arial"/>
          <w:sz w:val="19"/>
          <w:szCs w:val="19"/>
          <w:color w:val="auto"/>
        </w:rPr>
        <w:t xml:space="preserve">), the Borrower may, in its sole discretion, classify or reclassify, or later divide, classify or reclassify (as if incurred at such later time), such item of Indebtedness (or any portion thereof) in any manner that complies with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without giving pro forma effect to such item (or portion thereof) when calculating the amount of Indebtedness that may be incurred pursuant to any other clause;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Indebtedness outstanding under this Agreement on</w:t>
      </w:r>
    </w:p>
    <w:p>
      <w:pPr>
        <w:sectPr>
          <w:pgSz w:w="11900" w:h="16838" w:orient="portrait"/>
          <w:cols w:equalWidth="0" w:num="1">
            <w:col w:w="11240"/>
          </w:cols>
          <w:pgMar w:left="320" w:top="1395" w:right="339" w:bottom="1440" w:gutter="0" w:footer="0" w:header="0"/>
        </w:sectPr>
      </w:pPr>
    </w:p>
    <w:bookmarkStart w:id="212" w:name="page213"/>
    <w:bookmarkEnd w:id="212"/>
    <w:p>
      <w:pPr>
        <w:jc w:val="both"/>
        <w:spacing w:after="0" w:line="263" w:lineRule="auto"/>
        <w:rPr>
          <w:sz w:val="20"/>
          <w:szCs w:val="20"/>
          <w:color w:val="auto"/>
        </w:rPr>
      </w:pPr>
      <w:r>
        <w:rPr>
          <w:rFonts w:ascii="Arial" w:cs="Arial" w:eastAsia="Arial" w:hAnsi="Arial"/>
          <w:sz w:val="19"/>
          <w:szCs w:val="19"/>
          <w:color w:val="auto"/>
        </w:rPr>
        <w:t xml:space="preserve">the Effective Date shall at all times be deemed to have been incurred pursuant to </w:t>
      </w:r>
      <w:r>
        <w:rPr>
          <w:rFonts w:ascii="Arial" w:cs="Arial" w:eastAsia="Arial" w:hAnsi="Arial"/>
          <w:sz w:val="19"/>
          <w:szCs w:val="19"/>
          <w:u w:val="single" w:color="auto"/>
          <w:color w:val="auto"/>
        </w:rPr>
        <w:t>Section 6.01(a)(i)</w:t>
      </w:r>
      <w:r>
        <w:rPr>
          <w:rFonts w:ascii="Arial" w:cs="Arial" w:eastAsia="Arial" w:hAnsi="Arial"/>
          <w:sz w:val="19"/>
          <w:szCs w:val="19"/>
          <w:color w:val="auto"/>
        </w:rPr>
        <w:t>. In addition, with respect to any Indebtedness that was permitted to be incurred hereunder on the date of such incurrence, any Increased Amount of such Indebtedness shall also be permitted hereunder after the date of such incurrence.</w:t>
      </w:r>
    </w:p>
    <w:p>
      <w:pPr>
        <w:spacing w:after="0" w:line="169" w:lineRule="exact"/>
        <w:rPr>
          <w:sz w:val="20"/>
          <w:szCs w:val="20"/>
          <w:color w:val="auto"/>
        </w:rPr>
      </w:pPr>
    </w:p>
    <w:p>
      <w:pPr>
        <w:jc w:val="both"/>
        <w:ind w:firstLine="1908"/>
        <w:spacing w:after="0" w:line="263" w:lineRule="auto"/>
        <w:rPr>
          <w:sz w:val="20"/>
          <w:szCs w:val="20"/>
          <w:color w:val="auto"/>
        </w:rPr>
      </w:pPr>
      <w:r>
        <w:rPr>
          <w:rFonts w:ascii="Arial" w:cs="Arial" w:eastAsia="Arial" w:hAnsi="Arial"/>
          <w:sz w:val="19"/>
          <w:szCs w:val="19"/>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6.02</w:t>
      </w:r>
      <w:r>
        <w:rPr>
          <w:sz w:val="20"/>
          <w:szCs w:val="20"/>
          <w:color w:val="auto"/>
        </w:rPr>
        <w:tab/>
      </w:r>
      <w:r>
        <w:rPr>
          <w:rFonts w:ascii="Arial" w:cs="Arial" w:eastAsia="Arial" w:hAnsi="Arial"/>
          <w:sz w:val="17"/>
          <w:szCs w:val="17"/>
          <w:u w:val="single" w:color="auto"/>
          <w:color w:val="auto"/>
        </w:rPr>
        <w:t>Liens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The Borrower will not, and will not permit any Restricted Subsidiary to, and Holdings will not permit Public Sector to, create, incur, assume or permit to exist any Lien on any property or asset now owned (but not leased or ground-leased) or hereafter acquired (but not leased or ground-leased) by it, except:</w:t>
      </w:r>
    </w:p>
    <w:p>
      <w:pPr>
        <w:spacing w:after="0" w:line="169" w:lineRule="exact"/>
        <w:rPr>
          <w:sz w:val="20"/>
          <w:szCs w:val="20"/>
          <w:color w:val="auto"/>
        </w:rPr>
      </w:pPr>
    </w:p>
    <w:p>
      <w:pPr>
        <w:ind w:left="2600" w:hanging="368"/>
        <w:spacing w:after="0"/>
        <w:tabs>
          <w:tab w:leader="none" w:pos="260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Liens created under the Loan Documents;</w:t>
      </w:r>
    </w:p>
    <w:p>
      <w:pPr>
        <w:spacing w:after="0" w:line="218" w:lineRule="exact"/>
        <w:rPr>
          <w:rFonts w:ascii="Arial" w:cs="Arial" w:eastAsia="Arial" w:hAnsi="Arial"/>
          <w:sz w:val="19"/>
          <w:szCs w:val="19"/>
          <w:color w:val="auto"/>
        </w:rPr>
      </w:pPr>
    </w:p>
    <w:p>
      <w:pPr>
        <w:ind w:left="2660" w:hanging="428"/>
        <w:spacing w:after="0"/>
        <w:tabs>
          <w:tab w:leader="none" w:pos="266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Permitted Encumbrances;</w:t>
      </w:r>
    </w:p>
    <w:p>
      <w:pPr>
        <w:spacing w:after="0" w:line="218" w:lineRule="exact"/>
        <w:rPr>
          <w:rFonts w:ascii="Arial" w:cs="Arial" w:eastAsia="Arial" w:hAnsi="Arial"/>
          <w:sz w:val="19"/>
          <w:szCs w:val="19"/>
          <w:color w:val="auto"/>
        </w:rPr>
      </w:pPr>
    </w:p>
    <w:p>
      <w:pPr>
        <w:jc w:val="both"/>
        <w:ind w:left="960" w:firstLine="1272"/>
        <w:spacing w:after="0" w:line="265" w:lineRule="auto"/>
        <w:tabs>
          <w:tab w:leader="none" w:pos="278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Liens existing on the Effective Date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securing Indebtedness or other obligations in excess of $3,500,000 shall only be permitted if set forth on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such modified, replacement, renewal or extension Lien does not extend to any additional property other than (1) after-acquired property that is affixed or incorporated into the property covered by such Lien and</w:t>
      </w:r>
    </w:p>
    <w:p>
      <w:pPr>
        <w:spacing w:after="0" w:line="2" w:lineRule="exact"/>
        <w:rPr>
          <w:rFonts w:ascii="Arial" w:cs="Arial" w:eastAsia="Arial" w:hAnsi="Arial"/>
          <w:sz w:val="18"/>
          <w:szCs w:val="18"/>
          <w:color w:val="auto"/>
        </w:rPr>
      </w:pPr>
    </w:p>
    <w:p>
      <w:pPr>
        <w:ind w:left="960"/>
        <w:spacing w:after="0" w:line="261" w:lineRule="auto"/>
        <w:tabs>
          <w:tab w:leader="none" w:pos="1235"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proceeds and products thereof, and (B) the obligations secured or benefited by such modified, replacement, renewal or extension Lien are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jc w:val="both"/>
        <w:ind w:left="960" w:firstLine="1272"/>
        <w:spacing w:after="0" w:line="251" w:lineRule="auto"/>
        <w:tabs>
          <w:tab w:leader="none" w:pos="2889" w:val="left"/>
        </w:tabs>
        <w:numPr>
          <w:ilvl w:val="1"/>
          <w:numId w:val="205"/>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6.01(a)(v)</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individual financings of equipment provided by one lender may be cross collateralized to other financings of equipment provided by such lender;</w:t>
      </w:r>
    </w:p>
    <w:p>
      <w:pPr>
        <w:spacing w:after="0" w:line="182" w:lineRule="exact"/>
        <w:rPr>
          <w:rFonts w:ascii="Arial" w:cs="Arial" w:eastAsia="Arial" w:hAnsi="Arial"/>
          <w:sz w:val="19"/>
          <w:szCs w:val="19"/>
          <w:color w:val="auto"/>
        </w:rPr>
      </w:pPr>
    </w:p>
    <w:p>
      <w:pPr>
        <w:jc w:val="both"/>
        <w:ind w:left="960" w:firstLine="1272"/>
        <w:spacing w:after="0" w:line="292" w:lineRule="auto"/>
        <w:tabs>
          <w:tab w:leader="none" w:pos="2714" w:val="left"/>
        </w:tabs>
        <w:numPr>
          <w:ilvl w:val="1"/>
          <w:numId w:val="205"/>
        </w:numPr>
        <w:rPr>
          <w:rFonts w:ascii="Arial" w:cs="Arial" w:eastAsia="Arial" w:hAnsi="Arial"/>
          <w:sz w:val="17"/>
          <w:szCs w:val="17"/>
          <w:color w:val="auto"/>
        </w:rPr>
      </w:pPr>
      <w:r>
        <w:rPr>
          <w:rFonts w:ascii="Arial" w:cs="Arial" w:eastAsia="Arial" w:hAnsi="Arial"/>
          <w:sz w:val="17"/>
          <w:szCs w:val="17"/>
          <w:color w:val="auto"/>
        </w:rPr>
        <w:t>(i) easements, leases, licenses, subleases or sublicenses granted to others in the ordinary course of business (including, with respect to Intellectual Property, non-exclusive licenses and sublicenses of Intellectual Property only) that do not (A) interfere in any material respect with the business of the Borrower and its Restricted Subsidiaries, taken as a whole, or (B) secure any Indebtedness and (ii) any interest or title of a lessor or licensee under any lease or license entered into by the Borrower or any Restricted Subsidiary in the ordinary course of its business and covering only the assets so leased or licensed;</w:t>
      </w:r>
    </w:p>
    <w:p>
      <w:pPr>
        <w:sectPr>
          <w:pgSz w:w="11900" w:h="16838" w:orient="portrait"/>
          <w:cols w:equalWidth="0" w:num="1">
            <w:col w:w="11240"/>
          </w:cols>
          <w:pgMar w:left="320" w:top="1395" w:right="339" w:bottom="1440" w:gutter="0" w:footer="0" w:header="0"/>
        </w:sectPr>
      </w:pPr>
    </w:p>
    <w:bookmarkStart w:id="213" w:name="page214"/>
    <w:bookmarkEnd w:id="213"/>
    <w:p>
      <w:pPr>
        <w:ind w:left="-160" w:firstLine="1272"/>
        <w:spacing w:after="0" w:line="278" w:lineRule="auto"/>
        <w:tabs>
          <w:tab w:leader="none" w:pos="1644" w:val="left"/>
        </w:tabs>
        <w:numPr>
          <w:ilvl w:val="0"/>
          <w:numId w:val="206"/>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arising as a matter of law to secure payment of customs duties in connection with the importation of goods;</w:t>
      </w:r>
    </w:p>
    <w:p>
      <w:pPr>
        <w:spacing w:after="0" w:line="156" w:lineRule="exact"/>
        <w:rPr>
          <w:rFonts w:ascii="Arial" w:cs="Arial" w:eastAsia="Arial" w:hAnsi="Arial"/>
          <w:sz w:val="19"/>
          <w:szCs w:val="19"/>
          <w:color w:val="auto"/>
        </w:rPr>
      </w:pPr>
    </w:p>
    <w:p>
      <w:pPr>
        <w:jc w:val="both"/>
        <w:ind w:left="-160" w:firstLine="1272"/>
        <w:spacing w:after="0" w:line="272" w:lineRule="auto"/>
        <w:tabs>
          <w:tab w:leader="none" w:pos="177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165" w:lineRule="exact"/>
        <w:rPr>
          <w:rFonts w:ascii="Arial" w:cs="Arial" w:eastAsia="Arial" w:hAnsi="Arial"/>
          <w:sz w:val="18"/>
          <w:szCs w:val="18"/>
          <w:color w:val="auto"/>
        </w:rPr>
      </w:pPr>
    </w:p>
    <w:p>
      <w:pPr>
        <w:jc w:val="both"/>
        <w:ind w:left="-160" w:firstLine="1272"/>
        <w:spacing w:after="0" w:line="270" w:lineRule="auto"/>
        <w:tabs>
          <w:tab w:leader="none" w:pos="175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Liens (A) on cash advances or escrow deposits in favor of the seller of any property to be acquired in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to be applied against the purchase price for such Investment or otherwise in connection with any escrow arrangements with respect to any such Investment or any Disposition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(including any letter of intent or purchase agreement with respect to such Investment or Disposition), or (B) consisting of an agreement to dispose of any property in a Disposition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in each case, solely to the extent such Investment or Disposition, as the case may be, would have been permitted on the date of the creation of such Lien;</w:t>
      </w:r>
    </w:p>
    <w:p>
      <w:pPr>
        <w:spacing w:after="0" w:line="166" w:lineRule="exact"/>
        <w:rPr>
          <w:rFonts w:ascii="Arial" w:cs="Arial" w:eastAsia="Arial" w:hAnsi="Arial"/>
          <w:sz w:val="18"/>
          <w:szCs w:val="18"/>
          <w:color w:val="auto"/>
        </w:rPr>
      </w:pPr>
    </w:p>
    <w:p>
      <w:pPr>
        <w:jc w:val="both"/>
        <w:ind w:left="-160" w:firstLine="1272"/>
        <w:spacing w:after="0" w:line="263" w:lineRule="auto"/>
        <w:tabs>
          <w:tab w:leader="none" w:pos="164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Liens on property or other assets of any Restricted Subsidiary that is not a Loan Party, which Liens secure Indebtedness or other obligations of such Restricted Subsidiary or another Restricted Subsidiary that is not a Loan Party, in each case permitted by this Agreement;</w:t>
      </w:r>
    </w:p>
    <w:p>
      <w:pPr>
        <w:spacing w:after="0" w:line="169" w:lineRule="exact"/>
        <w:rPr>
          <w:rFonts w:ascii="Arial" w:cs="Arial" w:eastAsia="Arial" w:hAnsi="Arial"/>
          <w:sz w:val="19"/>
          <w:szCs w:val="19"/>
          <w:color w:val="auto"/>
        </w:rPr>
      </w:pPr>
    </w:p>
    <w:p>
      <w:pPr>
        <w:ind w:left="-160" w:firstLine="1272"/>
        <w:spacing w:after="0" w:line="278" w:lineRule="auto"/>
        <w:tabs>
          <w:tab w:leader="none" w:pos="1593" w:val="left"/>
        </w:tabs>
        <w:numPr>
          <w:ilvl w:val="0"/>
          <w:numId w:val="206"/>
        </w:numPr>
        <w:rPr>
          <w:rFonts w:ascii="Arial" w:cs="Arial" w:eastAsia="Arial" w:hAnsi="Arial"/>
          <w:sz w:val="19"/>
          <w:szCs w:val="19"/>
          <w:color w:val="auto"/>
        </w:rPr>
      </w:pPr>
      <w:r>
        <w:rPr>
          <w:rFonts w:ascii="Arial" w:cs="Arial" w:eastAsia="Arial" w:hAnsi="Arial"/>
          <w:sz w:val="19"/>
          <w:szCs w:val="19"/>
          <w:color w:val="auto"/>
        </w:rPr>
        <w:t>Liens granted by a Restricted Subsidiary that is not a Loan Party in favor of any Restricted Subsidiary and Liens granted by a Loan Party in favor of any other Loan Party;</w:t>
      </w:r>
    </w:p>
    <w:p>
      <w:pPr>
        <w:spacing w:after="0" w:line="156" w:lineRule="exact"/>
        <w:rPr>
          <w:rFonts w:ascii="Arial" w:cs="Arial" w:eastAsia="Arial" w:hAnsi="Arial"/>
          <w:sz w:val="19"/>
          <w:szCs w:val="19"/>
          <w:color w:val="auto"/>
        </w:rPr>
      </w:pPr>
    </w:p>
    <w:p>
      <w:pPr>
        <w:jc w:val="both"/>
        <w:ind w:left="-160" w:firstLine="1272"/>
        <w:spacing w:after="0" w:line="285" w:lineRule="auto"/>
        <w:tabs>
          <w:tab w:leader="none" w:pos="164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was not created in contemplation of such acquisition or such Person becoming a Restricted Subsidiary and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157" w:lineRule="exact"/>
        <w:rPr>
          <w:rFonts w:ascii="Arial" w:cs="Arial" w:eastAsia="Arial" w:hAnsi="Arial"/>
          <w:sz w:val="17"/>
          <w:szCs w:val="17"/>
          <w:color w:val="auto"/>
        </w:rPr>
      </w:pPr>
    </w:p>
    <w:p>
      <w:pPr>
        <w:ind w:left="-160" w:firstLine="1272"/>
        <w:spacing w:after="0" w:line="278" w:lineRule="auto"/>
        <w:tabs>
          <w:tab w:leader="none" w:pos="1681"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any interest or title of a lessor or sublessor under leases or subleases (other than leases constituting Capital Lease Obligations) entered into by the Borrower or any Restricted Subsidiary in the ordinary course of business;</w:t>
      </w:r>
    </w:p>
    <w:p>
      <w:pPr>
        <w:sectPr>
          <w:pgSz w:w="11900" w:h="16838" w:orient="portrait"/>
          <w:cols w:equalWidth="0" w:num="1">
            <w:col w:w="10120"/>
          </w:cols>
          <w:pgMar w:left="1440" w:top="1395" w:right="339" w:bottom="1440" w:gutter="0" w:footer="0" w:header="0"/>
        </w:sectPr>
      </w:pPr>
    </w:p>
    <w:bookmarkStart w:id="214" w:name="page215"/>
    <w:bookmarkEnd w:id="214"/>
    <w:p>
      <w:pPr>
        <w:ind w:firstLine="1272"/>
        <w:spacing w:after="0" w:line="278" w:lineRule="auto"/>
        <w:tabs>
          <w:tab w:leader="none" w:pos="2005" w:val="left"/>
        </w:tabs>
        <w:numPr>
          <w:ilvl w:val="1"/>
          <w:numId w:val="207"/>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or similar arrangements for sale or purchase of goods by the Borrower or any Restricted Subsidiary in the ordinary course of business;</w:t>
      </w:r>
    </w:p>
    <w:p>
      <w:pPr>
        <w:spacing w:after="0" w:line="156" w:lineRule="exact"/>
        <w:rPr>
          <w:rFonts w:ascii="Arial" w:cs="Arial" w:eastAsia="Arial" w:hAnsi="Arial"/>
          <w:sz w:val="19"/>
          <w:szCs w:val="19"/>
          <w:color w:val="auto"/>
        </w:rPr>
      </w:pPr>
    </w:p>
    <w:p>
      <w:pPr>
        <w:ind w:firstLine="1272"/>
        <w:spacing w:after="0" w:line="278" w:lineRule="auto"/>
        <w:tabs>
          <w:tab w:leader="none" w:pos="1937" w:val="left"/>
        </w:tabs>
        <w:numPr>
          <w:ilvl w:val="1"/>
          <w:numId w:val="207"/>
        </w:numPr>
        <w:rPr>
          <w:rFonts w:ascii="Arial" w:cs="Arial" w:eastAsia="Arial" w:hAnsi="Arial"/>
          <w:sz w:val="19"/>
          <w:szCs w:val="19"/>
          <w:color w:val="auto"/>
        </w:rPr>
      </w:pPr>
      <w:r>
        <w:rPr>
          <w:rFonts w:ascii="Arial" w:cs="Arial" w:eastAsia="Arial" w:hAnsi="Arial"/>
          <w:sz w:val="19"/>
          <w:szCs w:val="19"/>
          <w:color w:val="auto"/>
        </w:rPr>
        <w:t xml:space="preserve">Liens deemed to exist in connection with Investments in repurchase agreements under clause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the definition of the term “Permitted Investments”;</w:t>
      </w:r>
    </w:p>
    <w:p>
      <w:pPr>
        <w:spacing w:after="0" w:line="156" w:lineRule="exact"/>
        <w:rPr>
          <w:rFonts w:ascii="Arial" w:cs="Arial" w:eastAsia="Arial" w:hAnsi="Arial"/>
          <w:sz w:val="19"/>
          <w:szCs w:val="19"/>
          <w:color w:val="auto"/>
        </w:rPr>
      </w:pPr>
    </w:p>
    <w:p>
      <w:pPr>
        <w:jc w:val="both"/>
        <w:ind w:firstLine="1272"/>
        <w:spacing w:after="0" w:line="263" w:lineRule="auto"/>
        <w:tabs>
          <w:tab w:leader="none" w:pos="1815" w:val="left"/>
        </w:tabs>
        <w:numPr>
          <w:ilvl w:val="1"/>
          <w:numId w:val="207"/>
        </w:numPr>
        <w:rPr>
          <w:rFonts w:ascii="Arial" w:cs="Arial" w:eastAsia="Arial" w:hAnsi="Arial"/>
          <w:sz w:val="19"/>
          <w:szCs w:val="19"/>
          <w:color w:val="auto"/>
        </w:rPr>
      </w:pPr>
      <w:r>
        <w:rPr>
          <w:rFonts w:ascii="Arial" w:cs="Arial" w:eastAsia="Arial" w:hAnsi="Arial"/>
          <w:sz w:val="19"/>
          <w:szCs w:val="19"/>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69" w:lineRule="exact"/>
        <w:rPr>
          <w:rFonts w:ascii="Arial" w:cs="Arial" w:eastAsia="Arial" w:hAnsi="Arial"/>
          <w:sz w:val="19"/>
          <w:szCs w:val="19"/>
          <w:color w:val="auto"/>
        </w:rPr>
      </w:pPr>
    </w:p>
    <w:p>
      <w:pPr>
        <w:jc w:val="both"/>
        <w:ind w:firstLine="1272"/>
        <w:spacing w:after="0" w:line="283" w:lineRule="auto"/>
        <w:tabs>
          <w:tab w:leader="none" w:pos="1849" w:val="left"/>
        </w:tabs>
        <w:numPr>
          <w:ilvl w:val="1"/>
          <w:numId w:val="207"/>
        </w:numPr>
        <w:rPr>
          <w:rFonts w:ascii="Arial" w:cs="Arial" w:eastAsia="Arial" w:hAnsi="Arial"/>
          <w:sz w:val="17"/>
          <w:szCs w:val="17"/>
          <w:color w:val="auto"/>
        </w:rPr>
      </w:pPr>
      <w:r>
        <w:rPr>
          <w:rFonts w:ascii="Arial" w:cs="Arial" w:eastAsia="Arial" w:hAnsi="Arial"/>
          <w:sz w:val="17"/>
          <w:szCs w:val="17"/>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its Restricted Subsidiaries or</w:t>
      </w:r>
    </w:p>
    <w:p>
      <w:pPr>
        <w:spacing w:after="0" w:line="261" w:lineRule="auto"/>
        <w:tabs>
          <w:tab w:leader="none" w:pos="321" w:val="left"/>
        </w:tabs>
        <w:numPr>
          <w:ilvl w:val="0"/>
          <w:numId w:val="208"/>
        </w:numPr>
        <w:rPr>
          <w:rFonts w:ascii="Arial" w:cs="Arial" w:eastAsia="Arial" w:hAnsi="Arial"/>
          <w:sz w:val="19"/>
          <w:szCs w:val="19"/>
          <w:color w:val="auto"/>
        </w:rPr>
      </w:pPr>
      <w:r>
        <w:rPr>
          <w:rFonts w:ascii="Arial" w:cs="Arial" w:eastAsia="Arial" w:hAnsi="Arial"/>
          <w:sz w:val="19"/>
          <w:szCs w:val="19"/>
          <w:color w:val="auto"/>
        </w:rPr>
        <w:t>relating to purchase orders and other agreements entered into with customers of the Borrower or any Restricted Subsidiary in the ordinary course of business;</w:t>
      </w:r>
    </w:p>
    <w:p>
      <w:pPr>
        <w:spacing w:after="0" w:line="171" w:lineRule="exact"/>
        <w:rPr>
          <w:rFonts w:ascii="Arial" w:cs="Arial" w:eastAsia="Arial" w:hAnsi="Arial"/>
          <w:sz w:val="19"/>
          <w:szCs w:val="19"/>
          <w:color w:val="auto"/>
        </w:rPr>
      </w:pPr>
    </w:p>
    <w:p>
      <w:pPr>
        <w:ind w:left="1900" w:hanging="628"/>
        <w:spacing w:after="0"/>
        <w:tabs>
          <w:tab w:leader="none" w:pos="190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ind w:left="1980" w:hanging="708"/>
        <w:spacing w:after="0"/>
        <w:tabs>
          <w:tab w:leader="none" w:pos="198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securing the financing of the premiums with respect</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thereto;</w:t>
      </w:r>
    </w:p>
    <w:p>
      <w:pPr>
        <w:spacing w:after="0" w:line="202" w:lineRule="exact"/>
        <w:rPr>
          <w:rFonts w:ascii="Arial" w:cs="Arial" w:eastAsia="Arial" w:hAnsi="Arial"/>
          <w:sz w:val="17"/>
          <w:szCs w:val="17"/>
          <w:color w:val="auto"/>
        </w:rPr>
      </w:pPr>
    </w:p>
    <w:p>
      <w:pPr>
        <w:ind w:left="1840" w:hanging="568"/>
        <w:spacing w:after="0"/>
        <w:tabs>
          <w:tab w:leader="none" w:pos="184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6.01(a)(xix)</w:t>
      </w:r>
      <w:r>
        <w:rPr>
          <w:rFonts w:ascii="Arial" w:cs="Arial" w:eastAsia="Arial" w:hAnsi="Arial"/>
          <w:sz w:val="19"/>
          <w:szCs w:val="19"/>
          <w:color w:val="auto"/>
        </w:rPr>
        <w:t>;</w:t>
      </w:r>
    </w:p>
    <w:p>
      <w:pPr>
        <w:spacing w:after="0" w:line="218" w:lineRule="exact"/>
        <w:rPr>
          <w:rFonts w:ascii="Arial" w:cs="Arial" w:eastAsia="Arial" w:hAnsi="Arial"/>
          <w:sz w:val="19"/>
          <w:szCs w:val="19"/>
          <w:color w:val="auto"/>
        </w:rPr>
      </w:pPr>
    </w:p>
    <w:p>
      <w:pPr>
        <w:ind w:left="1780" w:hanging="508"/>
        <w:spacing w:after="0"/>
        <w:tabs>
          <w:tab w:leader="none" w:pos="178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Liens on real property other than the Mortgaged Properties;</w:t>
      </w:r>
    </w:p>
    <w:p>
      <w:pPr>
        <w:spacing w:after="0" w:line="218" w:lineRule="exact"/>
        <w:rPr>
          <w:rFonts w:ascii="Arial" w:cs="Arial" w:eastAsia="Arial" w:hAnsi="Arial"/>
          <w:sz w:val="19"/>
          <w:szCs w:val="19"/>
          <w:color w:val="auto"/>
        </w:rPr>
      </w:pPr>
    </w:p>
    <w:p>
      <w:pPr>
        <w:ind w:left="1840" w:hanging="568"/>
        <w:spacing w:after="0"/>
        <w:tabs>
          <w:tab w:leader="none" w:pos="184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ind w:left="1900" w:hanging="628"/>
        <w:spacing w:after="0"/>
        <w:tabs>
          <w:tab w:leader="none" w:pos="190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6.01(a)(vii)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(xii)</w:t>
      </w:r>
      <w:r>
        <w:rPr>
          <w:rFonts w:ascii="Arial" w:cs="Arial" w:eastAsia="Arial" w:hAnsi="Arial"/>
          <w:sz w:val="19"/>
          <w:szCs w:val="19"/>
          <w:color w:val="auto"/>
        </w:rPr>
        <w:t>;</w:t>
      </w:r>
    </w:p>
    <w:p>
      <w:pPr>
        <w:spacing w:after="0" w:line="218" w:lineRule="exact"/>
        <w:rPr>
          <w:rFonts w:ascii="Arial" w:cs="Arial" w:eastAsia="Arial" w:hAnsi="Arial"/>
          <w:sz w:val="19"/>
          <w:szCs w:val="19"/>
          <w:color w:val="auto"/>
        </w:rPr>
      </w:pPr>
    </w:p>
    <w:p>
      <w:pPr>
        <w:ind w:left="2040" w:hanging="768"/>
        <w:spacing w:after="0"/>
        <w:tabs>
          <w:tab w:leader="none" w:pos="20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Liens on cash and Permitted Investments to secure Indebtedness permitted under </w:t>
      </w:r>
      <w:r>
        <w:rPr>
          <w:rFonts w:ascii="Arial" w:cs="Arial" w:eastAsia="Arial" w:hAnsi="Arial"/>
          <w:sz w:val="18"/>
          <w:szCs w:val="18"/>
          <w:u w:val="single" w:color="auto"/>
          <w:color w:val="auto"/>
        </w:rPr>
        <w:t>Section 6.01(a)(x)</w:t>
      </w:r>
      <w:r>
        <w:rPr>
          <w:rFonts w:ascii="Arial" w:cs="Arial" w:eastAsia="Arial" w:hAnsi="Arial"/>
          <w:sz w:val="18"/>
          <w:szCs w:val="18"/>
          <w:color w:val="auto"/>
        </w:rPr>
        <w:t xml:space="preserve"> or</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u w:val="single" w:color="auto"/>
          <w:color w:val="auto"/>
        </w:rPr>
        <w:t>(xxvi)</w:t>
      </w:r>
      <w:r>
        <w:rPr>
          <w:rFonts w:ascii="Arial" w:cs="Arial" w:eastAsia="Arial" w:hAnsi="Arial"/>
          <w:sz w:val="19"/>
          <w:szCs w:val="19"/>
          <w:color w:val="auto"/>
        </w:rPr>
        <w:t>;</w:t>
      </w:r>
    </w:p>
    <w:p>
      <w:pPr>
        <w:spacing w:after="0" w:line="202" w:lineRule="exact"/>
        <w:rPr>
          <w:rFonts w:ascii="Arial" w:cs="Arial" w:eastAsia="Arial" w:hAnsi="Arial"/>
          <w:sz w:val="18"/>
          <w:szCs w:val="18"/>
          <w:color w:val="auto"/>
        </w:rPr>
      </w:pPr>
    </w:p>
    <w:p>
      <w:pPr>
        <w:ind w:firstLine="1272"/>
        <w:spacing w:after="0" w:line="278" w:lineRule="auto"/>
        <w:tabs>
          <w:tab w:leader="none" w:pos="2113"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Liens on cash and Permitted Investments used to satisfy or discharge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satisfaction or discharge is permitted hereunder;</w:t>
      </w:r>
    </w:p>
    <w:p>
      <w:pPr>
        <w:spacing w:after="0" w:line="156" w:lineRule="exact"/>
        <w:rPr>
          <w:rFonts w:ascii="Arial" w:cs="Arial" w:eastAsia="Arial" w:hAnsi="Arial"/>
          <w:sz w:val="19"/>
          <w:szCs w:val="19"/>
          <w:color w:val="auto"/>
        </w:rPr>
      </w:pPr>
    </w:p>
    <w:p>
      <w:pPr>
        <w:ind w:firstLine="1272"/>
        <w:spacing w:after="0" w:line="278" w:lineRule="auto"/>
        <w:tabs>
          <w:tab w:leader="none" w:pos="1913" w:val="left"/>
        </w:tabs>
        <w:numPr>
          <w:ilvl w:val="1"/>
          <w:numId w:val="208"/>
        </w:numPr>
        <w:rPr>
          <w:rFonts w:ascii="Arial" w:cs="Arial" w:eastAsia="Arial" w:hAnsi="Arial"/>
          <w:sz w:val="19"/>
          <w:szCs w:val="19"/>
          <w:color w:val="auto"/>
        </w:rPr>
      </w:pPr>
      <w:r>
        <w:rPr>
          <w:rFonts w:ascii="Arial" w:cs="Arial" w:eastAsia="Arial" w:hAnsi="Arial"/>
          <w:sz w:val="19"/>
          <w:szCs w:val="19"/>
          <w:color w:val="auto"/>
        </w:rPr>
        <w:t>receipt of progress payments and advances from customers in the ordinary course of business to the extent the same creates a Lien on the related inventory and proceeds thereof;</w:t>
      </w:r>
    </w:p>
    <w:p>
      <w:pPr>
        <w:spacing w:after="0" w:line="156" w:lineRule="exact"/>
        <w:rPr>
          <w:rFonts w:ascii="Arial" w:cs="Arial" w:eastAsia="Arial" w:hAnsi="Arial"/>
          <w:sz w:val="19"/>
          <w:szCs w:val="19"/>
          <w:color w:val="auto"/>
        </w:rPr>
      </w:pPr>
    </w:p>
    <w:p>
      <w:pPr>
        <w:ind w:firstLine="1272"/>
        <w:spacing w:after="0" w:line="278" w:lineRule="auto"/>
        <w:tabs>
          <w:tab w:leader="none" w:pos="1956" w:val="left"/>
        </w:tabs>
        <w:numPr>
          <w:ilvl w:val="1"/>
          <w:numId w:val="208"/>
        </w:numPr>
        <w:rPr>
          <w:rFonts w:ascii="Arial" w:cs="Arial" w:eastAsia="Arial" w:hAnsi="Arial"/>
          <w:sz w:val="19"/>
          <w:szCs w:val="19"/>
          <w:color w:val="auto"/>
        </w:rPr>
      </w:pPr>
      <w:r>
        <w:rPr>
          <w:rFonts w:ascii="Arial" w:cs="Arial" w:eastAsia="Arial" w:hAnsi="Arial"/>
          <w:sz w:val="19"/>
          <w:szCs w:val="19"/>
          <w:color w:val="auto"/>
        </w:rPr>
        <w:t>Liens on Equity Interests of any joint venture (a) securing obligations of such joint venture or (b) pursuant to the relevant joint venture agreement or arrangement; and</w:t>
      </w:r>
    </w:p>
    <w:p>
      <w:pPr>
        <w:spacing w:after="0" w:line="156" w:lineRule="exact"/>
        <w:rPr>
          <w:rFonts w:ascii="Arial" w:cs="Arial" w:eastAsia="Arial" w:hAnsi="Arial"/>
          <w:sz w:val="19"/>
          <w:szCs w:val="19"/>
          <w:color w:val="auto"/>
        </w:rPr>
      </w:pPr>
    </w:p>
    <w:p>
      <w:pPr>
        <w:ind w:right="20" w:firstLine="1272"/>
        <w:spacing w:after="0" w:line="278" w:lineRule="auto"/>
        <w:tabs>
          <w:tab w:leader="none" w:pos="203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Liens securing Indebtedness permitted under Section 6.01(a)(xxi) in an amount not to exceed the greater of $10 million and 8.0% of Consolidated EBITDA for the most recently ended Test Period;</w:t>
      </w:r>
    </w:p>
    <w:p>
      <w:pPr>
        <w:sectPr>
          <w:pgSz w:w="11900" w:h="16838" w:orient="portrait"/>
          <w:cols w:equalWidth="0" w:num="1">
            <w:col w:w="10280"/>
          </w:cols>
          <w:pgMar w:left="1280" w:top="1395" w:right="339" w:bottom="1440" w:gutter="0" w:footer="0" w:header="0"/>
        </w:sectPr>
      </w:pPr>
    </w:p>
    <w:bookmarkStart w:id="215" w:name="page216"/>
    <w:bookmarkEnd w:id="215"/>
    <w:p>
      <w:pPr>
        <w:jc w:val="both"/>
        <w:ind w:left="960" w:firstLine="1272"/>
        <w:spacing w:after="0" w:line="255" w:lineRule="auto"/>
        <w:tabs>
          <w:tab w:leader="none" w:pos="3062"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other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the granting of and after giving Pro Forma Effect to any such Lien and the obligations secured thereby (including the use of proceeds thereof) the lesser of (x) the aggregate outstanding face amount of obligations secured by Liens existing in reliance on this clause </w:t>
      </w:r>
      <w:r>
        <w:rPr>
          <w:rFonts w:ascii="Arial" w:cs="Arial" w:eastAsia="Arial" w:hAnsi="Arial"/>
          <w:sz w:val="19"/>
          <w:szCs w:val="19"/>
          <w:u w:val="single" w:color="auto"/>
          <w:color w:val="auto"/>
        </w:rPr>
        <w:t>(xxviii)</w:t>
      </w:r>
      <w:r>
        <w:rPr>
          <w:rFonts w:ascii="Arial" w:cs="Arial" w:eastAsia="Arial" w:hAnsi="Arial"/>
          <w:sz w:val="19"/>
          <w:szCs w:val="19"/>
          <w:color w:val="auto"/>
        </w:rPr>
        <w:t xml:space="preserve"> and (y) the fair market value of the assets securing such obligations shall not exceed the greater of $60,000,000 and 50.0% of Consolidated EBITDA for the most recently ended Test Period.</w:t>
      </w:r>
    </w:p>
    <w:p>
      <w:pPr>
        <w:spacing w:after="0" w:line="178" w:lineRule="exact"/>
        <w:rPr>
          <w:sz w:val="20"/>
          <w:szCs w:val="20"/>
          <w:color w:val="auto"/>
        </w:rPr>
      </w:pPr>
    </w:p>
    <w:p>
      <w:pPr>
        <w:jc w:val="both"/>
        <w:ind w:firstLine="1908"/>
        <w:spacing w:after="0" w:line="265"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 a Lien securing an item of Indebtedness need not be permitted solely by reference to one category of permitted Liens (or any portion thereof) described in </w:t>
      </w:r>
      <w:r>
        <w:rPr>
          <w:rFonts w:ascii="Arial" w:cs="Arial" w:eastAsia="Arial" w:hAnsi="Arial"/>
          <w:sz w:val="18"/>
          <w:szCs w:val="18"/>
          <w:u w:val="single" w:color="auto"/>
          <w:color w:val="auto"/>
        </w:rPr>
        <w:t>Section 6.02(i)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(xxviii)</w:t>
      </w:r>
      <w:r>
        <w:rPr>
          <w:rFonts w:ascii="Arial" w:cs="Arial" w:eastAsia="Arial" w:hAnsi="Arial"/>
          <w:sz w:val="18"/>
          <w:szCs w:val="18"/>
          <w:color w:val="auto"/>
        </w:rPr>
        <w:t xml:space="preserve"> but may be permitted in part under any combination thereof and (B) in the event that a Lien securing an item of Indebtedness (or any portion thereof) meets the criteria of one or more of the categories of permitted Liens (or any portion thereof) described in </w:t>
      </w:r>
      <w:r>
        <w:rPr>
          <w:rFonts w:ascii="Arial" w:cs="Arial" w:eastAsia="Arial" w:hAnsi="Arial"/>
          <w:sz w:val="18"/>
          <w:szCs w:val="18"/>
          <w:u w:val="single" w:color="auto"/>
          <w:color w:val="auto"/>
        </w:rPr>
        <w:t>Section 6.02(i)</w:t>
      </w:r>
      <w:r>
        <w:rPr>
          <w:rFonts w:ascii="Arial" w:cs="Arial" w:eastAsia="Arial" w:hAnsi="Arial"/>
          <w:sz w:val="18"/>
          <w:szCs w:val="18"/>
          <w:color w:val="auto"/>
        </w:rPr>
        <w:t xml:space="preserve"> through</w:t>
      </w:r>
    </w:p>
    <w:p>
      <w:pPr>
        <w:spacing w:after="0" w:line="3" w:lineRule="exact"/>
        <w:rPr>
          <w:sz w:val="20"/>
          <w:szCs w:val="20"/>
          <w:color w:val="auto"/>
        </w:rPr>
      </w:pPr>
    </w:p>
    <w:p>
      <w:pPr>
        <w:jc w:val="both"/>
        <w:ind w:firstLine="6"/>
        <w:spacing w:after="0" w:line="249" w:lineRule="auto"/>
        <w:tabs>
          <w:tab w:leader="none" w:pos="640" w:val="left"/>
        </w:tabs>
        <w:numPr>
          <w:ilvl w:val="0"/>
          <w:numId w:val="210"/>
        </w:numPr>
        <w:rPr>
          <w:rFonts w:ascii="Arial" w:cs="Arial" w:eastAsia="Arial" w:hAnsi="Arial"/>
          <w:sz w:val="19"/>
          <w:szCs w:val="19"/>
          <w:u w:val="single" w:color="auto"/>
          <w:color w:val="auto"/>
        </w:rPr>
      </w:pPr>
      <w:r>
        <w:rPr>
          <w:rFonts w:ascii="Arial" w:cs="Arial" w:eastAsia="Arial" w:hAnsi="Arial"/>
          <w:sz w:val="19"/>
          <w:szCs w:val="19"/>
          <w:color w:val="auto"/>
        </w:rPr>
        <w:t xml:space="preserve">(except with respect to Liens incurred pursuant to </w:t>
      </w:r>
      <w:r>
        <w:rPr>
          <w:rFonts w:ascii="Arial" w:cs="Arial" w:eastAsia="Arial" w:hAnsi="Arial"/>
          <w:sz w:val="19"/>
          <w:szCs w:val="19"/>
          <w:u w:val="single" w:color="auto"/>
          <w:color w:val="auto"/>
        </w:rPr>
        <w:t>Section 6.02(i)</w:t>
      </w:r>
      <w:r>
        <w:rPr>
          <w:rFonts w:ascii="Arial" w:cs="Arial" w:eastAsia="Arial" w:hAnsi="Arial"/>
          <w:sz w:val="19"/>
          <w:szCs w:val="19"/>
          <w:color w:val="auto"/>
        </w:rPr>
        <w:t xml:space="preserve"> securing Indebtedness incurred on the Effective Date), the Borrower may, in its sole discretion, classify or reclassify, or later divide, classify or reclassify (as if incurred at such later time), such Lien securing such item of Indebtedness (or any portion thereof) in any manner that complies with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without giving pro forma effect to such item (or portion thereof) when calculating the amount of Liens or Indebtedness that may be incurred pursuant to any other clause.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8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6.03</w:t>
      </w:r>
      <w:r>
        <w:rPr>
          <w:sz w:val="20"/>
          <w:szCs w:val="20"/>
          <w:color w:val="auto"/>
        </w:rPr>
        <w:tab/>
      </w:r>
      <w:r>
        <w:rPr>
          <w:rFonts w:ascii="Arial" w:cs="Arial" w:eastAsia="Arial" w:hAnsi="Arial"/>
          <w:sz w:val="17"/>
          <w:szCs w:val="17"/>
          <w:u w:val="single" w:color="auto"/>
          <w:color w:val="auto"/>
        </w:rPr>
        <w:t>Fundamental Changes; Holdings Covenant</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63" w:lineRule="auto"/>
        <w:tabs>
          <w:tab w:leader="none" w:pos="1697"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Borrower will not, and will not permit any other Restricted Subsidiary to, and Holdings will not permit Public Sector to, merge into or consolidate with any other Person (including pursuant to a division), or permit any other Person to merge into or consolidate with it, or liquidate or dissolve, except that:</w:t>
      </w:r>
    </w:p>
    <w:p>
      <w:pPr>
        <w:spacing w:after="0" w:line="169" w:lineRule="exact"/>
        <w:rPr>
          <w:rFonts w:ascii="Arial" w:cs="Arial" w:eastAsia="Arial" w:hAnsi="Arial"/>
          <w:sz w:val="19"/>
          <w:szCs w:val="19"/>
          <w:color w:val="auto"/>
        </w:rPr>
      </w:pPr>
    </w:p>
    <w:p>
      <w:pPr>
        <w:jc w:val="both"/>
        <w:ind w:left="960" w:firstLine="1272"/>
        <w:spacing w:after="0" w:line="292" w:lineRule="auto"/>
        <w:tabs>
          <w:tab w:leader="none" w:pos="2641" w:val="left"/>
        </w:tabs>
        <w:numPr>
          <w:ilvl w:val="1"/>
          <w:numId w:val="211"/>
        </w:numPr>
        <w:rPr>
          <w:rFonts w:ascii="Arial" w:cs="Arial" w:eastAsia="Arial" w:hAnsi="Arial"/>
          <w:sz w:val="17"/>
          <w:szCs w:val="17"/>
          <w:color w:val="auto"/>
        </w:rPr>
      </w:pPr>
      <w:r>
        <w:rPr>
          <w:rFonts w:ascii="Arial" w:cs="Arial" w:eastAsia="Arial" w:hAnsi="Arial"/>
          <w:sz w:val="17"/>
          <w:szCs w:val="17"/>
          <w:color w:val="auto"/>
        </w:rPr>
        <w:t xml:space="preserve">any Restricted Subsidiary may merge or consolidate with (A)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the continuing or surviving Person or (B) any one or more other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 any Subsidiary Loan Party is merging or consolidating with another Restricted Subsidiary the continuing or surviving Person shall be a Subsidiary Loan Party;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continuing or surviving Person is not a Subsidiary Loan Party, as applicable, the acquisition of such Subsidiary Loan Party by such surviving non-Loan Party Restricted Subsidiary is otherwise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49" w:lineRule="exact"/>
        <w:rPr>
          <w:rFonts w:ascii="Arial" w:cs="Arial" w:eastAsia="Arial" w:hAnsi="Arial"/>
          <w:sz w:val="17"/>
          <w:szCs w:val="17"/>
          <w:color w:val="auto"/>
        </w:rPr>
      </w:pPr>
    </w:p>
    <w:p>
      <w:pPr>
        <w:jc w:val="both"/>
        <w:ind w:left="960" w:firstLine="1272"/>
        <w:spacing w:after="0" w:line="257" w:lineRule="auto"/>
        <w:tabs>
          <w:tab w:leader="none" w:pos="2774"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 any Restricted Subsidiary that is not a Loan Party may merge or consolidate with or into any other Restricted Subsidiary that is not a Loan Party and (B) any Restricted Subsidiary may liquidate or dissolve or change its legal form if the Borrower determines in good faith that such action is in the best interests of the Borrower and its Restricted Subsidiaries and is not materially disadvantageous to the Lenders;</w:t>
      </w:r>
    </w:p>
    <w:p>
      <w:pPr>
        <w:spacing w:after="0" w:line="177" w:lineRule="exact"/>
        <w:rPr>
          <w:rFonts w:ascii="Arial" w:cs="Arial" w:eastAsia="Arial" w:hAnsi="Arial"/>
          <w:sz w:val="19"/>
          <w:szCs w:val="19"/>
          <w:color w:val="auto"/>
        </w:rPr>
      </w:pPr>
    </w:p>
    <w:p>
      <w:pPr>
        <w:ind w:left="960" w:right="20" w:firstLine="1272"/>
        <w:spacing w:after="0" w:line="278" w:lineRule="auto"/>
        <w:tabs>
          <w:tab w:leader="none" w:pos="280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any Restricted Subsidiary may make a Disposition of all or substantially all of its assets (upon voluntary liquidation or otherwise) to the Borrower or</w:t>
      </w:r>
    </w:p>
    <w:p>
      <w:pPr>
        <w:sectPr>
          <w:pgSz w:w="11900" w:h="16838" w:orient="portrait"/>
          <w:cols w:equalWidth="0" w:num="1">
            <w:col w:w="11240"/>
          </w:cols>
          <w:pgMar w:left="320" w:top="1395" w:right="339" w:bottom="1440" w:gutter="0" w:footer="0" w:header="0"/>
        </w:sectPr>
      </w:pPr>
    </w:p>
    <w:bookmarkStart w:id="216" w:name="page217"/>
    <w:bookmarkEnd w:id="216"/>
    <w:p>
      <w:pPr>
        <w:jc w:val="both"/>
        <w:spacing w:after="0" w:line="253" w:lineRule="auto"/>
        <w:rPr>
          <w:sz w:val="20"/>
          <w:szCs w:val="20"/>
          <w:color w:val="auto"/>
        </w:rPr>
      </w:pPr>
      <w:r>
        <w:rPr>
          <w:rFonts w:ascii="Arial" w:cs="Arial" w:eastAsia="Arial" w:hAnsi="Arial"/>
          <w:sz w:val="19"/>
          <w:szCs w:val="19"/>
          <w:color w:val="auto"/>
        </w:rPr>
        <w:t xml:space="preserve">another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transferor in such a transaction is a Loan Party, then (A) the transferee must be a Loan Party, (B) to the extent constituting an Investment, such Investment must be a permitted Investment in a Restricted Subsidiary that is not a Loan Party in accordance with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82" w:lineRule="exact"/>
        <w:rPr>
          <w:sz w:val="20"/>
          <w:szCs w:val="20"/>
          <w:color w:val="auto"/>
        </w:rPr>
      </w:pPr>
    </w:p>
    <w:p>
      <w:pPr>
        <w:jc w:val="both"/>
        <w:ind w:firstLine="1272"/>
        <w:spacing w:after="0" w:line="280" w:lineRule="auto"/>
        <w:tabs>
          <w:tab w:leader="none" w:pos="177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the Borrower may merge or consolidate with (or Dispose of all or substantially all of its assets to)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Borrower shall be the continuing or surviving Person or (B) if the Person formed by or surviving any such merger or consolidation is not the Borrower or is a Person into which the Borrower has been liquidated (or, in connection with a Disposition of all or substantially all of the Borrower’s assets, if the transferee of such assets) (any such Person, the “</w:t>
      </w:r>
      <w:r>
        <w:rPr>
          <w:rFonts w:ascii="Arial" w:cs="Arial" w:eastAsia="Arial" w:hAnsi="Arial"/>
          <w:sz w:val="17"/>
          <w:szCs w:val="17"/>
          <w:u w:val="single" w:color="auto"/>
          <w:color w:val="auto"/>
        </w:rPr>
        <w:t>Successor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(3) 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(4) the Borrower shall have delivered to the Administrative Agent a certificate of a Responsible Officer and an opinion of counsel, each stating that such merger or consolidation complies with this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(y) if the foregoing requirements are satisfied, the Successor Borrower will succeed to, and be substituted for, the Borrower under this Agreement and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 will use commercially reasonable efforts to provide any documentation and other information about the Successor Borrower as shall have been reasonably requested in writing by any Lender or Issuing Bank through the Administrative Agent that such Lender or Issuing Bank shall have reasonably determined is required by regulatory authorities under applicable “know your customer” and anti-money laundering rules and regulations, including Title III of the USA PATRIOT Act;</w:t>
      </w:r>
    </w:p>
    <w:p>
      <w:pPr>
        <w:spacing w:after="0" w:line="161" w:lineRule="exact"/>
        <w:rPr>
          <w:rFonts w:ascii="Arial" w:cs="Arial" w:eastAsia="Arial" w:hAnsi="Arial"/>
          <w:sz w:val="17"/>
          <w:szCs w:val="17"/>
          <w:color w:val="auto"/>
        </w:rPr>
      </w:pPr>
    </w:p>
    <w:p>
      <w:pPr>
        <w:ind w:left="1700" w:hanging="428"/>
        <w:spacing w:after="0"/>
        <w:tabs>
          <w:tab w:leader="none" w:pos="170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Holdings and its Subsidiaries may undertake or consummate any Tax Restructuring;</w:t>
      </w:r>
    </w:p>
    <w:p>
      <w:pPr>
        <w:spacing w:after="0" w:line="218" w:lineRule="exact"/>
        <w:rPr>
          <w:rFonts w:ascii="Arial" w:cs="Arial" w:eastAsia="Arial" w:hAnsi="Arial"/>
          <w:sz w:val="19"/>
          <w:szCs w:val="19"/>
          <w:color w:val="auto"/>
        </w:rPr>
      </w:pPr>
    </w:p>
    <w:p>
      <w:pPr>
        <w:ind w:left="1740" w:hanging="468"/>
        <w:spacing w:after="0"/>
        <w:tabs>
          <w:tab w:leader="none" w:pos="174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2"/>
        <w:spacing w:after="0" w:line="257" w:lineRule="auto"/>
        <w:tabs>
          <w:tab w:leader="none" w:pos="1814"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any Restricted Subsidiary may merge, consolidate or amalgamate with any other Person in order to effect an Investment permitted pursuant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continuing or surviving Person shall be the Borrower or a Restricted Subsidiary, which together with each of the Restricted Subsidiaries, shall have complied with the requirements of </w:t>
      </w:r>
      <w:r>
        <w:rPr>
          <w:rFonts w:ascii="Arial" w:cs="Arial" w:eastAsia="Arial" w:hAnsi="Arial"/>
          <w:sz w:val="19"/>
          <w:szCs w:val="19"/>
          <w:u w:val="single" w:color="auto"/>
          <w:color w:val="auto"/>
        </w:rPr>
        <w:t>Sections 5.11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5.12</w:t>
      </w:r>
      <w:r>
        <w:rPr>
          <w:rFonts w:ascii="Arial" w:cs="Arial" w:eastAsia="Arial" w:hAnsi="Arial"/>
          <w:sz w:val="19"/>
          <w:szCs w:val="19"/>
          <w:color w:val="auto"/>
        </w:rPr>
        <w:t>; and</w:t>
      </w:r>
    </w:p>
    <w:p>
      <w:pPr>
        <w:sectPr>
          <w:pgSz w:w="11900" w:h="16838" w:orient="portrait"/>
          <w:cols w:equalWidth="0" w:num="1">
            <w:col w:w="10280"/>
          </w:cols>
          <w:pgMar w:left="1280" w:top="1395" w:right="339" w:bottom="1440" w:gutter="0" w:footer="0" w:header="0"/>
        </w:sectPr>
      </w:pPr>
    </w:p>
    <w:bookmarkStart w:id="217" w:name="page218"/>
    <w:bookmarkEnd w:id="217"/>
    <w:p>
      <w:pPr>
        <w:ind w:left="954" w:firstLine="1272"/>
        <w:spacing w:after="0" w:line="278" w:lineRule="auto"/>
        <w:tabs>
          <w:tab w:leader="none" w:pos="2868" w:val="left"/>
        </w:tabs>
        <w:numPr>
          <w:ilvl w:val="2"/>
          <w:numId w:val="213"/>
        </w:numPr>
        <w:rPr>
          <w:rFonts w:ascii="Arial" w:cs="Arial" w:eastAsia="Arial" w:hAnsi="Arial"/>
          <w:sz w:val="19"/>
          <w:szCs w:val="19"/>
          <w:color w:val="auto"/>
        </w:rPr>
      </w:pPr>
      <w:r>
        <w:rPr>
          <w:rFonts w:ascii="Arial" w:cs="Arial" w:eastAsia="Arial" w:hAnsi="Arial"/>
          <w:sz w:val="19"/>
          <w:szCs w:val="19"/>
          <w:color w:val="auto"/>
        </w:rPr>
        <w:t xml:space="preserve">any Restricted Subsidiary may effect a merger, dissolution, liquidation, consolidation or amalgamation to effect a Disposition permitted pursuant to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6" w:firstLine="1278"/>
        <w:spacing w:after="0" w:line="307" w:lineRule="auto"/>
        <w:tabs>
          <w:tab w:leader="none" w:pos="181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Neither the Borrower, nor any Loan Party, shall amend or permit any amendments to such Person’s Organizational Documents after the Effective Date in any manner that (when taken as a whole) would be materially adverse to Lenders.</w:t>
      </w:r>
    </w:p>
    <w:p>
      <w:pPr>
        <w:spacing w:after="0" w:line="132" w:lineRule="exact"/>
        <w:rPr>
          <w:rFonts w:ascii="Arial" w:cs="Arial" w:eastAsia="Arial" w:hAnsi="Arial"/>
          <w:sz w:val="18"/>
          <w:szCs w:val="18"/>
          <w:color w:val="auto"/>
        </w:rPr>
      </w:pPr>
    </w:p>
    <w:p>
      <w:pPr>
        <w:jc w:val="both"/>
        <w:ind w:left="-6" w:firstLine="1278"/>
        <w:spacing w:after="0" w:line="277" w:lineRule="auto"/>
        <w:tabs>
          <w:tab w:leader="none" w:pos="1724"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Holdings will not, and will not permit any Intermediate Parent to, conduct, transact or otherwise engage in any material business or material operations other than (i) the ownership and/or acquisition of the Equity Interests of the Borrower, Public Sector and any Intermediate Parent, (ii) the performance of obligations under and compliance with its Organizational Documents, or other Requirement of Law (including the maintenance of its legal existence, including the ability to incur fees, costs and expenses relating to such maintenance), ordinance, regulation, rule, order, judgment, decree or permit, including as a result of or in connection with the activities of any Intermediate Parent, the Borrower and its Restricted Subsidiaries, (iii) repurchases of Indebtedness through open market purchases and Dutch auctions (to the extent permitted hereunder and to the extent any Loans are automatically and irrevocably cancelled after repurchase), the making of any loan to any officers, directors, managers, members of management, consultants or independent contractors constituting (or that would constitute, to the extent Holdings were subject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 Investment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the making of any Investment in any Intermediate Parent, the Borrower or its Restricted Subsidiaries, (iv) participating in tax, accounting and other administrative matters related to any Intermediate Parent, the Borrower and its Restricted Subsidiaries, (v) the entry into, and exercise rights and performance of its obligations under and in connection with the Loan Documents and Guarantees of other Indebtedness not prohibited from being incurred under this Agreement by any Intermediate Parent, the Borrower or its Restricted Subsidiaries, (vi) any public offering of its common stock or any other issuance or registration of its Qualified Equity Interests for sale or resale (including, for the avoidance of doubt, the making of any dividend or distribution on account of, or any redemption, retirement, sinking fund or similar payment, purchase or other acquisition for value of, any shares of any class of Qualified Equity Interests), including the costs, fees and expenses related thereto, (vii) holding of any cash and Permitted Investments received from any Intermediate Parent, the Borrower or its Subsidiaries, (viii) the payment of dividends or making of distributions, making of loans and contributions to the capital of its Subsidiaries and guaranteeing the obligations (other than Indebtedness) of its Subsidiaries and making Investments expressly permitted to be made by Holdings or any Intermediate Parent under this Agreement or structured through Holdings or any Intermediate Parent and promptly contributed to a Subsidiary thereof in a manner not prohibited by this Agreement, (ix) incurring fees, costs and expenses relating to overhead and general operating expenses including professional fees for legal, tax and accounting issues and paying taxes, (x) providing indemnification for its current and former officers, directors, managers, members of management, employees, advisors, consultants or independent contractors, (xi) activities reasonably incidental to (1) the payment of Public Company Costs or</w:t>
      </w:r>
    </w:p>
    <w:p>
      <w:pPr>
        <w:spacing w:after="0" w:line="7" w:lineRule="exact"/>
        <w:rPr>
          <w:rFonts w:ascii="Arial" w:cs="Arial" w:eastAsia="Arial" w:hAnsi="Arial"/>
          <w:sz w:val="17"/>
          <w:szCs w:val="17"/>
          <w:color w:val="auto"/>
        </w:rPr>
      </w:pPr>
    </w:p>
    <w:p>
      <w:pPr>
        <w:jc w:val="both"/>
        <w:ind w:left="-6" w:firstLine="6"/>
        <w:spacing w:after="0" w:line="285" w:lineRule="auto"/>
        <w:tabs>
          <w:tab w:leader="none" w:pos="31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the consummation of a Tax Restructuring, (xii) entry into real estate lease agreements, (xiii) the incurrence and performance of its obligations under Indebtedness not otherwise prohibited hereunder, (xiv) the entering into and performance of its obligations under Swap Agreements of the type permitted by Section 6.04(f), (xv) any other transaction expressly permitted to be made by Holdings or any Intermediate Parent pursuant to Article VI and (xvi) activities incidental to the businesses or activities described in the foregoing clauses. Holdings will not permit any Lien to exist on the Equity Interests of the Borrower and any Intermediate Parent, other than Liens permitted by </w:t>
      </w:r>
      <w:r>
        <w:rPr>
          <w:rFonts w:ascii="Arial" w:cs="Arial" w:eastAsia="Arial" w:hAnsi="Arial"/>
          <w:sz w:val="17"/>
          <w:szCs w:val="17"/>
          <w:u w:val="single" w:color="auto"/>
          <w:color w:val="auto"/>
        </w:rPr>
        <w:t>Section 6.02(i)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(xxii)</w:t>
      </w:r>
      <w:r>
        <w:rPr>
          <w:rFonts w:ascii="Arial" w:cs="Arial" w:eastAsia="Arial" w:hAnsi="Arial"/>
          <w:sz w:val="17"/>
          <w:szCs w:val="17"/>
          <w:color w:val="auto"/>
        </w:rPr>
        <w:t xml:space="preserve"> (other than in respect of Indebtedness permitted under </w:t>
      </w:r>
      <w:r>
        <w:rPr>
          <w:rFonts w:ascii="Arial" w:cs="Arial" w:eastAsia="Arial" w:hAnsi="Arial"/>
          <w:sz w:val="17"/>
          <w:szCs w:val="17"/>
          <w:u w:val="single" w:color="auto"/>
          <w:color w:val="auto"/>
        </w:rPr>
        <w:t>Section 6.01(a)(xii)</w:t>
      </w:r>
      <w:r>
        <w:rPr>
          <w:rFonts w:ascii="Arial" w:cs="Arial" w:eastAsia="Arial" w:hAnsi="Arial"/>
          <w:sz w:val="17"/>
          <w:szCs w:val="17"/>
          <w:color w:val="auto"/>
        </w:rPr>
        <w:t xml:space="preserve">) and any non-consensual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ectPr>
          <w:pgSz w:w="11900" w:h="16838" w:orient="portrait"/>
          <w:cols w:equalWidth="0" w:num="1">
            <w:col w:w="11234"/>
          </w:cols>
          <w:pgMar w:left="326" w:top="1395" w:right="339" w:bottom="1440" w:gutter="0" w:footer="0" w:header="0"/>
        </w:sectPr>
      </w:pPr>
    </w:p>
    <w:bookmarkStart w:id="218" w:name="page219"/>
    <w:bookmarkEnd w:id="218"/>
    <w:p>
      <w:pPr>
        <w:jc w:val="both"/>
        <w:ind w:firstLine="1278"/>
        <w:spacing w:after="0" w:line="263" w:lineRule="auto"/>
        <w:tabs>
          <w:tab w:leader="none" w:pos="181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Holdings may merge, amalgamate or consolidate with any other Person (other than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Holdings shall be the continuing or surviving Person or (ii) if the Person formed by or surviving any such merger, amalgamation or consolidation is not Holdings (any such Person, the “</w:t>
      </w:r>
      <w:r>
        <w:rPr>
          <w:rFonts w:ascii="Arial" w:cs="Arial" w:eastAsia="Arial" w:hAnsi="Arial"/>
          <w:sz w:val="18"/>
          <w:szCs w:val="18"/>
          <w:u w:val="single" w:color="auto"/>
          <w:color w:val="auto"/>
        </w:rPr>
        <w:t>Successor Holdings</w:t>
      </w:r>
      <w:r>
        <w:rPr>
          <w:rFonts w:ascii="Arial" w:cs="Arial" w:eastAsia="Arial" w:hAnsi="Arial"/>
          <w:sz w:val="18"/>
          <w:szCs w:val="18"/>
          <w:color w:val="auto"/>
        </w:rPr>
        <w:t xml:space="preserve">”) (A) the Successor Holdings shall be an entity organized or existing under the laws of the United States, any State thereof or the District of Columbia, (B) (x) the Successor Holdings shall expressly assume all the obligations of Holdings under this Agreement and the other Loan Documents to which Holdings, is a party, in each case, pursuant to a written supplement hereto or thereto in form and substance reasonably satisfactory to the Administrative Agent and (y) for the avoidance of doubt, any such merger, amalgamation or consolidation shall not impair the Guarantee and the security interest of the Collateral Agent and the Lenders under the Security Documents in the Collateral in any material respect (and shall not otherwise be adverse to the Agents and the Lenders in any material respect) and Holdings shall have taken such actions as are reasonably requested by the Administrative Agent and/or the Collateral Agent to ensure that any Liens granted by Holdings continue to remain enforceable and perfected in accordance with the relevant Security Documents, (C) the Successor Holdings shall, immediately following such merger, amalgamation or consolidation, directly or indirectly own all Subsidiaries owned by Holdings immediately prior to such transaction, unless such Subsidiary is the other party to such merger, amalgamation or consolidation, (D) Holdings shall have delivered to the Administrative Agent (1) a certificate of a Responsible Officer stating that such merger, amalgamation or consolidation complies with this Agreement and (2) if requested by the Administrative Agent, a customary opinion of counsel to the Loan Parties in connection with such merger, amalgamation or consideration, in form and substance reasonably satisfactory to the Administrative Agent and (E) the Successor Holdings shall have no assets, liabilities, liens or operations other than those permitted by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(x) no Event of Default exists immediately before or after giving effect to such merger, amalgamation or consolidation and (y) if the foregoing requirements are satisfied, the Successor Holdings will succeed to, and be substituted for, Holdings under this Agreement and the other Loan Documents to which such Successor Holdings is a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Holdings, as applicable, agrees to provide the Administrative Agent five (5) Business Days’ (or such shorter period as may be agreed to by the Administrative Agent) prior written notice of such merger, amalgamation or consolidation and any documentation and other information about the Successor Holdings at least three (3) Business Days prior to the consummation of such merger, amalgamation or consolidation as shall have been reasonably requested in writing by any the Lender through the Administrative Agent that such Lender shall have reasonably determined is be required by regulatory authorities under applicable “know your customer” laws and applicable anti-money-laundering rules and regulations, including the USA PATRIOT Act.</w:t>
      </w:r>
    </w:p>
    <w:p>
      <w:pPr>
        <w:spacing w:after="0" w:line="17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6.04</w:t>
      </w:r>
      <w:r>
        <w:rPr>
          <w:sz w:val="20"/>
          <w:szCs w:val="20"/>
          <w:color w:val="auto"/>
        </w:rPr>
        <w:tab/>
      </w:r>
      <w:r>
        <w:rPr>
          <w:rFonts w:ascii="Arial" w:cs="Arial" w:eastAsia="Arial" w:hAnsi="Arial"/>
          <w:sz w:val="17"/>
          <w:szCs w:val="17"/>
          <w:u w:val="single" w:color="auto"/>
          <w:color w:val="auto"/>
        </w:rPr>
        <w:t>Investments, Loans, Advances, Guarantees and Acquisitions</w:t>
      </w:r>
      <w:r>
        <w:rPr>
          <w:rFonts w:ascii="Arial" w:cs="Arial" w:eastAsia="Arial" w:hAnsi="Arial"/>
          <w:sz w:val="17"/>
          <w:szCs w:val="17"/>
          <w:color w:val="auto"/>
        </w:rPr>
        <w:t>.</w:t>
      </w:r>
    </w:p>
    <w:p>
      <w:pPr>
        <w:spacing w:after="0" w:line="219" w:lineRule="exact"/>
        <w:rPr>
          <w:sz w:val="20"/>
          <w:szCs w:val="20"/>
          <w:color w:val="auto"/>
        </w:rPr>
      </w:pPr>
    </w:p>
    <w:p>
      <w:pPr>
        <w:ind w:firstLine="1272"/>
        <w:spacing w:after="0" w:line="278" w:lineRule="auto"/>
        <w:rPr>
          <w:sz w:val="20"/>
          <w:szCs w:val="20"/>
          <w:color w:val="auto"/>
        </w:rPr>
      </w:pPr>
      <w:r>
        <w:rPr>
          <w:rFonts w:ascii="Arial" w:cs="Arial" w:eastAsia="Arial" w:hAnsi="Arial"/>
          <w:sz w:val="19"/>
          <w:szCs w:val="19"/>
          <w:color w:val="auto"/>
        </w:rPr>
        <w:t>The Borrower will not, and will not permit any Restricted Subsidiary to, and Holdings will not permit Public Sector to, make or hold any Investment, except:</w:t>
      </w:r>
    </w:p>
    <w:p>
      <w:pPr>
        <w:spacing w:after="0" w:line="156" w:lineRule="exact"/>
        <w:rPr>
          <w:sz w:val="20"/>
          <w:szCs w:val="20"/>
          <w:color w:val="auto"/>
        </w:rPr>
      </w:pPr>
    </w:p>
    <w:p>
      <w:pPr>
        <w:ind w:firstLine="1278"/>
        <w:spacing w:after="0" w:line="278" w:lineRule="auto"/>
        <w:tabs>
          <w:tab w:leader="none" w:pos="174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Permitted Investments at the time such Permitted Investment is made and purchases of assets in the ordinary course of business consistent with past practice;</w:t>
      </w:r>
    </w:p>
    <w:p>
      <w:pPr>
        <w:spacing w:after="0" w:line="156" w:lineRule="exact"/>
        <w:rPr>
          <w:rFonts w:ascii="Arial" w:cs="Arial" w:eastAsia="Arial" w:hAnsi="Arial"/>
          <w:sz w:val="19"/>
          <w:szCs w:val="19"/>
          <w:color w:val="auto"/>
        </w:rPr>
      </w:pPr>
    </w:p>
    <w:p>
      <w:pPr>
        <w:jc w:val="both"/>
        <w:ind w:firstLine="1278"/>
        <w:spacing w:after="0" w:line="255" w:lineRule="auto"/>
        <w:tabs>
          <w:tab w:leader="none" w:pos="170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loans or advances to officers, members of the Board of Directors and employees of Holdings, any Intermediate Parent,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loans and advances made in cash to such Person shall be immediately contributed to the Borrower in cash as common equity or Qualified Equity Interests and shall</w:t>
      </w:r>
    </w:p>
    <w:p>
      <w:pPr>
        <w:sectPr>
          <w:pgSz w:w="11900" w:h="16838" w:orient="portrait"/>
          <w:cols w:equalWidth="0" w:num="1">
            <w:col w:w="11240"/>
          </w:cols>
          <w:pgMar w:left="320" w:top="1395" w:right="339" w:bottom="1440" w:gutter="0" w:footer="0" w:header="0"/>
        </w:sectPr>
      </w:pPr>
    </w:p>
    <w:bookmarkStart w:id="219" w:name="page220"/>
    <w:bookmarkEnd w:id="219"/>
    <w:p>
      <w:pPr>
        <w:jc w:val="both"/>
        <w:spacing w:after="0" w:line="263" w:lineRule="auto"/>
        <w:rPr>
          <w:sz w:val="20"/>
          <w:szCs w:val="20"/>
          <w:color w:val="auto"/>
        </w:rPr>
      </w:pPr>
      <w:r>
        <w:rPr>
          <w:rFonts w:ascii="Arial" w:cs="Arial" w:eastAsia="Arial" w:hAnsi="Arial"/>
          <w:sz w:val="19"/>
          <w:szCs w:val="19"/>
          <w:color w:val="auto"/>
        </w:rPr>
        <w:t xml:space="preserve">not increase the Available Equity Amount) and (iii) for purposes not described in the foregoing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in an aggregate principal amount outstanding at any time in reliance on this clause (iii) not to exceed the greater of $9,000,000 and 7.5% of Consolidated EBITDA for the most recently ended Test Period as of such time;</w:t>
      </w:r>
    </w:p>
    <w:p>
      <w:pPr>
        <w:spacing w:after="0" w:line="169" w:lineRule="exact"/>
        <w:rPr>
          <w:sz w:val="20"/>
          <w:szCs w:val="20"/>
          <w:color w:val="auto"/>
        </w:rPr>
      </w:pPr>
    </w:p>
    <w:p>
      <w:pPr>
        <w:jc w:val="both"/>
        <w:ind w:firstLine="1278"/>
        <w:spacing w:after="0" w:line="255" w:lineRule="auto"/>
        <w:tabs>
          <w:tab w:leader="none" w:pos="176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Investments by the Borrower in any Restricted Subsidiary and Investments by any Restricted Subsidiary in any of the Borrower or any 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other than with respect to any such Investment made in the ordinary course of business, the aggregate outstanding amount of all Investments made pursuant to this </w:t>
      </w:r>
      <w:r>
        <w:rPr>
          <w:rFonts w:ascii="Arial" w:cs="Arial" w:eastAsia="Arial" w:hAnsi="Arial"/>
          <w:sz w:val="19"/>
          <w:szCs w:val="19"/>
          <w:u w:val="single" w:color="auto"/>
          <w:color w:val="auto"/>
        </w:rPr>
        <w:t>Section 6.04(c)</w:t>
      </w:r>
      <w:r>
        <w:rPr>
          <w:rFonts w:ascii="Arial" w:cs="Arial" w:eastAsia="Arial" w:hAnsi="Arial"/>
          <w:sz w:val="19"/>
          <w:szCs w:val="19"/>
          <w:color w:val="auto"/>
        </w:rPr>
        <w:t xml:space="preserve"> and Section 6.04(t) in any Restricted Subsidiary that is not a Loan Party shall not exceed an aggregate amount equal to the greater of $40,000,000 and 33.0% of Consolidated EBITDA for the most recently ended Test Period after giving effect to such Investment;</w:t>
      </w:r>
    </w:p>
    <w:p>
      <w:pPr>
        <w:spacing w:after="0" w:line="177" w:lineRule="exact"/>
        <w:rPr>
          <w:rFonts w:ascii="Arial" w:cs="Arial" w:eastAsia="Arial" w:hAnsi="Arial"/>
          <w:sz w:val="19"/>
          <w:szCs w:val="19"/>
          <w:color w:val="auto"/>
        </w:rPr>
      </w:pPr>
    </w:p>
    <w:p>
      <w:pPr>
        <w:ind w:left="1700" w:hanging="422"/>
        <w:spacing w:after="0"/>
        <w:tabs>
          <w:tab w:leader="none" w:pos="17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and accommodation guarantees in the ordinary course of business;</w:t>
      </w:r>
    </w:p>
    <w:p>
      <w:pPr>
        <w:spacing w:after="0" w:line="230" w:lineRule="exact"/>
        <w:rPr>
          <w:rFonts w:ascii="Arial" w:cs="Arial" w:eastAsia="Arial" w:hAnsi="Arial"/>
          <w:sz w:val="18"/>
          <w:szCs w:val="18"/>
          <w:color w:val="auto"/>
        </w:rPr>
      </w:pPr>
    </w:p>
    <w:p>
      <w:pPr>
        <w:jc w:val="both"/>
        <w:ind w:firstLine="1278"/>
        <w:spacing w:after="0" w:line="253" w:lineRule="auto"/>
        <w:tabs>
          <w:tab w:leader="none" w:pos="1717"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Investments (i) existing or contemplated on the Effective Date and any modification, replacement, renewal, reinvestment or extension thereof; provided that any Investment in an amount greater than $3,500,000 shall only be permitted if set forth on </w:t>
      </w:r>
      <w:r>
        <w:rPr>
          <w:rFonts w:ascii="Arial" w:cs="Arial" w:eastAsia="Arial" w:hAnsi="Arial"/>
          <w:sz w:val="19"/>
          <w:szCs w:val="19"/>
          <w:u w:val="single" w:color="auto"/>
          <w:color w:val="auto"/>
        </w:rPr>
        <w:t>Schedule 6.04(e)</w:t>
      </w:r>
      <w:r>
        <w:rPr>
          <w:rFonts w:ascii="Arial" w:cs="Arial" w:eastAsia="Arial" w:hAnsi="Arial"/>
          <w:sz w:val="19"/>
          <w:szCs w:val="19"/>
          <w:color w:val="auto"/>
        </w:rPr>
        <w:t xml:space="preserve"> and (ii) Investments existing on the Effective Date by any Borrower or any Restricted Subsidiary in any Borrower or any Restricted Subsidiary and any modification, renewal or extension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that the amount of the Investment as of the Effective Date is not increased except by the terms of such Investment to the extent, in the event such increase is in excess of $3,500,000,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6.04(e)</w:t>
      </w:r>
      <w:r>
        <w:rPr>
          <w:rFonts w:ascii="Arial" w:cs="Arial" w:eastAsia="Arial" w:hAnsi="Arial"/>
          <w:sz w:val="19"/>
          <w:szCs w:val="19"/>
          <w:color w:val="auto"/>
        </w:rPr>
        <w:t xml:space="preserve"> or as otherwise permitted by this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jc w:val="both"/>
        <w:ind w:firstLine="1278"/>
        <w:spacing w:after="0" w:line="276" w:lineRule="auto"/>
        <w:tabs>
          <w:tab w:leader="none" w:pos="166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Investments in Swap Agreements (i) entered into to hedge or mitigate risks to which Holding or any of its Subsidiaries has actual exposure (other than those in respect of Equity Interests of the Borrower or any of its Subsidiaries), (ii) entered into in order to effectively cap, collar or exchange interest rates (from fixed to floating rates, from one floating rate to another floating rate or otherwise) with respect to any interest-bearing liability or investment of the Borrower or any Subsidiary or (iii) constituting Permitted Equity Derivatives;</w:t>
      </w:r>
    </w:p>
    <w:p>
      <w:pPr>
        <w:spacing w:after="0" w:line="160" w:lineRule="exact"/>
        <w:rPr>
          <w:rFonts w:ascii="Arial" w:cs="Arial" w:eastAsia="Arial" w:hAnsi="Arial"/>
          <w:sz w:val="18"/>
          <w:szCs w:val="18"/>
          <w:color w:val="auto"/>
        </w:rPr>
      </w:pPr>
    </w:p>
    <w:p>
      <w:pPr>
        <w:ind w:left="1700" w:hanging="422"/>
        <w:spacing w:after="0"/>
        <w:tabs>
          <w:tab w:leader="none" w:pos="17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promissory notes and other non-cash consideration received in connection with Dispositions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ind w:left="1700" w:hanging="422"/>
        <w:spacing w:after="0"/>
        <w:tabs>
          <w:tab w:leader="none" w:pos="17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Permitted Acquisitions;</w:t>
      </w:r>
    </w:p>
    <w:p>
      <w:pPr>
        <w:spacing w:after="0" w:line="218" w:lineRule="exact"/>
        <w:rPr>
          <w:rFonts w:ascii="Arial" w:cs="Arial" w:eastAsia="Arial" w:hAnsi="Arial"/>
          <w:sz w:val="19"/>
          <w:szCs w:val="19"/>
          <w:color w:val="auto"/>
        </w:rPr>
      </w:pPr>
    </w:p>
    <w:p>
      <w:pPr>
        <w:ind w:left="1660" w:hanging="382"/>
        <w:spacing w:after="0"/>
        <w:tabs>
          <w:tab w:leader="none" w:pos="166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Investments in connection with the Transactions;</w:t>
      </w:r>
    </w:p>
    <w:p>
      <w:pPr>
        <w:spacing w:after="0" w:line="218" w:lineRule="exact"/>
        <w:rPr>
          <w:rFonts w:ascii="Arial" w:cs="Arial" w:eastAsia="Arial" w:hAnsi="Arial"/>
          <w:sz w:val="19"/>
          <w:szCs w:val="19"/>
          <w:color w:val="auto"/>
        </w:rPr>
      </w:pPr>
    </w:p>
    <w:p>
      <w:pPr>
        <w:jc w:val="both"/>
        <w:ind w:firstLine="1278"/>
        <w:spacing w:after="0" w:line="339" w:lineRule="auto"/>
        <w:tabs>
          <w:tab w:leader="none" w:pos="178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110" w:lineRule="exact"/>
        <w:rPr>
          <w:rFonts w:ascii="Arial" w:cs="Arial" w:eastAsia="Arial" w:hAnsi="Arial"/>
          <w:sz w:val="17"/>
          <w:szCs w:val="17"/>
          <w:color w:val="auto"/>
        </w:rPr>
      </w:pPr>
    </w:p>
    <w:p>
      <w:pPr>
        <w:jc w:val="both"/>
        <w:ind w:firstLine="1278"/>
        <w:spacing w:after="0" w:line="284" w:lineRule="auto"/>
        <w:tabs>
          <w:tab w:leader="none" w:pos="169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52" w:lineRule="exact"/>
        <w:rPr>
          <w:rFonts w:ascii="Arial" w:cs="Arial" w:eastAsia="Arial" w:hAnsi="Arial"/>
          <w:sz w:val="18"/>
          <w:szCs w:val="18"/>
          <w:color w:val="auto"/>
        </w:rPr>
      </w:pPr>
    </w:p>
    <w:p>
      <w:pPr>
        <w:ind w:firstLine="1278"/>
        <w:spacing w:after="0" w:line="278" w:lineRule="auto"/>
        <w:tabs>
          <w:tab w:leader="none" w:pos="1688" w:val="left"/>
        </w:tabs>
        <w:numPr>
          <w:ilvl w:val="0"/>
          <w:numId w:val="218"/>
        </w:numPr>
        <w:rPr>
          <w:rFonts w:ascii="Arial" w:cs="Arial" w:eastAsia="Arial" w:hAnsi="Arial"/>
          <w:sz w:val="19"/>
          <w:szCs w:val="19"/>
          <w:color w:val="auto"/>
        </w:rPr>
      </w:pPr>
      <w:r>
        <w:rPr>
          <w:rFonts w:ascii="Arial" w:cs="Arial" w:eastAsia="Arial" w:hAnsi="Arial"/>
          <w:sz w:val="19"/>
          <w:szCs w:val="19"/>
          <w:color w:val="auto"/>
        </w:rPr>
        <w:t>loans and advances to Holdings (or any direct or indirect parent thereof) or any Intermediate Parent in lieu of, and not in excess of the amount of (after giving effect to any other loans,</w:t>
      </w:r>
    </w:p>
    <w:p>
      <w:pPr>
        <w:sectPr>
          <w:pgSz w:w="11900" w:h="16838" w:orient="portrait"/>
          <w:cols w:equalWidth="0" w:num="1">
            <w:col w:w="11240"/>
          </w:cols>
          <w:pgMar w:left="320" w:top="1395" w:right="339" w:bottom="1440" w:gutter="0" w:footer="0" w:header="0"/>
        </w:sectPr>
      </w:pPr>
    </w:p>
    <w:bookmarkStart w:id="220" w:name="page221"/>
    <w:bookmarkEnd w:id="220"/>
    <w:p>
      <w:pPr>
        <w:spacing w:after="0" w:line="278" w:lineRule="auto"/>
        <w:rPr>
          <w:sz w:val="20"/>
          <w:szCs w:val="20"/>
          <w:color w:val="auto"/>
        </w:rPr>
      </w:pPr>
      <w:r>
        <w:rPr>
          <w:rFonts w:ascii="Arial" w:cs="Arial" w:eastAsia="Arial" w:hAnsi="Arial"/>
          <w:sz w:val="19"/>
          <w:szCs w:val="19"/>
          <w:color w:val="auto"/>
        </w:rPr>
        <w:t xml:space="preserve">advances or Restricted Payments in respect thereof), Restricted Payments to the extent permitted to be made to Holdings (or such parent) or such Intermediate Parent in accordance with </w:t>
      </w:r>
      <w:r>
        <w:rPr>
          <w:rFonts w:ascii="Arial" w:cs="Arial" w:eastAsia="Arial" w:hAnsi="Arial"/>
          <w:sz w:val="19"/>
          <w:szCs w:val="19"/>
          <w:u w:val="single" w:color="auto"/>
          <w:color w:val="auto"/>
        </w:rPr>
        <w:t>Section 6.07(a)</w:t>
      </w:r>
      <w:r>
        <w:rPr>
          <w:rFonts w:ascii="Arial" w:cs="Arial" w:eastAsia="Arial" w:hAnsi="Arial"/>
          <w:sz w:val="19"/>
          <w:szCs w:val="19"/>
          <w:color w:val="auto"/>
        </w:rPr>
        <w:t>;</w:t>
      </w:r>
    </w:p>
    <w:p>
      <w:pPr>
        <w:spacing w:after="0" w:line="156" w:lineRule="exact"/>
        <w:rPr>
          <w:sz w:val="20"/>
          <w:szCs w:val="20"/>
          <w:color w:val="auto"/>
        </w:rPr>
      </w:pPr>
    </w:p>
    <w:p>
      <w:pPr>
        <w:jc w:val="both"/>
        <w:ind w:firstLine="1278"/>
        <w:spacing w:after="0" w:line="282" w:lineRule="auto"/>
        <w:tabs>
          <w:tab w:leader="none" w:pos="184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additional Investments and other acquisitions;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outstanding amount of such Investment or acquisition made in reliance on this clause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together with the aggregate amount of all consideration paid (excluding the Net Proceeds from the issuance of such Qualified Equity Interests) in connection with all other Investments and acquisitions made in reliance on this clause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(including the aggregate principal amount of all Indebtedness assumed in connection with any such other Investment or acquisition previously made under this clause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shall not exceed the sum of (A) (i) the greater of $60,000,000 and 45.0% of Consolidated EBITDA for the most recently ended Test Period after giving Pro Forma Effect to the making of such Investment or other acquisition;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Available General RP Capacity Amount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Available Amount that is Not Otherwise Applied as in effect immediately prior to the time of making of such Investment,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Available Equity Amount that is Not Otherwise Applied as in effect immediately prior to the time of making of such Investment,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Investments in an aggregate outstanding amount not to exceed the portion, if any, of any unused amounts available under </w:t>
      </w:r>
      <w:r>
        <w:rPr>
          <w:rFonts w:ascii="Arial" w:cs="Arial" w:eastAsia="Arial" w:hAnsi="Arial"/>
          <w:sz w:val="17"/>
          <w:szCs w:val="17"/>
          <w:u w:val="single" w:color="auto"/>
          <w:color w:val="auto"/>
        </w:rPr>
        <w:t>Section 6.07(a)(v)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6.07(a)(xv)</w:t>
      </w:r>
      <w:r>
        <w:rPr>
          <w:rFonts w:ascii="Arial" w:cs="Arial" w:eastAsia="Arial" w:hAnsi="Arial"/>
          <w:sz w:val="17"/>
          <w:szCs w:val="17"/>
          <w:color w:val="auto"/>
        </w:rPr>
        <w:t xml:space="preserve"> for Restricted Payments on the relevant date of determination that the Borrower elects to apply pursuant to this </w:t>
      </w:r>
      <w:r>
        <w:rPr>
          <w:rFonts w:ascii="Arial" w:cs="Arial" w:eastAsia="Arial" w:hAnsi="Arial"/>
          <w:sz w:val="17"/>
          <w:szCs w:val="17"/>
          <w:u w:val="single" w:color="auto"/>
          <w:color w:val="auto"/>
        </w:rPr>
        <w:t>Section 6.04(m)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Investment made in reliance on preceding clause </w:t>
      </w:r>
      <w:r>
        <w:rPr>
          <w:rFonts w:ascii="Arial" w:cs="Arial" w:eastAsia="Arial" w:hAnsi="Arial"/>
          <w:sz w:val="17"/>
          <w:szCs w:val="17"/>
          <w:u w:val="single" w:color="auto"/>
          <w:color w:val="auto"/>
        </w:rPr>
        <w:t>(B)</w:t>
      </w:r>
      <w:r>
        <w:rPr>
          <w:rFonts w:ascii="Arial" w:cs="Arial" w:eastAsia="Arial" w:hAnsi="Arial"/>
          <w:sz w:val="17"/>
          <w:szCs w:val="17"/>
          <w:color w:val="auto"/>
        </w:rPr>
        <w:t>, to the extent made using the Retained ECF Basket, shall be subject to no Event of Default having occurred and be continuing or resulting therefrom;</w:t>
      </w:r>
    </w:p>
    <w:p>
      <w:pPr>
        <w:spacing w:after="0" w:line="158" w:lineRule="exact"/>
        <w:rPr>
          <w:rFonts w:ascii="Arial" w:cs="Arial" w:eastAsia="Arial" w:hAnsi="Arial"/>
          <w:sz w:val="17"/>
          <w:szCs w:val="17"/>
          <w:color w:val="auto"/>
        </w:rPr>
      </w:pPr>
    </w:p>
    <w:p>
      <w:pPr>
        <w:ind w:left="1700" w:hanging="422"/>
        <w:spacing w:after="0"/>
        <w:tabs>
          <w:tab w:leader="none" w:pos="170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advances of payroll payments to employees in the ordinary course of business;</w:t>
      </w:r>
    </w:p>
    <w:p>
      <w:pPr>
        <w:spacing w:after="0" w:line="218" w:lineRule="exact"/>
        <w:rPr>
          <w:rFonts w:ascii="Arial" w:cs="Arial" w:eastAsia="Arial" w:hAnsi="Arial"/>
          <w:sz w:val="19"/>
          <w:szCs w:val="19"/>
          <w:color w:val="auto"/>
        </w:rPr>
      </w:pPr>
    </w:p>
    <w:p>
      <w:pPr>
        <w:ind w:firstLine="1278"/>
        <w:spacing w:after="0" w:line="278" w:lineRule="auto"/>
        <w:tabs>
          <w:tab w:leader="none" w:pos="1695"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Investments and other acquisitions to the extent that payment for such Investments is made with Qualified Equity Interests (or any direct or indirect parent thereof);</w:t>
      </w:r>
    </w:p>
    <w:p>
      <w:pPr>
        <w:spacing w:after="0" w:line="156" w:lineRule="exact"/>
        <w:rPr>
          <w:rFonts w:ascii="Arial" w:cs="Arial" w:eastAsia="Arial" w:hAnsi="Arial"/>
          <w:sz w:val="19"/>
          <w:szCs w:val="19"/>
          <w:color w:val="auto"/>
        </w:rPr>
      </w:pPr>
    </w:p>
    <w:p>
      <w:pPr>
        <w:jc w:val="both"/>
        <w:ind w:firstLine="1278"/>
        <w:spacing w:after="0" w:line="272" w:lineRule="auto"/>
        <w:tabs>
          <w:tab w:leader="none" w:pos="169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Investments of a Subsidiary acquired after the Effective Date or of a Person merged or consolidated with any Subsidiary in accordance with this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after the Effective Date or that otherwise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Investment is made under </w:t>
      </w:r>
      <w:r>
        <w:rPr>
          <w:rFonts w:ascii="Arial" w:cs="Arial" w:eastAsia="Arial" w:hAnsi="Arial"/>
          <w:sz w:val="18"/>
          <w:szCs w:val="18"/>
          <w:u w:val="single" w:color="auto"/>
          <w:color w:val="auto"/>
        </w:rPr>
        <w:t>Section 6.04(h)</w:t>
      </w:r>
      <w:r>
        <w:rPr>
          <w:rFonts w:ascii="Arial" w:cs="Arial" w:eastAsia="Arial" w:hAnsi="Arial"/>
          <w:sz w:val="18"/>
          <w:szCs w:val="18"/>
          <w:color w:val="auto"/>
        </w:rPr>
        <w:t xml:space="preserve">, existing Investments in subsidiaries of such Subsidiary or Person shall comply with the requirements of </w:t>
      </w:r>
      <w:r>
        <w:rPr>
          <w:rFonts w:ascii="Arial" w:cs="Arial" w:eastAsia="Arial" w:hAnsi="Arial"/>
          <w:sz w:val="18"/>
          <w:szCs w:val="18"/>
          <w:u w:val="single" w:color="auto"/>
          <w:color w:val="auto"/>
        </w:rPr>
        <w:t>Section 6.04(h)</w:t>
      </w:r>
      <w:r>
        <w:rPr>
          <w:rFonts w:ascii="Arial" w:cs="Arial" w:eastAsia="Arial" w:hAnsi="Arial"/>
          <w:sz w:val="18"/>
          <w:szCs w:val="18"/>
          <w:color w:val="auto"/>
        </w:rPr>
        <w:t>) to the extent that such Investments were not made in contemplation of or in connection with such acquisition, merger or consolidation and were in existence on the date of such acquisition, merger or consolidation;</w:t>
      </w:r>
    </w:p>
    <w:p>
      <w:pPr>
        <w:spacing w:after="0" w:line="165" w:lineRule="exact"/>
        <w:rPr>
          <w:rFonts w:ascii="Arial" w:cs="Arial" w:eastAsia="Arial" w:hAnsi="Arial"/>
          <w:sz w:val="18"/>
          <w:szCs w:val="18"/>
          <w:color w:val="auto"/>
        </w:rPr>
      </w:pPr>
    </w:p>
    <w:p>
      <w:pPr>
        <w:ind w:left="1700" w:hanging="422"/>
        <w:spacing w:after="0"/>
        <w:tabs>
          <w:tab w:leader="none" w:pos="17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receivables owing to the Borrower or any Restricted Subsidiary, if created or acquired in the ordinary course of business;</w:t>
      </w:r>
    </w:p>
    <w:p>
      <w:pPr>
        <w:spacing w:after="0" w:line="241" w:lineRule="exact"/>
        <w:rPr>
          <w:rFonts w:ascii="Arial" w:cs="Arial" w:eastAsia="Arial" w:hAnsi="Arial"/>
          <w:sz w:val="17"/>
          <w:szCs w:val="17"/>
          <w:color w:val="auto"/>
        </w:rPr>
      </w:pPr>
    </w:p>
    <w:p>
      <w:pPr>
        <w:ind w:firstLine="1278"/>
        <w:spacing w:after="0" w:line="278" w:lineRule="auto"/>
        <w:tabs>
          <w:tab w:leader="none" w:pos="1761"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Investments (A) for utilities, security deposits, leases and similar prepaid expenses incurred in the ordinary course of business and (B) trade accounts created, or prepaid expenses accrued, in the ordinary course of business;</w:t>
      </w:r>
    </w:p>
    <w:p>
      <w:pPr>
        <w:spacing w:after="0" w:line="156" w:lineRule="exact"/>
        <w:rPr>
          <w:rFonts w:ascii="Arial" w:cs="Arial" w:eastAsia="Arial" w:hAnsi="Arial"/>
          <w:sz w:val="19"/>
          <w:szCs w:val="19"/>
          <w:color w:val="auto"/>
        </w:rPr>
      </w:pPr>
    </w:p>
    <w:p>
      <w:pPr>
        <w:ind w:left="1720" w:hanging="442"/>
        <w:spacing w:after="0"/>
        <w:tabs>
          <w:tab w:leader="none" w:pos="17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Investments in Holdings, any Intermediate Parent, the Borrower or any Restricted Subsidiary in connection with any Tax</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Restructuring;</w:t>
      </w:r>
    </w:p>
    <w:p>
      <w:pPr>
        <w:spacing w:after="0" w:line="202" w:lineRule="exact"/>
        <w:rPr>
          <w:rFonts w:ascii="Arial" w:cs="Arial" w:eastAsia="Arial" w:hAnsi="Arial"/>
          <w:sz w:val="17"/>
          <w:szCs w:val="17"/>
          <w:color w:val="auto"/>
        </w:rPr>
      </w:pPr>
    </w:p>
    <w:p>
      <w:pPr>
        <w:jc w:val="both"/>
        <w:ind w:firstLine="1278"/>
        <w:spacing w:after="0" w:line="255" w:lineRule="auto"/>
        <w:tabs>
          <w:tab w:leader="none" w:pos="1696"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additional Investments so long as at the time of any such Investment and after giving effect thereto, (A) on a Pro Forma Basis, the Total Net Leverage Ratio is no greater than 4.00 to 1.00 and (B) no Event of Default exists or would result therefrom; provided that the aggregate outstanding amount of all Investments made pursuant to this Section 6.04(t) and Section 6.04(c) in any Restricted Subsidiary that is not a Loan Party shall not exceed an aggregate amount equal to the greater of $40,000,000 and 33.0% of Consolidated EBITDA for the most recently ended Test Period after giving</w:t>
      </w:r>
    </w:p>
    <w:p>
      <w:pPr>
        <w:sectPr>
          <w:pgSz w:w="11900" w:h="16838" w:orient="portrait"/>
          <w:cols w:equalWidth="0" w:num="1">
            <w:col w:w="11240"/>
          </w:cols>
          <w:pgMar w:left="320" w:top="1395" w:right="339" w:bottom="1440" w:gutter="0" w:footer="0" w:header="0"/>
        </w:sectPr>
      </w:pPr>
    </w:p>
    <w:bookmarkStart w:id="221" w:name="page222"/>
    <w:bookmarkEnd w:id="221"/>
    <w:p>
      <w:pPr>
        <w:spacing w:after="0" w:line="278" w:lineRule="auto"/>
        <w:rPr>
          <w:sz w:val="20"/>
          <w:szCs w:val="20"/>
          <w:color w:val="auto"/>
        </w:rPr>
      </w:pPr>
      <w:r>
        <w:rPr>
          <w:rFonts w:ascii="Arial" w:cs="Arial" w:eastAsia="Arial" w:hAnsi="Arial"/>
          <w:sz w:val="19"/>
          <w:szCs w:val="19"/>
          <w:color w:val="auto"/>
        </w:rPr>
        <w:t>effect to such Investment; provided further, that the limitation in the forgoing proviso shall not apply if, on a Pro Forma Basis, the Total Net Leverage Ratio is no greater than 3.50 to 1.00;</w:t>
      </w:r>
    </w:p>
    <w:p>
      <w:pPr>
        <w:spacing w:after="0" w:line="156" w:lineRule="exact"/>
        <w:rPr>
          <w:sz w:val="20"/>
          <w:szCs w:val="20"/>
          <w:color w:val="auto"/>
        </w:rPr>
      </w:pPr>
    </w:p>
    <w:p>
      <w:pPr>
        <w:ind w:firstLine="1278"/>
        <w:spacing w:after="0" w:line="278" w:lineRule="auto"/>
        <w:tabs>
          <w:tab w:leader="none" w:pos="180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Investments consisting of Indebtedness, Liens fundamental changes, Dispositions and Restricted Payments permitted (other than by reference to this </w:t>
      </w:r>
      <w:r>
        <w:rPr>
          <w:rFonts w:ascii="Arial" w:cs="Arial" w:eastAsia="Arial" w:hAnsi="Arial"/>
          <w:sz w:val="19"/>
          <w:szCs w:val="19"/>
          <w:u w:val="single" w:color="auto"/>
          <w:color w:val="auto"/>
        </w:rPr>
        <w:t>Section 6.04(u)</w:t>
      </w:r>
      <w:r>
        <w:rPr>
          <w:rFonts w:ascii="Arial" w:cs="Arial" w:eastAsia="Arial" w:hAnsi="Arial"/>
          <w:sz w:val="19"/>
          <w:szCs w:val="19"/>
          <w:color w:val="auto"/>
        </w:rPr>
        <w:t xml:space="preserve">) under </w:t>
      </w:r>
      <w:r>
        <w:rPr>
          <w:rFonts w:ascii="Arial" w:cs="Arial" w:eastAsia="Arial" w:hAnsi="Arial"/>
          <w:sz w:val="19"/>
          <w:szCs w:val="19"/>
          <w:u w:val="single" w:color="auto"/>
          <w:color w:val="auto"/>
        </w:rPr>
        <w:t>Sections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w:t>
      </w:r>
      <w:r>
        <w:rPr>
          <w:rFonts w:ascii="Arial" w:cs="Arial" w:eastAsia="Arial" w:hAnsi="Arial"/>
          <w:sz w:val="19"/>
          <w:szCs w:val="19"/>
          <w:color w:val="auto"/>
        </w:rPr>
        <w:t xml:space="preserve">, </w:t>
      </w:r>
      <w:r>
        <w:rPr>
          <w:rFonts w:ascii="Arial" w:cs="Arial" w:eastAsia="Arial" w:hAnsi="Arial"/>
          <w:sz w:val="19"/>
          <w:szCs w:val="19"/>
          <w:u w:val="single" w:color="auto"/>
          <w:color w:val="auto"/>
        </w:rPr>
        <w:t>6.05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6.07</w:t>
      </w:r>
      <w:r>
        <w:rPr>
          <w:rFonts w:ascii="Arial" w:cs="Arial" w:eastAsia="Arial" w:hAnsi="Arial"/>
          <w:sz w:val="19"/>
          <w:szCs w:val="19"/>
          <w:color w:val="auto"/>
        </w:rPr>
        <w:t>, respectively;</w:t>
      </w:r>
    </w:p>
    <w:p>
      <w:pPr>
        <w:spacing w:after="0" w:line="156" w:lineRule="exact"/>
        <w:rPr>
          <w:rFonts w:ascii="Arial" w:cs="Arial" w:eastAsia="Arial" w:hAnsi="Arial"/>
          <w:sz w:val="19"/>
          <w:szCs w:val="19"/>
          <w:color w:val="auto"/>
        </w:rPr>
      </w:pPr>
    </w:p>
    <w:p>
      <w:pPr>
        <w:ind w:firstLine="1278"/>
        <w:spacing w:after="0" w:line="278" w:lineRule="auto"/>
        <w:tabs>
          <w:tab w:leader="none" w:pos="1813" w:val="left"/>
        </w:tabs>
        <w:numPr>
          <w:ilvl w:val="0"/>
          <w:numId w:val="220"/>
        </w:numPr>
        <w:rPr>
          <w:rFonts w:ascii="Arial" w:cs="Arial" w:eastAsia="Arial" w:hAnsi="Arial"/>
          <w:sz w:val="19"/>
          <w:szCs w:val="19"/>
          <w:color w:val="auto"/>
        </w:rPr>
      </w:pPr>
      <w:r>
        <w:rPr>
          <w:rFonts w:ascii="Arial" w:cs="Arial" w:eastAsia="Arial" w:hAnsi="Arial"/>
          <w:sz w:val="19"/>
          <w:szCs w:val="19"/>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156" w:lineRule="exact"/>
        <w:rPr>
          <w:rFonts w:ascii="Arial" w:cs="Arial" w:eastAsia="Arial" w:hAnsi="Arial"/>
          <w:sz w:val="19"/>
          <w:szCs w:val="19"/>
          <w:color w:val="auto"/>
        </w:rPr>
      </w:pPr>
    </w:p>
    <w:p>
      <w:pPr>
        <w:ind w:firstLine="1278"/>
        <w:spacing w:after="0" w:line="339" w:lineRule="auto"/>
        <w:tabs>
          <w:tab w:leader="none" w:pos="174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10" w:lineRule="exact"/>
        <w:rPr>
          <w:rFonts w:ascii="Arial" w:cs="Arial" w:eastAsia="Arial" w:hAnsi="Arial"/>
          <w:sz w:val="17"/>
          <w:szCs w:val="17"/>
          <w:color w:val="auto"/>
        </w:rPr>
      </w:pPr>
    </w:p>
    <w:p>
      <w:pPr>
        <w:jc w:val="both"/>
        <w:ind w:firstLine="1278"/>
        <w:spacing w:after="0" w:line="263" w:lineRule="auto"/>
        <w:tabs>
          <w:tab w:leader="none" w:pos="1732" w:val="left"/>
        </w:tabs>
        <w:numPr>
          <w:ilvl w:val="0"/>
          <w:numId w:val="220"/>
        </w:numPr>
        <w:rPr>
          <w:rFonts w:ascii="Arial" w:cs="Arial" w:eastAsia="Arial" w:hAnsi="Arial"/>
          <w:sz w:val="19"/>
          <w:szCs w:val="19"/>
          <w:color w:val="auto"/>
        </w:rPr>
      </w:pPr>
      <w:r>
        <w:rPr>
          <w:rFonts w:ascii="Arial" w:cs="Arial" w:eastAsia="Arial" w:hAnsi="Arial"/>
          <w:sz w:val="19"/>
          <w:szCs w:val="19"/>
          <w:color w:val="auto"/>
        </w:rPr>
        <w:t>Investments in joint ventures (or in any Restricted Subsidiary to enable such Restricted Subsidiary to make substantially concurrent Investments in joint ventures) in an aggregate outstanding amount not to exceed the greater of $40,000,000 and 33.0% of Consolidated EBITDA for the most recently ended Test Period;</w:t>
      </w:r>
    </w:p>
    <w:p>
      <w:pPr>
        <w:spacing w:after="0" w:line="169" w:lineRule="exact"/>
        <w:rPr>
          <w:rFonts w:ascii="Arial" w:cs="Arial" w:eastAsia="Arial" w:hAnsi="Arial"/>
          <w:sz w:val="19"/>
          <w:szCs w:val="19"/>
          <w:color w:val="auto"/>
        </w:rPr>
      </w:pPr>
    </w:p>
    <w:p>
      <w:pPr>
        <w:ind w:firstLine="1278"/>
        <w:spacing w:after="0" w:line="278" w:lineRule="auto"/>
        <w:tabs>
          <w:tab w:leader="none" w:pos="1715" w:val="left"/>
        </w:tabs>
        <w:numPr>
          <w:ilvl w:val="0"/>
          <w:numId w:val="220"/>
        </w:numPr>
        <w:rPr>
          <w:rFonts w:ascii="Arial" w:cs="Arial" w:eastAsia="Arial" w:hAnsi="Arial"/>
          <w:sz w:val="19"/>
          <w:szCs w:val="19"/>
          <w:color w:val="auto"/>
        </w:rPr>
      </w:pPr>
      <w:r>
        <w:rPr>
          <w:rFonts w:ascii="Arial" w:cs="Arial" w:eastAsia="Arial" w:hAnsi="Arial"/>
          <w:sz w:val="19"/>
          <w:szCs w:val="19"/>
          <w:color w:val="auto"/>
        </w:rPr>
        <w:t>Investments by an Unrestricted Subsidiary entered into prior to the day such Unrestricted Subsidiary is re-designated as a Restricted Subsidiary pursuant to the definition of “Unrestricted Subsidiary”;</w:t>
      </w:r>
    </w:p>
    <w:p>
      <w:pPr>
        <w:spacing w:after="0" w:line="156" w:lineRule="exact"/>
        <w:rPr>
          <w:rFonts w:ascii="Arial" w:cs="Arial" w:eastAsia="Arial" w:hAnsi="Arial"/>
          <w:sz w:val="19"/>
          <w:szCs w:val="19"/>
          <w:color w:val="auto"/>
        </w:rPr>
      </w:pPr>
    </w:p>
    <w:p>
      <w:pPr>
        <w:jc w:val="both"/>
        <w:ind w:firstLine="1278"/>
        <w:spacing w:after="0" w:line="263" w:lineRule="auto"/>
        <w:tabs>
          <w:tab w:leader="none" w:pos="1754" w:val="left"/>
        </w:tabs>
        <w:numPr>
          <w:ilvl w:val="0"/>
          <w:numId w:val="220"/>
        </w:numPr>
        <w:rPr>
          <w:rFonts w:ascii="Arial" w:cs="Arial" w:eastAsia="Arial" w:hAnsi="Arial"/>
          <w:sz w:val="19"/>
          <w:szCs w:val="19"/>
          <w:color w:val="auto"/>
        </w:rPr>
      </w:pPr>
      <w:r>
        <w:rPr>
          <w:rFonts w:ascii="Arial" w:cs="Arial" w:eastAsia="Arial" w:hAnsi="Arial"/>
          <w:sz w:val="19"/>
          <w:szCs w:val="19"/>
          <w:color w:val="auto"/>
        </w:rPr>
        <w:t>Investments in Unrestricted Subsidiaries (or in any Restricted Subsidiary to enable such Restricted Subsidiary to make substantially concurrent Investments in Unrestricted Subsidiaries) in an aggregate outstanding amount not to exceed the greater of $40,000,000 and 33.0% of Consolidated EBITDA for the most recently ended Test Period;</w:t>
      </w:r>
    </w:p>
    <w:p>
      <w:pPr>
        <w:spacing w:after="0" w:line="169" w:lineRule="exact"/>
        <w:rPr>
          <w:sz w:val="20"/>
          <w:szCs w:val="20"/>
          <w:color w:val="auto"/>
        </w:rPr>
      </w:pPr>
    </w:p>
    <w:p>
      <w:pPr>
        <w:jc w:val="both"/>
        <w:ind w:firstLine="1278"/>
        <w:spacing w:after="0" w:line="263" w:lineRule="auto"/>
        <w:tabs>
          <w:tab w:leader="none" w:pos="1924" w:val="left"/>
        </w:tabs>
        <w:numPr>
          <w:ilvl w:val="0"/>
          <w:numId w:val="221"/>
        </w:numPr>
        <w:rPr>
          <w:rFonts w:ascii="Arial" w:cs="Arial" w:eastAsia="Arial" w:hAnsi="Arial"/>
          <w:sz w:val="19"/>
          <w:szCs w:val="19"/>
          <w:color w:val="auto"/>
        </w:rPr>
      </w:pPr>
      <w:r>
        <w:rPr>
          <w:rFonts w:ascii="Arial" w:cs="Arial" w:eastAsia="Arial" w:hAnsi="Arial"/>
          <w:sz w:val="19"/>
          <w:szCs w:val="19"/>
          <w:color w:val="auto"/>
        </w:rPr>
        <w:t>Investments in Similar Businesses (or in any Restricted Subsidiary to enable such Restricted Subsidiary to make substantially concurrent Investments in Similar Businesses) in an aggregate outstanding amount not to exceed the greater of $40,000,000 and 33.0% of Consolidated EBITDA for the most recently ended Test Period; and</w:t>
      </w:r>
    </w:p>
    <w:p>
      <w:pPr>
        <w:spacing w:after="0" w:line="169" w:lineRule="exact"/>
        <w:rPr>
          <w:rFonts w:ascii="Arial" w:cs="Arial" w:eastAsia="Arial" w:hAnsi="Arial"/>
          <w:sz w:val="19"/>
          <w:szCs w:val="19"/>
          <w:color w:val="auto"/>
        </w:rPr>
      </w:pPr>
    </w:p>
    <w:p>
      <w:pPr>
        <w:ind w:left="1800" w:hanging="522"/>
        <w:spacing w:after="0"/>
        <w:tabs>
          <w:tab w:leader="none" w:pos="180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Investments arising as a result of sale and leaseback transactions permitted by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hereto.</w:t>
      </w:r>
    </w:p>
    <w:p>
      <w:pPr>
        <w:spacing w:after="0" w:line="219"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6.04</w:t>
      </w:r>
      <w:r>
        <w:rPr>
          <w:rFonts w:ascii="Arial" w:cs="Arial" w:eastAsia="Arial" w:hAnsi="Arial"/>
          <w:sz w:val="19"/>
          <w:szCs w:val="19"/>
          <w:color w:val="auto"/>
        </w:rPr>
        <w:t>, no Material Intellectual Property as of the Effective Date owned by any Loan Party may be contributed and/or assigned as an Investment or otherwise transferred to any non-Loan Party.</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6.05</w:t>
      </w:r>
      <w:r>
        <w:rPr>
          <w:sz w:val="20"/>
          <w:szCs w:val="20"/>
          <w:color w:val="auto"/>
        </w:rPr>
        <w:tab/>
      </w:r>
      <w:r>
        <w:rPr>
          <w:rFonts w:ascii="Arial" w:cs="Arial" w:eastAsia="Arial" w:hAnsi="Arial"/>
          <w:sz w:val="16"/>
          <w:szCs w:val="16"/>
          <w:u w:val="single" w:color="auto"/>
          <w:color w:val="auto"/>
        </w:rPr>
        <w:t>Asset Sales</w:t>
      </w:r>
      <w:r>
        <w:rPr>
          <w:rFonts w:ascii="Arial" w:cs="Arial" w:eastAsia="Arial" w:hAnsi="Arial"/>
          <w:sz w:val="16"/>
          <w:szCs w:val="16"/>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The Borrower will not, and will not permit any Restricted Subsidiary to, and Holdings will not permit Public Sector to, (i) sell, transfer, lease, license, abandon, allow to lapse or be invalidated or otherwise dispose (including pursuant to a division)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w:t>
      </w:r>
    </w:p>
    <w:p>
      <w:pPr>
        <w:sectPr>
          <w:pgSz w:w="11900" w:h="16838" w:orient="portrait"/>
          <w:cols w:equalWidth="0" w:num="1">
            <w:col w:w="11240"/>
          </w:cols>
          <w:pgMar w:left="320" w:top="1395" w:right="339" w:bottom="1440" w:gutter="0" w:footer="0" w:header="0"/>
        </w:sectPr>
      </w:pPr>
    </w:p>
    <w:bookmarkStart w:id="222" w:name="page223"/>
    <w:bookmarkEnd w:id="222"/>
    <w:p>
      <w:pPr>
        <w:spacing w:after="0" w:line="278" w:lineRule="auto"/>
        <w:rPr>
          <w:sz w:val="20"/>
          <w:szCs w:val="20"/>
          <w:color w:val="auto"/>
        </w:rPr>
      </w:pPr>
      <w:r>
        <w:rPr>
          <w:rFonts w:ascii="Arial" w:cs="Arial" w:eastAsia="Arial" w:hAnsi="Arial"/>
          <w:sz w:val="19"/>
          <w:szCs w:val="19"/>
          <w:color w:val="auto"/>
        </w:rPr>
        <w:t xml:space="preserve">Borrower or a Restricted Subsidiary in compliance with </w:t>
      </w:r>
      <w:r>
        <w:rPr>
          <w:rFonts w:ascii="Arial" w:cs="Arial" w:eastAsia="Arial" w:hAnsi="Arial"/>
          <w:sz w:val="19"/>
          <w:szCs w:val="19"/>
          <w:u w:val="single" w:color="auto"/>
          <w:color w:val="auto"/>
        </w:rPr>
        <w:t>Section 6.04(c)</w:t>
      </w:r>
      <w:r>
        <w:rPr>
          <w:rFonts w:ascii="Arial" w:cs="Arial" w:eastAsia="Arial" w:hAnsi="Arial"/>
          <w:sz w:val="19"/>
          <w:szCs w:val="19"/>
          <w:color w:val="auto"/>
        </w:rPr>
        <w:t>) (each, a “</w:t>
      </w:r>
      <w:r>
        <w:rPr>
          <w:rFonts w:ascii="Arial" w:cs="Arial" w:eastAsia="Arial" w:hAnsi="Arial"/>
          <w:sz w:val="19"/>
          <w:szCs w:val="19"/>
          <w:u w:val="single" w:color="auto"/>
          <w:color w:val="auto"/>
        </w:rPr>
        <w:t>Disposition</w:t>
      </w:r>
      <w:r>
        <w:rPr>
          <w:rFonts w:ascii="Arial" w:cs="Arial" w:eastAsia="Arial" w:hAnsi="Arial"/>
          <w:sz w:val="19"/>
          <w:szCs w:val="19"/>
          <w:color w:val="auto"/>
        </w:rPr>
        <w:t>” and the term “</w:t>
      </w:r>
      <w:r>
        <w:rPr>
          <w:rFonts w:ascii="Arial" w:cs="Arial" w:eastAsia="Arial" w:hAnsi="Arial"/>
          <w:sz w:val="19"/>
          <w:szCs w:val="19"/>
          <w:u w:val="single" w:color="auto"/>
          <w:color w:val="auto"/>
        </w:rPr>
        <w:t>Dispose</w:t>
      </w:r>
      <w:r>
        <w:rPr>
          <w:rFonts w:ascii="Arial" w:cs="Arial" w:eastAsia="Arial" w:hAnsi="Arial"/>
          <w:sz w:val="19"/>
          <w:szCs w:val="19"/>
          <w:color w:val="auto"/>
        </w:rPr>
        <w:t>” as a verb has the corresponding meaning), except:</w:t>
      </w:r>
    </w:p>
    <w:p>
      <w:pPr>
        <w:spacing w:after="0" w:line="156" w:lineRule="exact"/>
        <w:rPr>
          <w:sz w:val="20"/>
          <w:szCs w:val="20"/>
          <w:color w:val="auto"/>
        </w:rPr>
      </w:pPr>
    </w:p>
    <w:p>
      <w:pPr>
        <w:jc w:val="both"/>
        <w:ind w:firstLine="1278"/>
        <w:spacing w:after="0" w:line="257" w:lineRule="auto"/>
        <w:tabs>
          <w:tab w:leader="none" w:pos="172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business of the Borrower and its Restricted Subsidiaries (including allowing any registration or application for registration of any Intellectual Property that is no longer used or useful to lapse, go abandoned, or be invalidated);</w:t>
      </w:r>
    </w:p>
    <w:p>
      <w:pPr>
        <w:spacing w:after="0" w:line="177" w:lineRule="exact"/>
        <w:rPr>
          <w:rFonts w:ascii="Arial" w:cs="Arial" w:eastAsia="Arial" w:hAnsi="Arial"/>
          <w:sz w:val="19"/>
          <w:szCs w:val="19"/>
          <w:color w:val="auto"/>
        </w:rPr>
      </w:pPr>
    </w:p>
    <w:p>
      <w:pPr>
        <w:ind w:firstLine="1278"/>
        <w:spacing w:after="0" w:line="278" w:lineRule="auto"/>
        <w:tabs>
          <w:tab w:leader="none" w:pos="1781" w:val="left"/>
        </w:tabs>
        <w:numPr>
          <w:ilvl w:val="0"/>
          <w:numId w:val="222"/>
        </w:numPr>
        <w:rPr>
          <w:rFonts w:ascii="Arial" w:cs="Arial" w:eastAsia="Arial" w:hAnsi="Arial"/>
          <w:sz w:val="19"/>
          <w:szCs w:val="19"/>
          <w:color w:val="auto"/>
        </w:rPr>
      </w:pPr>
      <w:r>
        <w:rPr>
          <w:rFonts w:ascii="Arial" w:cs="Arial" w:eastAsia="Arial" w:hAnsi="Arial"/>
          <w:sz w:val="19"/>
          <w:szCs w:val="19"/>
          <w:color w:val="auto"/>
        </w:rPr>
        <w:t>Dispositions of inventory and other assets in the ordinary course of business and immaterial assets (considered in the aggregate) in the ordinary course of business;</w:t>
      </w:r>
    </w:p>
    <w:p>
      <w:pPr>
        <w:spacing w:after="0" w:line="156" w:lineRule="exact"/>
        <w:rPr>
          <w:rFonts w:ascii="Arial" w:cs="Arial" w:eastAsia="Arial" w:hAnsi="Arial"/>
          <w:sz w:val="19"/>
          <w:szCs w:val="19"/>
          <w:color w:val="auto"/>
        </w:rPr>
      </w:pPr>
    </w:p>
    <w:p>
      <w:pPr>
        <w:jc w:val="both"/>
        <w:ind w:firstLine="1278"/>
        <w:spacing w:after="0" w:line="263" w:lineRule="auto"/>
        <w:tabs>
          <w:tab w:leader="none" w:pos="1732" w:val="left"/>
        </w:tabs>
        <w:numPr>
          <w:ilvl w:val="0"/>
          <w:numId w:val="222"/>
        </w:numPr>
        <w:rPr>
          <w:rFonts w:ascii="Arial" w:cs="Arial" w:eastAsia="Arial" w:hAnsi="Arial"/>
          <w:sz w:val="19"/>
          <w:szCs w:val="19"/>
          <w:color w:val="auto"/>
        </w:rPr>
      </w:pPr>
      <w:r>
        <w:rPr>
          <w:rFonts w:ascii="Arial" w:cs="Arial" w:eastAsia="Arial" w:hAnsi="Arial"/>
          <w:sz w:val="19"/>
          <w:szCs w:val="19"/>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169" w:lineRule="exact"/>
        <w:rPr>
          <w:rFonts w:ascii="Arial" w:cs="Arial" w:eastAsia="Arial" w:hAnsi="Arial"/>
          <w:sz w:val="19"/>
          <w:szCs w:val="19"/>
          <w:color w:val="auto"/>
        </w:rPr>
      </w:pPr>
    </w:p>
    <w:p>
      <w:pPr>
        <w:jc w:val="both"/>
        <w:ind w:firstLine="1278"/>
        <w:spacing w:after="0" w:line="253" w:lineRule="auto"/>
        <w:tabs>
          <w:tab w:leader="none" w:pos="1712"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Dispositions of property to the Borrower or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transferor in such a transaction is a Loan Party, then (i) the transferee must be a Loan Party, (ii) to the extent constituting an Investment, such Investment must be a Permitted Investment in a Restricted Subsidiary that is not a Loan Party in accordance with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ind w:firstLine="1278"/>
        <w:spacing w:after="0" w:line="278" w:lineRule="auto"/>
        <w:tabs>
          <w:tab w:leader="none" w:pos="1773"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Dispositions permitted by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and Investments permitted by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Restricted Payments permitted by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and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660" w:hanging="382"/>
        <w:spacing w:after="0"/>
        <w:tabs>
          <w:tab w:leader="none" w:pos="166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Dispositions of property pursuant to sale and leaseback transactions permitted by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hereto;</w:t>
      </w:r>
    </w:p>
    <w:p>
      <w:pPr>
        <w:spacing w:after="0" w:line="218" w:lineRule="exact"/>
        <w:rPr>
          <w:rFonts w:ascii="Arial" w:cs="Arial" w:eastAsia="Arial" w:hAnsi="Arial"/>
          <w:sz w:val="19"/>
          <w:szCs w:val="19"/>
          <w:color w:val="auto"/>
        </w:rPr>
      </w:pPr>
    </w:p>
    <w:p>
      <w:pPr>
        <w:ind w:left="1700" w:hanging="422"/>
        <w:spacing w:after="0"/>
        <w:tabs>
          <w:tab w:leader="none" w:pos="170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Dispositions of Permitted Investments;</w:t>
      </w:r>
    </w:p>
    <w:p>
      <w:pPr>
        <w:spacing w:after="0" w:line="218" w:lineRule="exact"/>
        <w:rPr>
          <w:rFonts w:ascii="Arial" w:cs="Arial" w:eastAsia="Arial" w:hAnsi="Arial"/>
          <w:sz w:val="19"/>
          <w:szCs w:val="19"/>
          <w:color w:val="auto"/>
        </w:rPr>
      </w:pPr>
    </w:p>
    <w:p>
      <w:pPr>
        <w:ind w:left="1720" w:hanging="442"/>
        <w:spacing w:after="0"/>
        <w:tabs>
          <w:tab w:leader="none" w:pos="172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Dispositions of accounts receivable in connection with the collection or compromise thereof (including sales to factors or</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other third parties);</w:t>
      </w:r>
    </w:p>
    <w:p>
      <w:pPr>
        <w:spacing w:after="0" w:line="202" w:lineRule="exact"/>
        <w:rPr>
          <w:rFonts w:ascii="Arial" w:cs="Arial" w:eastAsia="Arial" w:hAnsi="Arial"/>
          <w:sz w:val="17"/>
          <w:szCs w:val="17"/>
          <w:color w:val="auto"/>
        </w:rPr>
      </w:pPr>
    </w:p>
    <w:p>
      <w:pPr>
        <w:jc w:val="both"/>
        <w:ind w:firstLine="1278"/>
        <w:spacing w:after="0" w:line="263" w:lineRule="auto"/>
        <w:tabs>
          <w:tab w:leader="none" w:pos="173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leases, subleases, service agreements, product sales, abandonments, licenses, sublicenses or other disposals (including, with respect to of Intellectual Property, non-exclusive licenses and sublicenses only), in each case that do not materially interfere with the business of the Borrower and its Restricted Subsidiaries, taken as a whole;</w:t>
      </w:r>
    </w:p>
    <w:p>
      <w:pPr>
        <w:spacing w:after="0" w:line="169" w:lineRule="exact"/>
        <w:rPr>
          <w:rFonts w:ascii="Arial" w:cs="Arial" w:eastAsia="Arial" w:hAnsi="Arial"/>
          <w:sz w:val="19"/>
          <w:szCs w:val="19"/>
          <w:color w:val="auto"/>
        </w:rPr>
      </w:pPr>
    </w:p>
    <w:p>
      <w:pPr>
        <w:ind w:left="1660" w:hanging="382"/>
        <w:spacing w:after="0"/>
        <w:tabs>
          <w:tab w:leader="none" w:pos="166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transfers of property subject to Casualty Events;</w:t>
      </w:r>
    </w:p>
    <w:p>
      <w:pPr>
        <w:spacing w:after="0" w:line="218" w:lineRule="exact"/>
        <w:rPr>
          <w:rFonts w:ascii="Arial" w:cs="Arial" w:eastAsia="Arial" w:hAnsi="Arial"/>
          <w:sz w:val="19"/>
          <w:szCs w:val="19"/>
          <w:color w:val="auto"/>
        </w:rPr>
      </w:pPr>
    </w:p>
    <w:p>
      <w:pPr>
        <w:jc w:val="both"/>
        <w:ind w:firstLine="1278"/>
        <w:spacing w:after="0" w:line="255" w:lineRule="auto"/>
        <w:tabs>
          <w:tab w:leader="none" w:pos="170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Dispositions of property to Persons other than Restricted Subsidiaries (including the sale or issuance of Equity Interests of a Restricted Subsidiary) for fair market value (as determined by a Responsible Officer of the Borrower in good faith) not otherwise permitted under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Disposition pursuant to this clause </w:t>
      </w:r>
      <w:r>
        <w:rPr>
          <w:rFonts w:ascii="Arial" w:cs="Arial" w:eastAsia="Arial" w:hAnsi="Arial"/>
          <w:sz w:val="19"/>
          <w:szCs w:val="19"/>
          <w:u w:val="single" w:color="auto"/>
          <w:color w:val="auto"/>
        </w:rPr>
        <w:t>(k)</w:t>
      </w:r>
      <w:r>
        <w:rPr>
          <w:rFonts w:ascii="Arial" w:cs="Arial" w:eastAsia="Arial" w:hAnsi="Arial"/>
          <w:sz w:val="19"/>
          <w:szCs w:val="19"/>
          <w:color w:val="auto"/>
        </w:rPr>
        <w:t xml:space="preserve"> for a purchase price in excess of (x) with respect to any single transaction or series of related transactions, the greater of $6,250,000 and 5.0% of the Consolidated EBITDA as of the most recently ended Test Period, or (y) with respect to all</w:t>
      </w:r>
    </w:p>
    <w:p>
      <w:pPr>
        <w:sectPr>
          <w:pgSz w:w="11900" w:h="16838" w:orient="portrait"/>
          <w:cols w:equalWidth="0" w:num="1">
            <w:col w:w="11240"/>
          </w:cols>
          <w:pgMar w:left="320" w:top="1395" w:right="339" w:bottom="1440" w:gutter="0" w:footer="0" w:header="0"/>
        </w:sectPr>
      </w:pPr>
    </w:p>
    <w:bookmarkStart w:id="223" w:name="page224"/>
    <w:bookmarkEnd w:id="223"/>
    <w:p>
      <w:pPr>
        <w:jc w:val="both"/>
        <w:spacing w:after="0" w:line="280" w:lineRule="auto"/>
        <w:rPr>
          <w:sz w:val="20"/>
          <w:szCs w:val="20"/>
          <w:color w:val="auto"/>
        </w:rPr>
      </w:pPr>
      <w:r>
        <w:rPr>
          <w:rFonts w:ascii="Arial" w:cs="Arial" w:eastAsia="Arial" w:hAnsi="Arial"/>
          <w:sz w:val="17"/>
          <w:szCs w:val="17"/>
          <w:color w:val="auto"/>
        </w:rPr>
        <w:t xml:space="preserve">other Dispositions in any fiscal year not excluded from the requirements of this proviso pursuant to the immediately preceding </w:t>
      </w:r>
      <w:r>
        <w:rPr>
          <w:rFonts w:ascii="Arial" w:cs="Arial" w:eastAsia="Arial" w:hAnsi="Arial"/>
          <w:sz w:val="17"/>
          <w:szCs w:val="17"/>
          <w:u w:val="single" w:color="auto"/>
          <w:color w:val="auto"/>
        </w:rPr>
        <w:t>subclause (x)</w:t>
      </w:r>
      <w:r>
        <w:rPr>
          <w:rFonts w:ascii="Arial" w:cs="Arial" w:eastAsia="Arial" w:hAnsi="Arial"/>
          <w:sz w:val="17"/>
          <w:szCs w:val="17"/>
          <w:color w:val="auto"/>
        </w:rPr>
        <w:t xml:space="preserve">, the greater of $12,500,000 and 10.0% of the Consolidated EBITDA as of the most recently ended Test Period, the Borrower or any Restricted Subsidiary shall receive not less than 75% of such consideration in the form of cash or Permitted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solely for the purposes of this clause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(A) any liabilities (as shown on the most recent balance sheet of the Borrower or such Restricted Subsidiary or in the footnotes thereto) of the Borrower or such Restricted Subsidiary, other than liabilities that are by their terms subordinated in right of payment to the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and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that is at that time outstanding, not in excess of the greater of $25,000,000 and 20.0% of Consolidated EBITDA at the time of the receipt of such Designated Non-Cash Consideration, with the fair market value (as determined in good faith by the Borrower) of each item of Designated Non-Cash Consideration being measured at the time received and without giving effect to subsequent changes in value, shall be deemed to be cash;</w:t>
      </w:r>
    </w:p>
    <w:p>
      <w:pPr>
        <w:spacing w:after="0" w:line="159" w:lineRule="exact"/>
        <w:rPr>
          <w:sz w:val="20"/>
          <w:szCs w:val="20"/>
          <w:color w:val="auto"/>
        </w:rPr>
      </w:pPr>
    </w:p>
    <w:p>
      <w:pPr>
        <w:ind w:firstLine="1278"/>
        <w:spacing w:after="0" w:line="278" w:lineRule="auto"/>
        <w:tabs>
          <w:tab w:leader="none" w:pos="1851" w:val="left"/>
        </w:tabs>
        <w:numPr>
          <w:ilvl w:val="0"/>
          <w:numId w:val="223"/>
        </w:numPr>
        <w:rPr>
          <w:rFonts w:ascii="Arial" w:cs="Arial" w:eastAsia="Arial" w:hAnsi="Arial"/>
          <w:sz w:val="19"/>
          <w:szCs w:val="19"/>
          <w:color w:val="auto"/>
        </w:rPr>
      </w:pPr>
      <w:r>
        <w:rPr>
          <w:rFonts w:ascii="Arial" w:cs="Arial" w:eastAsia="Arial" w:hAnsi="Arial"/>
          <w:sz w:val="19"/>
          <w:szCs w:val="19"/>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6" w:lineRule="exact"/>
        <w:rPr>
          <w:rFonts w:ascii="Arial" w:cs="Arial" w:eastAsia="Arial" w:hAnsi="Arial"/>
          <w:sz w:val="19"/>
          <w:szCs w:val="19"/>
          <w:color w:val="auto"/>
        </w:rPr>
      </w:pPr>
    </w:p>
    <w:p>
      <w:pPr>
        <w:ind w:left="1780" w:hanging="502"/>
        <w:spacing w:after="0"/>
        <w:tabs>
          <w:tab w:leader="none" w:pos="17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Dispositions or forgiveness of accounts receivable in the ordinary course of business in connection with the collection or</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compromise thereof;</w:t>
      </w:r>
    </w:p>
    <w:p>
      <w:pPr>
        <w:spacing w:after="0" w:line="202" w:lineRule="exact"/>
        <w:rPr>
          <w:rFonts w:ascii="Arial" w:cs="Arial" w:eastAsia="Arial" w:hAnsi="Arial"/>
          <w:sz w:val="17"/>
          <w:szCs w:val="17"/>
          <w:color w:val="auto"/>
        </w:rPr>
      </w:pPr>
    </w:p>
    <w:p>
      <w:pPr>
        <w:jc w:val="both"/>
        <w:ind w:firstLine="1278"/>
        <w:spacing w:after="0" w:line="284" w:lineRule="auto"/>
        <w:tabs>
          <w:tab w:leader="none" w:pos="170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Dispositions of any assets (including Equity Interests) (A) acquired in connection with any Permitted Acquisition or other Investment not prohibited hereunder, which assets are not used or useful to the core or principal business of the Borrower and its Restricted Subsidiaries and (B) made to obtain the approval of any applicable antitrust authority in connection with a Permitted Acquisition;</w:t>
      </w:r>
    </w:p>
    <w:p>
      <w:pPr>
        <w:spacing w:after="0" w:line="152" w:lineRule="exact"/>
        <w:rPr>
          <w:rFonts w:ascii="Arial" w:cs="Arial" w:eastAsia="Arial" w:hAnsi="Arial"/>
          <w:sz w:val="18"/>
          <w:szCs w:val="18"/>
          <w:color w:val="auto"/>
        </w:rPr>
      </w:pPr>
    </w:p>
    <w:p>
      <w:pPr>
        <w:jc w:val="both"/>
        <w:ind w:firstLine="1278"/>
        <w:spacing w:after="0" w:line="263" w:lineRule="auto"/>
        <w:tabs>
          <w:tab w:leader="none" w:pos="1725" w:val="left"/>
        </w:tabs>
        <w:numPr>
          <w:ilvl w:val="0"/>
          <w:numId w:val="223"/>
        </w:numPr>
        <w:rPr>
          <w:rFonts w:ascii="Arial" w:cs="Arial" w:eastAsia="Arial" w:hAnsi="Arial"/>
          <w:sz w:val="19"/>
          <w:szCs w:val="19"/>
          <w:color w:val="auto"/>
        </w:rPr>
      </w:pPr>
      <w:r>
        <w:rPr>
          <w:rFonts w:ascii="Arial" w:cs="Arial" w:eastAsia="Arial" w:hAnsi="Arial"/>
          <w:sz w:val="19"/>
          <w:szCs w:val="19"/>
          <w:color w:val="auto"/>
        </w:rPr>
        <w:t>Dispositions of assets that are not Collateral in an aggregate amount not to exceed the greater of $12,500,000 and 10.0% of Consolidated EBITDA for the most recently ended Test Period in any calendar year (which amount, if not used in any calendar year, may be carried forward to the immediately succeeding calendar year (but to no other calendar year));</w:t>
      </w:r>
    </w:p>
    <w:p>
      <w:pPr>
        <w:spacing w:after="0" w:line="169" w:lineRule="exact"/>
        <w:rPr>
          <w:rFonts w:ascii="Arial" w:cs="Arial" w:eastAsia="Arial" w:hAnsi="Arial"/>
          <w:sz w:val="19"/>
          <w:szCs w:val="19"/>
          <w:color w:val="auto"/>
        </w:rPr>
      </w:pPr>
    </w:p>
    <w:p>
      <w:pPr>
        <w:jc w:val="both"/>
        <w:ind w:firstLine="1278"/>
        <w:spacing w:after="0" w:line="257" w:lineRule="auto"/>
        <w:tabs>
          <w:tab w:leader="none" w:pos="1716"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ectPr>
          <w:pgSz w:w="11900" w:h="16838" w:orient="portrait"/>
          <w:cols w:equalWidth="0" w:num="1">
            <w:col w:w="11240"/>
          </w:cols>
          <w:pgMar w:left="320" w:top="1395" w:right="339" w:bottom="1440" w:gutter="0" w:footer="0" w:header="0"/>
        </w:sectPr>
      </w:pPr>
    </w:p>
    <w:bookmarkStart w:id="224" w:name="page225"/>
    <w:bookmarkEnd w:id="224"/>
    <w:p>
      <w:pPr>
        <w:ind w:left="1700" w:hanging="422"/>
        <w:spacing w:after="0"/>
        <w:tabs>
          <w:tab w:leader="none" w:pos="170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any Disposition of the Equity Interests of any Immaterial Subsidiary or Unrestricted Subsidiary;</w:t>
      </w:r>
    </w:p>
    <w:p>
      <w:pPr>
        <w:spacing w:after="0" w:line="218" w:lineRule="exact"/>
        <w:rPr>
          <w:rFonts w:ascii="Arial" w:cs="Arial" w:eastAsia="Arial" w:hAnsi="Arial"/>
          <w:sz w:val="19"/>
          <w:szCs w:val="19"/>
          <w:color w:val="auto"/>
        </w:rPr>
      </w:pPr>
    </w:p>
    <w:p>
      <w:pPr>
        <w:ind w:firstLine="1278"/>
        <w:spacing w:after="0" w:line="278" w:lineRule="auto"/>
        <w:tabs>
          <w:tab w:leader="none" w:pos="1713"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 unwinding, settlement or termination of any obligations under or in respect of any Swap Agreements (including any Permitted Equity Derivatives and Swap Obligations) permitted by Section 6.04(r); and</w:t>
      </w:r>
    </w:p>
    <w:p>
      <w:pPr>
        <w:spacing w:after="0" w:line="156" w:lineRule="exact"/>
        <w:rPr>
          <w:rFonts w:ascii="Arial" w:cs="Arial" w:eastAsia="Arial" w:hAnsi="Arial"/>
          <w:sz w:val="19"/>
          <w:szCs w:val="19"/>
          <w:color w:val="auto"/>
        </w:rPr>
      </w:pPr>
    </w:p>
    <w:p>
      <w:pPr>
        <w:ind w:firstLine="1278"/>
        <w:spacing w:after="0" w:line="278" w:lineRule="auto"/>
        <w:tabs>
          <w:tab w:leader="none" w:pos="1701" w:val="left"/>
        </w:tabs>
        <w:numPr>
          <w:ilvl w:val="0"/>
          <w:numId w:val="224"/>
        </w:numPr>
        <w:rPr>
          <w:rFonts w:ascii="Arial" w:cs="Arial" w:eastAsia="Arial" w:hAnsi="Arial"/>
          <w:sz w:val="19"/>
          <w:szCs w:val="19"/>
          <w:color w:val="auto"/>
        </w:rPr>
      </w:pPr>
      <w:r>
        <w:rPr>
          <w:rFonts w:ascii="Arial" w:cs="Arial" w:eastAsia="Arial" w:hAnsi="Arial"/>
          <w:sz w:val="19"/>
          <w:szCs w:val="19"/>
          <w:color w:val="auto"/>
        </w:rPr>
        <w:t>other Dispositions in an aggregate amount not to exceed the greater of $40,000,000 and 33.0% of Consolidated EBITDA for the most recently ended Test Period.</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6.05</w:t>
      </w:r>
      <w:r>
        <w:rPr>
          <w:rFonts w:ascii="Arial" w:cs="Arial" w:eastAsia="Arial" w:hAnsi="Arial"/>
          <w:sz w:val="19"/>
          <w:szCs w:val="19"/>
          <w:color w:val="auto"/>
        </w:rPr>
        <w:t>, no Loan Party shall, directly or indirectly, sell or otherwise Dispose of (except for non-exclusive leases or non-exclusive licenses with respect thereto) any Material Intellectual Property as of the Effective Date to any non-Loan Party.</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6.06</w:t>
      </w:r>
      <w:r>
        <w:rPr>
          <w:sz w:val="20"/>
          <w:szCs w:val="20"/>
          <w:color w:val="auto"/>
        </w:rPr>
        <w:tab/>
      </w:r>
      <w:r>
        <w:rPr>
          <w:rFonts w:ascii="Arial" w:cs="Arial" w:eastAsia="Arial" w:hAnsi="Arial"/>
          <w:sz w:val="17"/>
          <w:szCs w:val="17"/>
          <w:u w:val="single" w:color="auto"/>
          <w:color w:val="auto"/>
        </w:rPr>
        <w:t>Sale and Leaseback Transactions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85" w:lineRule="auto"/>
        <w:rPr>
          <w:sz w:val="20"/>
          <w:szCs w:val="20"/>
          <w:color w:val="auto"/>
        </w:rPr>
      </w:pPr>
      <w:r>
        <w:rPr>
          <w:rFonts w:ascii="Arial" w:cs="Arial" w:eastAsia="Arial" w:hAnsi="Arial"/>
          <w:sz w:val="17"/>
          <w:szCs w:val="17"/>
          <w:color w:val="auto"/>
        </w:rPr>
        <w:t>The Borrower will not, and will not permit any Restricted Subsidiary to, and Holdings will not permit Public Sector to, enter into any arrangement, directly or indirectly, with any Person whereby it shall sell or transfer any tangible property, real or personal, used or useful in its business, whether now owned or hereafter acquired, and thereafter rent or lease such property or other property that it intends to use for substantially the same purpose or purposes as the property sold or transferred, except for (i) sale and leaseback transactions in an aggregate amount not to exceed the greater of $20,000,000 and 17.0% of Consolidated EBITDA for the most recently ended Test Period and (ii) any such sale of any fixed or capital assets by the Borrower or any Restricted Subsidiary that is made for cash consideration in an amount not less than the fair market value (as determined in good faith by the Borrower) of such fixed or capital asset and is consummated within 270 days after the Borrower or such Restricted Subsidiary, as applicable, acquires or completes the construction of such fixed or capital asset.</w:t>
      </w:r>
    </w:p>
    <w:p>
      <w:pPr>
        <w:spacing w:after="0" w:line="15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6.07</w:t>
      </w:r>
      <w:r>
        <w:rPr>
          <w:sz w:val="20"/>
          <w:szCs w:val="20"/>
          <w:color w:val="auto"/>
        </w:rPr>
        <w:tab/>
      </w:r>
      <w:r>
        <w:rPr>
          <w:rFonts w:ascii="Arial" w:cs="Arial" w:eastAsia="Arial" w:hAnsi="Arial"/>
          <w:sz w:val="17"/>
          <w:szCs w:val="17"/>
          <w:u w:val="single" w:color="auto"/>
          <w:color w:val="auto"/>
        </w:rPr>
        <w:t>Restricted Payments; Certain Payments of Indebtedness</w:t>
      </w:r>
      <w:r>
        <w:rPr>
          <w:rFonts w:ascii="Arial" w:cs="Arial" w:eastAsia="Arial" w:hAnsi="Arial"/>
          <w:sz w:val="17"/>
          <w:szCs w:val="17"/>
          <w:color w:val="auto"/>
        </w:rPr>
        <w:t>.</w:t>
      </w:r>
    </w:p>
    <w:p>
      <w:pPr>
        <w:spacing w:after="0" w:line="219" w:lineRule="exact"/>
        <w:rPr>
          <w:sz w:val="20"/>
          <w:szCs w:val="20"/>
          <w:color w:val="auto"/>
        </w:rPr>
      </w:pPr>
    </w:p>
    <w:p>
      <w:pPr>
        <w:ind w:firstLine="1278"/>
        <w:spacing w:after="0" w:line="278" w:lineRule="auto"/>
        <w:tabs>
          <w:tab w:leader="none" w:pos="1731"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Borrower will not, and will not permit any Restricted Subsidiary to, and Holdings will not permit Public Sector to, declare or make, or agree to pay or make, directly or indirectly, any Restricted Payment, except:</w:t>
      </w:r>
    </w:p>
    <w:p>
      <w:pPr>
        <w:spacing w:after="0" w:line="156" w:lineRule="exact"/>
        <w:rPr>
          <w:rFonts w:ascii="Arial" w:cs="Arial" w:eastAsia="Arial" w:hAnsi="Arial"/>
          <w:sz w:val="19"/>
          <w:szCs w:val="19"/>
          <w:color w:val="auto"/>
        </w:rPr>
      </w:pPr>
    </w:p>
    <w:p>
      <w:pPr>
        <w:jc w:val="both"/>
        <w:ind w:left="960" w:firstLine="1272"/>
        <w:spacing w:after="0" w:line="297" w:lineRule="auto"/>
        <w:tabs>
          <w:tab w:leader="none" w:pos="2615" w:val="left"/>
        </w:tabs>
        <w:numPr>
          <w:ilvl w:val="1"/>
          <w:numId w:val="225"/>
        </w:numPr>
        <w:rPr>
          <w:rFonts w:ascii="Arial" w:cs="Arial" w:eastAsia="Arial" w:hAnsi="Arial"/>
          <w:sz w:val="17"/>
          <w:szCs w:val="17"/>
          <w:color w:val="auto"/>
        </w:rPr>
      </w:pPr>
      <w:r>
        <w:rPr>
          <w:rFonts w:ascii="Arial" w:cs="Arial" w:eastAsia="Arial" w:hAnsi="Arial"/>
          <w:sz w:val="17"/>
          <w:szCs w:val="17"/>
          <w:color w:val="auto"/>
        </w:rPr>
        <w:t xml:space="preserve">each Restricted Subsidiary may make Restricted Payments to the Borrower or any 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spacing w:after="0" w:line="145" w:lineRule="exact"/>
        <w:rPr>
          <w:rFonts w:ascii="Arial" w:cs="Arial" w:eastAsia="Arial" w:hAnsi="Arial"/>
          <w:sz w:val="17"/>
          <w:szCs w:val="17"/>
          <w:color w:val="auto"/>
        </w:rPr>
      </w:pPr>
    </w:p>
    <w:p>
      <w:pPr>
        <w:ind w:left="960" w:firstLine="1272"/>
        <w:spacing w:after="0" w:line="278" w:lineRule="auto"/>
        <w:tabs>
          <w:tab w:leader="none" w:pos="2687" w:val="left"/>
        </w:tabs>
        <w:numPr>
          <w:ilvl w:val="1"/>
          <w:numId w:val="225"/>
        </w:numPr>
        <w:rPr>
          <w:rFonts w:ascii="Arial" w:cs="Arial" w:eastAsia="Arial" w:hAnsi="Arial"/>
          <w:sz w:val="19"/>
          <w:szCs w:val="19"/>
          <w:color w:val="auto"/>
        </w:rPr>
      </w:pPr>
      <w:r>
        <w:rPr>
          <w:rFonts w:ascii="Arial" w:cs="Arial" w:eastAsia="Arial" w:hAnsi="Arial"/>
          <w:sz w:val="19"/>
          <w:szCs w:val="19"/>
          <w:color w:val="auto"/>
        </w:rPr>
        <w:t>the Borrower and each Restricted Subsidiary may declare and make dividend payments or other distributions payable solely in the Equity Interests of such Person;</w:t>
      </w:r>
    </w:p>
    <w:p>
      <w:pPr>
        <w:spacing w:after="0" w:line="156" w:lineRule="exact"/>
        <w:rPr>
          <w:rFonts w:ascii="Arial" w:cs="Arial" w:eastAsia="Arial" w:hAnsi="Arial"/>
          <w:sz w:val="19"/>
          <w:szCs w:val="19"/>
          <w:color w:val="auto"/>
        </w:rPr>
      </w:pPr>
    </w:p>
    <w:p>
      <w:pPr>
        <w:ind w:left="960" w:firstLine="1272"/>
        <w:spacing w:after="0" w:line="278" w:lineRule="auto"/>
        <w:tabs>
          <w:tab w:leader="none" w:pos="2727" w:val="left"/>
        </w:tabs>
        <w:numPr>
          <w:ilvl w:val="1"/>
          <w:numId w:val="225"/>
        </w:numPr>
        <w:rPr>
          <w:rFonts w:ascii="Arial" w:cs="Arial" w:eastAsia="Arial" w:hAnsi="Arial"/>
          <w:sz w:val="19"/>
          <w:szCs w:val="19"/>
          <w:color w:val="auto"/>
        </w:rPr>
      </w:pPr>
      <w:r>
        <w:rPr>
          <w:rFonts w:ascii="Arial" w:cs="Arial" w:eastAsia="Arial" w:hAnsi="Arial"/>
          <w:sz w:val="19"/>
          <w:szCs w:val="19"/>
          <w:color w:val="auto"/>
        </w:rPr>
        <w:t>Restricted Payments made on or substantially contemporaneously with the Effective Date to consummate the Transactions, including to finance the payment of Transaction Costs;</w:t>
      </w:r>
    </w:p>
    <w:p>
      <w:pPr>
        <w:sectPr>
          <w:pgSz w:w="11900" w:h="16838" w:orient="portrait"/>
          <w:cols w:equalWidth="0" w:num="1">
            <w:col w:w="11240"/>
          </w:cols>
          <w:pgMar w:left="320" w:top="1395" w:right="339" w:bottom="1440" w:gutter="0" w:footer="0" w:header="0"/>
        </w:sectPr>
      </w:pPr>
    </w:p>
    <w:bookmarkStart w:id="225" w:name="page226"/>
    <w:bookmarkEnd w:id="225"/>
    <w:p>
      <w:pPr>
        <w:jc w:val="both"/>
        <w:ind w:left="-160" w:firstLine="1272"/>
        <w:spacing w:after="0" w:line="257" w:lineRule="auto"/>
        <w:tabs>
          <w:tab w:leader="none" w:pos="164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repurchases of Equity Interests in Holdings (or any direct or indirect parent of Holdings), any Intermediate Parent, the Borrower or any Restricted Subsidiary deemed to occur upon exercise of stock options, restricted stock units or warrants if such Equity Interests represent a portion of the exercise price or withholding taxes payable in connection with the exercise of such options, units or warrants or other incentive interests;</w:t>
      </w:r>
    </w:p>
    <w:p>
      <w:pPr>
        <w:spacing w:after="0" w:line="177" w:lineRule="exact"/>
        <w:rPr>
          <w:rFonts w:ascii="Arial" w:cs="Arial" w:eastAsia="Arial" w:hAnsi="Arial"/>
          <w:sz w:val="19"/>
          <w:szCs w:val="19"/>
          <w:color w:val="auto"/>
        </w:rPr>
      </w:pPr>
    </w:p>
    <w:p>
      <w:pPr>
        <w:jc w:val="both"/>
        <w:ind w:left="-160" w:firstLine="1272"/>
        <w:spacing w:after="0" w:line="262" w:lineRule="auto"/>
        <w:tabs>
          <w:tab w:leader="none" w:pos="153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to service Indebtedness incurred by Holdings or any Intermediate Parent to finance the redemption, acquisition, retirement, repurchase or settlement of such Equity Interest (or make Restricted Payments to allow any of Holdings’ direct or indirect parent companies to so redeem, retire, acquire or repurchase their Equity Interests or to service Indebtedness incurred by Holdings or any Intermediate Parent to finance the redemption, acquisition, retirement, repurchase or settlement of such Equity Interests or to service Indebtedness incurred to finance the redemption, retirement, acquisition or repurchase of such Equity Interests),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any Intermediate Parent made pursuant to </w:t>
      </w:r>
      <w:r>
        <w:rPr>
          <w:rFonts w:ascii="Arial" w:cs="Arial" w:eastAsia="Arial" w:hAnsi="Arial"/>
          <w:sz w:val="18"/>
          <w:szCs w:val="18"/>
          <w:u w:val="single" w:color="auto"/>
          <w:color w:val="auto"/>
        </w:rPr>
        <w:t>Section 6.04(m)</w:t>
      </w:r>
      <w:r>
        <w:rPr>
          <w:rFonts w:ascii="Arial" w:cs="Arial" w:eastAsia="Arial" w:hAnsi="Arial"/>
          <w:sz w:val="18"/>
          <w:szCs w:val="18"/>
          <w:color w:val="auto"/>
        </w:rPr>
        <w:t xml:space="preserve"> in lieu of Restricted Payments permitted by this clause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not to exceed the greater of $20,000,000 and 17.0% of Consolidated EBITDA in any calendar year with unused amounts in any calendar year being carried over to succeeding calendar years;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in any calendar year may be increased by (1) an amount not to exceed the cash proceeds of key man life insurance policies received by the Borrower (or by Holdings or an Intermediate 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cancellation of Indebtedness owning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will not be deemed to constitute a Restricted Payment for purposes of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or any other provisions of this Agreement.</w:t>
      </w:r>
    </w:p>
    <w:p>
      <w:pPr>
        <w:sectPr>
          <w:pgSz w:w="11900" w:h="16838" w:orient="portrait"/>
          <w:cols w:equalWidth="0" w:num="1">
            <w:col w:w="10120"/>
          </w:cols>
          <w:pgMar w:left="1440" w:top="1395" w:right="339" w:bottom="1440" w:gutter="0" w:footer="0" w:header="0"/>
        </w:sectPr>
      </w:pPr>
    </w:p>
    <w:bookmarkStart w:id="226" w:name="page227"/>
    <w:bookmarkEnd w:id="226"/>
    <w:p>
      <w:pPr>
        <w:ind w:left="1840" w:hanging="568"/>
        <w:spacing w:after="0"/>
        <w:tabs>
          <w:tab w:leader="none" w:pos="18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Borrower and its Restricted Subsidiaries may make Restricted Payments in cash to Holdings and any</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Intermediate Parent:</w:t>
      </w:r>
    </w:p>
    <w:p>
      <w:pPr>
        <w:spacing w:after="0" w:line="202" w:lineRule="exact"/>
        <w:rPr>
          <w:rFonts w:ascii="Arial" w:cs="Arial" w:eastAsia="Arial" w:hAnsi="Arial"/>
          <w:sz w:val="18"/>
          <w:szCs w:val="18"/>
          <w:color w:val="auto"/>
        </w:rPr>
      </w:pPr>
    </w:p>
    <w:p>
      <w:pPr>
        <w:jc w:val="both"/>
        <w:ind w:left="320" w:firstLine="634"/>
        <w:spacing w:after="0" w:line="250" w:lineRule="auto"/>
        <w:tabs>
          <w:tab w:leader="none" w:pos="1489" w:val="left"/>
        </w:tabs>
        <w:numPr>
          <w:ilvl w:val="0"/>
          <w:numId w:val="228"/>
        </w:numPr>
        <w:rPr>
          <w:rFonts w:ascii="Arial" w:cs="Arial" w:eastAsia="Arial" w:hAnsi="Arial"/>
          <w:sz w:val="19"/>
          <w:szCs w:val="19"/>
          <w:color w:val="auto"/>
        </w:rPr>
      </w:pPr>
      <w:r>
        <w:rPr>
          <w:rFonts w:ascii="Arial" w:cs="Arial" w:eastAsia="Arial" w:hAnsi="Arial"/>
          <w:sz w:val="19"/>
          <w:szCs w:val="19"/>
          <w:color w:val="auto"/>
        </w:rPr>
        <w:t>for the purpose of funding, without duplication (i) payments by Holdings or any Intermediate Parent (and any direct or indirect Subsidiary thereof with respect to which the Borrower is a Subsidiary) in respect of Taxes directly payable by such entities in respect of Delaware franchise taxes, Massachusetts excise tax, New York City and State fixed dollar minimum tax and any other Taxes which are necessary to maintain the corporate existence of such entities such as franchise or similar taxes, fees and expenses, and (ii) any income Taxes (including quarterly estimated tax payments) required to be paid by Holdings and any Intermediate Parent on income attributable to the Borrower and its Restricted Subsidiaries (and, to the extent permitted below, its Unrestricted Subsidiaries) for any taxable year; provided that any such amount with respect to the income of any Unrestricted Subsidiary for any taxable period shall be limited to the amount actually paid with respect to such period by such Unrestricted Subsidiary to the Borrower or its Restricted Subsidiaries for the purpose of funding the payment of such Taxes (collectively, “</w:t>
      </w:r>
      <w:r>
        <w:rPr>
          <w:rFonts w:ascii="Arial" w:cs="Arial" w:eastAsia="Arial" w:hAnsi="Arial"/>
          <w:sz w:val="19"/>
          <w:szCs w:val="19"/>
          <w:u w:val="single" w:color="auto"/>
          <w:color w:val="auto"/>
        </w:rPr>
        <w:t>Tax Distributions</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left="320" w:firstLine="1270"/>
        <w:spacing w:after="0" w:line="283" w:lineRule="auto"/>
        <w:tabs>
          <w:tab w:leader="none" w:pos="2120" w:val="left"/>
        </w:tabs>
        <w:numPr>
          <w:ilvl w:val="2"/>
          <w:numId w:val="228"/>
        </w:numPr>
        <w:rPr>
          <w:rFonts w:ascii="Arial" w:cs="Arial" w:eastAsia="Arial" w:hAnsi="Arial"/>
          <w:sz w:val="17"/>
          <w:szCs w:val="17"/>
          <w:color w:val="auto"/>
        </w:rPr>
      </w:pPr>
      <w:r>
        <w:rPr>
          <w:rFonts w:ascii="Arial" w:cs="Arial" w:eastAsia="Arial" w:hAnsi="Arial"/>
          <w:sz w:val="17"/>
          <w:szCs w:val="17"/>
          <w:color w:val="auto"/>
        </w:rPr>
        <w:t xml:space="preserve">the proceeds of which shall be used by Holdings (or any direct or indirect parent of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direct or indirect parent thereof) or any Intermediate Parent attributable to the ownership or operations of Holdings, any Intermediate Parent, the Borrower and its Restricted Subsidiaries, (3) fees and expenses (x) due and payable by any of the Borrower and its Restricted Subsidiaries and (y) otherwise permitted to be paid by the Borrower and its Restricted Subsidiaries under this Agreement and (4) amounts that would otherwise be permitted to be paid pursuant to </w:t>
      </w:r>
      <w:r>
        <w:rPr>
          <w:rFonts w:ascii="Arial" w:cs="Arial" w:eastAsia="Arial" w:hAnsi="Arial"/>
          <w:sz w:val="17"/>
          <w:szCs w:val="17"/>
          <w:u w:val="single" w:color="auto"/>
          <w:color w:val="auto"/>
        </w:rPr>
        <w:t>Section 6.08(iii)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(xi)</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jc w:val="both"/>
        <w:ind w:left="320" w:firstLine="1270"/>
        <w:spacing w:after="0" w:line="263" w:lineRule="auto"/>
        <w:tabs>
          <w:tab w:leader="none" w:pos="2194" w:val="left"/>
        </w:tabs>
        <w:numPr>
          <w:ilvl w:val="2"/>
          <w:numId w:val="228"/>
        </w:numPr>
        <w:rPr>
          <w:rFonts w:ascii="Arial" w:cs="Arial" w:eastAsia="Arial" w:hAnsi="Arial"/>
          <w:sz w:val="19"/>
          <w:szCs w:val="19"/>
          <w:color w:val="auto"/>
        </w:rPr>
      </w:pPr>
      <w:r>
        <w:rPr>
          <w:rFonts w:ascii="Arial" w:cs="Arial" w:eastAsia="Arial" w:hAnsi="Arial"/>
          <w:sz w:val="19"/>
          <w:szCs w:val="19"/>
          <w:color w:val="auto"/>
        </w:rPr>
        <w:t>the proceeds of which shall be used by Holdings (or any direct or indirect parent thereof) or any Intermediate Parent to pay franchise and similar Taxes, and other fees and expenses, required to maintain its corporate or other legal existence;</w:t>
      </w:r>
    </w:p>
    <w:p>
      <w:pPr>
        <w:spacing w:after="0" w:line="169" w:lineRule="exact"/>
        <w:rPr>
          <w:rFonts w:ascii="Arial" w:cs="Arial" w:eastAsia="Arial" w:hAnsi="Arial"/>
          <w:sz w:val="19"/>
          <w:szCs w:val="19"/>
          <w:color w:val="auto"/>
        </w:rPr>
      </w:pPr>
    </w:p>
    <w:p>
      <w:pPr>
        <w:jc w:val="both"/>
        <w:ind w:left="320" w:firstLine="1270"/>
        <w:spacing w:after="0" w:line="287" w:lineRule="auto"/>
        <w:tabs>
          <w:tab w:leader="none" w:pos="2103" w:val="left"/>
        </w:tabs>
        <w:numPr>
          <w:ilvl w:val="2"/>
          <w:numId w:val="228"/>
        </w:numPr>
        <w:rPr>
          <w:rFonts w:ascii="Arial" w:cs="Arial" w:eastAsia="Arial" w:hAnsi="Arial"/>
          <w:sz w:val="17"/>
          <w:szCs w:val="17"/>
          <w:color w:val="auto"/>
        </w:rPr>
      </w:pPr>
      <w:r>
        <w:rPr>
          <w:rFonts w:ascii="Arial" w:cs="Arial" w:eastAsia="Arial" w:hAnsi="Arial"/>
          <w:sz w:val="17"/>
          <w:szCs w:val="17"/>
          <w:color w:val="auto"/>
        </w:rPr>
        <w:t xml:space="preserve">to finance any Investment made by Holdings or any Intermediate Parent that, if made by the Borrower, would be permitted to be made pursuant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(including required payments of Earn-Outs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w:t>
      </w:r>
      <w:r>
        <w:rPr>
          <w:rFonts w:ascii="Arial" w:cs="Arial" w:eastAsia="Arial" w:hAnsi="Arial"/>
          <w:sz w:val="17"/>
          <w:szCs w:val="17"/>
          <w:u w:val="single" w:color="auto"/>
          <w:color w:val="auto"/>
        </w:rPr>
        <w:t>Section 6.04(b)</w:t>
      </w:r>
      <w:r>
        <w:rPr>
          <w:rFonts w:ascii="Arial" w:cs="Arial" w:eastAsia="Arial" w:hAnsi="Arial"/>
          <w:sz w:val="17"/>
          <w:szCs w:val="17"/>
          <w:color w:val="auto"/>
        </w:rPr>
        <w:t xml:space="preserve">) to be contributed to the Borrower or its Restricted Subsidiaries or (2) the Person formed or acquired to merge into or consolidate with the Borrower or any of the Restricted Subsidiaries to the extent such merger or consolidation is permitted in </w:t>
      </w:r>
      <w:r>
        <w:rPr>
          <w:rFonts w:ascii="Arial" w:cs="Arial" w:eastAsia="Arial" w:hAnsi="Arial"/>
          <w:sz w:val="17"/>
          <w:szCs w:val="17"/>
          <w:u w:val="single" w:color="auto"/>
          <w:color w:val="auto"/>
        </w:rPr>
        <w:t>Section 6.03</w:t>
      </w:r>
      <w:r>
        <w:rPr>
          <w:rFonts w:ascii="Arial" w:cs="Arial" w:eastAsia="Arial" w:hAnsi="Arial"/>
          <w:sz w:val="17"/>
          <w:szCs w:val="17"/>
          <w:color w:val="auto"/>
        </w:rPr>
        <w:t>) in</w:t>
      </w:r>
    </w:p>
    <w:p>
      <w:pPr>
        <w:sectPr>
          <w:pgSz w:w="11900" w:h="16838" w:orient="portrait"/>
          <w:cols w:equalWidth="0" w:num="1">
            <w:col w:w="10280"/>
          </w:cols>
          <w:pgMar w:left="1280" w:top="1395" w:right="339" w:bottom="1440" w:gutter="0" w:footer="0" w:header="0"/>
        </w:sectPr>
      </w:pPr>
    </w:p>
    <w:bookmarkStart w:id="227" w:name="page228"/>
    <w:bookmarkEnd w:id="227"/>
    <w:p>
      <w:pPr>
        <w:ind w:left="160"/>
        <w:spacing w:after="0"/>
        <w:rPr>
          <w:sz w:val="20"/>
          <w:szCs w:val="20"/>
          <w:color w:val="auto"/>
        </w:rPr>
      </w:pPr>
      <w:r>
        <w:rPr>
          <w:rFonts w:ascii="Arial" w:cs="Arial" w:eastAsia="Arial" w:hAnsi="Arial"/>
          <w:sz w:val="19"/>
          <w:szCs w:val="19"/>
          <w:color w:val="auto"/>
        </w:rPr>
        <w:t xml:space="preserve">order to consummate such Investment, in each case in accordance with the requirements of </w:t>
      </w:r>
      <w:r>
        <w:rPr>
          <w:rFonts w:ascii="Arial" w:cs="Arial" w:eastAsia="Arial" w:hAnsi="Arial"/>
          <w:sz w:val="19"/>
          <w:szCs w:val="19"/>
          <w:u w:val="single" w:color="auto"/>
          <w:color w:val="auto"/>
        </w:rPr>
        <w:t>Sections 5.11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5.12</w:t>
      </w:r>
      <w:r>
        <w:rPr>
          <w:rFonts w:ascii="Arial" w:cs="Arial" w:eastAsia="Arial" w:hAnsi="Arial"/>
          <w:sz w:val="19"/>
          <w:szCs w:val="19"/>
          <w:color w:val="auto"/>
        </w:rPr>
        <w:t>;</w:t>
      </w:r>
    </w:p>
    <w:p>
      <w:pPr>
        <w:spacing w:after="0" w:line="219" w:lineRule="exact"/>
        <w:rPr>
          <w:sz w:val="20"/>
          <w:szCs w:val="20"/>
          <w:color w:val="auto"/>
        </w:rPr>
      </w:pPr>
    </w:p>
    <w:p>
      <w:pPr>
        <w:jc w:val="both"/>
        <w:ind w:left="160" w:firstLine="1270"/>
        <w:spacing w:after="0" w:line="263" w:lineRule="auto"/>
        <w:tabs>
          <w:tab w:leader="none" w:pos="1934"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the proceeds of which shall be used to pay (or to make Restricted Payments to allow Holdings (or any direct or indirect parent thereof) or any Intermediate Parent to pay) fees and expenses related to any equity or debt offering not prohibited by this Agreement;</w:t>
      </w:r>
    </w:p>
    <w:p>
      <w:pPr>
        <w:spacing w:after="0" w:line="169" w:lineRule="exact"/>
        <w:rPr>
          <w:rFonts w:ascii="Arial" w:cs="Arial" w:eastAsia="Arial" w:hAnsi="Arial"/>
          <w:sz w:val="19"/>
          <w:szCs w:val="19"/>
          <w:color w:val="auto"/>
        </w:rPr>
      </w:pPr>
    </w:p>
    <w:p>
      <w:pPr>
        <w:jc w:val="both"/>
        <w:ind w:left="160" w:firstLine="1270"/>
        <w:spacing w:after="0" w:line="257" w:lineRule="auto"/>
        <w:tabs>
          <w:tab w:leader="none" w:pos="1886"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any Intermediate Parent, or the Borrower and its Restricted Subsidiaries; and</w:t>
      </w:r>
    </w:p>
    <w:p>
      <w:pPr>
        <w:spacing w:after="0" w:line="177" w:lineRule="exact"/>
        <w:rPr>
          <w:rFonts w:ascii="Arial" w:cs="Arial" w:eastAsia="Arial" w:hAnsi="Arial"/>
          <w:sz w:val="19"/>
          <w:szCs w:val="19"/>
          <w:color w:val="auto"/>
        </w:rPr>
      </w:pPr>
    </w:p>
    <w:p>
      <w:pPr>
        <w:ind w:left="1940" w:hanging="510"/>
        <w:spacing w:after="0"/>
        <w:tabs>
          <w:tab w:leader="none" w:pos="19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the proceeds of which shall be used to make payments permitted by clause </w:t>
      </w:r>
      <w:r>
        <w:rPr>
          <w:rFonts w:ascii="Arial" w:cs="Arial" w:eastAsia="Arial" w:hAnsi="Arial"/>
          <w:sz w:val="17"/>
          <w:szCs w:val="17"/>
          <w:u w:val="single" w:color="auto"/>
          <w:color w:val="auto"/>
        </w:rPr>
        <w:t>(b)(iv)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w:t>
      </w:r>
    </w:p>
    <w:p>
      <w:pPr>
        <w:spacing w:after="0" w:line="45"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9"/>
          <w:szCs w:val="19"/>
          <w:u w:val="single" w:color="auto"/>
          <w:color w:val="auto"/>
        </w:rPr>
        <w:t>6.07</w:t>
      </w:r>
      <w:r>
        <w:rPr>
          <w:rFonts w:ascii="Arial" w:cs="Arial" w:eastAsia="Arial" w:hAnsi="Arial"/>
          <w:sz w:val="19"/>
          <w:szCs w:val="19"/>
          <w:color w:val="auto"/>
        </w:rPr>
        <w:t>;</w:t>
      </w:r>
    </w:p>
    <w:p>
      <w:pPr>
        <w:spacing w:after="0" w:line="202" w:lineRule="exact"/>
        <w:rPr>
          <w:rFonts w:ascii="Arial" w:cs="Arial" w:eastAsia="Arial" w:hAnsi="Arial"/>
          <w:sz w:val="17"/>
          <w:szCs w:val="17"/>
          <w:color w:val="auto"/>
        </w:rPr>
      </w:pPr>
    </w:p>
    <w:p>
      <w:pPr>
        <w:jc w:val="both"/>
        <w:ind w:left="-160" w:firstLine="1272"/>
        <w:spacing w:after="0" w:line="250" w:lineRule="auto"/>
        <w:tabs>
          <w:tab w:leader="none" w:pos="1643"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in addition to the foregoing Restricted Payments, the Borrower may make additional Restricted Payments, in an aggregate amount, when taken together with the aggregate amount of loans and advances previously made pursuant to </w:t>
      </w:r>
      <w:r>
        <w:rPr>
          <w:rFonts w:ascii="Arial" w:cs="Arial" w:eastAsia="Arial" w:hAnsi="Arial"/>
          <w:sz w:val="19"/>
          <w:szCs w:val="19"/>
          <w:u w:val="single" w:color="auto"/>
          <w:color w:val="auto"/>
        </w:rPr>
        <w:t>Section 6.04(m)</w:t>
      </w:r>
      <w:r>
        <w:rPr>
          <w:rFonts w:ascii="Arial" w:cs="Arial" w:eastAsia="Arial" w:hAnsi="Arial"/>
          <w:sz w:val="19"/>
          <w:szCs w:val="19"/>
          <w:color w:val="auto"/>
        </w:rPr>
        <w:t xml:space="preserve"> in lieu of Restricted Payments permitted by this clause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not to exceed the sum of (A) the Available Amount that is Not Otherwise Applied as in effect immediately prior to the time of making of such Restricted Payment,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Available Equity Amount that is Not Otherwise Applied as in effect immediately prior to the time of making of such Restricted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Restricted Payment made in reliance on preceding clause </w:t>
      </w:r>
      <w:r>
        <w:rPr>
          <w:rFonts w:ascii="Arial" w:cs="Arial" w:eastAsia="Arial" w:hAnsi="Arial"/>
          <w:sz w:val="19"/>
          <w:szCs w:val="19"/>
          <w:u w:val="single" w:color="auto"/>
          <w:color w:val="auto"/>
        </w:rPr>
        <w:t>(A)</w:t>
      </w:r>
      <w:r>
        <w:rPr>
          <w:rFonts w:ascii="Arial" w:cs="Arial" w:eastAsia="Arial" w:hAnsi="Arial"/>
          <w:sz w:val="19"/>
          <w:szCs w:val="19"/>
          <w:color w:val="auto"/>
        </w:rPr>
        <w:t>, to the extent made using the Retained ECF Basket, shall be subject to (I) no Event of Default having occurred and be continuing or resulting therefrom and (II) before and after giving Pro Forma Effect to such Restricted Payment, on a Pro Forma Basis, the Total Net Leverage Ratio being less than or equal to 4.00 to 1.00 as of the end of the mostly recently ended Test Period as of such time (in each case, tested at the time of declaration of such Restricted Payment);</w:t>
      </w:r>
    </w:p>
    <w:p>
      <w:pPr>
        <w:spacing w:after="0" w:line="188" w:lineRule="exact"/>
        <w:rPr>
          <w:rFonts w:ascii="Arial" w:cs="Arial" w:eastAsia="Arial" w:hAnsi="Arial"/>
          <w:sz w:val="19"/>
          <w:szCs w:val="19"/>
          <w:color w:val="auto"/>
        </w:rPr>
      </w:pPr>
    </w:p>
    <w:p>
      <w:pPr>
        <w:ind w:left="-160" w:right="20" w:firstLine="1272"/>
        <w:spacing w:after="0" w:line="278" w:lineRule="auto"/>
        <w:tabs>
          <w:tab w:leader="none" w:pos="1706" w:val="left"/>
        </w:tabs>
        <w:numPr>
          <w:ilvl w:val="0"/>
          <w:numId w:val="230"/>
        </w:numPr>
        <w:rPr>
          <w:rFonts w:ascii="Arial" w:cs="Arial" w:eastAsia="Arial" w:hAnsi="Arial"/>
          <w:sz w:val="19"/>
          <w:szCs w:val="19"/>
          <w:color w:val="auto"/>
        </w:rPr>
      </w:pPr>
      <w:r>
        <w:rPr>
          <w:rFonts w:ascii="Arial" w:cs="Arial" w:eastAsia="Arial" w:hAnsi="Arial"/>
          <w:sz w:val="19"/>
          <w:szCs w:val="19"/>
          <w:color w:val="auto"/>
        </w:rPr>
        <w:t>redemptions in whole or in part of any of its Equity Interests for another class of its Equity Interests or with proceeds from substantially concurrent equity contributions;</w:t>
      </w:r>
    </w:p>
    <w:p>
      <w:pPr>
        <w:spacing w:after="0" w:line="156" w:lineRule="exact"/>
        <w:rPr>
          <w:rFonts w:ascii="Arial" w:cs="Arial" w:eastAsia="Arial" w:hAnsi="Arial"/>
          <w:sz w:val="19"/>
          <w:szCs w:val="19"/>
          <w:color w:val="auto"/>
        </w:rPr>
      </w:pPr>
    </w:p>
    <w:p>
      <w:pPr>
        <w:jc w:val="both"/>
        <w:ind w:left="-160" w:firstLine="1272"/>
        <w:spacing w:after="0" w:line="257" w:lineRule="auto"/>
        <w:tabs>
          <w:tab w:leader="none" w:pos="166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177" w:lineRule="exact"/>
        <w:rPr>
          <w:rFonts w:ascii="Arial" w:cs="Arial" w:eastAsia="Arial" w:hAnsi="Arial"/>
          <w:sz w:val="19"/>
          <w:szCs w:val="19"/>
          <w:color w:val="auto"/>
        </w:rPr>
      </w:pPr>
    </w:p>
    <w:p>
      <w:pPr>
        <w:jc w:val="both"/>
        <w:ind w:left="-160" w:firstLine="1272"/>
        <w:spacing w:after="0" w:line="263" w:lineRule="auto"/>
        <w:tabs>
          <w:tab w:leader="none" w:pos="1553" w:val="left"/>
        </w:tabs>
        <w:numPr>
          <w:ilvl w:val="0"/>
          <w:numId w:val="230"/>
        </w:numPr>
        <w:rPr>
          <w:rFonts w:ascii="Arial" w:cs="Arial" w:eastAsia="Arial" w:hAnsi="Arial"/>
          <w:sz w:val="19"/>
          <w:szCs w:val="19"/>
          <w:color w:val="auto"/>
        </w:rPr>
      </w:pPr>
      <w:r>
        <w:rPr>
          <w:rFonts w:ascii="Arial" w:cs="Arial" w:eastAsia="Arial" w:hAnsi="Arial"/>
          <w:sz w:val="19"/>
          <w:szCs w:val="19"/>
          <w:color w:val="auto"/>
        </w:rPr>
        <w:t>Restricted Payments to Holdings or any Intermediate Parent, which Holdings or any Intermediate Parent may use to pay cash in lieu of fractional Equity Interests in connection with any dividend, split or combination thereof or any Permitted Acquisition (or other similar Investment);</w:t>
      </w:r>
    </w:p>
    <w:p>
      <w:pPr>
        <w:spacing w:after="0" w:line="169" w:lineRule="exact"/>
        <w:rPr>
          <w:rFonts w:ascii="Arial" w:cs="Arial" w:eastAsia="Arial" w:hAnsi="Arial"/>
          <w:sz w:val="19"/>
          <w:szCs w:val="19"/>
          <w:color w:val="auto"/>
        </w:rPr>
      </w:pPr>
    </w:p>
    <w:p>
      <w:pPr>
        <w:ind w:left="-160" w:firstLine="1272"/>
        <w:spacing w:after="0" w:line="339" w:lineRule="auto"/>
        <w:tabs>
          <w:tab w:leader="none" w:pos="158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payments made or expected to be made by Holdings, any Intermediate Parent, the Borrower or any Restricted Subsidiary in respect of withholding or similar Taxes payable upon exercise of Equity Interests by any future, present or former</w:t>
      </w:r>
    </w:p>
    <w:p>
      <w:pPr>
        <w:sectPr>
          <w:pgSz w:w="11900" w:h="16838" w:orient="portrait"/>
          <w:cols w:equalWidth="0" w:num="1">
            <w:col w:w="10120"/>
          </w:cols>
          <w:pgMar w:left="1440" w:top="1395" w:right="339" w:bottom="1440" w:gutter="0" w:footer="0" w:header="0"/>
        </w:sectPr>
      </w:pPr>
    </w:p>
    <w:bookmarkStart w:id="228" w:name="page229"/>
    <w:bookmarkEnd w:id="228"/>
    <w:p>
      <w:pPr>
        <w:jc w:val="both"/>
        <w:spacing w:after="0" w:line="263" w:lineRule="auto"/>
        <w:rPr>
          <w:sz w:val="20"/>
          <w:szCs w:val="20"/>
          <w:color w:val="auto"/>
        </w:rPr>
      </w:pPr>
      <w:r>
        <w:rPr>
          <w:rFonts w:ascii="Arial" w:cs="Arial" w:eastAsia="Arial" w:hAnsi="Arial"/>
          <w:sz w:val="19"/>
          <w:szCs w:val="19"/>
          <w:color w:val="auto"/>
        </w:rPr>
        <w:t>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169" w:lineRule="exact"/>
        <w:rPr>
          <w:sz w:val="20"/>
          <w:szCs w:val="20"/>
          <w:color w:val="auto"/>
        </w:rPr>
      </w:pPr>
    </w:p>
    <w:p>
      <w:pPr>
        <w:jc w:val="both"/>
        <w:ind w:firstLine="1272"/>
        <w:spacing w:after="0" w:line="263" w:lineRule="auto"/>
        <w:tabs>
          <w:tab w:leader="none" w:pos="1965"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distribution, by dividend or otherwise, of shares of Equity Interests of, or Indebtedness owed to Holdings, any Intermediate Parent, the Borrower or a Restricted Subsidiary by, Unrestricted Subsidiaries (other than Unrestricted Subsidiaries, the primary assets of which are Permitted Investments);</w:t>
      </w:r>
    </w:p>
    <w:p>
      <w:pPr>
        <w:spacing w:after="0" w:line="169" w:lineRule="exact"/>
        <w:rPr>
          <w:rFonts w:ascii="Arial" w:cs="Arial" w:eastAsia="Arial" w:hAnsi="Arial"/>
          <w:sz w:val="19"/>
          <w:szCs w:val="19"/>
          <w:color w:val="auto"/>
        </w:rPr>
      </w:pPr>
    </w:p>
    <w:p>
      <w:pPr>
        <w:jc w:val="both"/>
        <w:ind w:firstLine="1272"/>
        <w:spacing w:after="0" w:line="284" w:lineRule="auto"/>
        <w:tabs>
          <w:tab w:leader="none" w:pos="187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or would result therefrom, the annual declaration and payment of Restricted Payments to Holdings’, (or the payment of Restricted Payments to any direct or indirect parent company of Holdings) to fund a payment of dividends on Holdings’ common stock, of up to $75,000,000;</w:t>
      </w:r>
    </w:p>
    <w:p>
      <w:pPr>
        <w:spacing w:after="0" w:line="152" w:lineRule="exact"/>
        <w:rPr>
          <w:rFonts w:ascii="Arial" w:cs="Arial" w:eastAsia="Arial" w:hAnsi="Arial"/>
          <w:sz w:val="18"/>
          <w:szCs w:val="18"/>
          <w:color w:val="auto"/>
        </w:rPr>
      </w:pPr>
    </w:p>
    <w:p>
      <w:pPr>
        <w:ind w:left="1840" w:hanging="568"/>
        <w:spacing w:after="0"/>
        <w:tabs>
          <w:tab w:leader="none" w:pos="184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2"/>
        <w:spacing w:after="0" w:line="263" w:lineRule="auto"/>
        <w:tabs>
          <w:tab w:leader="none" w:pos="183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so long as no Event of Default shall have occurred and be continuing or would result therefrom, additional Restricted Payments in an amount not to exceed the greater of $50,000,000 and 40.0% of Consolidated EBITDA on a Pro Forma Basis for the most recently ended Test Period;</w:t>
      </w:r>
    </w:p>
    <w:p>
      <w:pPr>
        <w:spacing w:after="0" w:line="169" w:lineRule="exact"/>
        <w:rPr>
          <w:rFonts w:ascii="Arial" w:cs="Arial" w:eastAsia="Arial" w:hAnsi="Arial"/>
          <w:sz w:val="19"/>
          <w:szCs w:val="19"/>
          <w:color w:val="auto"/>
        </w:rPr>
      </w:pPr>
    </w:p>
    <w:p>
      <w:pPr>
        <w:jc w:val="both"/>
        <w:ind w:firstLine="1272"/>
        <w:spacing w:after="0" w:line="263" w:lineRule="auto"/>
        <w:tabs>
          <w:tab w:leader="none" w:pos="1882"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Borrower and its Restricted Subsidiaries may make Restricted Payments in securities or other property (other than cash) to Holdings and any Intermediate Parent so long as the relevant assets are promptly contributed to the Borrower or a Restricted Subsidiary;</w:t>
      </w:r>
    </w:p>
    <w:p>
      <w:pPr>
        <w:spacing w:after="0" w:line="169" w:lineRule="exact"/>
        <w:rPr>
          <w:rFonts w:ascii="Arial" w:cs="Arial" w:eastAsia="Arial" w:hAnsi="Arial"/>
          <w:sz w:val="19"/>
          <w:szCs w:val="19"/>
          <w:color w:val="auto"/>
        </w:rPr>
      </w:pPr>
    </w:p>
    <w:p>
      <w:pPr>
        <w:jc w:val="both"/>
        <w:ind w:firstLine="1272"/>
        <w:spacing w:after="0" w:line="263" w:lineRule="auto"/>
        <w:tabs>
          <w:tab w:leader="none" w:pos="1943" w:val="left"/>
        </w:tabs>
        <w:numPr>
          <w:ilvl w:val="1"/>
          <w:numId w:val="231"/>
        </w:numPr>
        <w:rPr>
          <w:rFonts w:ascii="Arial" w:cs="Arial" w:eastAsia="Arial" w:hAnsi="Arial"/>
          <w:sz w:val="19"/>
          <w:szCs w:val="19"/>
          <w:color w:val="auto"/>
        </w:rPr>
      </w:pPr>
      <w:r>
        <w:rPr>
          <w:rFonts w:ascii="Arial" w:cs="Arial" w:eastAsia="Arial" w:hAnsi="Arial"/>
          <w:sz w:val="19"/>
          <w:szCs w:val="19"/>
          <w:color w:val="auto"/>
        </w:rPr>
        <w:t xml:space="preserve">additional Restricted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such Restricted Payment (A) on a Pro Forma Basis, the Total Net Leverage Ratio is equal to or less than 3.50 to 1.00 and (B) no Event of Default exists or would result therefrom; and</w:t>
      </w:r>
    </w:p>
    <w:p>
      <w:pPr>
        <w:spacing w:after="0" w:line="169" w:lineRule="exact"/>
        <w:rPr>
          <w:rFonts w:ascii="Arial" w:cs="Arial" w:eastAsia="Arial" w:hAnsi="Arial"/>
          <w:sz w:val="19"/>
          <w:szCs w:val="19"/>
          <w:color w:val="auto"/>
        </w:rPr>
      </w:pPr>
    </w:p>
    <w:p>
      <w:pPr>
        <w:jc w:val="both"/>
        <w:ind w:firstLine="1272"/>
        <w:spacing w:after="0" w:line="257" w:lineRule="auto"/>
        <w:tabs>
          <w:tab w:leader="none" w:pos="1999"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purchase of (x) any Permitted Equity Derivatives in connection with the issuance of any Convertible Debt Securities permitted under Section 6.01 (and the replacement of any such Permitted Equity Derivatives) and (y) Equity Interests of Holdings with proceeds of any Convertible Debt Security issued no more than 365 days prior to the date of such purchase,</w:t>
      </w:r>
    </w:p>
    <w:p>
      <w:pPr>
        <w:spacing w:after="0" w:line="177" w:lineRule="exact"/>
        <w:rPr>
          <w:rFonts w:ascii="Arial" w:cs="Arial" w:eastAsia="Arial" w:hAnsi="Arial"/>
          <w:sz w:val="19"/>
          <w:szCs w:val="19"/>
          <w:color w:val="auto"/>
        </w:rPr>
      </w:pPr>
    </w:p>
    <w:p>
      <w:pPr>
        <w:ind w:firstLine="1272"/>
        <w:spacing w:after="0" w:line="278" w:lineRule="auto"/>
        <w:tabs>
          <w:tab w:leader="none" w:pos="1876"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unwinding, settlement or termination of any Permitted Equity Derivatives; provided, that the entry into such Permitted Equity Derivative was not prohibited by this Agreement.</w:t>
      </w:r>
    </w:p>
    <w:p>
      <w:pPr>
        <w:spacing w:after="0" w:line="156" w:lineRule="exact"/>
        <w:rPr>
          <w:rFonts w:ascii="Arial" w:cs="Arial" w:eastAsia="Arial" w:hAnsi="Arial"/>
          <w:sz w:val="19"/>
          <w:szCs w:val="19"/>
          <w:color w:val="auto"/>
        </w:rPr>
      </w:pPr>
    </w:p>
    <w:p>
      <w:pPr>
        <w:jc w:val="both"/>
        <w:ind w:left="-960" w:firstLine="1278"/>
        <w:spacing w:after="0" w:line="292" w:lineRule="auto"/>
        <w:tabs>
          <w:tab w:leader="none" w:pos="7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Borrower will not, and will not permit any Restricted Subsidiary to, and Holdings will not permit Public Sector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w:t>
      </w:r>
    </w:p>
    <w:p>
      <w:pPr>
        <w:sectPr>
          <w:pgSz w:w="11900" w:h="16838" w:orient="portrait"/>
          <w:cols w:equalWidth="0" w:num="1">
            <w:col w:w="10280"/>
          </w:cols>
          <w:pgMar w:left="1280" w:top="1395" w:right="339" w:bottom="1440" w:gutter="0" w:footer="0" w:header="0"/>
        </w:sectPr>
      </w:pPr>
    </w:p>
    <w:bookmarkStart w:id="229" w:name="page230"/>
    <w:bookmarkEnd w:id="229"/>
    <w:p>
      <w:pPr>
        <w:spacing w:after="0"/>
        <w:rPr>
          <w:sz w:val="20"/>
          <w:szCs w:val="20"/>
          <w:color w:val="auto"/>
        </w:rPr>
      </w:pPr>
      <w:r>
        <w:rPr>
          <w:rFonts w:ascii="Arial" w:cs="Arial" w:eastAsia="Arial" w:hAnsi="Arial"/>
          <w:sz w:val="19"/>
          <w:szCs w:val="19"/>
          <w:color w:val="auto"/>
        </w:rPr>
        <w:t>foregoing, in each case, on or prior to the date that is one year prior to the scheduled maturity of such Junior Financing, except:</w:t>
      </w:r>
    </w:p>
    <w:p>
      <w:pPr>
        <w:spacing w:after="0" w:line="219" w:lineRule="exact"/>
        <w:rPr>
          <w:sz w:val="20"/>
          <w:szCs w:val="20"/>
          <w:color w:val="auto"/>
        </w:rPr>
      </w:pPr>
    </w:p>
    <w:p>
      <w:pPr>
        <w:jc w:val="both"/>
        <w:ind w:left="960" w:firstLine="1272"/>
        <w:spacing w:after="0" w:line="257" w:lineRule="auto"/>
        <w:tabs>
          <w:tab w:leader="none" w:pos="2715" w:val="left"/>
        </w:tabs>
        <w:numPr>
          <w:ilvl w:val="0"/>
          <w:numId w:val="233"/>
        </w:numPr>
        <w:rPr>
          <w:rFonts w:ascii="Arial" w:cs="Arial" w:eastAsia="Arial" w:hAnsi="Arial"/>
          <w:sz w:val="19"/>
          <w:szCs w:val="19"/>
          <w:color w:val="auto"/>
        </w:rPr>
      </w:pPr>
      <w:r>
        <w:rPr>
          <w:rFonts w:ascii="Arial" w:cs="Arial" w:eastAsia="Arial" w:hAnsi="Arial"/>
          <w:sz w:val="19"/>
          <w:szCs w:val="19"/>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177" w:lineRule="exact"/>
        <w:rPr>
          <w:rFonts w:ascii="Arial" w:cs="Arial" w:eastAsia="Arial" w:hAnsi="Arial"/>
          <w:sz w:val="19"/>
          <w:szCs w:val="19"/>
          <w:color w:val="auto"/>
        </w:rPr>
      </w:pPr>
    </w:p>
    <w:p>
      <w:pPr>
        <w:ind w:left="2660" w:hanging="428"/>
        <w:spacing w:after="0"/>
        <w:tabs>
          <w:tab w:leader="none" w:pos="266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refinancings of Indebtedness to the extent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218" w:lineRule="exact"/>
        <w:rPr>
          <w:rFonts w:ascii="Arial" w:cs="Arial" w:eastAsia="Arial" w:hAnsi="Arial"/>
          <w:sz w:val="19"/>
          <w:szCs w:val="19"/>
          <w:color w:val="auto"/>
        </w:rPr>
      </w:pPr>
    </w:p>
    <w:p>
      <w:pPr>
        <w:jc w:val="both"/>
        <w:ind w:left="960" w:firstLine="1272"/>
        <w:spacing w:after="0" w:line="257" w:lineRule="auto"/>
        <w:tabs>
          <w:tab w:leader="none" w:pos="277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(1) the conversion of any Junior Financing to Equity Interests (other than Disqualified Equity Interests) of Holdings or any of its direct or indirect parent companies or any Intermediate Parent and (2) any payment that is intended to prevent any Junior Financing from being treated as an “applicable high yield discount obligation” within the meaning of Section 163(i)(1) of the Code;</w:t>
      </w:r>
    </w:p>
    <w:p>
      <w:pPr>
        <w:spacing w:after="0" w:line="177" w:lineRule="exact"/>
        <w:rPr>
          <w:rFonts w:ascii="Arial" w:cs="Arial" w:eastAsia="Arial" w:hAnsi="Arial"/>
          <w:sz w:val="19"/>
          <w:szCs w:val="19"/>
          <w:color w:val="auto"/>
        </w:rPr>
      </w:pPr>
    </w:p>
    <w:p>
      <w:pPr>
        <w:jc w:val="both"/>
        <w:ind w:left="960" w:firstLine="1272"/>
        <w:spacing w:after="0" w:line="257" w:lineRule="auto"/>
        <w:tabs>
          <w:tab w:leader="none" w:pos="2789"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prepayments, redemptions, purchases, defeasances and other payments in respect of any Junior Financing prior to the date that is one year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such prepayments, redemptions, purchases, defeasances or other payments (A) on a Pro Forma Basis, the Total Net Leverage Ratio is equal to or less than 3.50 to 1.00 and (B) no Event of Default exists or would result therefrom;</w:t>
      </w:r>
    </w:p>
    <w:p>
      <w:pPr>
        <w:spacing w:after="0" w:line="177" w:lineRule="exact"/>
        <w:rPr>
          <w:rFonts w:ascii="Arial" w:cs="Arial" w:eastAsia="Arial" w:hAnsi="Arial"/>
          <w:sz w:val="19"/>
          <w:szCs w:val="19"/>
          <w:color w:val="auto"/>
        </w:rPr>
      </w:pPr>
    </w:p>
    <w:p>
      <w:pPr>
        <w:ind w:left="2660" w:hanging="428"/>
        <w:spacing w:after="0"/>
        <w:tabs>
          <w:tab w:leader="none" w:pos="266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payments made in connection with, or in order to consummate, the Transactions;</w:t>
      </w:r>
    </w:p>
    <w:p>
      <w:pPr>
        <w:spacing w:after="0" w:line="218" w:lineRule="exact"/>
        <w:rPr>
          <w:rFonts w:ascii="Arial" w:cs="Arial" w:eastAsia="Arial" w:hAnsi="Arial"/>
          <w:sz w:val="19"/>
          <w:szCs w:val="19"/>
          <w:color w:val="auto"/>
        </w:rPr>
      </w:pPr>
    </w:p>
    <w:p>
      <w:pPr>
        <w:jc w:val="both"/>
        <w:ind w:left="960" w:firstLine="1272"/>
        <w:spacing w:after="0" w:line="255" w:lineRule="auto"/>
        <w:tabs>
          <w:tab w:leader="none" w:pos="2853"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(A) so long as no Event of Default shall have occurred and be continuing or would result therefrom, prepayments, redemptions, purchases, defeasances and other payments in respect of any Junior Financing prior to the date that is one year prior to its scheduled maturity in an aggregate amount not to exceed the greater of $45,000,000 and 35.0% of Consolidated EBITDA on a Pro Forma Basis for the most recently ended Test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amount of Restricted Payments that may be made pursuant to Section 6.07(a)(xv) at such time;</w:t>
      </w:r>
    </w:p>
    <w:p>
      <w:pPr>
        <w:spacing w:after="0" w:line="177" w:lineRule="exact"/>
        <w:rPr>
          <w:rFonts w:ascii="Arial" w:cs="Arial" w:eastAsia="Arial" w:hAnsi="Arial"/>
          <w:sz w:val="19"/>
          <w:szCs w:val="19"/>
          <w:color w:val="auto"/>
        </w:rPr>
      </w:pPr>
    </w:p>
    <w:p>
      <w:pPr>
        <w:jc w:val="both"/>
        <w:ind w:left="960" w:firstLine="1272"/>
        <w:spacing w:after="0" w:line="283" w:lineRule="auto"/>
        <w:tabs>
          <w:tab w:leader="none" w:pos="283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additional prepayments, redemptions, purchases, defeasances and other payments in respect of any Junior Financing prior to the date that is one year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such prepayments, redemptions, purchases, defeasances and other payments made in reliance on this clause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shall not exceed the sum of (A) the Available Amount that is Not Otherwise Applied as in effect immediately prior to the time of making of such prepayments, redemptions, purchases, defeasances and other payments,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Available Equity Amount that is Not Otherwise Applied as in effect immediately prior to the time of making of such prepayments, redemptions, purchases, defeasances and other payments;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prepayments, redemptions, purchases, defeasances and other payments made in reliance on preceding clause </w:t>
      </w:r>
      <w:r>
        <w:rPr>
          <w:rFonts w:ascii="Arial" w:cs="Arial" w:eastAsia="Arial" w:hAnsi="Arial"/>
          <w:sz w:val="17"/>
          <w:szCs w:val="17"/>
          <w:u w:val="single" w:color="auto"/>
          <w:color w:val="auto"/>
        </w:rPr>
        <w:t>(A)</w:t>
      </w:r>
      <w:r>
        <w:rPr>
          <w:rFonts w:ascii="Arial" w:cs="Arial" w:eastAsia="Arial" w:hAnsi="Arial"/>
          <w:sz w:val="17"/>
          <w:szCs w:val="17"/>
          <w:color w:val="auto"/>
        </w:rPr>
        <w:t>, to the extent made using the Retained ECF Basket, shall be subject to, (I) before and after giving Pro Forma Effect to such prepayments, redemptions, purchases, defeasances and other payments, no Event of Default having occurred and be continuing or resulting therefrom and (II) before and after giving Pro Forma Effect to such prepayments,</w:t>
      </w:r>
    </w:p>
    <w:p>
      <w:pPr>
        <w:sectPr>
          <w:pgSz w:w="11900" w:h="16838" w:orient="portrait"/>
          <w:cols w:equalWidth="0" w:num="1">
            <w:col w:w="11240"/>
          </w:cols>
          <w:pgMar w:left="320" w:top="1395" w:right="339" w:bottom="1440" w:gutter="0" w:footer="0" w:header="0"/>
        </w:sectPr>
      </w:pPr>
    </w:p>
    <w:bookmarkStart w:id="230" w:name="page231"/>
    <w:bookmarkEnd w:id="230"/>
    <w:p>
      <w:pPr>
        <w:jc w:val="both"/>
        <w:ind w:left="960"/>
        <w:spacing w:after="0" w:line="257" w:lineRule="auto"/>
        <w:rPr>
          <w:sz w:val="20"/>
          <w:szCs w:val="20"/>
          <w:color w:val="auto"/>
        </w:rPr>
      </w:pPr>
      <w:r>
        <w:rPr>
          <w:rFonts w:ascii="Arial" w:cs="Arial" w:eastAsia="Arial" w:hAnsi="Arial"/>
          <w:sz w:val="19"/>
          <w:szCs w:val="19"/>
          <w:color w:val="auto"/>
        </w:rPr>
        <w:t>redemptions, purchases, defeasances and other payments, on a Pro Forma Basis, the Total Net Leverage Ratio being less than or equal to 4.00 to 1.00 as of the end of the mostly recently ended Test Period as of such time (in each case, tested at the time of distribution or delivery of any irrevocable notice of prepayment, redemption, repurchase or defeasance, as applicable, in respect thereof); and</w:t>
      </w:r>
    </w:p>
    <w:p>
      <w:pPr>
        <w:spacing w:after="0" w:line="177" w:lineRule="exact"/>
        <w:rPr>
          <w:sz w:val="20"/>
          <w:szCs w:val="20"/>
          <w:color w:val="auto"/>
        </w:rPr>
      </w:pPr>
    </w:p>
    <w:p>
      <w:pPr>
        <w:jc w:val="both"/>
        <w:ind w:left="960" w:firstLine="1272"/>
        <w:spacing w:after="0" w:line="257" w:lineRule="auto"/>
        <w:tabs>
          <w:tab w:leader="none" w:pos="2825"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the prepayment of any Junior Financing owed to the Borrower or a Restricted Subsidiary or the prepayment of any Permitted Refinancing of such Indebtedness with the proceeds of any other Junior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Loan Party shall make any prepayment of any Junior Financing owed to any Restricted Subsidiary that is not a Loan Party pursuant to this clause </w:t>
      </w:r>
      <w:r>
        <w:rPr>
          <w:rFonts w:ascii="Arial" w:cs="Arial" w:eastAsia="Arial" w:hAnsi="Arial"/>
          <w:sz w:val="19"/>
          <w:szCs w:val="19"/>
          <w:u w:val="single" w:color="auto"/>
          <w:color w:val="auto"/>
        </w:rPr>
        <w:t>(viii)</w:t>
      </w:r>
      <w:r>
        <w:rPr>
          <w:rFonts w:ascii="Arial" w:cs="Arial" w:eastAsia="Arial" w:hAnsi="Arial"/>
          <w:sz w:val="19"/>
          <w:szCs w:val="19"/>
          <w:color w:val="auto"/>
        </w:rPr>
        <w:t>.</w:t>
      </w:r>
    </w:p>
    <w:p>
      <w:pPr>
        <w:spacing w:after="0" w:line="17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6.08</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17"/>
          <w:szCs w:val="17"/>
          <w:color w:val="auto"/>
        </w:rPr>
        <w:t xml:space="preserve">The Borrower will not, and will not permit any Restricted Subsidiary to, and Holdings will not permit Public Sector to, sell, lease or otherwise transfer any property or assets to, or purchase, lease or otherwise acquire any property or assets from, or otherwise engage in any other transactions with, any of its Affiliates, except (i) (A) transactions between or among Holdings, any Intermediate Parent, the Borrower or any Restricted Subsidiary or any entity that becomes a Restricted Subsidiary as a result of such transaction and (B) transactions involving aggregate payment or consideration of less than the greater of $9,000,000 and 7.5% of Consolidated EBITDA for the most recently ended Test Period as of such time, (ii) on terms substantially as favorable to the Borrower or such Restricted Subsidiary as would be obtainable by such Person at the time in a comparable arm’s-length transaction with a Person other than an Affiliate (as determined by the majority of the members of the Board of Directors or a majority of the disinterested members of the Board of Directors of Holdings or the Borrower in good faith), (iii) the payment of Transaction Costs, fees and expenses related to the Transactions, (iv) [reserved], (v) issuances of Equity Interests of the Borrower or any Restricted Subsidiary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 pursuant to </w:t>
      </w:r>
      <w:r>
        <w:rPr>
          <w:rFonts w:ascii="Arial" w:cs="Arial" w:eastAsia="Arial" w:hAnsi="Arial"/>
          <w:sz w:val="17"/>
          <w:szCs w:val="17"/>
          <w:u w:val="single" w:color="auto"/>
          <w:color w:val="auto"/>
        </w:rPr>
        <w:t>Sections 6.04(b)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6.04(n)</w:t>
      </w:r>
      <w:r>
        <w:rPr>
          <w:rFonts w:ascii="Arial" w:cs="Arial" w:eastAsia="Arial" w:hAnsi="Arial"/>
          <w:sz w:val="17"/>
          <w:szCs w:val="17"/>
          <w:color w:val="auto"/>
        </w:rPr>
        <w:t xml:space="preserve">), (vii) payments by the Borrower and its Restricted Subsidiaries pursuant to tax sharing agreements among Holdings (or any parent thereof), any Intermediate Parent, the Borrower or its Restricted Subsidiaries on customary terms to the extent attributable to the ownership or operation of the Borrower and its Restricted Subsidiaries, to the extent such payments are permitted by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(viii) the payment of customary fees and reasonable out-of-pocket costs to, and indemnities provided on behalf of, members of the Board of Directors, officers and employees of Holdings (or any direct or indirect parent thereof), any Intermediate Parent, the Borrower, and the Restricted Subsidiaries in the ordinary course of business to the extent attributable to the ownership or operation of Holdings, any Intermediate Parent, the Borrower or its Restricted Subsidiaries, (ix) transactions pursuant to permitted agreements in existence or contemplated on the Effective Date and set forth on </w:t>
      </w:r>
      <w:r>
        <w:rPr>
          <w:rFonts w:ascii="Arial" w:cs="Arial" w:eastAsia="Arial" w:hAnsi="Arial"/>
          <w:sz w:val="17"/>
          <w:szCs w:val="17"/>
          <w:u w:val="single" w:color="auto"/>
          <w:color w:val="auto"/>
        </w:rPr>
        <w:t>Schedule 6.08</w:t>
      </w:r>
      <w:r>
        <w:rPr>
          <w:rFonts w:ascii="Arial" w:cs="Arial" w:eastAsia="Arial" w:hAnsi="Arial"/>
          <w:sz w:val="17"/>
          <w:szCs w:val="17"/>
          <w:color w:val="auto"/>
        </w:rPr>
        <w:t xml:space="preserve"> or any amendment thereto to the extent such an amendment is not adverse to the Lenders in any material respect, (x) Restricted Payments permitted under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and loans and advances in lieu thereof pursuant to </w:t>
      </w:r>
      <w:r>
        <w:rPr>
          <w:rFonts w:ascii="Arial" w:cs="Arial" w:eastAsia="Arial" w:hAnsi="Arial"/>
          <w:sz w:val="17"/>
          <w:szCs w:val="17"/>
          <w:u w:val="single" w:color="auto"/>
          <w:color w:val="auto"/>
        </w:rPr>
        <w:t>Section 6.04(l)</w:t>
      </w:r>
      <w:r>
        <w:rPr>
          <w:rFonts w:ascii="Arial" w:cs="Arial" w:eastAsia="Arial" w:hAnsi="Arial"/>
          <w:sz w:val="17"/>
          <w:szCs w:val="17"/>
          <w:color w:val="auto"/>
        </w:rPr>
        <w:t>, (xi) payments to or from, and transactions with, any joint venture in the ordinary course of business (including any cash management activities related thereto) and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w:t>
      </w:r>
    </w:p>
    <w:p>
      <w:pPr>
        <w:sectPr>
          <w:pgSz w:w="11900" w:h="16838" w:orient="portrait"/>
          <w:cols w:equalWidth="0" w:num="1">
            <w:col w:w="11240"/>
          </w:cols>
          <w:pgMar w:left="320" w:top="1395" w:right="339" w:bottom="1440" w:gutter="0" w:footer="0" w:header="0"/>
        </w:sectPr>
      </w:pPr>
    </w:p>
    <w:bookmarkStart w:id="231" w:name="page232"/>
    <w:bookmarkEnd w:id="231"/>
    <w:p>
      <w:pPr>
        <w:ind w:left="1280"/>
        <w:spacing w:after="0"/>
        <w:tabs>
          <w:tab w:leader="none" w:pos="2660" w:val="left"/>
        </w:tabs>
        <w:rPr>
          <w:sz w:val="20"/>
          <w:szCs w:val="20"/>
          <w:color w:val="auto"/>
        </w:rPr>
      </w:pPr>
      <w:r>
        <w:rPr>
          <w:rFonts w:ascii="Arial" w:cs="Arial" w:eastAsia="Arial" w:hAnsi="Arial"/>
          <w:sz w:val="19"/>
          <w:szCs w:val="19"/>
          <w:color w:val="auto"/>
        </w:rPr>
        <w:t>SECTION 6.09</w:t>
      </w:r>
      <w:r>
        <w:rPr>
          <w:sz w:val="20"/>
          <w:szCs w:val="20"/>
          <w:color w:val="auto"/>
        </w:rPr>
        <w:tab/>
      </w:r>
      <w:r>
        <w:rPr>
          <w:rFonts w:ascii="Arial" w:cs="Arial" w:eastAsia="Arial" w:hAnsi="Arial"/>
          <w:sz w:val="17"/>
          <w:szCs w:val="17"/>
          <w:u w:val="single" w:color="auto"/>
          <w:color w:val="auto"/>
        </w:rPr>
        <w:t>Restrictive Agreements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18"/>
          <w:szCs w:val="18"/>
          <w:color w:val="auto"/>
        </w:rPr>
        <w:t xml:space="preserve">The Borrower will not, and will not permit any Restricted Subsidiary to, and Holdings will not permit Public Sector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161" w:lineRule="exact"/>
        <w:rPr>
          <w:sz w:val="20"/>
          <w:szCs w:val="20"/>
          <w:color w:val="auto"/>
        </w:rPr>
      </w:pPr>
    </w:p>
    <w:p>
      <w:pPr>
        <w:jc w:val="both"/>
        <w:ind w:firstLine="1278"/>
        <w:spacing w:after="0" w:line="267" w:lineRule="auto"/>
        <w:tabs>
          <w:tab w:leader="none" w:pos="183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restrictions and conditions imposed by (1) Requirements of Law, (2) any Loan Document, (3) any documentation governing Incremental Equivalent Debt or Ratio Debt, (4) any documentation governing Permitted Unsecured Refinancing Debt or Permitted First Priority Refinancing Debt, (5) any documentation governing Indebtedness incurred pursuant to </w:t>
      </w:r>
      <w:r>
        <w:rPr>
          <w:rFonts w:ascii="Arial" w:cs="Arial" w:eastAsia="Arial" w:hAnsi="Arial"/>
          <w:sz w:val="18"/>
          <w:szCs w:val="18"/>
          <w:u w:val="single" w:color="auto"/>
          <w:color w:val="auto"/>
        </w:rPr>
        <w:t>Section 6.01(a)(xxi)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6.01(a)</w:t>
      </w:r>
    </w:p>
    <w:p>
      <w:pPr>
        <w:ind w:firstLine="6"/>
        <w:spacing w:after="0" w:line="261" w:lineRule="auto"/>
        <w:tabs>
          <w:tab w:leader="none" w:pos="536" w:val="left"/>
        </w:tabs>
        <w:numPr>
          <w:ilvl w:val="0"/>
          <w:numId w:val="236"/>
        </w:numPr>
        <w:rPr>
          <w:rFonts w:ascii="Arial" w:cs="Arial" w:eastAsia="Arial" w:hAnsi="Arial"/>
          <w:sz w:val="19"/>
          <w:szCs w:val="19"/>
          <w:u w:val="single" w:color="auto"/>
          <w:color w:val="auto"/>
        </w:rPr>
      </w:pPr>
      <w:r>
        <w:rPr>
          <w:rFonts w:ascii="Arial" w:cs="Arial" w:eastAsia="Arial" w:hAnsi="Arial"/>
          <w:sz w:val="19"/>
          <w:szCs w:val="19"/>
          <w:color w:val="auto"/>
        </w:rPr>
        <w:t xml:space="preserve">and (6) any documentation governing any Permitted Refinancing incurred to refinance any such Indebtedness referenced in clauses </w:t>
      </w:r>
      <w:r>
        <w:rPr>
          <w:rFonts w:ascii="Arial" w:cs="Arial" w:eastAsia="Arial" w:hAnsi="Arial"/>
          <w:sz w:val="19"/>
          <w:szCs w:val="19"/>
          <w:u w:val="single" w:color="auto"/>
          <w:color w:val="auto"/>
        </w:rPr>
        <w:t>(1)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(5)</w:t>
      </w:r>
      <w:r>
        <w:rPr>
          <w:rFonts w:ascii="Arial" w:cs="Arial" w:eastAsia="Arial" w:hAnsi="Arial"/>
          <w:sz w:val="19"/>
          <w:szCs w:val="19"/>
          <w:color w:val="auto"/>
        </w:rPr>
        <w:t xml:space="preserve"> above;</w:t>
      </w:r>
    </w:p>
    <w:p>
      <w:pPr>
        <w:spacing w:after="0" w:line="171" w:lineRule="exact"/>
        <w:rPr>
          <w:rFonts w:ascii="Arial" w:cs="Arial" w:eastAsia="Arial" w:hAnsi="Arial"/>
          <w:sz w:val="19"/>
          <w:szCs w:val="19"/>
          <w:u w:val="single" w:color="auto"/>
          <w:color w:val="auto"/>
        </w:rPr>
      </w:pPr>
    </w:p>
    <w:p>
      <w:pPr>
        <w:jc w:val="both"/>
        <w:ind w:firstLine="1278"/>
        <w:spacing w:after="0" w:line="263" w:lineRule="auto"/>
        <w:tabs>
          <w:tab w:leader="none" w:pos="1696" w:val="left"/>
        </w:tabs>
        <w:numPr>
          <w:ilvl w:val="1"/>
          <w:numId w:val="236"/>
        </w:numPr>
        <w:rPr>
          <w:rFonts w:ascii="Arial" w:cs="Arial" w:eastAsia="Arial" w:hAnsi="Arial"/>
          <w:sz w:val="19"/>
          <w:szCs w:val="19"/>
          <w:color w:val="auto"/>
        </w:rPr>
      </w:pPr>
      <w:r>
        <w:rPr>
          <w:rFonts w:ascii="Arial" w:cs="Arial" w:eastAsia="Arial" w:hAnsi="Arial"/>
          <w:sz w:val="19"/>
          <w:szCs w:val="19"/>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69" w:lineRule="exact"/>
        <w:rPr>
          <w:rFonts w:ascii="Arial" w:cs="Arial" w:eastAsia="Arial" w:hAnsi="Arial"/>
          <w:sz w:val="19"/>
          <w:szCs w:val="19"/>
          <w:color w:val="auto"/>
        </w:rPr>
      </w:pPr>
    </w:p>
    <w:p>
      <w:pPr>
        <w:jc w:val="both"/>
        <w:ind w:firstLine="1278"/>
        <w:spacing w:after="0" w:line="339" w:lineRule="auto"/>
        <w:tabs>
          <w:tab w:leader="none" w:pos="1742"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restrictions and conditions contained in agreements relating to the sale of a Subsidiary or any assets pending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the Subsidiary or assets that is or are to be sold and such sale is permitted hereunder;</w:t>
      </w:r>
    </w:p>
    <w:p>
      <w:pPr>
        <w:spacing w:after="0" w:line="110" w:lineRule="exact"/>
        <w:rPr>
          <w:rFonts w:ascii="Arial" w:cs="Arial" w:eastAsia="Arial" w:hAnsi="Arial"/>
          <w:sz w:val="17"/>
          <w:szCs w:val="17"/>
          <w:color w:val="auto"/>
        </w:rPr>
      </w:pPr>
    </w:p>
    <w:p>
      <w:pPr>
        <w:ind w:left="1700" w:hanging="422"/>
        <w:spacing w:after="0"/>
        <w:tabs>
          <w:tab w:leader="none" w:pos="170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customary provisions in leases, licenses and other contracts restricting the assignment thereof;</w:t>
      </w:r>
    </w:p>
    <w:p>
      <w:pPr>
        <w:spacing w:after="0" w:line="218" w:lineRule="exact"/>
        <w:rPr>
          <w:rFonts w:ascii="Arial" w:cs="Arial" w:eastAsia="Arial" w:hAnsi="Arial"/>
          <w:sz w:val="19"/>
          <w:szCs w:val="19"/>
          <w:color w:val="auto"/>
        </w:rPr>
      </w:pPr>
    </w:p>
    <w:p>
      <w:pPr>
        <w:ind w:firstLine="1278"/>
        <w:spacing w:after="0" w:line="278" w:lineRule="auto"/>
        <w:tabs>
          <w:tab w:leader="none" w:pos="1745" w:val="left"/>
        </w:tabs>
        <w:numPr>
          <w:ilvl w:val="1"/>
          <w:numId w:val="236"/>
        </w:numPr>
        <w:rPr>
          <w:rFonts w:ascii="Arial" w:cs="Arial" w:eastAsia="Arial" w:hAnsi="Arial"/>
          <w:sz w:val="19"/>
          <w:szCs w:val="19"/>
          <w:color w:val="auto"/>
        </w:rPr>
      </w:pPr>
      <w:r>
        <w:rPr>
          <w:rFonts w:ascii="Arial" w:cs="Arial" w:eastAsia="Arial" w:hAnsi="Arial"/>
          <w:sz w:val="19"/>
          <w:szCs w:val="19"/>
          <w:color w:val="auto"/>
        </w:rPr>
        <w:t>restrictions imposed by any agreement relating to secured Indebtedness permitted by this Agreement to the extent such restriction applies only to the property securing such Indebtedness;</w:t>
      </w:r>
    </w:p>
    <w:p>
      <w:pPr>
        <w:spacing w:after="0" w:line="156" w:lineRule="exact"/>
        <w:rPr>
          <w:rFonts w:ascii="Arial" w:cs="Arial" w:eastAsia="Arial" w:hAnsi="Arial"/>
          <w:sz w:val="19"/>
          <w:szCs w:val="19"/>
          <w:color w:val="auto"/>
        </w:rPr>
      </w:pPr>
    </w:p>
    <w:p>
      <w:pPr>
        <w:jc w:val="both"/>
        <w:ind w:firstLine="1278"/>
        <w:spacing w:after="0" w:line="257" w:lineRule="auto"/>
        <w:tabs>
          <w:tab w:leader="none" w:pos="1686"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177" w:lineRule="exact"/>
        <w:rPr>
          <w:rFonts w:ascii="Arial" w:cs="Arial" w:eastAsia="Arial" w:hAnsi="Arial"/>
          <w:sz w:val="19"/>
          <w:szCs w:val="19"/>
          <w:color w:val="auto"/>
        </w:rPr>
      </w:pPr>
    </w:p>
    <w:p>
      <w:pPr>
        <w:jc w:val="both"/>
        <w:ind w:firstLine="1278"/>
        <w:spacing w:after="0" w:line="257" w:lineRule="auto"/>
        <w:tabs>
          <w:tab w:leader="none" w:pos="1705"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restrictions or conditions in any Indebtedness permitted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that is incurred or assumed by Restricted Subsidiaries that are not Loan Parties to the extent such restrictions or conditions are no more restrictive in any material respect than the restrictions and conditions in the Loan Documents or, in the case of any Junior Financing, are market terms at the time of issuance and are imposed solely on such Restricted Subsidiary and its Subsidiaries;</w:t>
      </w:r>
    </w:p>
    <w:p>
      <w:pPr>
        <w:spacing w:after="0" w:line="177" w:lineRule="exact"/>
        <w:rPr>
          <w:rFonts w:ascii="Arial" w:cs="Arial" w:eastAsia="Arial" w:hAnsi="Arial"/>
          <w:sz w:val="19"/>
          <w:szCs w:val="19"/>
          <w:color w:val="auto"/>
        </w:rPr>
      </w:pPr>
    </w:p>
    <w:p>
      <w:pPr>
        <w:ind w:firstLine="1278"/>
        <w:spacing w:after="0" w:line="278" w:lineRule="auto"/>
        <w:tabs>
          <w:tab w:leader="none" w:pos="1796" w:val="left"/>
        </w:tabs>
        <w:numPr>
          <w:ilvl w:val="1"/>
          <w:numId w:val="236"/>
        </w:numPr>
        <w:rPr>
          <w:rFonts w:ascii="Arial" w:cs="Arial" w:eastAsia="Arial" w:hAnsi="Arial"/>
          <w:sz w:val="19"/>
          <w:szCs w:val="19"/>
          <w:color w:val="auto"/>
        </w:rPr>
      </w:pPr>
      <w:r>
        <w:rPr>
          <w:rFonts w:ascii="Arial" w:cs="Arial" w:eastAsia="Arial" w:hAnsi="Arial"/>
          <w:sz w:val="19"/>
          <w:szCs w:val="19"/>
          <w:color w:val="auto"/>
        </w:rPr>
        <w:t>restrictions on cash (or Permitted Investments) or other deposits imposed by agreements entered into in the ordinary course of business (or other restrictions on cash or deposits constituting Permitted Encumbrances);</w:t>
      </w:r>
    </w:p>
    <w:p>
      <w:pPr>
        <w:spacing w:after="0" w:line="156" w:lineRule="exact"/>
        <w:rPr>
          <w:rFonts w:ascii="Arial" w:cs="Arial" w:eastAsia="Arial" w:hAnsi="Arial"/>
          <w:sz w:val="19"/>
          <w:szCs w:val="19"/>
          <w:color w:val="auto"/>
        </w:rPr>
      </w:pPr>
    </w:p>
    <w:p>
      <w:pPr>
        <w:ind w:firstLine="1278"/>
        <w:spacing w:after="0" w:line="307" w:lineRule="auto"/>
        <w:tabs>
          <w:tab w:leader="none" w:pos="176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restrictions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and any extension, renewal, amendment, modification or replacement thereof, except to the extent any such amendment, modification or replacement expands the scope of any such restriction or condition;</w:t>
      </w:r>
    </w:p>
    <w:p>
      <w:pPr>
        <w:sectPr>
          <w:pgSz w:w="11900" w:h="16838" w:orient="portrait"/>
          <w:cols w:equalWidth="0" w:num="1">
            <w:col w:w="11240"/>
          </w:cols>
          <w:pgMar w:left="320" w:top="1395" w:right="339" w:bottom="1440" w:gutter="0" w:footer="0" w:header="0"/>
        </w:sectPr>
      </w:pPr>
    </w:p>
    <w:bookmarkStart w:id="232" w:name="page233"/>
    <w:bookmarkEnd w:id="232"/>
    <w:p>
      <w:pPr>
        <w:ind w:left="1700" w:hanging="422"/>
        <w:spacing w:after="0"/>
        <w:tabs>
          <w:tab w:leader="none" w:pos="17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customary provisions in joint venture agreements and other similar agreements applicable to joint ventures permitted by</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203" w:lineRule="exact"/>
        <w:rPr>
          <w:sz w:val="20"/>
          <w:szCs w:val="20"/>
          <w:color w:val="auto"/>
        </w:rPr>
      </w:pPr>
    </w:p>
    <w:p>
      <w:pPr>
        <w:ind w:firstLine="1278"/>
        <w:spacing w:after="0" w:line="278" w:lineRule="auto"/>
        <w:tabs>
          <w:tab w:leader="none" w:pos="1755" w:val="left"/>
        </w:tabs>
        <w:numPr>
          <w:ilvl w:val="0"/>
          <w:numId w:val="238"/>
        </w:numPr>
        <w:rPr>
          <w:rFonts w:ascii="Arial" w:cs="Arial" w:eastAsia="Arial" w:hAnsi="Arial"/>
          <w:sz w:val="19"/>
          <w:szCs w:val="19"/>
          <w:color w:val="auto"/>
        </w:rPr>
      </w:pPr>
      <w:r>
        <w:rPr>
          <w:rFonts w:ascii="Arial" w:cs="Arial" w:eastAsia="Arial" w:hAnsi="Arial"/>
          <w:sz w:val="19"/>
          <w:szCs w:val="19"/>
          <w:color w:val="auto"/>
        </w:rPr>
        <w:t>customary restrictions contained in leases, subleases, licenses, sublicenses or asset sale agreements otherwise permitted hereby so long as such restrictions relate only to the assets subject thereto;</w:t>
      </w:r>
    </w:p>
    <w:p>
      <w:pPr>
        <w:spacing w:after="0" w:line="156" w:lineRule="exact"/>
        <w:rPr>
          <w:rFonts w:ascii="Arial" w:cs="Arial" w:eastAsia="Arial" w:hAnsi="Arial"/>
          <w:sz w:val="19"/>
          <w:szCs w:val="19"/>
          <w:color w:val="auto"/>
        </w:rPr>
      </w:pPr>
    </w:p>
    <w:p>
      <w:pPr>
        <w:ind w:firstLine="1278"/>
        <w:spacing w:after="0" w:line="278" w:lineRule="auto"/>
        <w:tabs>
          <w:tab w:leader="none" w:pos="1742" w:val="left"/>
        </w:tabs>
        <w:numPr>
          <w:ilvl w:val="0"/>
          <w:numId w:val="238"/>
        </w:numPr>
        <w:rPr>
          <w:rFonts w:ascii="Arial" w:cs="Arial" w:eastAsia="Arial" w:hAnsi="Arial"/>
          <w:sz w:val="19"/>
          <w:szCs w:val="19"/>
          <w:color w:val="auto"/>
        </w:rPr>
      </w:pPr>
      <w:r>
        <w:rPr>
          <w:rFonts w:ascii="Arial" w:cs="Arial" w:eastAsia="Arial" w:hAnsi="Arial"/>
          <w:sz w:val="19"/>
          <w:szCs w:val="19"/>
          <w:color w:val="auto"/>
        </w:rPr>
        <w:t>customary provisions restricting subletting or assignment of any lease governing a leasehold interest of Holdings, any Intermediate Parent, the Borrower or any Restricted Subsidiary; and</w:t>
      </w:r>
    </w:p>
    <w:p>
      <w:pPr>
        <w:spacing w:after="0" w:line="156" w:lineRule="exact"/>
        <w:rPr>
          <w:rFonts w:ascii="Arial" w:cs="Arial" w:eastAsia="Arial" w:hAnsi="Arial"/>
          <w:sz w:val="19"/>
          <w:szCs w:val="19"/>
          <w:color w:val="auto"/>
        </w:rPr>
      </w:pPr>
    </w:p>
    <w:p>
      <w:pPr>
        <w:jc w:val="both"/>
        <w:ind w:firstLine="1278"/>
        <w:spacing w:after="0" w:line="263" w:lineRule="auto"/>
        <w:tabs>
          <w:tab w:leader="none" w:pos="1939" w:val="left"/>
        </w:tabs>
        <w:numPr>
          <w:ilvl w:val="0"/>
          <w:numId w:val="238"/>
        </w:numPr>
        <w:rPr>
          <w:rFonts w:ascii="Arial" w:cs="Arial" w:eastAsia="Arial" w:hAnsi="Arial"/>
          <w:sz w:val="19"/>
          <w:szCs w:val="19"/>
          <w:color w:val="auto"/>
        </w:rPr>
      </w:pPr>
      <w:r>
        <w:rPr>
          <w:rFonts w:ascii="Arial" w:cs="Arial" w:eastAsia="Arial" w:hAnsi="Arial"/>
          <w:sz w:val="19"/>
          <w:szCs w:val="19"/>
          <w:color w:val="auto"/>
        </w:rPr>
        <w:t>customary provisions related to creditworthiness of the tenant contained in real property leases entered into by Subsidiaries, so long as the Borrower has determined in good faith that such creditworthiness provisions could not reasonably be expected to impair the ability of the Borrower and its Subsidiaries to meet their ongoing obligations.</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6.10</w:t>
      </w:r>
      <w:r>
        <w:rPr>
          <w:sz w:val="20"/>
          <w:szCs w:val="20"/>
          <w:color w:val="auto"/>
        </w:rPr>
        <w:tab/>
      </w:r>
      <w:r>
        <w:rPr>
          <w:rFonts w:ascii="Arial" w:cs="Arial" w:eastAsia="Arial" w:hAnsi="Arial"/>
          <w:sz w:val="17"/>
          <w:szCs w:val="17"/>
          <w:u w:val="single" w:color="auto"/>
          <w:color w:val="auto"/>
        </w:rPr>
        <w:t>Financial Performance Covenant</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As of the last day of each fiscal quarter of the Borrower (commencing with the first full fiscal quarter ending after the Effective Date) on which the Revolving Test Condition is satisfied, the Borrower will not permit the Total Net Leverage Ratio to be greater than 5.50 to 1.00.</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6.11</w:t>
      </w:r>
      <w:r>
        <w:rPr>
          <w:sz w:val="20"/>
          <w:szCs w:val="20"/>
          <w:color w:val="auto"/>
        </w:rPr>
        <w:tab/>
      </w:r>
      <w:r>
        <w:rPr>
          <w:rFonts w:ascii="Arial" w:cs="Arial" w:eastAsia="Arial" w:hAnsi="Arial"/>
          <w:sz w:val="17"/>
          <w:szCs w:val="17"/>
          <w:u w:val="single" w:color="auto"/>
          <w:color w:val="auto"/>
        </w:rPr>
        <w:t>Changes in Fiscal Periods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2" w:lineRule="auto"/>
        <w:rPr>
          <w:sz w:val="20"/>
          <w:szCs w:val="20"/>
          <w:color w:val="auto"/>
        </w:rPr>
      </w:pPr>
      <w:r>
        <w:rPr>
          <w:rFonts w:ascii="Arial" w:cs="Arial" w:eastAsia="Arial" w:hAnsi="Arial"/>
          <w:sz w:val="18"/>
          <w:szCs w:val="18"/>
          <w:color w:val="auto"/>
        </w:rPr>
        <w:t xml:space="preserve">Holdings and the Borrower will not make any change in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Holdings and the Borrower may, upon written notice to the Administrative Agent, change its fiscal year to any other fiscal year reasonably acceptable to the Administrative Agent, in which case, Holdings, the Borrower and the Administrative Agent will, and are hereby authorized by the Lenders to, make any adjustments to this Agreement that are necessary to reflect such change in fiscal year; and provided further that the limitation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shall not apply with respect to any short year resulting from the Transactions that occurred on the Effective Date.</w:t>
      </w:r>
    </w:p>
    <w:p>
      <w:pPr>
        <w:spacing w:after="0" w:line="165"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6.12</w:t>
      </w:r>
      <w:r>
        <w:rPr>
          <w:sz w:val="20"/>
          <w:szCs w:val="20"/>
          <w:color w:val="auto"/>
        </w:rPr>
        <w:tab/>
      </w:r>
      <w:r>
        <w:rPr>
          <w:rFonts w:ascii="Arial" w:cs="Arial" w:eastAsia="Arial" w:hAnsi="Arial"/>
          <w:sz w:val="17"/>
          <w:szCs w:val="17"/>
          <w:u w:val="single" w:color="auto"/>
          <w:color w:val="auto"/>
        </w:rPr>
        <w:t>Amendment of Junior Financing Documents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 xml:space="preserve">The Borrower will not, and will not permit any Restricted Subsidiary to, and Holdings will not permit Public Sector to, amend, modify, waive, terminate or release the documentation governing any Junior Financing (i) if the effect of such amendment, modification, waiver, termination or release (when taken as a whole) is materially adverse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waiver, termination or release will be deemed to be materially adverse to the Lenders if such Junior Financing could be otherwise incurred under this Agreement (including as Indebtedness that does not constitute a Junior Financing) with such terms as so amended, modified, waived, terminated or released or (ii) in a manner restricted by the terms of any applicable intercreditor or subordination agreement.</w:t>
      </w:r>
    </w:p>
    <w:p>
      <w:pPr>
        <w:spacing w:after="0" w:line="166"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Changes in Line of Business</w:t>
      </w:r>
      <w:r>
        <w:rPr>
          <w:rFonts w:ascii="Arial" w:cs="Arial" w:eastAsia="Arial" w:hAnsi="Arial"/>
          <w:sz w:val="19"/>
          <w:szCs w:val="19"/>
          <w:color w:val="auto"/>
        </w:rPr>
        <w:t>. Each of Holdings, the Borrower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complementary, reasonably related or ancillary to any of the foregoing.</w:t>
      </w:r>
    </w:p>
    <w:p>
      <w:pPr>
        <w:sectPr>
          <w:pgSz w:w="11900" w:h="16838" w:orient="portrait"/>
          <w:cols w:equalWidth="0" w:num="1">
            <w:col w:w="11240"/>
          </w:cols>
          <w:pgMar w:left="320" w:top="1395" w:right="339" w:bottom="1440" w:gutter="0" w:footer="0" w:header="0"/>
        </w:sectPr>
      </w:pPr>
    </w:p>
    <w:bookmarkStart w:id="233" w:name="page234"/>
    <w:bookmarkEnd w:id="233"/>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EVENTS OF DEFAULT</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7.01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If any of the following events (any such event,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shall occur:</w:t>
      </w:r>
    </w:p>
    <w:p>
      <w:pPr>
        <w:spacing w:after="0" w:line="219" w:lineRule="exact"/>
        <w:rPr>
          <w:sz w:val="20"/>
          <w:szCs w:val="20"/>
          <w:color w:val="auto"/>
        </w:rPr>
      </w:pPr>
    </w:p>
    <w:p>
      <w:pPr>
        <w:jc w:val="both"/>
        <w:ind w:firstLine="1278"/>
        <w:spacing w:after="0" w:line="263" w:lineRule="auto"/>
        <w:tabs>
          <w:tab w:leader="none" w:pos="1821"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9" w:lineRule="exact"/>
        <w:rPr>
          <w:rFonts w:ascii="Arial" w:cs="Arial" w:eastAsia="Arial" w:hAnsi="Arial"/>
          <w:sz w:val="19"/>
          <w:szCs w:val="19"/>
          <w:color w:val="auto"/>
        </w:rPr>
      </w:pPr>
    </w:p>
    <w:p>
      <w:pPr>
        <w:jc w:val="both"/>
        <w:ind w:firstLine="1278"/>
        <w:spacing w:after="0" w:line="263" w:lineRule="auto"/>
        <w:tabs>
          <w:tab w:leader="none" w:pos="1702"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any Loan Party shall fail to pay any interest on any Loan or any fee or any other amount (other than an amount referred to in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payable under any Loan Document, when and as the same shall become due and payable, and such failure shall continue unremedied for a period of five (5) Business Days;</w:t>
      </w:r>
    </w:p>
    <w:p>
      <w:pPr>
        <w:spacing w:after="0" w:line="169" w:lineRule="exact"/>
        <w:rPr>
          <w:rFonts w:ascii="Arial" w:cs="Arial" w:eastAsia="Arial" w:hAnsi="Arial"/>
          <w:sz w:val="19"/>
          <w:szCs w:val="19"/>
          <w:color w:val="auto"/>
        </w:rPr>
      </w:pPr>
    </w:p>
    <w:p>
      <w:pPr>
        <w:jc w:val="both"/>
        <w:ind w:firstLine="1278"/>
        <w:spacing w:after="0" w:line="253" w:lineRule="auto"/>
        <w:tabs>
          <w:tab w:leader="none" w:pos="171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Holdings, the Borrower or any of the Restricted Subsidiaries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(or all respects to the extent already qualified by materiality) when made or deemed made, and such incorrect representation or warranty (if curable) shall remain incorrect for a period of thirty (30) days after notice thereof from the Administrative Agent to the Borrower;</w:t>
      </w:r>
    </w:p>
    <w:p>
      <w:pPr>
        <w:spacing w:after="0" w:line="181" w:lineRule="exact"/>
        <w:rPr>
          <w:rFonts w:ascii="Arial" w:cs="Arial" w:eastAsia="Arial" w:hAnsi="Arial"/>
          <w:sz w:val="19"/>
          <w:szCs w:val="19"/>
          <w:color w:val="auto"/>
        </w:rPr>
      </w:pPr>
    </w:p>
    <w:p>
      <w:pPr>
        <w:jc w:val="both"/>
        <w:ind w:firstLine="1278"/>
        <w:spacing w:after="0" w:line="272" w:lineRule="auto"/>
        <w:tabs>
          <w:tab w:leader="none" w:pos="173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Holdings, the Borrower or any of the Restricted Subsidiaries shall fail to observe or perform any covenant, condition or agreement contained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5.04</w:t>
      </w:r>
      <w:r>
        <w:rPr>
          <w:rFonts w:ascii="Arial" w:cs="Arial" w:eastAsia="Arial" w:hAnsi="Arial"/>
          <w:sz w:val="18"/>
          <w:szCs w:val="18"/>
          <w:color w:val="auto"/>
        </w:rPr>
        <w:t xml:space="preserve"> (with respect to the existence of Holdings or the Borrower),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Event of Default due to failure to comply with the Financial Performance Covenant shall not constitute an Event of Default with respect to the Term Loans, unless and until a Majority in Interest of the Revolving Lenders shall have terminated their Revolving Commitments and declared all Revolving Loans to be due and payable (and such declaration has not been rescinded);</w:t>
      </w:r>
    </w:p>
    <w:p>
      <w:pPr>
        <w:spacing w:after="0" w:line="165" w:lineRule="exact"/>
        <w:rPr>
          <w:rFonts w:ascii="Arial" w:cs="Arial" w:eastAsia="Arial" w:hAnsi="Arial"/>
          <w:sz w:val="18"/>
          <w:szCs w:val="18"/>
          <w:color w:val="auto"/>
        </w:rPr>
      </w:pPr>
    </w:p>
    <w:p>
      <w:pPr>
        <w:jc w:val="both"/>
        <w:ind w:firstLine="1278"/>
        <w:spacing w:after="0" w:line="284" w:lineRule="auto"/>
        <w:tabs>
          <w:tab w:leader="none" w:pos="173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Holdings, the Borrower or any of the Restricted Subsidiaries shall fail to observe or perform any covenant, condition or agreement contained in any Loan Document (other than those specified in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and such failure shall continue unremedied for a period of thirty (30) days after written notice thereof from the Administrative Agent to the Borrower;</w:t>
      </w:r>
    </w:p>
    <w:p>
      <w:pPr>
        <w:spacing w:after="0" w:line="152" w:lineRule="exact"/>
        <w:rPr>
          <w:rFonts w:ascii="Arial" w:cs="Arial" w:eastAsia="Arial" w:hAnsi="Arial"/>
          <w:sz w:val="18"/>
          <w:szCs w:val="18"/>
          <w:color w:val="auto"/>
        </w:rPr>
      </w:pPr>
    </w:p>
    <w:p>
      <w:pPr>
        <w:jc w:val="both"/>
        <w:ind w:firstLine="1278"/>
        <w:spacing w:after="0" w:line="263" w:lineRule="auto"/>
        <w:tabs>
          <w:tab w:leader="none" w:pos="1757" w:val="left"/>
        </w:tabs>
        <w:numPr>
          <w:ilvl w:val="0"/>
          <w:numId w:val="239"/>
        </w:numPr>
        <w:rPr>
          <w:rFonts w:ascii="Arial" w:cs="Arial" w:eastAsia="Arial" w:hAnsi="Arial"/>
          <w:sz w:val="19"/>
          <w:szCs w:val="19"/>
          <w:color w:val="auto"/>
        </w:rPr>
      </w:pPr>
      <w:r>
        <w:rPr>
          <w:rFonts w:ascii="Arial" w:cs="Arial" w:eastAsia="Arial" w:hAnsi="Arial"/>
          <w:sz w:val="19"/>
          <w:szCs w:val="19"/>
          <w:color w:val="auto"/>
        </w:rPr>
        <w:t>Holdings,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69" w:lineRule="exact"/>
        <w:rPr>
          <w:rFonts w:ascii="Arial" w:cs="Arial" w:eastAsia="Arial" w:hAnsi="Arial"/>
          <w:sz w:val="19"/>
          <w:szCs w:val="19"/>
          <w:color w:val="auto"/>
        </w:rPr>
      </w:pPr>
    </w:p>
    <w:p>
      <w:pPr>
        <w:jc w:val="both"/>
        <w:ind w:firstLine="1278"/>
        <w:spacing w:after="0" w:line="255" w:lineRule="auto"/>
        <w:tabs>
          <w:tab w:leader="none" w:pos="1748"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paragraph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shall not apply to (i) secured Indebtedness that becomes due as a result of the sale, transfer or other disposition (including as</w:t>
      </w:r>
    </w:p>
    <w:p>
      <w:pPr>
        <w:sectPr>
          <w:pgSz w:w="11900" w:h="16838" w:orient="portrait"/>
          <w:cols w:equalWidth="0" w:num="1">
            <w:col w:w="11240"/>
          </w:cols>
          <w:pgMar w:left="320" w:top="1440" w:right="339" w:bottom="1440" w:gutter="0" w:footer="0" w:header="0"/>
        </w:sectPr>
      </w:pPr>
    </w:p>
    <w:bookmarkStart w:id="234" w:name="page235"/>
    <w:bookmarkEnd w:id="234"/>
    <w:p>
      <w:pPr>
        <w:jc w:val="both"/>
        <w:spacing w:after="0" w:line="279" w:lineRule="auto"/>
        <w:rPr>
          <w:sz w:val="20"/>
          <w:szCs w:val="20"/>
          <w:color w:val="auto"/>
        </w:rPr>
      </w:pPr>
      <w:r>
        <w:rPr>
          <w:rFonts w:ascii="Arial" w:cs="Arial" w:eastAsia="Arial" w:hAnsi="Arial"/>
          <w:sz w:val="17"/>
          <w:szCs w:val="17"/>
          <w:color w:val="auto"/>
        </w:rPr>
        <w:t xml:space="preserve">a result of a casualty or condemnation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paragraph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will apply to any failure to make any payment required as a result of any such termination or similar event); (iii) any redemption, repurchase, conversion, exchange or settlement with respect to any Convertible Debt Security pursuant to its terms (or the occurrence of any event that permits the foregoing) unless such redemption, repurchase, conversion, exchange or settlement results from a default thereunder or an event of the type that constitutes an Event of Default or</w:t>
      </w:r>
    </w:p>
    <w:p>
      <w:pPr>
        <w:spacing w:after="0" w:line="4" w:lineRule="exact"/>
        <w:rPr>
          <w:sz w:val="20"/>
          <w:szCs w:val="20"/>
          <w:color w:val="auto"/>
        </w:rPr>
      </w:pPr>
    </w:p>
    <w:p>
      <w:pPr>
        <w:ind w:firstLine="6"/>
        <w:spacing w:after="0" w:line="261" w:lineRule="auto"/>
        <w:tabs>
          <w:tab w:leader="none" w:pos="33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any early payment requirement or unwinding or termination with respect to any Permitted Equity Derivatives as to which a Loan Party or any Restricted Subsidiary thereof is an affected party;</w:t>
      </w:r>
    </w:p>
    <w:p>
      <w:pPr>
        <w:spacing w:after="0" w:line="171" w:lineRule="exact"/>
        <w:rPr>
          <w:rFonts w:ascii="Arial" w:cs="Arial" w:eastAsia="Arial" w:hAnsi="Arial"/>
          <w:sz w:val="19"/>
          <w:szCs w:val="19"/>
          <w:color w:val="auto"/>
        </w:rPr>
      </w:pPr>
    </w:p>
    <w:p>
      <w:pPr>
        <w:jc w:val="both"/>
        <w:ind w:firstLine="1278"/>
        <w:spacing w:after="0" w:line="270" w:lineRule="auto"/>
        <w:tabs>
          <w:tab w:leader="none" w:pos="179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ninety (90) days or an order or decree approving or ordering any of the foregoing shall be entered;</w:t>
      </w:r>
    </w:p>
    <w:p>
      <w:pPr>
        <w:spacing w:after="0" w:line="166" w:lineRule="exact"/>
        <w:rPr>
          <w:rFonts w:ascii="Arial" w:cs="Arial" w:eastAsia="Arial" w:hAnsi="Arial"/>
          <w:sz w:val="18"/>
          <w:szCs w:val="18"/>
          <w:color w:val="auto"/>
        </w:rPr>
      </w:pPr>
    </w:p>
    <w:p>
      <w:pPr>
        <w:jc w:val="both"/>
        <w:ind w:firstLine="1278"/>
        <w:spacing w:after="0" w:line="252" w:lineRule="auto"/>
        <w:tabs>
          <w:tab w:leader="none" w:pos="1740" w:val="left"/>
        </w:tabs>
        <w:numPr>
          <w:ilvl w:val="1"/>
          <w:numId w:val="240"/>
        </w:numPr>
        <w:rPr>
          <w:rFonts w:ascii="Arial" w:cs="Arial" w:eastAsia="Arial" w:hAnsi="Arial"/>
          <w:sz w:val="19"/>
          <w:szCs w:val="19"/>
          <w:color w:val="auto"/>
        </w:rPr>
      </w:pPr>
      <w:r>
        <w:rPr>
          <w:rFonts w:ascii="Arial" w:cs="Arial" w:eastAsia="Arial" w:hAnsi="Arial"/>
          <w:sz w:val="19"/>
          <w:szCs w:val="19"/>
          <w:color w:val="auto"/>
        </w:rPr>
        <w:t xml:space="preserve">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182" w:lineRule="exact"/>
        <w:rPr>
          <w:rFonts w:ascii="Arial" w:cs="Arial" w:eastAsia="Arial" w:hAnsi="Arial"/>
          <w:sz w:val="19"/>
          <w:szCs w:val="19"/>
          <w:color w:val="auto"/>
        </w:rPr>
      </w:pPr>
    </w:p>
    <w:p>
      <w:pPr>
        <w:jc w:val="both"/>
        <w:ind w:firstLine="1278"/>
        <w:spacing w:after="0" w:line="270" w:lineRule="auto"/>
        <w:tabs>
          <w:tab w:leader="none" w:pos="168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one or more final, non-appealable, enforceable judgments for the payment of money in an aggregate amount in excess of $25,000,000 (to the extent not covered by insurance (including self-insurance) as to which the insurer has been notified of such judgment or order and has not denied coverage) shall be rendered against Holdings, the Borrower and any of the Restricted Subsidiaries or any combination thereof and the same shall remain undischarged for a period of ninety (90) days consecutive days during which execution shall not be effectively stayed, or any judgment creditor shall legally attach or levy upon assets of such Loan Party that are material to the businesses and operations of Holdings, the Borrower and its Restricted Subsidiaries, taken as a whole, to enforce any such judgment;</w:t>
      </w:r>
    </w:p>
    <w:p>
      <w:pPr>
        <w:spacing w:after="0" w:line="166" w:lineRule="exact"/>
        <w:rPr>
          <w:rFonts w:ascii="Arial" w:cs="Arial" w:eastAsia="Arial" w:hAnsi="Arial"/>
          <w:sz w:val="18"/>
          <w:szCs w:val="18"/>
          <w:color w:val="auto"/>
        </w:rPr>
      </w:pPr>
    </w:p>
    <w:p>
      <w:pPr>
        <w:ind w:firstLine="1278"/>
        <w:spacing w:after="0" w:line="278" w:lineRule="auto"/>
        <w:tabs>
          <w:tab w:leader="none" w:pos="1862" w:val="left"/>
        </w:tabs>
        <w:numPr>
          <w:ilvl w:val="1"/>
          <w:numId w:val="240"/>
        </w:numPr>
        <w:rPr>
          <w:rFonts w:ascii="Arial" w:cs="Arial" w:eastAsia="Arial" w:hAnsi="Arial"/>
          <w:sz w:val="19"/>
          <w:szCs w:val="19"/>
          <w:color w:val="auto"/>
        </w:rPr>
      </w:pPr>
      <w:r>
        <w:rPr>
          <w:rFonts w:ascii="Arial" w:cs="Arial" w:eastAsia="Arial" w:hAnsi="Arial"/>
          <w:sz w:val="19"/>
          <w:szCs w:val="19"/>
          <w:color w:val="auto"/>
        </w:rPr>
        <w:t>an ERISA Event or ERISA Events have occurred that, individually or in the aggregate, haves resulted or would reasonably be expected to result in a Material Adverse Effect;</w:t>
      </w:r>
    </w:p>
    <w:p>
      <w:pPr>
        <w:spacing w:after="0" w:line="156" w:lineRule="exact"/>
        <w:rPr>
          <w:rFonts w:ascii="Arial" w:cs="Arial" w:eastAsia="Arial" w:hAnsi="Arial"/>
          <w:sz w:val="19"/>
          <w:szCs w:val="19"/>
          <w:color w:val="auto"/>
        </w:rPr>
      </w:pPr>
    </w:p>
    <w:p>
      <w:pPr>
        <w:jc w:val="both"/>
        <w:ind w:firstLine="1278"/>
        <w:spacing w:after="0" w:line="255" w:lineRule="auto"/>
        <w:tabs>
          <w:tab w:leader="none" w:pos="1652" w:val="left"/>
        </w:tabs>
        <w:numPr>
          <w:ilvl w:val="1"/>
          <w:numId w:val="240"/>
        </w:numPr>
        <w:rPr>
          <w:rFonts w:ascii="Arial" w:cs="Arial" w:eastAsia="Arial" w:hAnsi="Arial"/>
          <w:sz w:val="19"/>
          <w:szCs w:val="19"/>
          <w:color w:val="auto"/>
        </w:rPr>
      </w:pPr>
      <w:r>
        <w:rPr>
          <w:rFonts w:ascii="Arial" w:cs="Arial" w:eastAsia="Arial" w:hAnsi="Arial"/>
          <w:sz w:val="19"/>
          <w:szCs w:val="19"/>
          <w:color w:val="auto"/>
        </w:rPr>
        <w:t>any Lien purported to be created under any Security Document shall cease to be, or shall be asserted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Loan Documents, (ii) as a result of the Administrative Agent’s failure to (A) maintain possession of any stock certificates, promissory notes or other instruments delivered to it under the</w:t>
      </w:r>
    </w:p>
    <w:p>
      <w:pPr>
        <w:sectPr>
          <w:pgSz w:w="11900" w:h="16838" w:orient="portrait"/>
          <w:cols w:equalWidth="0" w:num="1">
            <w:col w:w="11240"/>
          </w:cols>
          <w:pgMar w:left="320" w:top="1395" w:right="339" w:bottom="1440" w:gutter="0" w:footer="0" w:header="0"/>
        </w:sectPr>
      </w:pPr>
    </w:p>
    <w:bookmarkStart w:id="235" w:name="page236"/>
    <w:bookmarkEnd w:id="235"/>
    <w:p>
      <w:pPr>
        <w:jc w:val="both"/>
        <w:spacing w:after="0" w:line="276" w:lineRule="auto"/>
        <w:rPr>
          <w:sz w:val="20"/>
          <w:szCs w:val="20"/>
          <w:color w:val="auto"/>
        </w:rPr>
      </w:pPr>
      <w:r>
        <w:rPr>
          <w:rFonts w:ascii="Arial" w:cs="Arial" w:eastAsia="Arial" w:hAnsi="Arial"/>
          <w:sz w:val="18"/>
          <w:szCs w:val="18"/>
          <w:color w:val="auto"/>
        </w:rPr>
        <w:t>Security Documents or (B) file Uniform Commercial Code continuation statements, (iii) as to Collateral consisting of real property to the extent that (x) such losses are covered by a lender’s title insurance policy and such insurer has not denied coverage or (y) such deficiency arose through no fault of Holdings, the Borrower or its Restricted Subsidiaries, and such deficiency is corrected with reasonable diligence upon obtaining actual knowledge thereof, or (iv) as a result of acts or omissions of the Administrative Agent or any Secured Party;</w:t>
      </w:r>
    </w:p>
    <w:p>
      <w:pPr>
        <w:spacing w:after="0" w:line="161" w:lineRule="exact"/>
        <w:rPr>
          <w:sz w:val="20"/>
          <w:szCs w:val="20"/>
          <w:color w:val="auto"/>
        </w:rPr>
      </w:pPr>
    </w:p>
    <w:p>
      <w:pPr>
        <w:jc w:val="both"/>
        <w:ind w:firstLine="1278"/>
        <w:spacing w:after="0" w:line="263" w:lineRule="auto"/>
        <w:tabs>
          <w:tab w:leader="none" w:pos="1754"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any material provision of any Loan Document or any material Guarantee of the Loan Document Obligations shall for any reason be asserted in writing by any Loan Party not to be a legal, valid and binding obligation of any Loan Party thereto other than as expressly permitted hereunder or thereunder;</w:t>
      </w:r>
    </w:p>
    <w:p>
      <w:pPr>
        <w:spacing w:after="0" w:line="169" w:lineRule="exact"/>
        <w:rPr>
          <w:rFonts w:ascii="Arial" w:cs="Arial" w:eastAsia="Arial" w:hAnsi="Arial"/>
          <w:sz w:val="19"/>
          <w:szCs w:val="19"/>
          <w:color w:val="auto"/>
        </w:rPr>
      </w:pPr>
    </w:p>
    <w:p>
      <w:pPr>
        <w:ind w:firstLine="1278"/>
        <w:spacing w:after="0" w:line="278" w:lineRule="auto"/>
        <w:tabs>
          <w:tab w:leader="none" w:pos="1715"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any material Guarantee of the Loan Document Obligations by any Loan Party pursuant to the Guarantee Agreement shall cease to be in full force and effect (other than in accordance with the terms of the Loan Documents); or</w:t>
      </w:r>
    </w:p>
    <w:p>
      <w:pPr>
        <w:spacing w:after="0" w:line="156" w:lineRule="exact"/>
        <w:rPr>
          <w:rFonts w:ascii="Arial" w:cs="Arial" w:eastAsia="Arial" w:hAnsi="Arial"/>
          <w:sz w:val="19"/>
          <w:szCs w:val="19"/>
          <w:color w:val="auto"/>
        </w:rPr>
      </w:pPr>
    </w:p>
    <w:p>
      <w:pPr>
        <w:ind w:left="1700" w:hanging="422"/>
        <w:spacing w:after="0"/>
        <w:tabs>
          <w:tab w:leader="none" w:pos="170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 Change of Control shall occur;</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then, and in every such event (other than an event with respect to Holdings or the Borrower described in paragraph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w:t>
      </w:r>
      <w:r>
        <w:rPr>
          <w:rFonts w:ascii="Arial" w:cs="Arial" w:eastAsia="Arial" w:hAnsi="Arial"/>
          <w:sz w:val="18"/>
          <w:szCs w:val="18"/>
          <w:color w:val="auto"/>
        </w:rPr>
        <w:t xml:space="preserv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7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7.02</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7.03</w:t>
      </w:r>
      <w:r>
        <w:rPr>
          <w:sz w:val="20"/>
          <w:szCs w:val="20"/>
          <w:color w:val="auto"/>
        </w:rPr>
        <w:tab/>
      </w:r>
      <w:r>
        <w:rPr>
          <w:rFonts w:ascii="Arial" w:cs="Arial" w:eastAsia="Arial" w:hAnsi="Arial"/>
          <w:sz w:val="17"/>
          <w:szCs w:val="17"/>
          <w:u w:val="single" w:color="auto"/>
          <w:color w:val="auto"/>
        </w:rPr>
        <w:t>Application of Proceeds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57" w:lineRule="auto"/>
        <w:tabs>
          <w:tab w:leader="none" w:pos="1751" w:val="left"/>
        </w:tabs>
        <w:numPr>
          <w:ilvl w:val="0"/>
          <w:numId w:val="242"/>
        </w:numPr>
        <w:rPr>
          <w:rFonts w:ascii="Arial" w:cs="Arial" w:eastAsia="Arial" w:hAnsi="Arial"/>
          <w:sz w:val="19"/>
          <w:szCs w:val="19"/>
          <w:color w:val="auto"/>
        </w:rPr>
      </w:pPr>
      <w:r>
        <w:rPr>
          <w:rFonts w:ascii="Arial" w:cs="Arial" w:eastAsia="Arial" w:hAnsi="Arial"/>
          <w:sz w:val="19"/>
          <w:szCs w:val="19"/>
          <w:color w:val="auto"/>
        </w:rPr>
        <w:t>Subject to the terms of any applicable intercreditor agreement contemplated by this Agreement, in connection with the exercise of remedies provided for in Section 7.01, any amounts received on account of the Secured Obligations (including in respect of any sale of, collection from or other realization upon all or any part of the Collateral (including any Collateral consisting of cash) or the Guarantees) shall be applied by the Administrative Agent to the payment of the Secured Obligations as follows:</w:t>
      </w:r>
    </w:p>
    <w:p>
      <w:pPr>
        <w:spacing w:after="0" w:line="177" w:lineRule="exact"/>
        <w:rPr>
          <w:sz w:val="20"/>
          <w:szCs w:val="20"/>
          <w:color w:val="auto"/>
        </w:rPr>
      </w:pPr>
    </w:p>
    <w:p>
      <w:pPr>
        <w:jc w:val="both"/>
        <w:ind w:firstLine="1278"/>
        <w:spacing w:after="0" w:line="257" w:lineRule="auto"/>
        <w:tabs>
          <w:tab w:leader="none" w:pos="1817" w:val="left"/>
        </w:tabs>
        <w:numPr>
          <w:ilvl w:val="0"/>
          <w:numId w:val="243"/>
        </w:numPr>
        <w:rPr>
          <w:rFonts w:ascii="Arial" w:cs="Arial" w:eastAsia="Arial" w:hAnsi="Arial"/>
          <w:sz w:val="19"/>
          <w:szCs w:val="19"/>
          <w:color w:val="auto"/>
        </w:rPr>
      </w:pPr>
      <w:r>
        <w:rPr>
          <w:rFonts w:ascii="Arial" w:cs="Arial" w:eastAsia="Arial" w:hAnsi="Arial"/>
          <w:sz w:val="19"/>
          <w:szCs w:val="19"/>
          <w:color w:val="auto"/>
        </w:rPr>
        <w:t>first, to the payment of all reasonable and documented or invoiced out of pocket costs and expenses incurred by the Collateral Agent in connection with such sale, collection, other realization or otherwise and to the payment of all other amounts owing to each of the Administrative Agent and the Collateral Agent in connection with this Agreement, any other Loan Document or any of the Secured Obligations, including all reasonable and documented or invoiced out of pocket court costs</w:t>
      </w:r>
    </w:p>
    <w:p>
      <w:pPr>
        <w:sectPr>
          <w:pgSz w:w="11900" w:h="16838" w:orient="portrait"/>
          <w:cols w:equalWidth="0" w:num="1">
            <w:col w:w="11240"/>
          </w:cols>
          <w:pgMar w:left="320" w:top="1395" w:right="339" w:bottom="1440" w:gutter="0" w:footer="0" w:header="0"/>
        </w:sectPr>
      </w:pPr>
    </w:p>
    <w:bookmarkStart w:id="236" w:name="page237"/>
    <w:bookmarkEnd w:id="236"/>
    <w:p>
      <w:pPr>
        <w:jc w:val="both"/>
        <w:spacing w:after="0" w:line="263" w:lineRule="auto"/>
        <w:rPr>
          <w:sz w:val="20"/>
          <w:szCs w:val="20"/>
          <w:color w:val="auto"/>
        </w:rPr>
      </w:pPr>
      <w:r>
        <w:rPr>
          <w:rFonts w:ascii="Arial" w:cs="Arial" w:eastAsia="Arial" w:hAnsi="Arial"/>
          <w:sz w:val="19"/>
          <w:szCs w:val="19"/>
          <w:color w:val="auto"/>
        </w:rPr>
        <w:t>and the fees and expenses of its agents, the repayment of all advances made by it under any Loan Document on behalf of any Grantor and any other costs or expenses incurred in connection with the exercise of any right or remedy under any Loan Document, in each case, if and to the extent payable pursuant to the terms of the Loan Documents;</w:t>
      </w:r>
    </w:p>
    <w:p>
      <w:pPr>
        <w:spacing w:after="0" w:line="169" w:lineRule="exact"/>
        <w:rPr>
          <w:sz w:val="20"/>
          <w:szCs w:val="20"/>
          <w:color w:val="auto"/>
        </w:rPr>
      </w:pPr>
    </w:p>
    <w:p>
      <w:pPr>
        <w:jc w:val="both"/>
        <w:ind w:firstLine="1487"/>
        <w:spacing w:after="0" w:line="263" w:lineRule="auto"/>
        <w:tabs>
          <w:tab w:leader="none" w:pos="198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second, to the payment in full of the Secured Obligations (the amounts so applied to be distributed among the Secured Parties pro rata in accordance with the amounts of the Secured Obligations owed to them on the date of any such distribution) in accordance with this Agreement;</w:t>
      </w:r>
    </w:p>
    <w:p>
      <w:pPr>
        <w:spacing w:after="0" w:line="169" w:lineRule="exact"/>
        <w:rPr>
          <w:sz w:val="20"/>
          <w:szCs w:val="20"/>
          <w:color w:val="auto"/>
        </w:rPr>
      </w:pPr>
    </w:p>
    <w:p>
      <w:pPr>
        <w:ind w:left="2000" w:hanging="528"/>
        <w:spacing w:after="0"/>
        <w:tabs>
          <w:tab w:leader="none" w:pos="20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third, to any agent of any other junior secured debt, in accordance with any applicable intercreditor agreement; and</w:t>
      </w:r>
    </w:p>
    <w:p>
      <w:pPr>
        <w:spacing w:after="0" w:line="230" w:lineRule="exact"/>
        <w:rPr>
          <w:rFonts w:ascii="Arial" w:cs="Arial" w:eastAsia="Arial" w:hAnsi="Arial"/>
          <w:sz w:val="18"/>
          <w:szCs w:val="18"/>
          <w:color w:val="auto"/>
        </w:rPr>
      </w:pPr>
    </w:p>
    <w:p>
      <w:pPr>
        <w:ind w:left="1800" w:hanging="522"/>
        <w:spacing w:after="0"/>
        <w:tabs>
          <w:tab w:leader="none" w:pos="180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fourth, to the Borrower, its successors or assigns, or as a court of competent jurisdiction may otherwise direct.</w:t>
      </w:r>
    </w:p>
    <w:p>
      <w:pPr>
        <w:spacing w:after="0" w:line="219" w:lineRule="exact"/>
        <w:rPr>
          <w:sz w:val="20"/>
          <w:szCs w:val="20"/>
          <w:color w:val="auto"/>
        </w:rPr>
      </w:pPr>
    </w:p>
    <w:p>
      <w:pPr>
        <w:ind w:firstLine="1272"/>
        <w:spacing w:after="0" w:line="278" w:lineRule="auto"/>
        <w:rPr>
          <w:sz w:val="20"/>
          <w:szCs w:val="20"/>
          <w:color w:val="auto"/>
        </w:rPr>
      </w:pPr>
      <w:r>
        <w:rPr>
          <w:rFonts w:ascii="Arial" w:cs="Arial" w:eastAsia="Arial" w:hAnsi="Arial"/>
          <w:sz w:val="19"/>
          <w:szCs w:val="19"/>
          <w:color w:val="auto"/>
        </w:rPr>
        <w:t>The Administrative Agent shall have absolute discretion as to the time of application of any such proceeds, moneys or balances in accordance with this Agreement.</w:t>
      </w:r>
    </w:p>
    <w:p>
      <w:pPr>
        <w:spacing w:after="0" w:line="156" w:lineRule="exact"/>
        <w:rPr>
          <w:sz w:val="20"/>
          <w:szCs w:val="20"/>
          <w:color w:val="auto"/>
        </w:rPr>
      </w:pPr>
    </w:p>
    <w:p>
      <w:pPr>
        <w:jc w:val="both"/>
        <w:ind w:firstLine="1278"/>
        <w:spacing w:after="0" w:line="284" w:lineRule="auto"/>
        <w:tabs>
          <w:tab w:leader="none" w:pos="174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7.03(a),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in Section 7.03(a).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VIII</w:t>
      </w:r>
    </w:p>
    <w:p>
      <w:pPr>
        <w:spacing w:after="0" w:line="232" w:lineRule="exact"/>
        <w:rPr>
          <w:sz w:val="20"/>
          <w:szCs w:val="20"/>
          <w:color w:val="auto"/>
        </w:rPr>
      </w:pPr>
    </w:p>
    <w:p>
      <w:pPr>
        <w:ind w:left="4460"/>
        <w:spacing w:after="0"/>
        <w:rPr>
          <w:sz w:val="20"/>
          <w:szCs w:val="20"/>
          <w:color w:val="auto"/>
        </w:rPr>
      </w:pPr>
      <w:r>
        <w:rPr>
          <w:rFonts w:ascii="Arial" w:cs="Arial" w:eastAsia="Arial" w:hAnsi="Arial"/>
          <w:sz w:val="19"/>
          <w:szCs w:val="19"/>
          <w:u w:val="single" w:color="auto"/>
          <w:color w:val="auto"/>
        </w:rPr>
        <w:t>ADMINISTRATIVE AGENT</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265" w:lineRule="auto"/>
        <w:tabs>
          <w:tab w:leader="none" w:pos="186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Each of the Lenders and the Issuing Bank hereby irrevocably (i) appoints JPMorgan to act on its behalf as the Administrative Agent and the Collateral Agent hereunder and under the other Loan Documents and (ii) authorizes the Administrative Agent to take such actions on such Lender’s behalf and to exercise such powers as are delegated to the Administrative Agent and the Collateral Agent, as applicable, by the terms hereof or thereof, together with such actions and powers as are reasonably incidental thereto. Each Secured Party that is not a party hereto, by accepting the benefits of the Security Documents, hereby irrevocably appoints JPMorgan to act on its behalf as Collateral Agent under the Security Documents and authorizes JPMorgan (in its capacity as Collateral Agent) to take such actions on such Secured Party’s behalf and to exercise such powers as are delegated to the Collateral Agent by the terms hereof or thereof together with such actions and powers as are reasonably incidental thereto. The provisions of this Article are solely for the benefit of the Administrative Agent and the Collateral Agent, the Lenders and the Issuing Bank, and the Borrower shall not have rights as a third party beneficiary of any of such provisions. It is understood and agreed that the use of the term “agent” herein or in any other Loan Documents (or any other similar term) with reference to the Administrative Agent or the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ectPr>
          <w:pgSz w:w="11900" w:h="16838" w:orient="portrait"/>
          <w:cols w:equalWidth="0" w:num="1">
            <w:col w:w="11240"/>
          </w:cols>
          <w:pgMar w:left="320" w:top="1395" w:right="339" w:bottom="1440" w:gutter="0" w:footer="0" w:header="0"/>
        </w:sectPr>
      </w:pPr>
    </w:p>
    <w:bookmarkStart w:id="237" w:name="page238"/>
    <w:bookmarkEnd w:id="237"/>
    <w:p>
      <w:pPr>
        <w:jc w:val="both"/>
        <w:ind w:firstLine="1278"/>
        <w:spacing w:after="0" w:line="266" w:lineRule="auto"/>
        <w:tabs>
          <w:tab w:leader="none" w:pos="172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Each of the Lenders and the Issuing Bank, and each Secured Party that is not a party hereto, by accepting the benefits of the Security Documents, hereby irrevocably appoints and authorizes the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Administrative Agent and/or Collateral Agent pursuant to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as though such co-agents, sub-agents and attorneys-in-fact were the “collateral agent” under the Loan Documents) as if set forth in full herein with respect thereto.</w:t>
      </w:r>
    </w:p>
    <w:p>
      <w:pPr>
        <w:spacing w:after="0" w:line="175"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8.02</w:t>
      </w:r>
      <w:r>
        <w:rPr>
          <w:sz w:val="20"/>
          <w:szCs w:val="20"/>
          <w:color w:val="auto"/>
        </w:rPr>
        <w:tab/>
      </w:r>
      <w:r>
        <w:rPr>
          <w:rFonts w:ascii="Arial" w:cs="Arial" w:eastAsia="Arial" w:hAnsi="Arial"/>
          <w:sz w:val="17"/>
          <w:szCs w:val="17"/>
          <w:u w:val="single" w:color="auto"/>
          <w:color w:val="auto"/>
        </w:rPr>
        <w:t>Rights as a Lender</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Any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the Lenders.</w:t>
      </w:r>
    </w:p>
    <w:p>
      <w:pPr>
        <w:spacing w:after="0" w:line="18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8.03</w:t>
      </w:r>
      <w:r>
        <w:rPr>
          <w:sz w:val="20"/>
          <w:szCs w:val="20"/>
          <w:color w:val="auto"/>
        </w:rPr>
        <w:tab/>
      </w:r>
      <w:r>
        <w:rPr>
          <w:rFonts w:ascii="Arial" w:cs="Arial" w:eastAsia="Arial" w:hAnsi="Arial"/>
          <w:sz w:val="17"/>
          <w:szCs w:val="17"/>
          <w:u w:val="single" w:color="auto"/>
          <w:color w:val="auto"/>
        </w:rPr>
        <w:t>Exculpatory Provisions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No Agent shall have any duties or obligations except those expressly set forth herein and in the other Loan Documents. Without limiting the generality of the foregoing, each Agent:</w:t>
      </w:r>
    </w:p>
    <w:p>
      <w:pPr>
        <w:spacing w:after="0" w:line="156"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shall not be subject to any fiduciary or other implied duties, regardless of whether a Default has occurred and is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continuing;</w:t>
      </w:r>
    </w:p>
    <w:p>
      <w:pPr>
        <w:spacing w:after="0" w:line="203" w:lineRule="exact"/>
        <w:rPr>
          <w:sz w:val="20"/>
          <w:szCs w:val="20"/>
          <w:color w:val="auto"/>
        </w:rPr>
      </w:pPr>
    </w:p>
    <w:p>
      <w:pPr>
        <w:jc w:val="both"/>
        <w:ind w:firstLine="1278"/>
        <w:spacing w:after="0" w:line="255" w:lineRule="auto"/>
        <w:tabs>
          <w:tab w:leader="none" w:pos="173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Agent shall not be required to take any action that, in its opinion or the opinion of its counsel, may expose such Agent to liability or that is contrary to any Loan Document or applicable law;</w:t>
      </w:r>
    </w:p>
    <w:p>
      <w:pPr>
        <w:spacing w:after="0" w:line="177" w:lineRule="exact"/>
        <w:rPr>
          <w:rFonts w:ascii="Arial" w:cs="Arial" w:eastAsia="Arial" w:hAnsi="Arial"/>
          <w:sz w:val="19"/>
          <w:szCs w:val="19"/>
          <w:color w:val="auto"/>
        </w:rPr>
      </w:pPr>
    </w:p>
    <w:p>
      <w:pPr>
        <w:jc w:val="both"/>
        <w:ind w:firstLine="1278"/>
        <w:spacing w:after="0" w:line="263" w:lineRule="auto"/>
        <w:tabs>
          <w:tab w:leader="none" w:pos="1688" w:val="left"/>
        </w:tabs>
        <w:numPr>
          <w:ilvl w:val="0"/>
          <w:numId w:val="250"/>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such Agent or any of its Affiliates in any capacity;</w:t>
      </w:r>
    </w:p>
    <w:p>
      <w:pPr>
        <w:spacing w:after="0" w:line="169" w:lineRule="exact"/>
        <w:rPr>
          <w:rFonts w:ascii="Arial" w:cs="Arial" w:eastAsia="Arial" w:hAnsi="Arial"/>
          <w:sz w:val="19"/>
          <w:szCs w:val="19"/>
          <w:color w:val="auto"/>
        </w:rPr>
      </w:pPr>
    </w:p>
    <w:p>
      <w:pPr>
        <w:jc w:val="both"/>
        <w:ind w:firstLine="1278"/>
        <w:spacing w:after="0" w:line="257" w:lineRule="auto"/>
        <w:tabs>
          <w:tab w:leader="none" w:pos="1693" w:val="left"/>
        </w:tabs>
        <w:numPr>
          <w:ilvl w:val="0"/>
          <w:numId w:val="250"/>
        </w:numPr>
        <w:rPr>
          <w:rFonts w:ascii="Arial" w:cs="Arial" w:eastAsia="Arial" w:hAnsi="Arial"/>
          <w:sz w:val="19"/>
          <w:szCs w:val="19"/>
          <w:color w:val="auto"/>
        </w:rPr>
      </w:pPr>
      <w:r>
        <w:rPr>
          <w:rFonts w:ascii="Arial" w:cs="Arial" w:eastAsia="Arial" w:hAnsi="Arial"/>
          <w:sz w:val="19"/>
          <w:szCs w:val="19"/>
          <w:color w:val="auto"/>
        </w:rPr>
        <w:t>shall in no event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w:t>
      </w:r>
    </w:p>
    <w:p>
      <w:pPr>
        <w:sectPr>
          <w:pgSz w:w="11900" w:h="16838" w:orient="portrait"/>
          <w:cols w:equalWidth="0" w:num="1">
            <w:col w:w="11240"/>
          </w:cols>
          <w:pgMar w:left="320" w:top="1395" w:right="339" w:bottom="1440" w:gutter="0" w:footer="0" w:header="0"/>
        </w:sectPr>
      </w:pPr>
    </w:p>
    <w:bookmarkStart w:id="238" w:name="page239"/>
    <w:bookmarkEnd w:id="238"/>
    <w:p>
      <w:pPr>
        <w:spacing w:after="0"/>
        <w:rPr>
          <w:sz w:val="20"/>
          <w:szCs w:val="20"/>
          <w:color w:val="auto"/>
        </w:rPr>
      </w:pPr>
      <w:r>
        <w:rPr>
          <w:rFonts w:ascii="Arial" w:cs="Arial" w:eastAsia="Arial" w:hAnsi="Arial"/>
          <w:sz w:val="19"/>
          <w:szCs w:val="19"/>
          <w:color w:val="auto"/>
        </w:rPr>
        <w:t>(hardware or software) or communications service; accidents; labor disputes; acts of civil or military authority or governmental actions;</w:t>
      </w:r>
    </w:p>
    <w:p>
      <w:pPr>
        <w:spacing w:after="0" w:line="219" w:lineRule="exact"/>
        <w:rPr>
          <w:sz w:val="20"/>
          <w:szCs w:val="20"/>
          <w:color w:val="auto"/>
        </w:rPr>
      </w:pPr>
    </w:p>
    <w:p>
      <w:pPr>
        <w:jc w:val="both"/>
        <w:ind w:firstLine="1278"/>
        <w:spacing w:after="0" w:line="276" w:lineRule="auto"/>
        <w:tabs>
          <w:tab w:leader="none" w:pos="17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shall not be liable for any action taken or not taken by it (i) with the consent or at the request of the Required Lenders (or such other number or percentage of the Lenders as shall be necessary, or as such Agent shall believe in good faith shall be necessary, under the circumstances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in the last paragraph of </w:t>
      </w:r>
      <w:r>
        <w:rPr>
          <w:rFonts w:ascii="Arial" w:cs="Arial" w:eastAsia="Arial" w:hAnsi="Arial"/>
          <w:sz w:val="18"/>
          <w:szCs w:val="18"/>
          <w:u w:val="single" w:color="auto"/>
          <w:color w:val="auto"/>
        </w:rPr>
        <w:t>Section 7.01</w:t>
      </w:r>
      <w:r>
        <w:rPr>
          <w:rFonts w:ascii="Arial" w:cs="Arial" w:eastAsia="Arial" w:hAnsi="Arial"/>
          <w:sz w:val="18"/>
          <w:szCs w:val="18"/>
          <w:color w:val="auto"/>
        </w:rPr>
        <w:t>) or (ii) in the absence of its own gross negligence or willful misconduct as determined by a court of competent jurisdiction by final and non-appealable judgment;</w:t>
      </w:r>
    </w:p>
    <w:p>
      <w:pPr>
        <w:spacing w:after="0" w:line="160" w:lineRule="exact"/>
        <w:rPr>
          <w:rFonts w:ascii="Arial" w:cs="Arial" w:eastAsia="Arial" w:hAnsi="Arial"/>
          <w:sz w:val="18"/>
          <w:szCs w:val="18"/>
          <w:color w:val="auto"/>
        </w:rPr>
      </w:pPr>
    </w:p>
    <w:p>
      <w:pPr>
        <w:ind w:firstLine="1278"/>
        <w:spacing w:after="0" w:line="278" w:lineRule="auto"/>
        <w:tabs>
          <w:tab w:leader="none" w:pos="1693" w:val="left"/>
        </w:tabs>
        <w:numPr>
          <w:ilvl w:val="0"/>
          <w:numId w:val="251"/>
        </w:numPr>
        <w:rPr>
          <w:rFonts w:ascii="Arial" w:cs="Arial" w:eastAsia="Arial" w:hAnsi="Arial"/>
          <w:sz w:val="19"/>
          <w:szCs w:val="19"/>
          <w:color w:val="auto"/>
        </w:rPr>
      </w:pPr>
      <w:r>
        <w:rPr>
          <w:rFonts w:ascii="Arial" w:cs="Arial" w:eastAsia="Arial" w:hAnsi="Arial"/>
          <w:sz w:val="19"/>
          <w:szCs w:val="19"/>
          <w:color w:val="auto"/>
        </w:rPr>
        <w:t>shall be deemed not to have knowledge of any Default unless and until written notice describing such Default is given to such Agent by the Borrower, a Lender or the Issuing Bank;</w:t>
      </w:r>
    </w:p>
    <w:p>
      <w:pPr>
        <w:spacing w:after="0" w:line="156" w:lineRule="exact"/>
        <w:rPr>
          <w:rFonts w:ascii="Arial" w:cs="Arial" w:eastAsia="Arial" w:hAnsi="Arial"/>
          <w:sz w:val="19"/>
          <w:szCs w:val="19"/>
          <w:color w:val="auto"/>
        </w:rPr>
      </w:pPr>
    </w:p>
    <w:p>
      <w:pPr>
        <w:jc w:val="both"/>
        <w:ind w:firstLine="1278"/>
        <w:spacing w:after="0" w:line="251" w:lineRule="auto"/>
        <w:tabs>
          <w:tab w:leader="none" w:pos="1695"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 and</w:t>
      </w:r>
    </w:p>
    <w:p>
      <w:pPr>
        <w:spacing w:after="0" w:line="185" w:lineRule="exact"/>
        <w:rPr>
          <w:rFonts w:ascii="Arial" w:cs="Arial" w:eastAsia="Arial" w:hAnsi="Arial"/>
          <w:sz w:val="19"/>
          <w:szCs w:val="19"/>
          <w:color w:val="auto"/>
        </w:rPr>
      </w:pPr>
    </w:p>
    <w:p>
      <w:pPr>
        <w:jc w:val="both"/>
        <w:ind w:firstLine="1278"/>
        <w:spacing w:after="0" w:line="257" w:lineRule="auto"/>
        <w:tabs>
          <w:tab w:leader="none" w:pos="175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shall not be responsible for nor have any duty to monitor the performance or any action of the Borrower or other Loan Party, or any of their directors, members, officers, agents, affiliates or employees, nor shall it have any liability in connection with the malfeasance or nonfeasance by such party, and may assume performance by all such Persons of their respective obligations and shall have no enforcement or notification obligations relating to breaches of representations or warranties of any other Person.</w:t>
      </w:r>
    </w:p>
    <w:p>
      <w:pPr>
        <w:spacing w:after="0" w:line="17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8.04</w:t>
      </w:r>
      <w:r>
        <w:rPr>
          <w:sz w:val="20"/>
          <w:szCs w:val="20"/>
          <w:color w:val="auto"/>
        </w:rPr>
        <w:tab/>
      </w:r>
      <w:r>
        <w:rPr>
          <w:rFonts w:ascii="Arial" w:cs="Arial" w:eastAsia="Arial" w:hAnsi="Arial"/>
          <w:sz w:val="17"/>
          <w:szCs w:val="17"/>
          <w:u w:val="single" w:color="auto"/>
          <w:color w:val="auto"/>
        </w:rPr>
        <w:t>Reliance by Agents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 As to any matters not expressly provided for in this Agreement and in the other Loan Documents (including enforcement or collection), the Administrative Agent and/or the Collateral Agent shall not be required to exercise any discretion or take any action, but shall be required to act or to</w:t>
      </w:r>
    </w:p>
    <w:p>
      <w:pPr>
        <w:sectPr>
          <w:pgSz w:w="11900" w:h="16838" w:orient="portrait"/>
          <w:cols w:equalWidth="0" w:num="1">
            <w:col w:w="11240"/>
          </w:cols>
          <w:pgMar w:left="320" w:top="1395" w:right="339" w:bottom="1440" w:gutter="0" w:footer="0" w:header="0"/>
        </w:sectPr>
      </w:pPr>
    </w:p>
    <w:bookmarkStart w:id="239" w:name="page240"/>
    <w:bookmarkEnd w:id="239"/>
    <w:p>
      <w:pPr>
        <w:jc w:val="both"/>
        <w:spacing w:after="0" w:line="253" w:lineRule="auto"/>
        <w:rPr>
          <w:sz w:val="20"/>
          <w:szCs w:val="20"/>
          <w:color w:val="auto"/>
        </w:rPr>
      </w:pPr>
      <w:r>
        <w:rPr>
          <w:rFonts w:ascii="Arial" w:cs="Arial" w:eastAsia="Arial" w:hAnsi="Arial"/>
          <w:sz w:val="19"/>
          <w:szCs w:val="19"/>
          <w:color w:val="auto"/>
        </w:rPr>
        <w:t xml:space="preserve">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Upon request by the Administrative Agent and/or the Collateral Agent, as the case may be, the Required Lenders shall confirm in writing the Administrative Agent’s authority and/or the Collateral Agent’s authority, as the case may be, to take any action in accordance with the terms of the Loan Documents and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may refrain from acting until such confirmation has been provided.</w:t>
      </w:r>
    </w:p>
    <w:p>
      <w:pPr>
        <w:spacing w:after="0" w:line="182"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Notwithstanding anything else to the contrary herein, whenever reference is made in this Agreement, or any other Loan Document, to any discretionary action by, consent, designation, specification, requirement or approval of, notice, request or other communication from, or other direction given or action to be undertaken or to be (or not to be) suffered or omitted by the Administrative Agent or the Collateral Agent or to any election, decision, opinion, acceptance, use of judgment, expression of satisfaction or other exercise of discretion, rights or remedies to be made (or not to be made) by the Administrative Agent or the Collateral Agent, it is understood that in all cases the Administrative Agent or the Collateral Agent shall be fully justified in failing or refusing to take any such action if it shall not have received written instruction, advice or concurrence from the Required Lenders (or such other number or percentage of the Lenders as shall be expressly provided for herein or in any other Loan Document). The Administrative Agent and the Collateral Agent shall have no liability for any failure or delay in taking any actions contemplated above as a result of a failure or delay on the part of the Required Lenders to provide such instruction, advice or concurrence. This provision is intended solely for the benefit of the Administrative Agent and the Collateral Agent and their successors and permitted assigns and is not intended to and will not entitle the other parties hereto to any defense, claim or counterclaim, or confer any rights or benefits on any party hereto.</w:t>
      </w:r>
    </w:p>
    <w:p>
      <w:pPr>
        <w:spacing w:after="0" w:line="172"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Except for any action expressly required of the Administrative Agent or the Collateral Agent hereunder or other Loan Document to which it is a party, it shall in all cases be fully justified in failing or refusing to act unless it shall receive further assurances to its reasonable satisfaction, including indemnification, from the Lenders and Issuing Banks against any and all liability and expense that may be incurred by it by reason of taking or continuing to take any such action. No provision of this Agreement or any Loan Document shall require the Administrative Agent or the Collateral Agent to take any action that it reasonably believes to be contrary to applicable law or to expend or risk its own funds or otherwise incur financial liability in the performance of any of its duties thereunder or in the exercise of any of its rights or powers if it shall have reasonable grounds to believe that repayment of such funds or adequate indemnity against such risk or liability is not reasonably assured to it.</w:t>
      </w:r>
    </w:p>
    <w:p>
      <w:pPr>
        <w:spacing w:after="0" w:line="18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8.05</w:t>
      </w:r>
      <w:r>
        <w:rPr>
          <w:sz w:val="20"/>
          <w:szCs w:val="20"/>
          <w:color w:val="auto"/>
        </w:rPr>
        <w:tab/>
      </w:r>
      <w:r>
        <w:rPr>
          <w:rFonts w:ascii="Arial" w:cs="Arial" w:eastAsia="Arial" w:hAnsi="Arial"/>
          <w:sz w:val="17"/>
          <w:szCs w:val="17"/>
          <w:u w:val="single" w:color="auto"/>
          <w:color w:val="auto"/>
        </w:rPr>
        <w:t>Delegation of Duties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Each Agent may perform any and all of its duties and exercise its rights and powers hereunder or under any other Loan Document by or through any one or more sub-agents appointed by such Agent. Any Agent and any such sub-agent may perform any and all of its duties and exercise its rights and powers by or through their respective Related Parties. The exculpatory provisions of this Article shall apply to any such sub-agent and to the Related Parties of any Agent and any such sub-agent, and shall apply to their respective activities in connection with the syndication of the Credit Facilities as well as activities as such Agent.</w:t>
      </w:r>
    </w:p>
    <w:p>
      <w:pPr>
        <w:sectPr>
          <w:pgSz w:w="11900" w:h="16838" w:orient="portrait"/>
          <w:cols w:equalWidth="0" w:num="1">
            <w:col w:w="11240"/>
          </w:cols>
          <w:pgMar w:left="320" w:top="1395" w:right="339" w:bottom="1440" w:gutter="0" w:footer="0" w:header="0"/>
        </w:sectPr>
      </w:pPr>
    </w:p>
    <w:bookmarkStart w:id="240" w:name="page241"/>
    <w:bookmarkEnd w:id="240"/>
    <w:p>
      <w:pPr>
        <w:ind w:left="1280"/>
        <w:spacing w:after="0"/>
        <w:tabs>
          <w:tab w:leader="none" w:pos="2660" w:val="left"/>
        </w:tabs>
        <w:rPr>
          <w:sz w:val="20"/>
          <w:szCs w:val="20"/>
          <w:color w:val="auto"/>
        </w:rPr>
      </w:pPr>
      <w:r>
        <w:rPr>
          <w:rFonts w:ascii="Arial" w:cs="Arial" w:eastAsia="Arial" w:hAnsi="Arial"/>
          <w:sz w:val="19"/>
          <w:szCs w:val="19"/>
          <w:color w:val="auto"/>
        </w:rPr>
        <w:t>SECTION 8.06</w:t>
      </w:r>
      <w:r>
        <w:rPr>
          <w:sz w:val="20"/>
          <w:szCs w:val="20"/>
          <w:color w:val="auto"/>
        </w:rPr>
        <w:tab/>
      </w:r>
      <w:r>
        <w:rPr>
          <w:rFonts w:ascii="Arial" w:cs="Arial" w:eastAsia="Arial" w:hAnsi="Arial"/>
          <w:sz w:val="17"/>
          <w:szCs w:val="17"/>
          <w:u w:val="single" w:color="auto"/>
          <w:color w:val="auto"/>
        </w:rPr>
        <w:t>Resignation of Administrative Agent; Mergers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 xml:space="preserve">Subject to the appointment and acceptance of a successor Agent as provided in this paragraph, each Agent may resign upon thirty (30) days’ notice to the Lenders, the Issuing Banks and the Borrower, whether or not a successor Agent has been appointed. Upon receipt of any such notice of resignation, the Required Lenders shall have the right, with the Borrower’s consent (such consent not to be unreasonably withheld or delayed) unless an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Agent gives notice of its resignation, then the retiring Agent may (but shall not be obligated to) on behalf of the Lenders and the Issuing Banks, appoint a successor Agent, which shall be an Approved Bank with an office in New York, New York, or an Affiliate of any such Approved Bank (the date upon which the retiring Agent is replaced,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retiring Agent shall notify the Borrower and the Lenders that no qualifying Person accepted such appointment, then such resignation shall nonetheless become effective in accordance with such notice.</w:t>
      </w:r>
    </w:p>
    <w:p>
      <w:pPr>
        <w:spacing w:after="0" w:line="176"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If the Person serving as an Agent is a Defaulting Lender, the Required Lenders and Holdings may, to the extent permitted by applicable law, by notice in writing to such Person remove such Person as Agent and, with the consent of the Borrower, appoint a successor. If no such successor shall have been so appointed by the Required Lenders and shall have accepted such appointment within thirty (30) days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78" w:lineRule="exact"/>
        <w:rPr>
          <w:sz w:val="20"/>
          <w:szCs w:val="20"/>
          <w:color w:val="auto"/>
        </w:rPr>
      </w:pPr>
    </w:p>
    <w:p>
      <w:pPr>
        <w:jc w:val="both"/>
        <w:ind w:firstLine="1272"/>
        <w:spacing w:after="0" w:line="281" w:lineRule="auto"/>
        <w:rPr>
          <w:sz w:val="20"/>
          <w:szCs w:val="20"/>
          <w:color w:val="auto"/>
        </w:rPr>
      </w:pPr>
      <w:r>
        <w:rPr>
          <w:rFonts w:ascii="Arial" w:cs="Arial" w:eastAsia="Arial" w:hAnsi="Arial"/>
          <w:sz w:val="17"/>
          <w:szCs w:val="17"/>
          <w:color w:val="auto"/>
        </w:rPr>
        <w:t xml:space="preserve">With effect from the Resignation Effective Date or the Removal Effective Date (as applicable) (1) the retiring or removed Agent shall be discharged from its duties and obligations hereunder and under the other Loan Documents (except (i) that in the case of any collateral security held by the Collateral Agent on behalf of the Lenders under any of the Loan Documents, the retiring or removed Collateral Agent shall continue to hold such collateral security until such time as a successor Collateral Agent is appointed and (ii) with respect to any outstanding payment obligations) and (2) except for any indemnity payments or other amounts then owed to the retiring or removed Agent, all payments, communications and determinations provided to be made by, to or through the Administrative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any rights to indemnity payments or other amounts owed to the retiring or removed Agent as of the Resignation Effective Date or the Removal Effective Date, as applicable), and the retiring or removed Agent shall be discharged from all of its duties and obligations hereunder and under the other Loan Documents as set forth in this Section.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Article and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Agent.</w:t>
      </w:r>
    </w:p>
    <w:p>
      <w:pPr>
        <w:spacing w:after="0" w:line="158"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Any corporation or association into which an Agent may be converted or merged, or with which it may be consolidated, or to which it may sell or transfer all or substantially all of its corporate trust business and assets as a whole or substantially as a whole, or any corporation or association resulting</w:t>
      </w:r>
    </w:p>
    <w:p>
      <w:pPr>
        <w:sectPr>
          <w:pgSz w:w="11900" w:h="16838" w:orient="portrait"/>
          <w:cols w:equalWidth="0" w:num="1">
            <w:col w:w="11240"/>
          </w:cols>
          <w:pgMar w:left="320" w:top="1395" w:right="339" w:bottom="1440" w:gutter="0" w:footer="0" w:header="0"/>
        </w:sectPr>
      </w:pPr>
    </w:p>
    <w:bookmarkStart w:id="241" w:name="page242"/>
    <w:bookmarkEnd w:id="241"/>
    <w:p>
      <w:pPr>
        <w:jc w:val="both"/>
        <w:spacing w:after="0" w:line="263" w:lineRule="auto"/>
        <w:rPr>
          <w:sz w:val="20"/>
          <w:szCs w:val="20"/>
          <w:color w:val="auto"/>
        </w:rPr>
      </w:pPr>
      <w:r>
        <w:rPr>
          <w:rFonts w:ascii="Arial" w:cs="Arial" w:eastAsia="Arial" w:hAnsi="Arial"/>
          <w:sz w:val="19"/>
          <w:szCs w:val="19"/>
          <w:color w:val="auto"/>
        </w:rPr>
        <w:t>from any such conversion, sale, merger, consolidation or transfer to which an Agent is a party, will be and become the successor Agent under this Agreement and related Loan Documents and will have and succeed to the rights, powers, duties, immunities and privileges as its predecessor, without the execution or filing of any instrument or paper or the performance of any further act.</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8.07</w:t>
      </w:r>
      <w:r>
        <w:rPr>
          <w:sz w:val="20"/>
          <w:szCs w:val="20"/>
          <w:color w:val="auto"/>
        </w:rPr>
        <w:tab/>
      </w:r>
      <w:r>
        <w:rPr>
          <w:rFonts w:ascii="Arial" w:cs="Arial" w:eastAsia="Arial" w:hAnsi="Arial"/>
          <w:sz w:val="17"/>
          <w:szCs w:val="17"/>
          <w:u w:val="single" w:color="auto"/>
          <w:color w:val="auto"/>
        </w:rPr>
        <w:t>Non-Reliance on Agents and Lenders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89" w:lineRule="auto"/>
        <w:rPr>
          <w:sz w:val="20"/>
          <w:szCs w:val="20"/>
          <w:color w:val="auto"/>
        </w:rPr>
      </w:pPr>
      <w:r>
        <w:rPr>
          <w:rFonts w:ascii="Arial" w:cs="Arial" w:eastAsia="Arial" w:hAnsi="Arial"/>
          <w:sz w:val="17"/>
          <w:szCs w:val="17"/>
          <w:color w:val="auto"/>
        </w:rPr>
        <w:t>Each Lender and the Issuing Bank acknowledges that it has, independently and without reliance upon any Agent, any Lead Arranger, any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any Agent, any Lead Arranger or any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1"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18"/>
          <w:szCs w:val="18"/>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Loan Document and each other document required to be delivered to, or be approved by or satisfactory to, the Agents and/or the Lenders on the Effective Date.</w:t>
      </w:r>
    </w:p>
    <w:p>
      <w:pPr>
        <w:spacing w:after="0" w:line="161" w:lineRule="exact"/>
        <w:rPr>
          <w:sz w:val="20"/>
          <w:szCs w:val="20"/>
          <w:color w:val="auto"/>
        </w:rPr>
      </w:pPr>
    </w:p>
    <w:p>
      <w:pPr>
        <w:jc w:val="both"/>
        <w:ind w:firstLine="1272"/>
        <w:spacing w:after="0" w:line="265" w:lineRule="auto"/>
        <w:rPr>
          <w:sz w:val="20"/>
          <w:szCs w:val="20"/>
          <w:color w:val="auto"/>
        </w:rPr>
      </w:pPr>
      <w:r>
        <w:rPr>
          <w:rFonts w:ascii="Arial" w:cs="Arial" w:eastAsia="Arial" w:hAnsi="Arial"/>
          <w:sz w:val="18"/>
          <w:szCs w:val="18"/>
          <w:color w:val="auto"/>
        </w:rPr>
        <w:t>No Lender and no other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and the Collateral Agent on behalf of the Lenders and the other Secured Parties in accordance with the terms thereof. In the event of a foreclosure by the Administrative Agent or the Collateral Agent on any of the Collateral pursuant to a public or private sale or other disposition, the Administrative Agent, the Collateral Agent or any Lender may be the purchaser or licensor of any or all of such Collateral at any such sale or other disposition, and the Administrative Agent or the Collateral Agent, as agent for and representative of the Lenders and the other Secured Parties (but not any Lender, Lenders, Secured Party or Secured Parties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Administrative Agent or the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17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8.08</w:t>
      </w:r>
      <w:r>
        <w:rPr>
          <w:sz w:val="20"/>
          <w:szCs w:val="20"/>
          <w:color w:val="auto"/>
        </w:rPr>
        <w:tab/>
      </w:r>
      <w:r>
        <w:rPr>
          <w:rFonts w:ascii="Arial" w:cs="Arial" w:eastAsia="Arial" w:hAnsi="Arial"/>
          <w:sz w:val="17"/>
          <w:szCs w:val="17"/>
          <w:u w:val="single" w:color="auto"/>
          <w:color w:val="auto"/>
        </w:rPr>
        <w:t>No Other Duties, Etc</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Anything herein to the contrary notwithstanding, neither the Bookrunners nor the Lead Arrangers shall have any powers, duties or responsibilities under this Agreement or any of the other Loan Documents, except in its capacity, as applicable, as the Administrative Agent, a Lender or the Issuing Bank hereunder.</w:t>
      </w:r>
    </w:p>
    <w:p>
      <w:pPr>
        <w:sectPr>
          <w:pgSz w:w="11900" w:h="16838" w:orient="portrait"/>
          <w:cols w:equalWidth="0" w:num="1">
            <w:col w:w="11240"/>
          </w:cols>
          <w:pgMar w:left="320" w:top="1395" w:right="339" w:bottom="1440" w:gutter="0" w:footer="0" w:header="0"/>
        </w:sectPr>
      </w:pPr>
    </w:p>
    <w:bookmarkStart w:id="242" w:name="page243"/>
    <w:bookmarkEnd w:id="242"/>
    <w:p>
      <w:pPr>
        <w:ind w:left="1280"/>
        <w:spacing w:after="0"/>
        <w:tabs>
          <w:tab w:leader="none" w:pos="2660" w:val="left"/>
        </w:tabs>
        <w:rPr>
          <w:sz w:val="20"/>
          <w:szCs w:val="20"/>
          <w:color w:val="auto"/>
        </w:rPr>
      </w:pPr>
      <w:r>
        <w:rPr>
          <w:rFonts w:ascii="Arial" w:cs="Arial" w:eastAsia="Arial" w:hAnsi="Arial"/>
          <w:sz w:val="19"/>
          <w:szCs w:val="19"/>
          <w:color w:val="auto"/>
        </w:rPr>
        <w:t>SECTION 8.09</w:t>
      </w:r>
      <w:r>
        <w:rPr>
          <w:sz w:val="20"/>
          <w:szCs w:val="20"/>
          <w:color w:val="auto"/>
        </w:rPr>
        <w:tab/>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7" w:lineRule="exact"/>
        <w:rPr>
          <w:sz w:val="20"/>
          <w:szCs w:val="20"/>
          <w:color w:val="auto"/>
        </w:rPr>
      </w:pPr>
    </w:p>
    <w:p>
      <w:pPr>
        <w:jc w:val="both"/>
        <w:ind w:firstLine="1278"/>
        <w:spacing w:after="0" w:line="292" w:lineRule="auto"/>
        <w:tabs>
          <w:tab w:leader="none" w:pos="175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Letters of Credit outstanding and all other Secured Obligations that are owing and unpaid and to file such other documents as may be necessary or advisable in order to have the claims of the Lenders, the Issuing Bank and any Agent (including any claim for the reasonable compensation, expenses, disbursements and advances of the Lenders, the Issuing Bank and such Agent and their respective agents and counsel and all other amounts due the Lenders, the Issuing Bank and each Agent under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allowed in such judicial proceeding; and</w:t>
      </w:r>
    </w:p>
    <w:p>
      <w:pPr>
        <w:spacing w:after="0" w:line="149" w:lineRule="exact"/>
        <w:rPr>
          <w:rFonts w:ascii="Arial" w:cs="Arial" w:eastAsia="Arial" w:hAnsi="Arial"/>
          <w:sz w:val="17"/>
          <w:szCs w:val="17"/>
          <w:color w:val="auto"/>
        </w:rPr>
      </w:pPr>
    </w:p>
    <w:p>
      <w:pPr>
        <w:ind w:left="1700" w:hanging="422"/>
        <w:spacing w:after="0"/>
        <w:tabs>
          <w:tab w:leader="none" w:pos="17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and the Issuing Bank and, by its acceptance of the benefits of the Security Documents, each Secured Party that is not a party hereto,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any Agent and its agents and counsel, and any other amounts due such Agent under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w:t>
      </w:r>
    </w:p>
    <w:p>
      <w:pPr>
        <w:spacing w:after="0" w:line="182" w:lineRule="exact"/>
        <w:rPr>
          <w:sz w:val="20"/>
          <w:szCs w:val="20"/>
          <w:color w:val="auto"/>
        </w:rPr>
      </w:pPr>
    </w:p>
    <w:p>
      <w:pPr>
        <w:jc w:val="both"/>
        <w:ind w:firstLine="1272"/>
        <w:spacing w:after="0" w:line="297"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the Issuing Bank or any Secured Party that is not a party hereto any plan of reorganization, arrangement, adjustment or composition affecting the Secured Obligations or the rights of any Lender or the Issuing Bank or any Secured Party that is not a party hereto to authorize the Administrative Agent to vote in respect of the claim of any Lender or the Issuing Bank or in any such proceeding.</w:t>
      </w:r>
    </w:p>
    <w:p>
      <w:pPr>
        <w:spacing w:after="0" w:line="145"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8.10</w:t>
      </w:r>
      <w:r>
        <w:rPr>
          <w:sz w:val="20"/>
          <w:szCs w:val="20"/>
          <w:color w:val="auto"/>
        </w:rPr>
        <w:tab/>
      </w: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5" w:lineRule="auto"/>
        <w:rPr>
          <w:sz w:val="20"/>
          <w:szCs w:val="20"/>
          <w:color w:val="auto"/>
        </w:rPr>
      </w:pPr>
      <w:r>
        <w:rPr>
          <w:rFonts w:ascii="Arial" w:cs="Arial" w:eastAsia="Arial" w:hAnsi="Arial"/>
          <w:sz w:val="19"/>
          <w:szCs w:val="19"/>
          <w:color w:val="auto"/>
        </w:rPr>
        <w:t>No failure by any Lender, any Issuing Bank or any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8"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for the benefit of all the Lenders and the Issuing</w:t>
      </w:r>
    </w:p>
    <w:p>
      <w:pPr>
        <w:sectPr>
          <w:pgSz w:w="11900" w:h="16838" w:orient="portrait"/>
          <w:cols w:equalWidth="0" w:num="1">
            <w:col w:w="11240"/>
          </w:cols>
          <w:pgMar w:left="320" w:top="1395" w:right="339" w:bottom="1440" w:gutter="0" w:footer="0" w:header="0"/>
        </w:sectPr>
      </w:pPr>
    </w:p>
    <w:bookmarkStart w:id="243" w:name="page244"/>
    <w:bookmarkEnd w:id="243"/>
    <w:p>
      <w:pPr>
        <w:jc w:val="both"/>
        <w:spacing w:after="0" w:line="279" w:lineRule="auto"/>
        <w:rPr>
          <w:sz w:val="20"/>
          <w:szCs w:val="20"/>
          <w:color w:val="auto"/>
        </w:rPr>
      </w:pPr>
      <w:r>
        <w:rPr>
          <w:rFonts w:ascii="Arial" w:cs="Arial" w:eastAsia="Arial" w:hAnsi="Arial"/>
          <w:sz w:val="17"/>
          <w:szCs w:val="17"/>
          <w:color w:val="auto"/>
        </w:rPr>
        <w:t xml:space="preserve">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any Agent from exercising on its own behalf the rights and remedies that inure to its benefit (solely in its capacity as Agent) hereunder and under the other Loan Documents, (b) the Issuing Banks from exercising the rights and remedies that inure to its benefit (solely in its capacity as Issuing Bank) hereunder and under the other Loan Documents, (c) any Lender from exercising setoff rights in accordance with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any time there is no Person acting as an Agent hereunder and under the other Loan Documents, then</w:t>
      </w:r>
    </w:p>
    <w:p>
      <w:pPr>
        <w:spacing w:after="0" w:line="4" w:lineRule="exact"/>
        <w:rPr>
          <w:sz w:val="20"/>
          <w:szCs w:val="20"/>
          <w:color w:val="auto"/>
        </w:rPr>
      </w:pPr>
    </w:p>
    <w:p>
      <w:pPr>
        <w:jc w:val="both"/>
        <w:ind w:firstLine="6"/>
        <w:spacing w:after="0" w:line="254" w:lineRule="auto"/>
        <w:tabs>
          <w:tab w:leader="none" w:pos="249"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the Required Lenders shall have the rights otherwise ascribed to such Agent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(ii) in addition to the matters set forth in clauses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2.18</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7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8.11</w:t>
      </w:r>
      <w:r>
        <w:rPr>
          <w:sz w:val="20"/>
          <w:szCs w:val="20"/>
          <w:color w:val="auto"/>
        </w:rPr>
        <w:tab/>
      </w:r>
      <w:r>
        <w:rPr>
          <w:rFonts w:ascii="Arial" w:cs="Arial" w:eastAsia="Arial" w:hAnsi="Arial"/>
          <w:sz w:val="17"/>
          <w:szCs w:val="17"/>
          <w:u w:val="single" w:color="auto"/>
          <w:color w:val="auto"/>
        </w:rPr>
        <w:t>Withholding Taxes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 xml:space="preserve">To the extent required by any applicable Requirements of Law (as determined in good faith by the Administrative Agent), the Administrative Agent may deduct or withhold from any payment to any Lender an amount equivalent to any applicable withholding Tax. If the Internal Revenue Service or any other Governmental Authority of the United States or other jurisdiction asserts a claim that the Administrative Agent did not properly withhold Tax from amounts paid to or for the account of any Lender for any reason (including because the appropriate form was not delivered or not property executed, or because such Lender failed to notify the Administrative Agent of a change in circumstance that rendered the exemption from, or reduction of withholding Tax ineffective), such Lender shall indemnify and hold harmless the Administrative Agent (to the extent that the Administrative Agent has not already been reimbursed by the Loan Parties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without limiting any obligation of the Loan Parties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survive the resignation and/or replacement of the Administrative Agent, any assignment of rights by, or the replacement of, a Lender, the termination of this Agreement and the repayment, satisfaction or discharge of all other obligations under any Loan Document. For the avoidance of doubt, the term “Lender”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include any Issuing Bank.</w:t>
      </w:r>
    </w:p>
    <w:p>
      <w:pPr>
        <w:spacing w:after="0" w:line="17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8.12</w:t>
      </w:r>
      <w:r>
        <w:rPr>
          <w:sz w:val="20"/>
          <w:szCs w:val="20"/>
          <w:color w:val="auto"/>
        </w:rPr>
        <w:tab/>
      </w:r>
      <w:r>
        <w:rPr>
          <w:rFonts w:ascii="Arial" w:cs="Arial" w:eastAsia="Arial" w:hAnsi="Arial"/>
          <w:sz w:val="18"/>
          <w:szCs w:val="18"/>
          <w:u w:val="single" w:color="auto"/>
          <w:color w:val="auto"/>
        </w:rPr>
        <w:t>Credit Bidding</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68" w:lineRule="auto"/>
        <w:rPr>
          <w:sz w:val="20"/>
          <w:szCs w:val="20"/>
          <w:color w:val="auto"/>
        </w:rPr>
      </w:pPr>
      <w:r>
        <w:rPr>
          <w:rFonts w:ascii="Arial" w:cs="Arial" w:eastAsia="Arial" w:hAnsi="Arial"/>
          <w:sz w:val="18"/>
          <w:szCs w:val="18"/>
          <w:color w:val="auto"/>
        </w:rPr>
        <w:t>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w:t>
      </w:r>
    </w:p>
    <w:p>
      <w:pPr>
        <w:sectPr>
          <w:pgSz w:w="11900" w:h="16838" w:orient="portrait"/>
          <w:cols w:equalWidth="0" w:num="1">
            <w:col w:w="11240"/>
          </w:cols>
          <w:pgMar w:left="320" w:top="1395" w:right="339" w:bottom="1440" w:gutter="0" w:footer="0" w:header="0"/>
        </w:sectPr>
      </w:pPr>
    </w:p>
    <w:bookmarkStart w:id="244" w:name="page245"/>
    <w:bookmarkEnd w:id="244"/>
    <w:p>
      <w:pPr>
        <w:jc w:val="both"/>
        <w:spacing w:after="0" w:line="262" w:lineRule="auto"/>
        <w:rPr>
          <w:sz w:val="20"/>
          <w:szCs w:val="20"/>
          <w:color w:val="auto"/>
        </w:rPr>
      </w:pPr>
      <w:r>
        <w:rPr>
          <w:rFonts w:ascii="Arial" w:cs="Arial" w:eastAsia="Arial" w:hAnsi="Arial"/>
          <w:sz w:val="18"/>
          <w:szCs w:val="18"/>
          <w:color w:val="auto"/>
        </w:rPr>
        <w:t>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8.13</w:t>
      </w:r>
      <w:r>
        <w:rPr>
          <w:sz w:val="20"/>
          <w:szCs w:val="20"/>
          <w:color w:val="auto"/>
        </w:rPr>
        <w:tab/>
      </w:r>
      <w:r>
        <w:rPr>
          <w:rFonts w:ascii="Arial" w:cs="Arial" w:eastAsia="Arial" w:hAnsi="Arial"/>
          <w:sz w:val="17"/>
          <w:szCs w:val="17"/>
          <w:u w:val="single" w:color="auto"/>
          <w:color w:val="auto"/>
        </w:rPr>
        <w:t>Acknowledgements of Lenders and Issuing Banks</w:t>
      </w:r>
      <w:r>
        <w:rPr>
          <w:rFonts w:ascii="Arial" w:cs="Arial" w:eastAsia="Arial" w:hAnsi="Arial"/>
          <w:sz w:val="17"/>
          <w:szCs w:val="17"/>
          <w:color w:val="auto"/>
        </w:rPr>
        <w:t>.</w:t>
      </w:r>
    </w:p>
    <w:p>
      <w:pPr>
        <w:spacing w:after="0" w:line="219" w:lineRule="exact"/>
        <w:rPr>
          <w:sz w:val="20"/>
          <w:szCs w:val="20"/>
          <w:color w:val="auto"/>
        </w:rPr>
      </w:pPr>
    </w:p>
    <w:p>
      <w:pPr>
        <w:ind w:right="20" w:firstLine="1278"/>
        <w:spacing w:after="0" w:line="270" w:lineRule="auto"/>
        <w:tabs>
          <w:tab w:leader="none" w:pos="15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Lender and each Issuing Bank represents and warrants that (1) the Loan Documents set forth the terms of a commercial lending facility, (2)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(3) it has, independently and without reliance upon the Administrative Agent, any Lead Arranger, or any other Lender or Issuing Bank, or any of the Related Parties of any of the foregoing, and based on such documents and information as it has</w:t>
      </w:r>
    </w:p>
    <w:p>
      <w:pPr>
        <w:sectPr>
          <w:pgSz w:w="11900" w:h="16838" w:orient="portrait"/>
          <w:cols w:equalWidth="0" w:num="1">
            <w:col w:w="11240"/>
          </w:cols>
          <w:pgMar w:left="320" w:top="1395" w:right="339" w:bottom="1440" w:gutter="0" w:footer="0" w:header="0"/>
        </w:sectPr>
      </w:pPr>
    </w:p>
    <w:bookmarkStart w:id="245" w:name="page246"/>
    <w:bookmarkEnd w:id="245"/>
    <w:p>
      <w:pPr>
        <w:ind w:right="20"/>
        <w:spacing w:after="0" w:line="266" w:lineRule="auto"/>
        <w:rPr>
          <w:sz w:val="20"/>
          <w:szCs w:val="20"/>
          <w:color w:val="auto"/>
        </w:rPr>
      </w:pPr>
      <w:r>
        <w:rPr>
          <w:rFonts w:ascii="Arial" w:cs="Arial" w:eastAsia="Arial" w:hAnsi="Arial"/>
          <w:sz w:val="18"/>
          <w:szCs w:val="18"/>
          <w:color w:val="auto"/>
        </w:rPr>
        <w:t>deemed appropriate, made its own credit analysis and decision to enter into this Agreement as a Lender, and to make, acquire or hold Loans hereunder and (4)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Lead Arranger or any other Lender or Issuing Bank, or any of the Related Parties of any of the foregoing, and based on such documents and information (which may contain material, non-public information within the meaning of the United States securities laws concerning Holdings, the Borrower and their respective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0" w:lineRule="exact"/>
        <w:rPr>
          <w:sz w:val="20"/>
          <w:szCs w:val="20"/>
          <w:color w:val="auto"/>
        </w:rPr>
      </w:pPr>
    </w:p>
    <w:p>
      <w:pPr>
        <w:ind w:right="380" w:firstLine="833"/>
        <w:spacing w:after="0" w:line="276" w:lineRule="auto"/>
        <w:tabs>
          <w:tab w:leader="none" w:pos="12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60" w:lineRule="exact"/>
        <w:rPr>
          <w:rFonts w:ascii="Arial" w:cs="Arial" w:eastAsia="Arial" w:hAnsi="Arial"/>
          <w:sz w:val="18"/>
          <w:szCs w:val="18"/>
          <w:color w:val="auto"/>
        </w:rPr>
      </w:pPr>
    </w:p>
    <w:p>
      <w:pPr>
        <w:ind w:firstLine="833"/>
        <w:spacing w:after="0" w:line="265" w:lineRule="auto"/>
        <w:tabs>
          <w:tab w:leader="none" w:pos="12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(1) Each Lender and Issuing Bank hereby agrees that (x) if the Administrative Agent notifies such Lender and Issuing Bank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8"/>
          <w:szCs w:val="18"/>
          <w:u w:val="single" w:color="auto"/>
          <w:color w:val="auto"/>
        </w:rPr>
        <w:t>Payment</w:t>
      </w:r>
      <w:r>
        <w:rPr>
          <w:rFonts w:ascii="Arial" w:cs="Arial" w:eastAsia="Arial" w:hAnsi="Arial"/>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8.13(c) shall be conclusive, absent manifest error.</w:t>
      </w:r>
    </w:p>
    <w:p>
      <w:pPr>
        <w:spacing w:after="0" w:line="169" w:lineRule="exact"/>
        <w:rPr>
          <w:rFonts w:ascii="Arial" w:cs="Arial" w:eastAsia="Arial" w:hAnsi="Arial"/>
          <w:sz w:val="18"/>
          <w:szCs w:val="18"/>
          <w:color w:val="auto"/>
        </w:rPr>
      </w:pPr>
    </w:p>
    <w:p>
      <w:pPr>
        <w:ind w:left="640" w:right="40" w:firstLine="956"/>
        <w:spacing w:after="0" w:line="251" w:lineRule="auto"/>
        <w:tabs>
          <w:tab w:leader="none" w:pos="2015" w:val="left"/>
        </w:tabs>
        <w:numPr>
          <w:ilvl w:val="1"/>
          <w:numId w:val="255"/>
        </w:numPr>
        <w:rPr>
          <w:rFonts w:ascii="Arial" w:cs="Arial" w:eastAsia="Arial" w:hAnsi="Arial"/>
          <w:sz w:val="19"/>
          <w:szCs w:val="19"/>
          <w:color w:val="auto"/>
        </w:rPr>
      </w:pPr>
      <w:r>
        <w:rPr>
          <w:rFonts w:ascii="Arial" w:cs="Arial" w:eastAsia="Arial" w:hAnsi="Arial"/>
          <w:sz w:val="19"/>
          <w:szCs w:val="19"/>
          <w:color w:val="auto"/>
        </w:rPr>
        <w:t>Each Lender and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w:t>
      </w:r>
    </w:p>
    <w:p>
      <w:pPr>
        <w:sectPr>
          <w:pgSz w:w="11900" w:h="16838" w:orient="portrait"/>
          <w:cols w:equalWidth="0" w:num="1">
            <w:col w:w="11220"/>
          </w:cols>
          <w:pgMar w:left="320" w:top="1395" w:right="359" w:bottom="1440" w:gutter="0" w:footer="0" w:header="0"/>
        </w:sectPr>
      </w:pPr>
    </w:p>
    <w:bookmarkStart w:id="246" w:name="page247"/>
    <w:bookmarkEnd w:id="246"/>
    <w:p>
      <w:pPr>
        <w:ind w:left="640" w:right="160"/>
        <w:spacing w:after="0" w:line="257" w:lineRule="auto"/>
        <w:rPr>
          <w:sz w:val="20"/>
          <w:szCs w:val="20"/>
          <w:color w:val="auto"/>
        </w:rPr>
      </w:pPr>
      <w:r>
        <w:rPr>
          <w:rFonts w:ascii="Arial" w:cs="Arial" w:eastAsia="Arial" w:hAnsi="Arial"/>
          <w:sz w:val="19"/>
          <w:szCs w:val="19"/>
          <w:color w:val="auto"/>
        </w:rPr>
        <w:t>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7" w:lineRule="exact"/>
        <w:rPr>
          <w:sz w:val="20"/>
          <w:szCs w:val="20"/>
          <w:color w:val="auto"/>
        </w:rPr>
      </w:pPr>
    </w:p>
    <w:p>
      <w:pPr>
        <w:ind w:left="640" w:right="40" w:firstLine="956"/>
        <w:spacing w:after="0" w:line="255" w:lineRule="auto"/>
        <w:tabs>
          <w:tab w:leader="none" w:pos="2015" w:val="left"/>
        </w:tabs>
        <w:numPr>
          <w:ilvl w:val="0"/>
          <w:numId w:val="256"/>
        </w:numPr>
        <w:rPr>
          <w:rFonts w:ascii="Arial" w:cs="Arial" w:eastAsia="Arial" w:hAnsi="Arial"/>
          <w:sz w:val="19"/>
          <w:szCs w:val="19"/>
          <w:color w:val="auto"/>
        </w:rPr>
      </w:pPr>
      <w:r>
        <w:rPr>
          <w:rFonts w:ascii="Arial" w:cs="Arial" w:eastAsia="Arial" w:hAnsi="Arial"/>
          <w:sz w:val="19"/>
          <w:szCs w:val="19"/>
          <w:color w:val="auto"/>
        </w:rPr>
        <w:t>Holdings, the Borrower and each other Loan Party hereby agrees that (x) in the event an erroneous Payment (or portion thereof) are 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Loan Party.</w:t>
      </w:r>
    </w:p>
    <w:p>
      <w:pPr>
        <w:spacing w:after="0" w:line="177" w:lineRule="exact"/>
        <w:rPr>
          <w:rFonts w:ascii="Arial" w:cs="Arial" w:eastAsia="Arial" w:hAnsi="Arial"/>
          <w:sz w:val="19"/>
          <w:szCs w:val="19"/>
          <w:color w:val="auto"/>
        </w:rPr>
      </w:pPr>
    </w:p>
    <w:p>
      <w:pPr>
        <w:ind w:left="640" w:right="20" w:firstLine="956"/>
        <w:spacing w:after="0" w:line="263" w:lineRule="auto"/>
        <w:tabs>
          <w:tab w:leader="none" w:pos="2015" w:val="left"/>
        </w:tabs>
        <w:numPr>
          <w:ilvl w:val="0"/>
          <w:numId w:val="256"/>
        </w:numPr>
        <w:rPr>
          <w:rFonts w:ascii="Arial" w:cs="Arial" w:eastAsia="Arial" w:hAnsi="Arial"/>
          <w:sz w:val="19"/>
          <w:szCs w:val="19"/>
          <w:color w:val="auto"/>
        </w:rPr>
      </w:pPr>
      <w:r>
        <w:rPr>
          <w:rFonts w:ascii="Arial" w:cs="Arial" w:eastAsia="Arial" w:hAnsi="Arial"/>
          <w:sz w:val="19"/>
          <w:szCs w:val="19"/>
          <w:color w:val="auto"/>
        </w:rPr>
        <w:t>Each party’s obligations under this Section 8.13(c)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MISCELLANEOUS</w:t>
      </w:r>
    </w:p>
    <w:p>
      <w:pPr>
        <w:spacing w:after="0" w:line="21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9.01</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63" w:lineRule="auto"/>
        <w:tabs>
          <w:tab w:leader="none" w:pos="1686" w:val="left"/>
        </w:tabs>
        <w:numPr>
          <w:ilvl w:val="0"/>
          <w:numId w:val="257"/>
        </w:numPr>
        <w:rPr>
          <w:rFonts w:ascii="Arial" w:cs="Arial" w:eastAsia="Arial" w:hAnsi="Arial"/>
          <w:sz w:val="19"/>
          <w:szCs w:val="19"/>
          <w:color w:val="auto"/>
        </w:rPr>
      </w:pPr>
      <w:r>
        <w:rPr>
          <w:rFonts w:ascii="Arial" w:cs="Arial" w:eastAsia="Arial" w:hAnsi="Arial"/>
          <w:sz w:val="19"/>
          <w:szCs w:val="19"/>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169" w:lineRule="exact"/>
        <w:rPr>
          <w:rFonts w:ascii="Arial" w:cs="Arial" w:eastAsia="Arial" w:hAnsi="Arial"/>
          <w:sz w:val="19"/>
          <w:szCs w:val="19"/>
          <w:color w:val="auto"/>
        </w:rPr>
      </w:pPr>
    </w:p>
    <w:p>
      <w:pPr>
        <w:ind w:left="960" w:firstLine="1272"/>
        <w:spacing w:after="0" w:line="278" w:lineRule="auto"/>
        <w:tabs>
          <w:tab w:leader="none" w:pos="2627" w:val="left"/>
        </w:tabs>
        <w:numPr>
          <w:ilvl w:val="1"/>
          <w:numId w:val="257"/>
        </w:numPr>
        <w:rPr>
          <w:rFonts w:ascii="Arial" w:cs="Arial" w:eastAsia="Arial" w:hAnsi="Arial"/>
          <w:sz w:val="19"/>
          <w:szCs w:val="19"/>
          <w:color w:val="auto"/>
        </w:rPr>
      </w:pPr>
      <w:r>
        <w:rPr>
          <w:rFonts w:ascii="Arial" w:cs="Arial" w:eastAsia="Arial" w:hAnsi="Arial"/>
          <w:sz w:val="19"/>
          <w:szCs w:val="19"/>
          <w:color w:val="auto"/>
        </w:rPr>
        <w:t xml:space="preserve">if to Holdings, the Borrower, the Administrative Agent or the Collateral Agent, to the address, fax number, e-mail address or telephone number specified for such Person on </w:t>
      </w:r>
      <w:r>
        <w:rPr>
          <w:rFonts w:ascii="Arial" w:cs="Arial" w:eastAsia="Arial" w:hAnsi="Arial"/>
          <w:sz w:val="19"/>
          <w:szCs w:val="19"/>
          <w:u w:val="single" w:color="auto"/>
          <w:color w:val="auto"/>
        </w:rPr>
        <w:t>Schedule 9.01</w:t>
      </w:r>
      <w:r>
        <w:rPr>
          <w:rFonts w:ascii="Arial" w:cs="Arial" w:eastAsia="Arial" w:hAnsi="Arial"/>
          <w:sz w:val="19"/>
          <w:szCs w:val="19"/>
          <w:color w:val="auto"/>
        </w:rPr>
        <w:t>; and</w:t>
      </w:r>
    </w:p>
    <w:p>
      <w:pPr>
        <w:spacing w:after="0" w:line="156" w:lineRule="exact"/>
        <w:rPr>
          <w:rFonts w:ascii="Arial" w:cs="Arial" w:eastAsia="Arial" w:hAnsi="Arial"/>
          <w:sz w:val="19"/>
          <w:szCs w:val="19"/>
          <w:color w:val="auto"/>
        </w:rPr>
      </w:pPr>
    </w:p>
    <w:p>
      <w:pPr>
        <w:jc w:val="both"/>
        <w:ind w:left="960" w:firstLine="1272"/>
        <w:spacing w:after="0" w:line="257" w:lineRule="auto"/>
        <w:tabs>
          <w:tab w:leader="none" w:pos="2692" w:val="left"/>
        </w:tabs>
        <w:numPr>
          <w:ilvl w:val="1"/>
          <w:numId w:val="257"/>
        </w:numPr>
        <w:rPr>
          <w:rFonts w:ascii="Arial" w:cs="Arial" w:eastAsia="Arial" w:hAnsi="Arial"/>
          <w:sz w:val="19"/>
          <w:szCs w:val="19"/>
          <w:color w:val="auto"/>
        </w:rPr>
      </w:pPr>
      <w:r>
        <w:rPr>
          <w:rFonts w:ascii="Arial" w:cs="Arial" w:eastAsia="Arial" w:hAnsi="Arial"/>
          <w:sz w:val="19"/>
          <w:szCs w:val="19"/>
          <w:color w:val="auto"/>
        </w:rPr>
        <w:t>if to any Lender or Issuing Bank, to it at its address (or fax number, telephone number or e-mail address) set forth in its Administrative Questionnaire (including, as appropriate, notices delivered solely to the Person designated by such Lender or Issuing Bank on its Administrative Questionnaire then in effect for the delivery of notices that may contain Material Non-Public Information relating to the Borrower).</w:t>
      </w:r>
    </w:p>
    <w:p>
      <w:pPr>
        <w:spacing w:after="0" w:line="177" w:lineRule="exact"/>
        <w:rPr>
          <w:sz w:val="20"/>
          <w:szCs w:val="20"/>
          <w:color w:val="auto"/>
        </w:rPr>
      </w:pPr>
    </w:p>
    <w:p>
      <w:pPr>
        <w:jc w:val="both"/>
        <w:ind w:firstLine="1272"/>
        <w:spacing w:after="0" w:line="272"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65" w:lineRule="exact"/>
        <w:rPr>
          <w:sz w:val="20"/>
          <w:szCs w:val="20"/>
          <w:color w:val="auto"/>
        </w:rPr>
      </w:pPr>
    </w:p>
    <w:p>
      <w:pPr>
        <w:ind w:firstLine="1278"/>
        <w:spacing w:after="0" w:line="278" w:lineRule="auto"/>
        <w:tabs>
          <w:tab w:leader="none" w:pos="1745"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and the Issuing Bank hereunder may be delivered or furnished by electronic communication (including e-</w:t>
      </w:r>
    </w:p>
    <w:p>
      <w:pPr>
        <w:sectPr>
          <w:pgSz w:w="11900" w:h="16838" w:orient="portrait"/>
          <w:cols w:equalWidth="0" w:num="1">
            <w:col w:w="11240"/>
          </w:cols>
          <w:pgMar w:left="320" w:top="1395" w:right="339" w:bottom="1440" w:gutter="0" w:footer="0" w:header="0"/>
        </w:sectPr>
      </w:pPr>
    </w:p>
    <w:bookmarkStart w:id="247" w:name="page248"/>
    <w:bookmarkEnd w:id="247"/>
    <w:p>
      <w:pPr>
        <w:jc w:val="both"/>
        <w:spacing w:after="0" w:line="284" w:lineRule="auto"/>
        <w:rPr>
          <w:sz w:val="20"/>
          <w:szCs w:val="20"/>
          <w:color w:val="auto"/>
        </w:rPr>
      </w:pPr>
      <w:r>
        <w:rPr>
          <w:rFonts w:ascii="Arial" w:cs="Arial" w:eastAsia="Arial" w:hAnsi="Arial"/>
          <w:sz w:val="18"/>
          <w:szCs w:val="18"/>
          <w:color w:val="auto"/>
        </w:rPr>
        <w:t xml:space="preserve">mail and Internet or intranet websites) pursuant to procedures reasonably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Issuing Bank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the Issuing Bank, as applicable, has notified the Administrative Agent that it is incapable of receiving notices under such Article by electronic communication.</w:t>
      </w:r>
    </w:p>
    <w:p>
      <w:pPr>
        <w:spacing w:after="0" w:line="153" w:lineRule="exact"/>
        <w:rPr>
          <w:sz w:val="20"/>
          <w:szCs w:val="20"/>
          <w:color w:val="auto"/>
        </w:rPr>
      </w:pPr>
    </w:p>
    <w:p>
      <w:pPr>
        <w:jc w:val="both"/>
        <w:ind w:firstLine="1272"/>
        <w:spacing w:after="0" w:line="268"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71" w:lineRule="exact"/>
        <w:rPr>
          <w:sz w:val="20"/>
          <w:szCs w:val="20"/>
          <w:color w:val="auto"/>
        </w:rPr>
      </w:pPr>
    </w:p>
    <w:p>
      <w:pPr>
        <w:ind w:left="1820" w:hanging="542"/>
        <w:spacing w:after="0"/>
        <w:tabs>
          <w:tab w:leader="none" w:pos="1820" w:val="left"/>
        </w:tabs>
        <w:numPr>
          <w:ilvl w:val="0"/>
          <w:numId w:val="259"/>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spacing w:after="0" w:line="22" w:lineRule="exact"/>
        <w:rPr>
          <w:rFonts w:ascii="Arial" w:cs="Arial" w:eastAsia="Arial" w:hAnsi="Arial"/>
          <w:sz w:val="19"/>
          <w:szCs w:val="19"/>
          <w:color w:val="auto"/>
        </w:rPr>
      </w:pPr>
    </w:p>
    <w:p>
      <w:pPr>
        <w:jc w:val="both"/>
        <w:spacing w:after="0" w:line="248" w:lineRule="auto"/>
        <w:rPr>
          <w:rFonts w:ascii="Arial" w:cs="Arial" w:eastAsia="Arial" w:hAnsi="Arial"/>
          <w:sz w:val="19"/>
          <w:szCs w:val="19"/>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Holdings, the Borrower, any Lender, the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89" w:lineRule="exact"/>
        <w:rPr>
          <w:rFonts w:ascii="Arial" w:cs="Arial" w:eastAsia="Arial" w:hAnsi="Arial"/>
          <w:sz w:val="19"/>
          <w:szCs w:val="19"/>
          <w:color w:val="auto"/>
        </w:rPr>
      </w:pPr>
    </w:p>
    <w:p>
      <w:pPr>
        <w:jc w:val="both"/>
        <w:ind w:firstLine="1278"/>
        <w:spacing w:after="0" w:line="270" w:lineRule="auto"/>
        <w:tabs>
          <w:tab w:leader="none" w:pos="1772"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Holdings, the Borrower, the Administrative Agent, the Issuing Bank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Administrative Agent, the Issuing Bank.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66" w:lineRule="exact"/>
        <w:rPr>
          <w:rFonts w:ascii="Arial" w:cs="Arial" w:eastAsia="Arial" w:hAnsi="Arial"/>
          <w:sz w:val="18"/>
          <w:szCs w:val="18"/>
          <w:color w:val="auto"/>
        </w:rPr>
      </w:pPr>
    </w:p>
    <w:p>
      <w:pPr>
        <w:jc w:val="both"/>
        <w:ind w:firstLine="1278"/>
        <w:spacing w:after="0" w:line="257" w:lineRule="auto"/>
        <w:tabs>
          <w:tab w:leader="none" w:pos="1801" w:val="left"/>
        </w:tabs>
        <w:numPr>
          <w:ilvl w:val="0"/>
          <w:numId w:val="259"/>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Issuing Bank and Lenders</w:t>
      </w:r>
      <w:r>
        <w:rPr>
          <w:rFonts w:ascii="Arial" w:cs="Arial" w:eastAsia="Arial" w:hAnsi="Arial"/>
          <w:sz w:val="19"/>
          <w:szCs w:val="19"/>
          <w:color w:val="auto"/>
        </w:rPr>
        <w:t>. The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w:t>
      </w:r>
    </w:p>
    <w:p>
      <w:pPr>
        <w:sectPr>
          <w:pgSz w:w="11900" w:h="16838" w:orient="portrait"/>
          <w:cols w:equalWidth="0" w:num="1">
            <w:col w:w="11240"/>
          </w:cols>
          <w:pgMar w:left="320" w:top="1395" w:right="339" w:bottom="1440" w:gutter="0" w:footer="0" w:header="0"/>
        </w:sectPr>
      </w:pPr>
    </w:p>
    <w:bookmarkStart w:id="248" w:name="page249"/>
    <w:bookmarkEnd w:id="248"/>
    <w:p>
      <w:pPr>
        <w:jc w:val="both"/>
        <w:spacing w:after="0" w:line="255" w:lineRule="auto"/>
        <w:rPr>
          <w:sz w:val="20"/>
          <w:szCs w:val="20"/>
          <w:color w:val="auto"/>
        </w:rPr>
      </w:pPr>
      <w:r>
        <w:rPr>
          <w:rFonts w:ascii="Arial" w:cs="Arial" w:eastAsia="Arial" w:hAnsi="Arial"/>
          <w:sz w:val="19"/>
          <w:szCs w:val="19"/>
          <w:color w:val="auto"/>
        </w:rPr>
        <w:t>Borrower shall indemnify the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Administrative Agent may be recorded by the Administrative Agent and each of the parties hereto hereby consents to such recording.</w:t>
      </w:r>
    </w:p>
    <w:p>
      <w:pPr>
        <w:spacing w:after="0" w:line="17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9.02</w:t>
      </w:r>
      <w:r>
        <w:rPr>
          <w:sz w:val="20"/>
          <w:szCs w:val="20"/>
          <w:color w:val="auto"/>
        </w:rPr>
        <w:tab/>
      </w:r>
      <w:r>
        <w:rPr>
          <w:rFonts w:ascii="Arial" w:cs="Arial" w:eastAsia="Arial" w:hAnsi="Arial"/>
          <w:sz w:val="17"/>
          <w:szCs w:val="17"/>
          <w:u w:val="single" w:color="auto"/>
          <w:color w:val="auto"/>
        </w:rPr>
        <w:t>Waivers; Amendments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82" w:lineRule="auto"/>
        <w:tabs>
          <w:tab w:leader="none" w:pos="1715"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9.02</w:t>
      </w:r>
      <w:r>
        <w:rPr>
          <w:rFonts w:ascii="Arial" w:cs="Arial" w:eastAsia="Arial" w:hAnsi="Arial"/>
          <w:sz w:val="17"/>
          <w:szCs w:val="17"/>
          <w:color w:val="auto"/>
        </w:rPr>
        <w:t>,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63" w:lineRule="exact"/>
        <w:rPr>
          <w:rFonts w:ascii="Arial" w:cs="Arial" w:eastAsia="Arial" w:hAnsi="Arial"/>
          <w:sz w:val="17"/>
          <w:szCs w:val="17"/>
          <w:color w:val="auto"/>
        </w:rPr>
      </w:pPr>
    </w:p>
    <w:p>
      <w:pPr>
        <w:jc w:val="both"/>
        <w:ind w:firstLine="1278"/>
        <w:spacing w:after="0" w:line="279" w:lineRule="auto"/>
        <w:tabs>
          <w:tab w:leader="none" w:pos="171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with respect to any Incremental Facility Amendment,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with respect to any Refinancing Amendment or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with respect to any Permitted Amendment, neither this Agreement, any Loan Document nor any provision hereof or thereof may be waived, amended or modified except, in the case of this Agreement, pursuant to an agreement or agreements in writing entered into by Holdings, the Borrower, the Administrative Agent (to the extent that such waiver, amendment or modification does not affect the rights, duties, privileges or obligations of the Administrative Agent under this Agreement, the Administrative Agent shall execute such waiver, amendment or other modification to the extent approved by the Required Lenders)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agreement shall</w:t>
      </w:r>
    </w:p>
    <w:p>
      <w:pPr>
        <w:jc w:val="both"/>
        <w:ind w:firstLine="6"/>
        <w:spacing w:after="0" w:line="264" w:lineRule="auto"/>
        <w:tabs>
          <w:tab w:leader="none" w:pos="23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increase or extend the Commitment of any Lender or change any ratable sharing or payment provision that directly and adversely affects any Lender (with only such Lenders whose entitlement to a payment under such provisions is reduced being “directly and adversely affected”) without the written consent of such Lender (it being understood that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First Lien Net Leverage Ratio or in the component definitions thereof shall not constitute a reduction of interest or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w:t>
      </w:r>
    </w:p>
    <w:p>
      <w:pPr>
        <w:sectPr>
          <w:pgSz w:w="11900" w:h="16838" w:orient="portrait"/>
          <w:cols w:equalWidth="0" w:num="1">
            <w:col w:w="11240"/>
          </w:cols>
          <w:pgMar w:left="320" w:top="1395" w:right="339" w:bottom="1440" w:gutter="0" w:footer="0" w:header="0"/>
        </w:sectPr>
      </w:pPr>
    </w:p>
    <w:bookmarkStart w:id="249" w:name="page250"/>
    <w:bookmarkEnd w:id="249"/>
    <w:p>
      <w:pPr>
        <w:jc w:val="both"/>
        <w:spacing w:after="0" w:line="278" w:lineRule="auto"/>
        <w:rPr>
          <w:sz w:val="20"/>
          <w:szCs w:val="20"/>
          <w:color w:val="auto"/>
        </w:rPr>
      </w:pPr>
      <w:r>
        <w:rPr>
          <w:rFonts w:ascii="Arial" w:cs="Arial" w:eastAsia="Arial" w:hAnsi="Arial"/>
          <w:sz w:val="17"/>
          <w:szCs w:val="17"/>
          <w:color w:val="auto"/>
        </w:rPr>
        <w:t xml:space="preserve">the Required Lenders shall be necessary to waive any obligation of the Borrower to pay default interest pursuant to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or to waive the MFN Adjustment, (iii) postpone the maturity of any Loan, or the date of any scheduled amortization payment of the principal amount of any Term Loan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Event of Default, mandatory prepayment or mandatory reduction of the Commitments shall not constitute an extension of any maturity date, any scheduled amortization payment or the date for payment of any interest or fees), without the written consent of each Lender directly and adversely affected thereby, (iv) change any of the provisions of this Section without the written consent of each Lender directly and adversely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Guarantee Agreement (except as expressly provided in the Loan Documents) without the written consent of each Lender (other than a Defaulting Lender), (vii) release all or substantially all the Collateral from the Liens of the Security Documents, without the written consent of each Lender (other than a Defaulting Lender) except as expressly provided in the Loan Documents, (viii) subordinate (x) the Liens securing any of the Loan Document Obligations on all or substantially all of the Collateral (“</w:t>
      </w:r>
      <w:r>
        <w:rPr>
          <w:rFonts w:ascii="Arial" w:cs="Arial" w:eastAsia="Arial" w:hAnsi="Arial"/>
          <w:sz w:val="17"/>
          <w:szCs w:val="17"/>
          <w:u w:val="single" w:color="auto"/>
          <w:color w:val="auto"/>
        </w:rPr>
        <w:t>Existing Liens</w:t>
      </w:r>
      <w:r>
        <w:rPr>
          <w:rFonts w:ascii="Arial" w:cs="Arial" w:eastAsia="Arial" w:hAnsi="Arial"/>
          <w:sz w:val="17"/>
          <w:szCs w:val="17"/>
          <w:color w:val="auto"/>
        </w:rPr>
        <w:t>”) to the Liens securing any other Indebtedness or other obligations or (y) any Loan Document Obligations in contractual right of payment to any other Indebtedness or other obligations (any such other Indebtedness or other obligations, to which such Liens securing any of the Loan Document Obligations or such Loan Document Obligations, as applicable, are subordinated, “</w:t>
      </w:r>
      <w:r>
        <w:rPr>
          <w:rFonts w:ascii="Arial" w:cs="Arial" w:eastAsia="Arial" w:hAnsi="Arial"/>
          <w:sz w:val="17"/>
          <w:szCs w:val="17"/>
          <w:u w:val="single" w:color="auto"/>
          <w:color w:val="auto"/>
        </w:rPr>
        <w:t>Senior Indebtedness</w:t>
      </w:r>
      <w:r>
        <w:rPr>
          <w:rFonts w:ascii="Arial" w:cs="Arial" w:eastAsia="Arial" w:hAnsi="Arial"/>
          <w:sz w:val="17"/>
          <w:szCs w:val="17"/>
          <w:color w:val="auto"/>
        </w:rPr>
        <w:t>”), in either the case of subclause (x) or (y), unless each adversely affected Lender has been offered a bona fide opportunity to fund or otherwise provide its pro rata share (based on the amount of Loan Document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Arial" w:cs="Arial" w:eastAsia="Arial" w:hAnsi="Arial"/>
          <w:sz w:val="17"/>
          <w:szCs w:val="17"/>
          <w:u w:val="single" w:color="auto"/>
          <w:color w:val="auto"/>
        </w:rPr>
        <w:t>Ancillary Fees</w:t>
      </w:r>
      <w:r>
        <w:rPr>
          <w:rFonts w:ascii="Arial" w:cs="Arial" w:eastAsia="Arial" w:hAnsi="Arial"/>
          <w:sz w:val="17"/>
          <w:szCs w:val="17"/>
          <w:color w:val="auto"/>
        </w:rPr>
        <w:t>”)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(ix) change any provisions of any Loan Document in a manner that by its terms adversely affects the rights in respect of payments due to Lenders holding Loans of any Class differently than those holding Loans of any other Class, without the written consent of the Required Lenders with respect to any Class directly and adversely affected thereby, (x) amend, modify or waive Section 6.10 (or, for the purposes of determining compliance with the Financial Performance Covenant, any defined term used therein) without the written consent of a Majority in Interest of the Revolving Lenders, (xi) waive, amend, supplement or modify any condition precedent set forth in Section 4.02 as applied to the obligation of the Lenders to make Revolving Loans without the written consent of a Majority in Interest of the Revolving Lenders or (xii) change Section 7.03 in a manner that would alter</w:t>
      </w:r>
    </w:p>
    <w:p>
      <w:pPr>
        <w:sectPr>
          <w:pgSz w:w="11900" w:h="16838" w:orient="portrait"/>
          <w:cols w:equalWidth="0" w:num="1">
            <w:col w:w="11240"/>
          </w:cols>
          <w:pgMar w:left="320" w:top="1395" w:right="339" w:bottom="1440" w:gutter="0" w:footer="0" w:header="0"/>
        </w:sectPr>
      </w:pPr>
    </w:p>
    <w:bookmarkStart w:id="250" w:name="page251"/>
    <w:bookmarkEnd w:id="250"/>
    <w:p>
      <w:pPr>
        <w:jc w:val="both"/>
        <w:spacing w:after="0" w:line="279" w:lineRule="auto"/>
        <w:rPr>
          <w:sz w:val="20"/>
          <w:szCs w:val="20"/>
          <w:color w:val="auto"/>
        </w:rPr>
      </w:pPr>
      <w:r>
        <w:rPr>
          <w:rFonts w:ascii="Arial" w:cs="Arial" w:eastAsia="Arial" w:hAnsi="Arial"/>
          <w:sz w:val="17"/>
          <w:szCs w:val="17"/>
          <w:color w:val="auto"/>
        </w:rPr>
        <w:t xml:space="preserve">the application of amounts on account of the Secured Obligations set forth therein, or change Section 2.08 or 2.18 in a manner that would alter the ratable reduction of Commitments or the pro rata sharing of payments required thereby, in each case without the written consent of each Lender directly and adversely affected thereby;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no such agreement shall amend, modify or otherwise affect the rights or duties of the Administrative Agent, the Collateral Agent or any Issuing Bank without the prior written consent of the Administrative Agent, the Collateral Agent and such Issuing Bank, as applicable, (B) any provision of this Agreement or any other Loan Document may be amended by an agreement in writing entered into by Holdings, the Borrower and the Administrative Agent in order (i) to comply with local law or advise of local counsel or (ii) to cure any (1) ambiguity, omission, defect or inconsistency or technical error or (2) mistake, the cure of which mistake would not be adverse to the Lenders, in the good faith determination of the Borrower and the Administrative Agent,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any Intermediate Parent, the Borrower and the requisite percentage in interest of the affected Class of Lenders stating that would be required to consent thereto under this Section if such Class of Lenders were the only Class of Lenders hereunder at the time.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Security Documents and related documents in connection with this Agreement may be in a form reasonably determined by the Administrative Agent and may be, together with this Agreement and the other Loan Documents, amended and waived with the consent of the Administrative Agent at the request of the Borrower without the need to obtain the consent of any other Lender if such amendment or waiver is delivered in order (i) to comply with local law or advice of local counsel, (ii) to cure any (1) ambiguity, omission, defect or inconsistency or technical error or (2) mistake, the cure of which mistake would not be adverse to the Lenders, in the good faith determination of the Borrower and the Administrative Agent, (iii) to cause such guarantee, collateral security document or other document to be consistent with this Agreement and the other Loan Documents, or (iv) to integrate any Incremental Facility or Credit Agreement Refinancing Indebtedness in a manner consistent with this Agreement and the other Loan Documents, including the relevant Intercreditor Agreement(s).</w:t>
      </w:r>
    </w:p>
    <w:p>
      <w:pPr>
        <w:spacing w:after="0" w:line="390" w:lineRule="exact"/>
        <w:rPr>
          <w:sz w:val="20"/>
          <w:szCs w:val="20"/>
          <w:color w:val="auto"/>
        </w:rPr>
      </w:pPr>
    </w:p>
    <w:p>
      <w:pPr>
        <w:jc w:val="both"/>
        <w:ind w:firstLine="1278"/>
        <w:spacing w:after="0" w:line="250" w:lineRule="auto"/>
        <w:tabs>
          <w:tab w:leader="none" w:pos="174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In connection with any proposed amendment, modification, waiver or termination (a “</w:t>
      </w:r>
      <w:r>
        <w:rPr>
          <w:rFonts w:ascii="Arial" w:cs="Arial" w:eastAsia="Arial" w:hAnsi="Arial"/>
          <w:sz w:val="19"/>
          <w:szCs w:val="19"/>
          <w:u w:val="single" w:color="auto"/>
          <w:color w:val="auto"/>
        </w:rPr>
        <w:t>Proposed Change</w:t>
      </w:r>
      <w:r>
        <w:rPr>
          <w:rFonts w:ascii="Arial" w:cs="Arial" w:eastAsia="Arial" w:hAnsi="Arial"/>
          <w:sz w:val="19"/>
          <w:szCs w:val="19"/>
          <w:color w:val="auto"/>
        </w:rPr>
        <w:t xml:space="preserve">”) requiring the consent of all Lenders or all directly and adversely affected Lenders, if the consent of the Required Lenders (and, to the extent any Proposed Change requires the consent of Lenders holding Loans of any Class pursuant to clause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(xi)</w:t>
      </w:r>
      <w:r>
        <w:rPr>
          <w:rFonts w:ascii="Arial" w:cs="Arial" w:eastAsia="Arial" w:hAnsi="Arial"/>
          <w:sz w:val="19"/>
          <w:szCs w:val="19"/>
          <w:color w:val="auto"/>
        </w:rPr>
        <w:t xml:space="preserve"> of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being referred to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then, so long as the Lender that is acting as Administrative Agent is not a Non-Consenting Lender, the Borrower may, at its sole expense and effort, upon notice to such Non-Consenting Lender and the Administrative Agent, (i) if no Event of Default under </w:t>
      </w:r>
      <w:r>
        <w:rPr>
          <w:rFonts w:ascii="Arial" w:cs="Arial" w:eastAsia="Arial" w:hAnsi="Arial"/>
          <w:sz w:val="19"/>
          <w:szCs w:val="19"/>
          <w:u w:val="single" w:color="auto"/>
          <w:color w:val="auto"/>
        </w:rPr>
        <w:t>Sections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exists, permanently prepay all of the Loans of any Class owing by it to, and terminating any Commitments of, such Non-Consenting Lender or (ii) require such Non-Consenting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all its interests, rights and</w:t>
      </w:r>
    </w:p>
    <w:p>
      <w:pPr>
        <w:sectPr>
          <w:pgSz w:w="11900" w:h="16838" w:orient="portrait"/>
          <w:cols w:equalWidth="0" w:num="1">
            <w:col w:w="11240"/>
          </w:cols>
          <w:pgMar w:left="320" w:top="1395" w:right="339" w:bottom="1440" w:gutter="0" w:footer="0" w:header="0"/>
        </w:sectPr>
      </w:pPr>
    </w:p>
    <w:bookmarkStart w:id="251" w:name="page252"/>
    <w:bookmarkEnd w:id="251"/>
    <w:p>
      <w:pPr>
        <w:jc w:val="both"/>
        <w:spacing w:after="0" w:line="279" w:lineRule="auto"/>
        <w:rPr>
          <w:sz w:val="20"/>
          <w:szCs w:val="20"/>
          <w:color w:val="auto"/>
        </w:rPr>
      </w:pPr>
      <w:r>
        <w:rPr>
          <w:rFonts w:ascii="Arial" w:cs="Arial" w:eastAsia="Arial" w:hAnsi="Arial"/>
          <w:sz w:val="17"/>
          <w:szCs w:val="17"/>
          <w:color w:val="auto"/>
        </w:rPr>
        <w:t xml:space="preserve">obligations under this Agreement to an Eligible Assignee that shall assume such obligations (which Eligible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Borrower shall have received the prior written consent of the Administrative Agent to the extent such consent would be required under </w:t>
      </w:r>
      <w:r>
        <w:rPr>
          <w:rFonts w:ascii="Arial" w:cs="Arial" w:eastAsia="Arial" w:hAnsi="Arial"/>
          <w:sz w:val="17"/>
          <w:szCs w:val="17"/>
          <w:u w:val="single" w:color="auto"/>
          <w:color w:val="auto"/>
        </w:rPr>
        <w:t>Section 9.04(b)</w:t>
      </w:r>
      <w:r>
        <w:rPr>
          <w:rFonts w:ascii="Arial" w:cs="Arial" w:eastAsia="Arial" w:hAnsi="Arial"/>
          <w:sz w:val="17"/>
          <w:szCs w:val="17"/>
          <w:color w:val="auto"/>
        </w:rPr>
        <w:t xml:space="preserve"> for an assignment of Loans or Commitments, as applicable (and, if a Revolving Commitment is being assigned, each Issuing Bank), which consent shall not unreasonably be withheld, (b) such Non-Consenting Lender shall have received payment of an amount equal to the outstanding par principal amount of its Loans and participations in LC Disbursements, accrued interest thereon, accrued fees and all other amounts payable to it hereunder (including pursuant to </w:t>
      </w:r>
      <w:r>
        <w:rPr>
          <w:rFonts w:ascii="Arial" w:cs="Arial" w:eastAsia="Arial" w:hAnsi="Arial"/>
          <w:sz w:val="17"/>
          <w:szCs w:val="17"/>
          <w:u w:val="single" w:color="auto"/>
          <w:color w:val="auto"/>
        </w:rPr>
        <w:t>Section 2.11(a)(i)</w:t>
      </w:r>
      <w:r>
        <w:rPr>
          <w:rFonts w:ascii="Arial" w:cs="Arial" w:eastAsia="Arial" w:hAnsi="Arial"/>
          <w:sz w:val="17"/>
          <w:szCs w:val="17"/>
          <w:color w:val="auto"/>
        </w:rPr>
        <w:t>) from the Eligible Assignee (to the extent of such outstanding principal and accrued interest and fees) or the Borrower (in the case of all other amounts) and</w:t>
      </w:r>
    </w:p>
    <w:p>
      <w:pPr>
        <w:spacing w:after="0" w:line="2" w:lineRule="exact"/>
        <w:rPr>
          <w:sz w:val="20"/>
          <w:szCs w:val="20"/>
          <w:color w:val="auto"/>
        </w:rPr>
      </w:pPr>
    </w:p>
    <w:p>
      <w:pPr>
        <w:ind w:firstLine="6"/>
        <w:spacing w:after="0" w:line="261" w:lineRule="auto"/>
        <w:tabs>
          <w:tab w:leader="none" w:pos="292"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unless waived, the Borrower or such Eligible Assignee shall have paid to the Administrative Agent the processing and recordation fee specified in </w:t>
      </w:r>
      <w:r>
        <w:rPr>
          <w:rFonts w:ascii="Arial" w:cs="Arial" w:eastAsia="Arial" w:hAnsi="Arial"/>
          <w:sz w:val="19"/>
          <w:szCs w:val="19"/>
          <w:u w:val="single" w:color="auto"/>
          <w:color w:val="auto"/>
        </w:rPr>
        <w:t>Section 9.04(b)</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jc w:val="both"/>
        <w:ind w:firstLine="1278"/>
        <w:spacing w:after="0" w:line="251" w:lineRule="auto"/>
        <w:tabs>
          <w:tab w:leader="none" w:pos="1732" w:val="left"/>
        </w:tabs>
        <w:numPr>
          <w:ilvl w:val="1"/>
          <w:numId w:val="263"/>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the other Loan Documents to the contrary,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w:t>
      </w:r>
    </w:p>
    <w:p>
      <w:pPr>
        <w:spacing w:after="0" w:line="18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9.03</w:t>
      </w:r>
      <w:r>
        <w:rPr>
          <w:sz w:val="20"/>
          <w:szCs w:val="20"/>
          <w:color w:val="auto"/>
        </w:rPr>
        <w:tab/>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64" w:lineRule="auto"/>
        <w:tabs>
          <w:tab w:leader="none" w:pos="170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The Borrower shall pay, if the Effective Date occurs and the Transactions have been consummated, (i) all reasonable and documented out-of-pocket costs and expenses incurred by the Lead Arrangers and the Administrative Agent (limited, in the case of legal fees and expenses, to the reasonable and documented fees, disbursements and other charges of Simpson Thacher &amp; Bartlett LLP and, if reasonably necessary, of a single firm of local counsel to the Lead Arrangers and the Administrative Agent in each relevant material jurisdiction (which may include a single special counsel acting in multiple jurisdictions) and of such other counsel retained with the Borrower’s prior written consent (such consent not to be unreasonably withheld, conditioned or delayed), in each case incurred in connection with the Credit Facilities, and the preparation, execution, delivery and administration of the Loan Documents or any amendments, modifications or waivers of the provisions thereof), (ii) all reasonable and documented outof-pocket costs and expenses incurred by each Issuing Bank in connection with the issuance, amendment, renewal or extension of any Letter of Credit or any demand for payment thereunder and (iii) all reasonable and documented out-of-pocket expenses incurred by each Agent, each Issuing Bank or any Lender, including the fees, charges and disbursements of counsel for such Agent, the Issuing Banks and the Lenders, in connection with the preservation, enforcement or protection of any rights or remedies (A) in connection with the Loan Documents (including all such costs and expenses incurred during any legal proceeding, including any proceeding under any Debtor Relief Laws), including its rights under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or (B) in connection with the Loans made or Letters of Credit issued hereunder, including all such out-ofpocket costs and expenses incurred during any workout, restructuring or negotiations in respect of such Loans or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counsel shall be limited to one lead counsel and one local counsel in each applicable jurisdiction (exclusive of any reasonably necessary special counsel) (and, in the case of a conflict of interest, where each Agent, each Issuing Bank or any Lender affected by such conflict notifies Holdings of the existence</w:t>
      </w:r>
    </w:p>
    <w:p>
      <w:pPr>
        <w:sectPr>
          <w:pgSz w:w="11900" w:h="16838" w:orient="portrait"/>
          <w:cols w:equalWidth="0" w:num="1">
            <w:col w:w="11240"/>
          </w:cols>
          <w:pgMar w:left="320" w:top="1395" w:right="339" w:bottom="1440" w:gutter="0" w:footer="0" w:header="0"/>
        </w:sectPr>
      </w:pPr>
    </w:p>
    <w:bookmarkStart w:id="252" w:name="page253"/>
    <w:bookmarkEnd w:id="252"/>
    <w:p>
      <w:pPr>
        <w:jc w:val="both"/>
        <w:spacing w:after="0" w:line="263" w:lineRule="auto"/>
        <w:rPr>
          <w:sz w:val="20"/>
          <w:szCs w:val="20"/>
          <w:color w:val="auto"/>
        </w:rPr>
      </w:pPr>
      <w:r>
        <w:rPr>
          <w:rFonts w:ascii="Arial" w:cs="Arial" w:eastAsia="Arial" w:hAnsi="Arial"/>
          <w:sz w:val="19"/>
          <w:szCs w:val="19"/>
          <w:color w:val="auto"/>
        </w:rPr>
        <w:t>of such conflict and thereafter retains its own counsel, one additional counsel) and such other counsel as may be retained with the Borrower’s consent (such consent not to be unreasonably withheld or delayed). Notwithstanding the foregoing, the expenses of counsel shall not include any allocated costs of in-house counsel.</w:t>
      </w:r>
    </w:p>
    <w:p>
      <w:pPr>
        <w:spacing w:after="0" w:line="169" w:lineRule="exact"/>
        <w:rPr>
          <w:sz w:val="20"/>
          <w:szCs w:val="20"/>
          <w:color w:val="auto"/>
        </w:rPr>
      </w:pPr>
    </w:p>
    <w:p>
      <w:pPr>
        <w:jc w:val="both"/>
        <w:ind w:firstLine="1278"/>
        <w:spacing w:after="0" w:line="277" w:lineRule="auto"/>
        <w:tabs>
          <w:tab w:leader="none" w:pos="1766"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Borrower shall indemnify each Agent, each Issuing Bank, each Lender, the Lead Arrangers, the Bookrunners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(without duplication), any and all losses, claims, damages, liabilities and reasonable and documented out-of-pocket fees and expenses (limited, in the case of legal fees and expenses, to the reasonable and documented fees, charges and disbursements of one counsel for all Indemnitees, to the extent reasonably necessary, a single firm of local counsel in each relevant material jurisdiction (which may include a single special counsel acting in multiple jurisdictions)) for all such Indemnitees, taken as a whole (and, solely in the case of an actual or potential conflict of interest, where the Indemnitee affected by such conflict notifies the Borrower of the existence of such conflict and thereafter retains its own counsel after receipt of consent from the Borrower (not to be unreasonably withheld or delayed), of one additional firm of counsel for the affected Indemnitees, and, if reasonably necessary, one additional firm of local counsel in each appropriate material jurisdiction (which may include a single special counsel acting in multiple jurisdictions) for such affected Indemnitees, taken as a whole), incurred by or asserted against any Indemnitee by any third party or by the Borrower, Holdings or any Subsidiary arising out of, in connection with, or as a result of any claim, litigation, investigation or proceeding (including any inquiry or investigation), regardless of whether any such Indemnitee is a party thereto, whether based on contract, tort or any other theory, relating to (i) the execution or delivery of this Agreement, any Loan Document or any other agreement or instrument contemplated hereby or thereby, the performance by the parties to the Loan Documents of their respective obligations thereunder, the consummation of the Transactions or any other transactions contemplated thereby, the syndication of the Credit Facilities or the enforcement of any obligations of a Loan Party hereunder or under any other Loan Document,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to the extent in any way arising from or relating to any of the foregoing, any actual or alleged presence or Release or threat of Release of Hazardous Materials on, at, to or from any Mortgaged Property or any other property currently or formerly owned or operated by Holdings, any Intermediate Parent, the Borrower or any Subsidiary, or any other Environmental Liability related in any way to Holdings, any Intermediate Parent,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acting on behalf of, or at the direction of, the Indemnitee (in each case, as determined by a court of competent jurisdiction in a final and non-appealable judgment), (x) resulted from a material breach of the Loan Documents by such Indemnitee or its Related Parties acting on behalf of, or at the direction of, the Indemnitees (in each case, as determined by a court of competent jurisdiction in a final and non-appealable judgment), (y) brought by Holdings, the Borrower or any Restricted Subsidiary or any of their successors or permitted assigns against any such Indemnitee or</w:t>
      </w:r>
    </w:p>
    <w:p>
      <w:pPr>
        <w:spacing w:after="0" w:line="6" w:lineRule="exact"/>
        <w:rPr>
          <w:rFonts w:ascii="Arial" w:cs="Arial" w:eastAsia="Arial" w:hAnsi="Arial"/>
          <w:sz w:val="17"/>
          <w:szCs w:val="17"/>
          <w:color w:val="auto"/>
        </w:rPr>
      </w:pPr>
    </w:p>
    <w:p>
      <w:pPr>
        <w:jc w:val="both"/>
        <w:ind w:firstLine="6"/>
        <w:spacing w:after="0" w:line="252" w:lineRule="auto"/>
        <w:tabs>
          <w:tab w:leader="none" w:pos="299"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arise from disputes between or among Indemnitees (other than disputes involving claims against the Agents, the Lead Arrangers, the Bookrunners or any Issuing Bank, in each case, in their respective capacities) that does not arise from an act or omission by Holdings, the Borrower or any Restricted Subsidiary.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ectPr>
          <w:pgSz w:w="11900" w:h="16838" w:orient="portrait"/>
          <w:cols w:equalWidth="0" w:num="1">
            <w:col w:w="11240"/>
          </w:cols>
          <w:pgMar w:left="320" w:top="1395" w:right="339" w:bottom="1440" w:gutter="0" w:footer="0" w:header="0"/>
        </w:sectPr>
      </w:pPr>
    </w:p>
    <w:bookmarkStart w:id="253" w:name="page254"/>
    <w:bookmarkEnd w:id="253"/>
    <w:p>
      <w:pPr>
        <w:jc w:val="both"/>
        <w:ind w:left="-1120" w:firstLine="1278"/>
        <w:spacing w:after="0" w:line="251" w:lineRule="auto"/>
        <w:tabs>
          <w:tab w:leader="none" w:pos="581"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To the extent that the Borrower fails to pay any amount required to be paid by it to any Agent, any Lender or any Issuing Bank under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each Lender severally agrees to pay to such Agent, such Lender or such Issuing Bank, as the case may be, such Lender’s pro rata share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such Agent, such Lender or such Issuing Bank in its capacity as such. For purposes hereof, a Lender’s “pro rata share” shall be determined based upon its share of the aggregate Revolving Exposures, outstanding Term Loans and unused Commitments at such time (or if all such amounts have been reduced to zero, at the time immediately preceding such reduction). The obligations of the Lenders under this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are subject to the last sentence of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Lenders’ obligations under this paragraph </w:t>
      </w:r>
      <w:r>
        <w:rPr>
          <w:rFonts w:ascii="Arial" w:cs="Arial" w:eastAsia="Arial" w:hAnsi="Arial"/>
          <w:sz w:val="19"/>
          <w:szCs w:val="19"/>
          <w:u w:val="single" w:color="auto"/>
          <w:color w:val="auto"/>
        </w:rPr>
        <w:t>(c)</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1120" w:firstLine="1278"/>
        <w:spacing w:after="0" w:line="281" w:lineRule="auto"/>
        <w:tabs>
          <w:tab w:leader="none" w:pos="58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(i) neither Holdings nor the Borrower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direct or actual damages are determined by a court of competent jurisdiction by final, non-appealable judgment to have resulted from the gross negligence, bad faith or willful misconduct of, or a material breach of the Loan Documents by, such Indemnitee or its Related Parties and (ii) no Loan Party (or any Affiliate thereof), or Indemnitee shall be liable for any special, indirect, consequential, incidental, exemplary or punitive damages (as opposed to direct or actual damages) arising out of, in connection with, or as a result of, this Agreement, any other Loan Document or any agreement or instrument contemplated hereby or thereby, the Financing Transactions, any Loan or Letter of Credit or the use of the proceeds thereof; provided that nothing in this paragraph shall limit any Loan Party’s (or any Affiliate thereof) indemnity and reimbursement obligations to the extent that such indirect, special, punitive or consequential damages are included in any claim by a third party unaffiliated with the applicable Indemnitee with respect to which the applicable Indemnitee is entitled to indemnification as set forth in this </w:t>
      </w:r>
      <w:r>
        <w:rPr>
          <w:rFonts w:ascii="Arial" w:cs="Arial" w:eastAsia="Arial" w:hAnsi="Arial"/>
          <w:sz w:val="17"/>
          <w:szCs w:val="17"/>
          <w:u w:val="single" w:color="auto"/>
          <w:color w:val="auto"/>
        </w:rPr>
        <w:t>Section 9.03</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jc w:val="both"/>
        <w:ind w:left="-1120" w:firstLine="1278"/>
        <w:spacing w:after="0" w:line="257" w:lineRule="auto"/>
        <w:tabs>
          <w:tab w:leader="none" w:pos="616"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All amounts due under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be payable not later than thirty (30) Business Days after written demand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Indemnitee shall promptly refund an indemnification payment received hereunder to the extent that there is a final judicial determination that such Indemnitee was not entitled to indemnification with respect to such payment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9.03</w:t>
      </w:r>
      <w:r>
        <w:rPr>
          <w:rFonts w:ascii="Arial" w:cs="Arial" w:eastAsia="Arial" w:hAnsi="Arial"/>
          <w:sz w:val="19"/>
          <w:szCs w:val="19"/>
          <w:color w:val="auto"/>
        </w:rPr>
        <w:t>.</w:t>
      </w:r>
    </w:p>
    <w:p>
      <w:pPr>
        <w:spacing w:after="0" w:line="177"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9"/>
          <w:szCs w:val="19"/>
          <w:color w:val="auto"/>
        </w:rPr>
        <w:t>SECTION 9.04</w:t>
      </w:r>
      <w:r>
        <w:rPr>
          <w:sz w:val="20"/>
          <w:szCs w:val="20"/>
          <w:color w:val="auto"/>
        </w:rPr>
        <w:tab/>
      </w:r>
      <w:r>
        <w:rPr>
          <w:rFonts w:ascii="Arial" w:cs="Arial" w:eastAsia="Arial" w:hAnsi="Arial"/>
          <w:sz w:val="17"/>
          <w:szCs w:val="17"/>
          <w:u w:val="single" w:color="auto"/>
          <w:color w:val="auto"/>
        </w:rPr>
        <w:t>Successors and Assigns</w:t>
      </w:r>
      <w:r>
        <w:rPr>
          <w:rFonts w:ascii="Arial" w:cs="Arial" w:eastAsia="Arial" w:hAnsi="Arial"/>
          <w:sz w:val="17"/>
          <w:szCs w:val="17"/>
          <w:color w:val="auto"/>
        </w:rPr>
        <w:t>.</w:t>
      </w:r>
    </w:p>
    <w:p>
      <w:pPr>
        <w:spacing w:after="0" w:line="219" w:lineRule="exact"/>
        <w:rPr>
          <w:sz w:val="20"/>
          <w:szCs w:val="20"/>
          <w:color w:val="auto"/>
        </w:rPr>
      </w:pPr>
    </w:p>
    <w:p>
      <w:pPr>
        <w:jc w:val="both"/>
        <w:ind w:left="-1120" w:firstLine="1278"/>
        <w:spacing w:after="0" w:line="268" w:lineRule="auto"/>
        <w:tabs>
          <w:tab w:leader="none" w:pos="59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each Issuing Bank and the acknowledgement of the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(iii) no Lender may assign or otherwise transfer its rights or obligations hereunder except in accordance with this</w:t>
      </w:r>
    </w:p>
    <w:p>
      <w:pPr>
        <w:sectPr>
          <w:pgSz w:w="11900" w:h="16838" w:orient="portrait"/>
          <w:cols w:equalWidth="0" w:num="1">
            <w:col w:w="10120"/>
          </w:cols>
          <w:pgMar w:left="1440" w:top="1395" w:right="339" w:bottom="1440" w:gutter="0" w:footer="0" w:header="0"/>
        </w:sectPr>
      </w:pPr>
    </w:p>
    <w:bookmarkStart w:id="254" w:name="page255"/>
    <w:bookmarkEnd w:id="254"/>
    <w:p>
      <w:pPr>
        <w:jc w:val="both"/>
        <w:spacing w:after="0" w:line="255" w:lineRule="auto"/>
        <w:rPr>
          <w:sz w:val="20"/>
          <w:szCs w:val="20"/>
          <w:color w:val="auto"/>
        </w:rPr>
      </w:pP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the Indemnitees and, to the extent expressly contemplated hereby, the Related Parties of each of the Administrative Agent, the Issuing Bank and the Lenders) any legal or equitable right, remedy or claim under or by reason of this Agreement.</w:t>
      </w:r>
    </w:p>
    <w:p>
      <w:pPr>
        <w:spacing w:after="0" w:line="178" w:lineRule="exact"/>
        <w:rPr>
          <w:sz w:val="20"/>
          <w:szCs w:val="20"/>
          <w:color w:val="auto"/>
        </w:rPr>
      </w:pPr>
    </w:p>
    <w:p>
      <w:pPr>
        <w:jc w:val="both"/>
        <w:ind w:firstLine="1278"/>
        <w:spacing w:after="0" w:line="263" w:lineRule="auto"/>
        <w:tabs>
          <w:tab w:leader="none" w:pos="173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paragraphs </w:t>
      </w:r>
      <w:r>
        <w:rPr>
          <w:rFonts w:ascii="Arial" w:cs="Arial" w:eastAsia="Arial" w:hAnsi="Arial"/>
          <w:sz w:val="18"/>
          <w:szCs w:val="18"/>
          <w:u w:val="single" w:color="auto"/>
          <w:color w:val="auto"/>
        </w:rPr>
        <w:t>(b)(ii)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of the Borrower) not to be unreasonably withheld, conditioned or delayed) of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(x) by a Term Lender to any other Lender, any Affiliate of a Lender or any Approved Fund, (y) by a Revolving Lender to any other Revolving Lender, any Affiliate of a Revolving Lender or any Approved Fund or (z) if an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with respect to the Borrower has occurred and is continuing (other than in respect of a proposed assignment to a Disqualified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assignee contemplated by the immediately preceding proviso shall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than the applicable assignor would have been entitled to receive with respect to the assignment made to such assignee, unless the assignment to such assignee is made with the Borrower’s prior written consent;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 Term Loan or Term Commitment to (x) a Lender, an Affiliate of a Lender or an Approved Fund or (y) subject to </w:t>
      </w:r>
      <w:r>
        <w:rPr>
          <w:rFonts w:ascii="Arial" w:cs="Arial" w:eastAsia="Arial" w:hAnsi="Arial"/>
          <w:sz w:val="18"/>
          <w:szCs w:val="18"/>
          <w:u w:val="single" w:color="auto"/>
          <w:color w:val="auto"/>
        </w:rPr>
        <w:t>Section 9.04(g)</w:t>
      </w:r>
      <w:r>
        <w:rPr>
          <w:rFonts w:ascii="Arial" w:cs="Arial" w:eastAsia="Arial" w:hAnsi="Arial"/>
          <w:sz w:val="18"/>
          <w:szCs w:val="18"/>
          <w:color w:val="auto"/>
        </w:rPr>
        <w:t xml:space="preserve">, Holdings, the Borrower or any of its Subsidiaries and (C) each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any Issuing Bank shall be required for an assignment of all or any portion of a Term Loan or Term Commitment. Notwithstanding anything in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to the contrary, if the Borrower has not given the Administrative Agent written notice of its objection to an assignment of Term Loans, Revolving Commitments and/or Revolving Loans within ten (10) Business Days after written notice of such assignment, the Borrower shall be deemed to have consented to such assignment (other than in respect of a proposed assignment to a Disqualified Lender).</w:t>
      </w:r>
    </w:p>
    <w:p>
      <w:pPr>
        <w:spacing w:after="0" w:line="182" w:lineRule="exact"/>
        <w:rPr>
          <w:rFonts w:ascii="Arial" w:cs="Arial" w:eastAsia="Arial" w:hAnsi="Arial"/>
          <w:sz w:val="18"/>
          <w:szCs w:val="18"/>
          <w:color w:val="auto"/>
        </w:rPr>
      </w:pPr>
    </w:p>
    <w:p>
      <w:pPr>
        <w:jc w:val="both"/>
        <w:ind w:firstLine="1914"/>
        <w:spacing w:after="0" w:line="282" w:lineRule="auto"/>
        <w:tabs>
          <w:tab w:leader="none" w:pos="2362" w:val="left"/>
        </w:tabs>
        <w:numPr>
          <w:ilvl w:val="1"/>
          <w:numId w:val="269"/>
        </w:numPr>
        <w:rPr>
          <w:rFonts w:ascii="Arial" w:cs="Arial" w:eastAsia="Arial" w:hAnsi="Arial"/>
          <w:sz w:val="17"/>
          <w:szCs w:val="17"/>
          <w:color w:val="auto"/>
        </w:rPr>
      </w:pPr>
      <w:r>
        <w:rPr>
          <w:rFonts w:ascii="Arial" w:cs="Arial" w:eastAsia="Arial" w:hAnsi="Arial"/>
          <w:sz w:val="17"/>
          <w:szCs w:val="17"/>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(and integral multiples of $1,000,000 in excess thereof) or, in the case of a Term Loan, not be less than $1,000,000 (and integral multiples of $1,000,000 in excess thereof), unless the Borrower and the Administrative Agent otherwise consent (in each case, such consent not to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under </w:t>
      </w:r>
      <w:r>
        <w:rPr>
          <w:rFonts w:ascii="Arial" w:cs="Arial" w:eastAsia="Arial" w:hAnsi="Arial"/>
          <w:sz w:val="17"/>
          <w:szCs w:val="17"/>
          <w:u w:val="single" w:color="auto"/>
          <w:color w:val="auto"/>
        </w:rPr>
        <w:t>Sections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with respect to the Borrower has occurred and is continuing (other than in respect of a proposed assignment to a Disqualified Lender), (B) each partial assignment shall be made as an assignment of a proportionate part of all the assigning Lender’s rights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not be construed</w:t>
      </w:r>
    </w:p>
    <w:p>
      <w:pPr>
        <w:sectPr>
          <w:pgSz w:w="11900" w:h="16838" w:orient="portrait"/>
          <w:cols w:equalWidth="0" w:num="1">
            <w:col w:w="11240"/>
          </w:cols>
          <w:pgMar w:left="320" w:top="1395" w:right="339" w:bottom="1440" w:gutter="0" w:footer="0" w:header="0"/>
        </w:sectPr>
      </w:pPr>
    </w:p>
    <w:bookmarkStart w:id="255" w:name="page256"/>
    <w:bookmarkEnd w:id="255"/>
    <w:p>
      <w:pPr>
        <w:jc w:val="both"/>
        <w:spacing w:after="0" w:line="263" w:lineRule="auto"/>
        <w:rPr>
          <w:sz w:val="20"/>
          <w:szCs w:val="20"/>
          <w:color w:val="auto"/>
        </w:rPr>
      </w:pPr>
      <w:r>
        <w:rPr>
          <w:rFonts w:ascii="Arial" w:cs="Arial" w:eastAsia="Arial" w:hAnsi="Arial"/>
          <w:sz w:val="18"/>
          <w:szCs w:val="18"/>
          <w:color w:val="auto"/>
        </w:rPr>
        <w:t xml:space="preserve">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with the Administrative Agent, manually execute and deliver to the Administrative Agent an Assignment and Assumption, and, in each case, together with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in its sole discretion, may elect to waive or reduce such processing and recordation fee;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Assignment and Assumption shall include a representation by the assignee that the assignee is not a Disqualified Lender or an Affiliate of a Disqualified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assignments made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9.02(c)</w:t>
      </w:r>
      <w:r>
        <w:rPr>
          <w:rFonts w:ascii="Arial" w:cs="Arial" w:eastAsia="Arial" w:hAnsi="Arial"/>
          <w:sz w:val="18"/>
          <w:szCs w:val="18"/>
          <w:color w:val="auto"/>
        </w:rPr>
        <w:t xml:space="preserve"> shall not require the signature of the assigning Lender to become effective, (D) the assignee, if it shall not be a Lender, shall deliver to the Borrower and the Administrative Agent any tax forms required by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and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an Issuing Bank may be made unless (1) the assignee shall be or becomes an Issuing Bank, as applicable, and assume a ratable portion of the rights and obligations of such assignor in its capacity as Issuing Bank, or (2) the assignor agrees, in its discretion, to retain all of its rights with respect to and obligations to issue Letters of Credit, as applicable, hereunder in which case the Applicable Fronting Exposure of such assignor may exceed such assignor’s Revolving Commitment for purposes of </w:t>
      </w:r>
      <w:r>
        <w:rPr>
          <w:rFonts w:ascii="Arial" w:cs="Arial" w:eastAsia="Arial" w:hAnsi="Arial"/>
          <w:sz w:val="18"/>
          <w:szCs w:val="18"/>
          <w:u w:val="single" w:color="auto"/>
          <w:color w:val="auto"/>
        </w:rPr>
        <w:t>Sections 2.05(a)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2.05(b)</w:t>
      </w:r>
      <w:r>
        <w:rPr>
          <w:rFonts w:ascii="Arial" w:cs="Arial" w:eastAsia="Arial" w:hAnsi="Arial"/>
          <w:sz w:val="18"/>
          <w:szCs w:val="18"/>
          <w:color w:val="auto"/>
        </w:rPr>
        <w:t xml:space="preserve"> by an amount not to exceed the difference between the assignor’s Revolving Commitment prior to such assignment and the assignor’s Revolving Commitment following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if an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with respect to the Borrower has occurred and is continuing (other than in respect of a proposed assignment to a Disqualified Lender).</w:t>
      </w:r>
    </w:p>
    <w:p>
      <w:pPr>
        <w:spacing w:after="0" w:line="181" w:lineRule="exact"/>
        <w:rPr>
          <w:sz w:val="20"/>
          <w:szCs w:val="20"/>
          <w:color w:val="auto"/>
        </w:rPr>
      </w:pPr>
    </w:p>
    <w:p>
      <w:pPr>
        <w:jc w:val="both"/>
        <w:ind w:firstLine="1914"/>
        <w:spacing w:after="0" w:line="250" w:lineRule="auto"/>
        <w:tabs>
          <w:tab w:leader="none" w:pos="2418"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paragraph </w:t>
      </w:r>
      <w:r>
        <w:rPr>
          <w:rFonts w:ascii="Arial" w:cs="Arial" w:eastAsia="Arial" w:hAnsi="Arial"/>
          <w:sz w:val="19"/>
          <w:szCs w:val="19"/>
          <w:u w:val="single" w:color="auto"/>
          <w:color w:val="auto"/>
        </w:rPr>
        <w:t>(b)(v)</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and to any fees payable hereunder that have accrued for such Lender’s account but have not yet been paid). Any assignment or transfer by a Lender of rights or obligations under this Agreement that does not comply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9.04</w:t>
      </w:r>
      <w:r>
        <w:rPr>
          <w:rFonts w:ascii="Arial" w:cs="Arial" w:eastAsia="Arial" w:hAnsi="Arial"/>
          <w:sz w:val="19"/>
          <w:szCs w:val="19"/>
          <w:color w:val="auto"/>
        </w:rPr>
        <w:t xml:space="preserve"> shall be treated for purposes of this Agreement as a sale by such Lender of a participation in such rights and obligations in accordance with paragraph </w:t>
      </w:r>
      <w:r>
        <w:rPr>
          <w:rFonts w:ascii="Arial" w:cs="Arial" w:eastAsia="Arial" w:hAnsi="Arial"/>
          <w:sz w:val="19"/>
          <w:szCs w:val="19"/>
          <w:u w:val="single" w:color="auto"/>
          <w:color w:val="auto"/>
        </w:rPr>
        <w:t>(c)(i)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firstLine="1914"/>
        <w:spacing w:after="0" w:line="253" w:lineRule="auto"/>
        <w:tabs>
          <w:tab w:leader="none" w:pos="2392"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Holdings, the Borrower, the Administrative Agent, the Issuing Banks and the Lenders shall treat each Person whose name is recorded in the Register pursuant to the</w:t>
      </w:r>
    </w:p>
    <w:p>
      <w:pPr>
        <w:sectPr>
          <w:pgSz w:w="11900" w:h="16838" w:orient="portrait"/>
          <w:cols w:equalWidth="0" w:num="1">
            <w:col w:w="11240"/>
          </w:cols>
          <w:pgMar w:left="320" w:top="1395" w:right="339" w:bottom="1440" w:gutter="0" w:footer="0" w:header="0"/>
        </w:sectPr>
      </w:pPr>
    </w:p>
    <w:bookmarkStart w:id="256" w:name="page257"/>
    <w:bookmarkEnd w:id="256"/>
    <w:p>
      <w:pPr>
        <w:jc w:val="both"/>
        <w:spacing w:after="0" w:line="257" w:lineRule="auto"/>
        <w:rPr>
          <w:sz w:val="20"/>
          <w:szCs w:val="20"/>
          <w:color w:val="auto"/>
        </w:rPr>
      </w:pPr>
      <w:r>
        <w:rPr>
          <w:rFonts w:ascii="Arial" w:cs="Arial" w:eastAsia="Arial" w:hAnsi="Arial"/>
          <w:sz w:val="19"/>
          <w:szCs w:val="19"/>
          <w:color w:val="auto"/>
        </w:rPr>
        <w:t>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77" w:lineRule="exact"/>
        <w:rPr>
          <w:sz w:val="20"/>
          <w:szCs w:val="20"/>
          <w:color w:val="auto"/>
        </w:rPr>
      </w:pPr>
    </w:p>
    <w:p>
      <w:pPr>
        <w:jc w:val="both"/>
        <w:ind w:firstLine="1914"/>
        <w:spacing w:after="0" w:line="253" w:lineRule="auto"/>
        <w:tabs>
          <w:tab w:leader="none" w:pos="2453" w:val="left"/>
        </w:tabs>
        <w:numPr>
          <w:ilvl w:val="1"/>
          <w:numId w:val="271"/>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the assignee’s completed Administrative Questionnaire and any tax forms required by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(unless the assignee shall already be a Lender hereunder), the processing and recordation fee referred to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any written consent to such assignment required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1" w:lineRule="exact"/>
        <w:rPr>
          <w:rFonts w:ascii="Arial" w:cs="Arial" w:eastAsia="Arial" w:hAnsi="Arial"/>
          <w:sz w:val="19"/>
          <w:szCs w:val="19"/>
          <w:color w:val="auto"/>
        </w:rPr>
      </w:pPr>
    </w:p>
    <w:p>
      <w:pPr>
        <w:jc w:val="both"/>
        <w:ind w:firstLine="1914"/>
        <w:spacing w:after="0" w:line="272" w:lineRule="auto"/>
        <w:tabs>
          <w:tab w:leader="none" w:pos="239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5" w:lineRule="exact"/>
        <w:rPr>
          <w:rFonts w:ascii="Arial" w:cs="Arial" w:eastAsia="Arial" w:hAnsi="Arial"/>
          <w:sz w:val="18"/>
          <w:szCs w:val="18"/>
          <w:color w:val="auto"/>
        </w:rPr>
      </w:pPr>
    </w:p>
    <w:p>
      <w:pPr>
        <w:jc w:val="both"/>
        <w:ind w:firstLine="1278"/>
        <w:spacing w:after="0" w:line="264" w:lineRule="auto"/>
        <w:tabs>
          <w:tab w:leader="none" w:pos="169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 Any Lender may, without the consent of or notice to the Borrower, the Administrative Agent or the Issuing Banks, sell participations to one or more banks or other Persons (other than to a Person that is not an Eligible Assignee)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that directly and adversely affects such Participant. Subject to paragraph </w:t>
      </w:r>
      <w:r>
        <w:rPr>
          <w:rFonts w:ascii="Arial" w:cs="Arial" w:eastAsia="Arial" w:hAnsi="Arial"/>
          <w:sz w:val="18"/>
          <w:szCs w:val="18"/>
          <w:u w:val="single" w:color="auto"/>
          <w:color w:val="auto"/>
        </w:rPr>
        <w:t>(c)(iii)</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(subject to the obligations and limitations thereof and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it being understood that any tax forms required by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shall be provided solely to the participating Lender) to the same extent as if it were a Lender and had acquired its interest by assignment pursuant to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To the extent permitted by law, each Participant also shall be entitled to the benefits of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as though it were a Lender.</w:t>
      </w:r>
    </w:p>
    <w:p>
      <w:pPr>
        <w:spacing w:after="0" w:line="173" w:lineRule="exact"/>
        <w:rPr>
          <w:rFonts w:ascii="Arial" w:cs="Arial" w:eastAsia="Arial" w:hAnsi="Arial"/>
          <w:sz w:val="18"/>
          <w:szCs w:val="18"/>
          <w:color w:val="auto"/>
        </w:rPr>
      </w:pPr>
    </w:p>
    <w:p>
      <w:pPr>
        <w:jc w:val="both"/>
        <w:ind w:firstLine="1914"/>
        <w:spacing w:after="0" w:line="284" w:lineRule="auto"/>
        <w:tabs>
          <w:tab w:leader="none" w:pos="2496" w:val="left"/>
        </w:tabs>
        <w:numPr>
          <w:ilvl w:val="1"/>
          <w:numId w:val="272"/>
        </w:numPr>
        <w:rPr>
          <w:rFonts w:ascii="Arial" w:cs="Arial" w:eastAsia="Arial" w:hAnsi="Arial"/>
          <w:sz w:val="18"/>
          <w:szCs w:val="18"/>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The entries in the</w:t>
      </w:r>
    </w:p>
    <w:p>
      <w:pPr>
        <w:sectPr>
          <w:pgSz w:w="11900" w:h="16838" w:orient="portrait"/>
          <w:cols w:equalWidth="0" w:num="1">
            <w:col w:w="11240"/>
          </w:cols>
          <w:pgMar w:left="320" w:top="1395" w:right="339" w:bottom="1440" w:gutter="0" w:footer="0" w:header="0"/>
        </w:sectPr>
      </w:pPr>
    </w:p>
    <w:bookmarkStart w:id="257" w:name="page258"/>
    <w:bookmarkEnd w:id="257"/>
    <w:p>
      <w:pPr>
        <w:jc w:val="both"/>
        <w:spacing w:after="0" w:line="268" w:lineRule="auto"/>
        <w:rPr>
          <w:sz w:val="20"/>
          <w:szCs w:val="20"/>
          <w:color w:val="auto"/>
        </w:rPr>
      </w:pPr>
      <w:r>
        <w:rPr>
          <w:rFonts w:ascii="Arial" w:cs="Arial" w:eastAsia="Arial" w:hAnsi="Arial"/>
          <w:sz w:val="18"/>
          <w:szCs w:val="18"/>
          <w:color w:val="auto"/>
        </w:rPr>
        <w:t>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Loan Documents) except to the extent that the relevant parties, acting reasonably and in good faith, determine that such disclosure is necessary in connection with a Tax audit or other proceeding to establish that any Loan or other obligation under the Loan Documents is in registered form under Section 5f.103-1(c) and proposed Section 1.163-5(b) of the United States Treasury regulations.</w:t>
      </w:r>
    </w:p>
    <w:p>
      <w:pPr>
        <w:spacing w:after="0" w:line="171" w:lineRule="exact"/>
        <w:rPr>
          <w:sz w:val="20"/>
          <w:szCs w:val="20"/>
          <w:color w:val="auto"/>
        </w:rPr>
      </w:pPr>
    </w:p>
    <w:p>
      <w:pPr>
        <w:jc w:val="both"/>
        <w:ind w:firstLine="1914"/>
        <w:spacing w:after="0" w:line="284" w:lineRule="auto"/>
        <w:tabs>
          <w:tab w:leader="none" w:pos="248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(not to be unreasonably withheld, conditioned or delayed).</w:t>
      </w:r>
    </w:p>
    <w:p>
      <w:pPr>
        <w:spacing w:after="0" w:line="152" w:lineRule="exact"/>
        <w:rPr>
          <w:rFonts w:ascii="Arial" w:cs="Arial" w:eastAsia="Arial" w:hAnsi="Arial"/>
          <w:sz w:val="18"/>
          <w:szCs w:val="18"/>
          <w:color w:val="auto"/>
        </w:rPr>
      </w:pPr>
    </w:p>
    <w:p>
      <w:pPr>
        <w:jc w:val="both"/>
        <w:ind w:firstLine="1278"/>
        <w:spacing w:after="0" w:line="255" w:lineRule="auto"/>
        <w:tabs>
          <w:tab w:leader="none" w:pos="1689"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77" w:lineRule="exact"/>
        <w:rPr>
          <w:rFonts w:ascii="Arial" w:cs="Arial" w:eastAsia="Arial" w:hAnsi="Arial"/>
          <w:sz w:val="19"/>
          <w:szCs w:val="19"/>
          <w:color w:val="auto"/>
        </w:rPr>
      </w:pPr>
    </w:p>
    <w:p>
      <w:pPr>
        <w:jc w:val="both"/>
        <w:ind w:firstLine="1278"/>
        <w:spacing w:after="0" w:line="265" w:lineRule="auto"/>
        <w:tabs>
          <w:tab w:leader="none" w:pos="168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5" w:lineRule="exact"/>
        <w:rPr>
          <w:rFonts w:ascii="Arial" w:cs="Arial" w:eastAsia="Arial" w:hAnsi="Arial"/>
          <w:sz w:val="18"/>
          <w:szCs w:val="18"/>
          <w:color w:val="auto"/>
        </w:rPr>
      </w:pPr>
    </w:p>
    <w:p>
      <w:pPr>
        <w:ind w:left="1660" w:hanging="382"/>
        <w:spacing w:after="0"/>
        <w:tabs>
          <w:tab w:leader="none" w:pos="166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8"/>
        <w:spacing w:after="0" w:line="270" w:lineRule="auto"/>
        <w:tabs>
          <w:tab w:leader="none" w:pos="168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or other customary procedures acceptable to the Administrative Agent and/or (y) open market purchases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not make any Borrowing of Revolving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w:t>
      </w:r>
    </w:p>
    <w:p>
      <w:pPr>
        <w:sectPr>
          <w:pgSz w:w="11900" w:h="16838" w:orient="portrait"/>
          <w:cols w:equalWidth="0" w:num="1">
            <w:col w:w="11240"/>
          </w:cols>
          <w:pgMar w:left="320" w:top="1395" w:right="339" w:bottom="1440" w:gutter="0" w:footer="0" w:header="0"/>
        </w:sectPr>
      </w:pPr>
    </w:p>
    <w:bookmarkStart w:id="258" w:name="page259"/>
    <w:bookmarkEnd w:id="258"/>
    <w:p>
      <w:pPr>
        <w:jc w:val="both"/>
        <w:spacing w:after="0" w:line="266" w:lineRule="auto"/>
        <w:rPr>
          <w:sz w:val="20"/>
          <w:szCs w:val="20"/>
          <w:color w:val="auto"/>
        </w:rPr>
      </w:pPr>
      <w:r>
        <w:rPr>
          <w:rFonts w:ascii="Arial" w:cs="Arial" w:eastAsia="Arial" w:hAnsi="Arial"/>
          <w:sz w:val="18"/>
          <w:szCs w:val="18"/>
          <w:color w:val="auto"/>
        </w:rPr>
        <w:t>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w:t>
      </w:r>
    </w:p>
    <w:p>
      <w:pPr>
        <w:spacing w:after="0" w:line="170" w:lineRule="exact"/>
        <w:rPr>
          <w:sz w:val="20"/>
          <w:szCs w:val="20"/>
          <w:color w:val="auto"/>
        </w:rPr>
      </w:pPr>
    </w:p>
    <w:p>
      <w:pPr>
        <w:jc w:val="both"/>
        <w:ind w:firstLine="1278"/>
        <w:spacing w:after="0" w:line="279" w:lineRule="auto"/>
        <w:tabs>
          <w:tab w:leader="none" w:pos="176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Notwithstanding the foregoing, no assignment may be made or participation sold to a Disqualified Lender without the prior written consent of the Borrower. Upon inquiry by any Lender to the Administrative Agent as to 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 Notwithstanding anything contained in this Agreement or any other Loan Document to the contrary, if any Lender was a Disqualified Lender at the time of the assignment of any Loans or Commitments to such Lender, following written notice from the Borrower to such Lender and the Administrative Agent: (1) such Lender shall promptly assign all Loans and Commitments held by such Lender to an Eligible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w:t>
      </w:r>
      <w:r>
        <w:rPr>
          <w:rFonts w:ascii="Arial" w:cs="Arial" w:eastAsia="Arial" w:hAnsi="Arial"/>
          <w:sz w:val="17"/>
          <w:szCs w:val="17"/>
          <w:u w:val="single" w:color="auto"/>
          <w:color w:val="auto"/>
        </w:rPr>
        <w:t>Section 9.04(b)(i)</w:t>
      </w:r>
      <w:r>
        <w:rPr>
          <w:rFonts w:ascii="Arial" w:cs="Arial" w:eastAsia="Arial" w:hAnsi="Arial"/>
          <w:sz w:val="17"/>
          <w:szCs w:val="17"/>
          <w:color w:val="auto"/>
        </w:rPr>
        <w:t xml:space="preserve">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or Borrowings, notices or prepayments and other administrative notices in respect of its Loans or Commitments required to be delivered to Lenders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7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9.05</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84" w:lineRule="auto"/>
        <w:rPr>
          <w:sz w:val="20"/>
          <w:szCs w:val="20"/>
          <w:color w:val="auto"/>
        </w:rPr>
      </w:pPr>
      <w:r>
        <w:rPr>
          <w:rFonts w:ascii="Arial" w:cs="Arial" w:eastAsia="Arial" w:hAnsi="Arial"/>
          <w:sz w:val="18"/>
          <w:szCs w:val="18"/>
          <w:color w:val="auto"/>
        </w:rPr>
        <w:t>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w:t>
      </w:r>
    </w:p>
    <w:p>
      <w:pPr>
        <w:sectPr>
          <w:pgSz w:w="11900" w:h="16838" w:orient="portrait"/>
          <w:cols w:equalWidth="0" w:num="1">
            <w:col w:w="11240"/>
          </w:cols>
          <w:pgMar w:left="320" w:top="1395" w:right="339" w:bottom="1440" w:gutter="0" w:footer="0" w:header="0"/>
        </w:sectPr>
      </w:pPr>
    </w:p>
    <w:bookmarkStart w:id="259" w:name="page260"/>
    <w:bookmarkEnd w:id="259"/>
    <w:p>
      <w:pPr>
        <w:jc w:val="both"/>
        <w:spacing w:after="0" w:line="281" w:lineRule="auto"/>
        <w:rPr>
          <w:sz w:val="20"/>
          <w:szCs w:val="20"/>
          <w:color w:val="auto"/>
        </w:rPr>
      </w:pPr>
      <w:r>
        <w:rPr>
          <w:rFonts w:ascii="Arial" w:cs="Arial" w:eastAsia="Arial" w:hAnsi="Arial"/>
          <w:sz w:val="17"/>
          <w:szCs w:val="17"/>
          <w:color w:val="auto"/>
        </w:rPr>
        <w:t xml:space="preserve">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or the resignation or removal of any Agent. Notwithstanding the foregoing or anything else to the contrary set forth in this Agreement, in the event that, in connection with the refinancing or repayment in full of the Credit Facilities,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w:t>
      </w:r>
    </w:p>
    <w:p>
      <w:pPr>
        <w:spacing w:after="0" w:line="15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9.06</w:t>
      </w:r>
      <w:r>
        <w:rPr>
          <w:sz w:val="20"/>
          <w:szCs w:val="20"/>
          <w:color w:val="auto"/>
        </w:rPr>
        <w:tab/>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 The words “execution,” “signed,” “signature,” and words of like import in this Agreement and each other Loan Document or in any amendment or other modification hereof or thereof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ectPr>
          <w:pgSz w:w="11900" w:h="16838" w:orient="portrait"/>
          <w:cols w:equalWidth="0" w:num="1">
            <w:col w:w="11240"/>
          </w:cols>
          <w:pgMar w:left="320" w:top="1395" w:right="339" w:bottom="1440" w:gutter="0" w:footer="0" w:header="0"/>
        </w:sectPr>
      </w:pPr>
    </w:p>
    <w:bookmarkStart w:id="260" w:name="page261"/>
    <w:bookmarkEnd w:id="260"/>
    <w:p>
      <w:pPr>
        <w:ind w:left="1280"/>
        <w:spacing w:after="0"/>
        <w:tabs>
          <w:tab w:leader="none" w:pos="2660" w:val="left"/>
        </w:tabs>
        <w:rPr>
          <w:sz w:val="20"/>
          <w:szCs w:val="20"/>
          <w:color w:val="auto"/>
        </w:rPr>
      </w:pPr>
      <w:r>
        <w:rPr>
          <w:rFonts w:ascii="Arial" w:cs="Arial" w:eastAsia="Arial" w:hAnsi="Arial"/>
          <w:sz w:val="19"/>
          <w:szCs w:val="19"/>
          <w:color w:val="auto"/>
        </w:rPr>
        <w:t>SECTION 9.07</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Arial" w:cs="Arial" w:eastAsia="Arial" w:hAnsi="Arial"/>
          <w:sz w:val="18"/>
          <w:szCs w:val="18"/>
          <w:u w:val="single" w:color="auto"/>
          <w:color w:val="auto"/>
        </w:rPr>
        <w:t>Section 9.07</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or the Issuing Bank, as applicable, then such provisions shall be deemed to be in effect only to the extent not so limited.</w:t>
      </w:r>
    </w:p>
    <w:p>
      <w:pPr>
        <w:spacing w:after="0" w:line="16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9.08</w:t>
      </w:r>
      <w:r>
        <w:rPr>
          <w:sz w:val="20"/>
          <w:szCs w:val="20"/>
          <w:color w:val="auto"/>
        </w:rPr>
        <w:tab/>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8"/>
          <w:szCs w:val="18"/>
          <w:color w:val="auto"/>
        </w:rPr>
        <w:t xml:space="preserve">If an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any delay in giving such notice shall not affect the validity of any such setoff and application under this Section. The rights of each Lender and each Issuing Bank under this Section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17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9.09</w:t>
      </w:r>
      <w:r>
        <w:rPr>
          <w:sz w:val="20"/>
          <w:szCs w:val="20"/>
          <w:color w:val="auto"/>
        </w:rPr>
        <w:tab/>
      </w:r>
      <w:r>
        <w:rPr>
          <w:rFonts w:ascii="Arial" w:cs="Arial" w:eastAsia="Arial" w:hAnsi="Arial"/>
          <w:sz w:val="17"/>
          <w:szCs w:val="17"/>
          <w:u w:val="single" w:color="auto"/>
          <w:color w:val="auto"/>
        </w:rPr>
        <w:t>Governing Law; Jurisdiction; Consent to Service of Process</w:t>
      </w:r>
      <w:r>
        <w:rPr>
          <w:rFonts w:ascii="Arial" w:cs="Arial" w:eastAsia="Arial" w:hAnsi="Arial"/>
          <w:sz w:val="17"/>
          <w:szCs w:val="17"/>
          <w:color w:val="auto"/>
        </w:rPr>
        <w:t>.</w:t>
      </w:r>
    </w:p>
    <w:p>
      <w:pPr>
        <w:spacing w:after="0" w:line="219" w:lineRule="exact"/>
        <w:rPr>
          <w:sz w:val="20"/>
          <w:szCs w:val="20"/>
          <w:color w:val="auto"/>
        </w:rPr>
      </w:pPr>
    </w:p>
    <w:p>
      <w:pPr>
        <w:ind w:left="1680" w:hanging="402"/>
        <w:spacing w:after="0"/>
        <w:tabs>
          <w:tab w:leader="none" w:pos="168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This Agreement shall be construed in accordance with and governed by the laws of the State of New York.</w:t>
      </w:r>
    </w:p>
    <w:p>
      <w:pPr>
        <w:spacing w:after="0" w:line="218" w:lineRule="exact"/>
        <w:rPr>
          <w:rFonts w:ascii="Arial" w:cs="Arial" w:eastAsia="Arial" w:hAnsi="Arial"/>
          <w:sz w:val="19"/>
          <w:szCs w:val="19"/>
          <w:color w:val="auto"/>
        </w:rPr>
      </w:pPr>
    </w:p>
    <w:p>
      <w:pPr>
        <w:jc w:val="both"/>
        <w:ind w:firstLine="1278"/>
        <w:spacing w:after="0" w:line="255" w:lineRule="auto"/>
        <w:tabs>
          <w:tab w:leader="none" w:pos="1722" w:val="left"/>
        </w:tabs>
        <w:numPr>
          <w:ilvl w:val="0"/>
          <w:numId w:val="276"/>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w:t>
      </w:r>
    </w:p>
    <w:p>
      <w:pPr>
        <w:sectPr>
          <w:pgSz w:w="11900" w:h="16838" w:orient="portrait"/>
          <w:cols w:equalWidth="0" w:num="1">
            <w:col w:w="11240"/>
          </w:cols>
          <w:pgMar w:left="320" w:top="1395" w:right="339" w:bottom="1440" w:gutter="0" w:footer="0" w:header="0"/>
        </w:sectPr>
      </w:pPr>
    </w:p>
    <w:bookmarkStart w:id="261" w:name="page262"/>
    <w:bookmarkEnd w:id="261"/>
    <w:p>
      <w:pPr>
        <w:jc w:val="both"/>
        <w:spacing w:after="0" w:line="272" w:lineRule="auto"/>
        <w:rPr>
          <w:sz w:val="20"/>
          <w:szCs w:val="20"/>
          <w:color w:val="auto"/>
        </w:rPr>
      </w:pPr>
      <w:r>
        <w:rPr>
          <w:rFonts w:ascii="Arial" w:cs="Arial" w:eastAsia="Arial" w:hAnsi="Arial"/>
          <w:sz w:val="18"/>
          <w:szCs w:val="18"/>
          <w:color w:val="auto"/>
        </w:rPr>
        <w:t>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spacing w:after="0" w:line="165" w:lineRule="exact"/>
        <w:rPr>
          <w:sz w:val="20"/>
          <w:szCs w:val="20"/>
          <w:color w:val="auto"/>
        </w:rPr>
      </w:pPr>
    </w:p>
    <w:p>
      <w:pPr>
        <w:jc w:val="both"/>
        <w:ind w:firstLine="1278"/>
        <w:spacing w:after="0" w:line="276" w:lineRule="auto"/>
        <w:tabs>
          <w:tab w:leader="none" w:pos="169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9.09</w:t>
      </w:r>
      <w:r>
        <w:rPr>
          <w:rFonts w:ascii="Arial" w:cs="Arial" w:eastAsia="Arial" w:hAnsi="Arial"/>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60" w:lineRule="exact"/>
        <w:rPr>
          <w:rFonts w:ascii="Arial" w:cs="Arial" w:eastAsia="Arial" w:hAnsi="Arial"/>
          <w:sz w:val="18"/>
          <w:szCs w:val="18"/>
          <w:color w:val="auto"/>
        </w:rPr>
      </w:pPr>
    </w:p>
    <w:p>
      <w:pPr>
        <w:jc w:val="both"/>
        <w:ind w:firstLine="1278"/>
        <w:spacing w:after="0" w:line="263" w:lineRule="auto"/>
        <w:tabs>
          <w:tab w:leader="none" w:pos="1892"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Each party to this Agreement irrevocably consents to service of process in the manner provided for notices in </w:t>
      </w:r>
      <w:r>
        <w:rPr>
          <w:rFonts w:ascii="Arial" w:cs="Arial" w:eastAsia="Arial" w:hAnsi="Arial"/>
          <w:sz w:val="19"/>
          <w:szCs w:val="19"/>
          <w:u w:val="single" w:color="auto"/>
          <w:color w:val="auto"/>
        </w:rPr>
        <w:t>Section 9.01</w:t>
      </w:r>
      <w:r>
        <w:rPr>
          <w:rFonts w:ascii="Arial" w:cs="Arial" w:eastAsia="Arial" w:hAnsi="Arial"/>
          <w:sz w:val="19"/>
          <w:szCs w:val="19"/>
          <w:color w:val="auto"/>
        </w:rPr>
        <w:t>. Nothing in any Loan Document will affect the right of any party to this Agreement to serve process in any other manner permitted by law.</w:t>
      </w:r>
    </w:p>
    <w:p>
      <w:pPr>
        <w:spacing w:after="0" w:line="16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9.10</w:t>
      </w:r>
      <w:r>
        <w:rPr>
          <w:sz w:val="20"/>
          <w:szCs w:val="20"/>
          <w:color w:val="auto"/>
        </w:rPr>
        <w:tab/>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 xml:space="preserve">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19"/>
          <w:szCs w:val="19"/>
          <w:u w:val="single" w:color="auto"/>
          <w:color w:val="auto"/>
        </w:rPr>
        <w:t>SECTION 9.10</w:t>
      </w:r>
      <w:r>
        <w:rPr>
          <w:rFonts w:ascii="Arial" w:cs="Arial" w:eastAsia="Arial" w:hAnsi="Arial"/>
          <w:sz w:val="19"/>
          <w:szCs w:val="19"/>
          <w:color w:val="auto"/>
        </w:rPr>
        <w:t>.</w:t>
      </w:r>
    </w:p>
    <w:p>
      <w:pPr>
        <w:spacing w:after="0" w:line="18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9.11</w:t>
      </w:r>
      <w:r>
        <w:rPr>
          <w:sz w:val="20"/>
          <w:szCs w:val="20"/>
          <w:color w:val="auto"/>
        </w:rPr>
        <w:tab/>
      </w:r>
      <w:r>
        <w:rPr>
          <w:rFonts w:ascii="Arial" w:cs="Arial" w:eastAsia="Arial" w:hAnsi="Arial"/>
          <w:sz w:val="17"/>
          <w:szCs w:val="17"/>
          <w:u w:val="single" w:color="auto"/>
          <w:color w:val="auto"/>
        </w:rPr>
        <w:t>Headings</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5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9.12</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19" w:lineRule="exact"/>
        <w:rPr>
          <w:sz w:val="20"/>
          <w:szCs w:val="20"/>
          <w:color w:val="auto"/>
        </w:rPr>
      </w:pPr>
    </w:p>
    <w:p>
      <w:pPr>
        <w:jc w:val="both"/>
        <w:ind w:firstLine="1278"/>
        <w:spacing w:after="0" w:line="252" w:lineRule="auto"/>
        <w:tabs>
          <w:tab w:leader="none" w:pos="1821"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in each case, who need to know such Information in connection with the Transactions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shall constitute a breach of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by the Administrative Agent, such Issuing Bank or the relevant Lender, as</w:t>
      </w:r>
    </w:p>
    <w:p>
      <w:pPr>
        <w:sectPr>
          <w:pgSz w:w="11900" w:h="16838" w:orient="portrait"/>
          <w:cols w:equalWidth="0" w:num="1">
            <w:col w:w="11240"/>
          </w:cols>
          <w:pgMar w:left="320" w:top="1395" w:right="339" w:bottom="1440" w:gutter="0" w:footer="0" w:header="0"/>
        </w:sectPr>
      </w:pPr>
    </w:p>
    <w:bookmarkStart w:id="262" w:name="page263"/>
    <w:bookmarkEnd w:id="262"/>
    <w:p>
      <w:pPr>
        <w:jc w:val="both"/>
        <w:spacing w:after="0" w:line="278" w:lineRule="auto"/>
        <w:rPr>
          <w:sz w:val="20"/>
          <w:szCs w:val="20"/>
          <w:color w:val="auto"/>
        </w:rPr>
      </w:pPr>
      <w:r>
        <w:rPr>
          <w:rFonts w:ascii="Arial" w:cs="Arial" w:eastAsia="Arial" w:hAnsi="Arial"/>
          <w:sz w:val="17"/>
          <w:szCs w:val="17"/>
          <w:color w:val="auto"/>
        </w:rPr>
        <w:t xml:space="preserve">applicable), (ii) to the extent requested by any governmental authority or self-regulatory authority having jurisdiction over the Administrative Agent, any Issuing Bank, any Lender or any Affiliates of any of the foregoing, as applicable, or, based on reasonable advice of counsel, to the extent required by (A) an order of any court or administrative agency or in any pending legal, judicial or administrative proceeding, (B) applicable law or by any subpoena or similar compulsory legal process or (C) in connection with the exercise of remedies or enforcement of rights hereunder in any suit, action or proceeding relating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solely to the extent permitted by law and other than in connection with routine audits and reviews by bank accountants or governmental or self-regulatory authorities exercising examination or regulatory authority, each Lender and the Administrative Agent shall notify the Borrower as promptly as practicable of any such requested or required disclosure and (y) in the case of clause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only, each Lender and the Administrative Agent shall use commercially reasonable efforts to ensure that such Information is kept confidential in connection with the exercise of such remedies,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any Lender or the Administrative Agent be obligated or required to return any materials furnished by the Borrower or any Subsidiary of Holdings, (iii) to any other party to this Agreement, (iv) subject to an agreement containing confidentiality undertakings substantially similar to those of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to (A) any assignee of or Participant in, or any prospective assignee of or Participant in, any of its rights or obligations under this Agreement, (B) any direct or indirect contractual counterparty to any Swap Agreement or derivative transaction relating to any Loan Party or its Subsidiaries and its obligations under the Loan Documents or (C) any pledgee referred to in </w:t>
      </w:r>
      <w:r>
        <w:rPr>
          <w:rFonts w:ascii="Arial" w:cs="Arial" w:eastAsia="Arial" w:hAnsi="Arial"/>
          <w:sz w:val="17"/>
          <w:szCs w:val="17"/>
          <w:u w:val="single" w:color="auto"/>
          <w:color w:val="auto"/>
        </w:rPr>
        <w:t>Section 9.04(d)</w:t>
      </w:r>
      <w:r>
        <w:rPr>
          <w:rFonts w:ascii="Arial" w:cs="Arial" w:eastAsia="Arial" w:hAnsi="Arial"/>
          <w:sz w:val="17"/>
          <w:szCs w:val="17"/>
          <w:color w:val="auto"/>
        </w:rPr>
        <w:t xml:space="preserve">, (v) if required by any rating agency in connection with obtaining a rating;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any such disclosure, such rating agency shall have agreed in writing to maintain the confidentiality of such Information, (vi) to service providers (including any numbering, administration or settlement service providers) providing administrative and ministerial services solely in connection with the syndication and administration of the Loan Documents and the Credit Facilities (e.g., identities of parties, maturity dates, interest rates, etc.) on a confidential basis, (vii) to the extent such Information (x) becomes publicly available other than as a result of a breach of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or otherwise by reason of improper disclosure by the Administrative Agent, any Issuing Bank, any Lender or any Affiliates or Related Parties of any of the foregoing (including the Persons referred to in clauses (i) above) in violation of any confidentiality obligations owing to the Loan Parties, or any Subsidiaries, Affiliates or Related Parties of any of the foregoing or (y) becomes available to the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(viii) to the extent that such information was already in the possession of the Administrative Agent, any Issuing Bank or any Lender prior to any duty or other undertaking of confidentiality or is independently developed by the Administrative Agent, any Issuing Bank or any Lender without the use of such information and without otherwise violating the terms of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or (ix) with the consent of the Borrower . For the purposes hereof,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or on behalf of Holdings, the Borrower or any of their Subsidiaries relating to Holdings, the Borrower, any of their Subsidiaries or their business.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other than as set forth in the proviso below, (x) no such information shall be disclosed to a Disqualified Lender at the time of such disclosure without the Borrower’s prior written consent and (y) in connection with any proposed assignment of Loans and/or Commitments in accordance with Section 9.04, upon request by the applicable potential assignee therefor, the applicable potential assigning Lender may disclose the list of Disqualified Lenders to such potential assignee solely for purposes of enabling such assignee to make a representation in its applicable Assignment and Assumption that such prospective assignee is an Eligible Assignee, provided, however, that, subject to an agreement containing</w:t>
      </w:r>
    </w:p>
    <w:p>
      <w:pPr>
        <w:sectPr>
          <w:pgSz w:w="11900" w:h="16838" w:orient="portrait"/>
          <w:cols w:equalWidth="0" w:num="1">
            <w:col w:w="11240"/>
          </w:cols>
          <w:pgMar w:left="320" w:top="1395" w:right="339" w:bottom="1440" w:gutter="0" w:footer="0" w:header="0"/>
        </w:sectPr>
      </w:pPr>
    </w:p>
    <w:bookmarkStart w:id="263" w:name="page264"/>
    <w:bookmarkEnd w:id="263"/>
    <w:p>
      <w:pPr>
        <w:jc w:val="both"/>
        <w:spacing w:after="0" w:line="263" w:lineRule="auto"/>
        <w:rPr>
          <w:sz w:val="20"/>
          <w:szCs w:val="20"/>
          <w:color w:val="auto"/>
        </w:rPr>
      </w:pPr>
      <w:r>
        <w:rPr>
          <w:rFonts w:ascii="Arial" w:cs="Arial" w:eastAsia="Arial" w:hAnsi="Arial"/>
          <w:sz w:val="19"/>
          <w:szCs w:val="19"/>
          <w:color w:val="auto"/>
        </w:rPr>
        <w:t xml:space="preserve">confidentiality undertakings substantially similar to those of this </w:t>
      </w:r>
      <w:r>
        <w:rPr>
          <w:rFonts w:ascii="Arial" w:cs="Arial" w:eastAsia="Arial" w:hAnsi="Arial"/>
          <w:sz w:val="19"/>
          <w:szCs w:val="19"/>
          <w:u w:val="single" w:color="auto"/>
          <w:color w:val="auto"/>
        </w:rPr>
        <w:t>Section 9.12, t</w:t>
      </w:r>
      <w:r>
        <w:rPr>
          <w:rFonts w:ascii="Arial" w:cs="Arial" w:eastAsia="Arial" w:hAnsi="Arial"/>
          <w:sz w:val="19"/>
          <w:szCs w:val="19"/>
          <w:color w:val="auto"/>
        </w:rPr>
        <w:t>he list of Disqualified Lenders may be disclosed to any bona fide potential assignee or Participant, so that such potential assignee or Participant can represent and warrant that it is neither a Disqualified Lender nor an Affiliate of a Disqualified Lender.</w:t>
      </w:r>
    </w:p>
    <w:p>
      <w:pPr>
        <w:spacing w:after="0" w:line="169" w:lineRule="exact"/>
        <w:rPr>
          <w:sz w:val="20"/>
          <w:szCs w:val="20"/>
          <w:color w:val="auto"/>
        </w:rPr>
      </w:pPr>
    </w:p>
    <w:p>
      <w:pPr>
        <w:jc w:val="both"/>
        <w:ind w:firstLine="1278"/>
        <w:spacing w:after="0" w:line="253" w:lineRule="auto"/>
        <w:tabs>
          <w:tab w:leader="none" w:pos="1737"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EACH LENDER ACKNOWLEDGES THAT INFORMATION (AS DEFINED IN THIS </w:t>
      </w:r>
      <w:r>
        <w:rPr>
          <w:rFonts w:ascii="Arial" w:cs="Arial" w:eastAsia="Arial" w:hAnsi="Arial"/>
          <w:sz w:val="19"/>
          <w:szCs w:val="19"/>
          <w:u w:val="single" w:color="auto"/>
          <w:color w:val="auto"/>
        </w:rPr>
        <w:t>SECTION 9.12</w:t>
      </w:r>
      <w:r>
        <w:rPr>
          <w:rFonts w:ascii="Arial" w:cs="Arial" w:eastAsia="Arial" w:hAnsi="Arial"/>
          <w:sz w:val="19"/>
          <w:szCs w:val="19"/>
          <w:color w:val="auto"/>
        </w:rPr>
        <w:t>)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1" w:lineRule="exact"/>
        <w:rPr>
          <w:rFonts w:ascii="Arial" w:cs="Arial" w:eastAsia="Arial" w:hAnsi="Arial"/>
          <w:sz w:val="19"/>
          <w:szCs w:val="19"/>
          <w:color w:val="auto"/>
        </w:rPr>
      </w:pPr>
    </w:p>
    <w:p>
      <w:pPr>
        <w:jc w:val="both"/>
        <w:ind w:firstLine="1278"/>
        <w:spacing w:after="0" w:line="251" w:lineRule="auto"/>
        <w:tabs>
          <w:tab w:leader="none" w:pos="1807" w:val="left"/>
        </w:tabs>
        <w:numPr>
          <w:ilvl w:val="0"/>
          <w:numId w:val="279"/>
        </w:numPr>
        <w:rPr>
          <w:rFonts w:ascii="Arial" w:cs="Arial" w:eastAsia="Arial" w:hAnsi="Arial"/>
          <w:sz w:val="19"/>
          <w:szCs w:val="19"/>
          <w:color w:val="auto"/>
        </w:rPr>
      </w:pPr>
      <w:r>
        <w:rPr>
          <w:rFonts w:ascii="Arial" w:cs="Arial" w:eastAsia="Arial" w:hAnsi="Arial"/>
          <w:sz w:val="19"/>
          <w:szCs w:val="19"/>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6"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9.13</w:t>
      </w:r>
      <w:r>
        <w:rPr>
          <w:sz w:val="20"/>
          <w:szCs w:val="20"/>
          <w:color w:val="auto"/>
        </w:rPr>
        <w:tab/>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18"/>
          <w:szCs w:val="18"/>
          <w:color w:val="auto"/>
        </w:rPr>
        <w:t>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16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9.14</w:t>
      </w:r>
      <w:r>
        <w:rPr>
          <w:sz w:val="20"/>
          <w:szCs w:val="20"/>
          <w:color w:val="auto"/>
        </w:rPr>
        <w:tab/>
      </w:r>
      <w:r>
        <w:rPr>
          <w:rFonts w:ascii="Arial" w:cs="Arial" w:eastAsia="Arial" w:hAnsi="Arial"/>
          <w:sz w:val="17"/>
          <w:szCs w:val="17"/>
          <w:u w:val="single" w:color="auto"/>
          <w:color w:val="auto"/>
        </w:rPr>
        <w:t>Release of Liens and Guarantees</w:t>
      </w:r>
      <w:r>
        <w:rPr>
          <w:rFonts w:ascii="Arial" w:cs="Arial" w:eastAsia="Arial" w:hAnsi="Arial"/>
          <w:sz w:val="17"/>
          <w:szCs w:val="17"/>
          <w:color w:val="auto"/>
        </w:rPr>
        <w:t>.</w:t>
      </w:r>
    </w:p>
    <w:p>
      <w:pPr>
        <w:spacing w:after="0" w:line="219" w:lineRule="exact"/>
        <w:rPr>
          <w:sz w:val="20"/>
          <w:szCs w:val="20"/>
          <w:color w:val="auto"/>
        </w:rPr>
      </w:pPr>
    </w:p>
    <w:p>
      <w:pPr>
        <w:jc w:val="both"/>
        <w:ind w:firstLine="1278"/>
        <w:spacing w:after="0" w:line="266" w:lineRule="auto"/>
        <w:tabs>
          <w:tab w:leader="none" w:pos="170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or designation permitted by this Agreement as a result of which such Subsidiary Loan Party ceases to be a Restricted Subsidiary (including pursuant to a permitted merger with a Subsidiary that is not a Loan Party or a designation as an Unrestricted Subsidiary) or becomes an Excluded Subsidiary (other than solely as a result of such Subsidiary Loan Party ceasing to be a Wholly Owned Subsidiary) or (2) upon the request of the Borrower, in connection with a transaction permitted under this Agreement (but only a transaction in which such Subsidiary Loan Party becomes a bona fide joint venture and the other Person taking an equity interest in such Subsidiary Loan Party is not an Affiliate of the Borrower (other than as a result of such joint venture)) as a result of which such Subsidiary Loan Party ceases to be a Wholly Owned Subsidiary. Upon any sale or other transfer by any Loan Party (other than to Holdings,</w:t>
      </w:r>
    </w:p>
    <w:p>
      <w:pPr>
        <w:sectPr>
          <w:pgSz w:w="11900" w:h="16838" w:orient="portrait"/>
          <w:cols w:equalWidth="0" w:num="1">
            <w:col w:w="11240"/>
          </w:cols>
          <w:pgMar w:left="320" w:top="1395" w:right="339" w:bottom="1440" w:gutter="0" w:footer="0" w:header="0"/>
        </w:sectPr>
      </w:pPr>
    </w:p>
    <w:bookmarkStart w:id="264" w:name="page265"/>
    <w:bookmarkEnd w:id="264"/>
    <w:p>
      <w:pPr>
        <w:jc w:val="both"/>
        <w:spacing w:after="0" w:line="264" w:lineRule="auto"/>
        <w:rPr>
          <w:sz w:val="20"/>
          <w:szCs w:val="20"/>
          <w:color w:val="auto"/>
        </w:rPr>
      </w:pPr>
      <w:r>
        <w:rPr>
          <w:rFonts w:ascii="Arial" w:cs="Arial" w:eastAsia="Arial" w:hAnsi="Arial"/>
          <w:sz w:val="18"/>
          <w:szCs w:val="18"/>
          <w:color w:val="auto"/>
        </w:rPr>
        <w:t xml:space="preserve">the Borrower or any Subsidiary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created by the Security Documents shall be automatically released. Upon the designation of a Restricted Subsidiary as an Unrestricted Subsidiary in compliance with this Agreement, the security interest created by the Security Documents in the Equity Interests of such Subsidiary shall automatically be released. Upon termination of the aggregate Commitments and payment in full of all Secured Obligations (other than contingent indemnification obligations) and the expiration or termination of all Letters of Credit (including as a result of obtaining the consent of the applicable Issuing Bank as described in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of this Agreement), all obligations under the Loan Documents and all security interests created by the Security Documents shall be automatically released. In connection with any termination or release pursuant to this </w:t>
      </w:r>
      <w:r>
        <w:rPr>
          <w:rFonts w:ascii="Arial" w:cs="Arial" w:eastAsia="Arial" w:hAnsi="Arial"/>
          <w:sz w:val="18"/>
          <w:szCs w:val="18"/>
          <w:u w:val="single" w:color="auto"/>
          <w:color w:val="auto"/>
        </w:rPr>
        <w:t>Section 9.14</w:t>
      </w:r>
      <w:r>
        <w:rPr>
          <w:rFonts w:ascii="Arial" w:cs="Arial" w:eastAsia="Arial" w:hAnsi="Arial"/>
          <w:sz w:val="18"/>
          <w:szCs w:val="18"/>
          <w:color w:val="auto"/>
        </w:rPr>
        <w:t>, the Administrative Agent or the Collateral Agent, as the case may be, shall execute and deliver to any Loan Party, at such Loan Party’s expense, all documents that such Loan Party shall reasonably request to evidence such termination or release so long as the Borrower or applicable Loan Party shall have provided the Administrative Agent or the Collateral Agent, as the case may be, such certifications or documents as the Administrative Agent or the Collateral Agent, as the case may be, shall reasonably request in order to demonstrate compliance with this Agreement.</w:t>
      </w:r>
    </w:p>
    <w:p>
      <w:pPr>
        <w:spacing w:after="0" w:line="176" w:lineRule="exact"/>
        <w:rPr>
          <w:sz w:val="20"/>
          <w:szCs w:val="20"/>
          <w:color w:val="auto"/>
        </w:rPr>
      </w:pPr>
    </w:p>
    <w:p>
      <w:pPr>
        <w:jc w:val="both"/>
        <w:ind w:firstLine="1278"/>
        <w:spacing w:after="0" w:line="257" w:lineRule="auto"/>
        <w:tabs>
          <w:tab w:leader="none" w:pos="1689" w:val="left"/>
        </w:tabs>
        <w:numPr>
          <w:ilvl w:val="0"/>
          <w:numId w:val="281"/>
        </w:numPr>
        <w:rPr>
          <w:rFonts w:ascii="Arial" w:cs="Arial" w:eastAsia="Arial" w:hAnsi="Arial"/>
          <w:sz w:val="19"/>
          <w:szCs w:val="19"/>
          <w:color w:val="auto"/>
        </w:rPr>
      </w:pPr>
      <w:r>
        <w:rPr>
          <w:rFonts w:ascii="Arial" w:cs="Arial" w:eastAsia="Arial" w:hAnsi="Arial"/>
          <w:sz w:val="19"/>
          <w:szCs w:val="19"/>
          <w:color w:val="auto"/>
        </w:rPr>
        <w:t xml:space="preserve">The Administrative Agent or the Collateral Agent, as the case may be, will, at the Borrower’s expense, execute and deliver to the applicable Loan Party such documents as such Loan Party may reasonably request to subordinate its Lien on any property granted to or held by the Administrative Agent or the Collateral Agent, as the case may be, under any Loan Document to the holder of any Lien on such property that is permitted by </w:t>
      </w:r>
      <w:r>
        <w:rPr>
          <w:rFonts w:ascii="Arial" w:cs="Arial" w:eastAsia="Arial" w:hAnsi="Arial"/>
          <w:sz w:val="19"/>
          <w:szCs w:val="19"/>
          <w:u w:val="single" w:color="auto"/>
          <w:color w:val="auto"/>
        </w:rPr>
        <w:t>Section 6.02(iv)</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1278"/>
        <w:spacing w:after="0" w:line="289" w:lineRule="auto"/>
        <w:tabs>
          <w:tab w:leader="none" w:pos="1723"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Each of the Lenders and the Issuing Bank and, by accepting the benefits of the Security Documents, each Secured Party that is not a party hereto, irrevocably authorizes the Administrative Agent or the Collateral Agent, as the case may be, to provide any release or evidence of release, termination or subordination contemplated by this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Upon request by the Administrative Agent or the Collateral Agent, as the case may be, at any time, the Required Lenders will confirm in writing the Administrative Agent’s authority or the Collateral Agent’s authority, as the case may be, to release or subordinate its interest in particular types or items of property, or to release any Loan Party from its obligations under any Loan Document, in each case in accordance with the terms of the Loan Documents and this </w:t>
      </w:r>
      <w:r>
        <w:rPr>
          <w:rFonts w:ascii="Arial" w:cs="Arial" w:eastAsia="Arial" w:hAnsi="Arial"/>
          <w:sz w:val="17"/>
          <w:szCs w:val="17"/>
          <w:u w:val="single" w:color="auto"/>
          <w:color w:val="auto"/>
        </w:rPr>
        <w:t>Section 9.14</w:t>
      </w:r>
      <w:r>
        <w:rPr>
          <w:rFonts w:ascii="Arial" w:cs="Arial" w:eastAsia="Arial" w:hAnsi="Arial"/>
          <w:sz w:val="17"/>
          <w:szCs w:val="17"/>
          <w:color w:val="auto"/>
        </w:rPr>
        <w:t>.</w:t>
      </w:r>
    </w:p>
    <w:p>
      <w:pPr>
        <w:spacing w:after="0" w:line="15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9.15</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In connection with all aspects of each transaction contemplated hereby (including in connection with any amendment, waiver or other modification hereof or of any other Loan Document), each of the Borrower and Holdings acknowledges and agrees that (i) (A) the arranging and other services regarding this Agreement provided by the Administrative Agent, the Lead Arrangers, the Bookrunners, the Issuing Banks and the Lenders are arm’s-length commercial transactions between the Borrower, Holdings and their respective Affiliates, on the one hand, and the Administrative Agent, the Lead Arrangers, the Bookrunners,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w:t>
      </w:r>
    </w:p>
    <w:p>
      <w:pPr>
        <w:sectPr>
          <w:pgSz w:w="11900" w:h="16838" w:orient="portrait"/>
          <w:cols w:equalWidth="0" w:num="1">
            <w:col w:w="11240"/>
          </w:cols>
          <w:pgMar w:left="320" w:top="1395" w:right="339" w:bottom="1440" w:gutter="0" w:footer="0" w:header="0"/>
        </w:sectPr>
      </w:pPr>
    </w:p>
    <w:bookmarkStart w:id="265" w:name="page266"/>
    <w:bookmarkEnd w:id="265"/>
    <w:p>
      <w:pPr>
        <w:jc w:val="both"/>
        <w:spacing w:after="0" w:line="265" w:lineRule="auto"/>
        <w:rPr>
          <w:sz w:val="20"/>
          <w:szCs w:val="20"/>
          <w:color w:val="auto"/>
        </w:rPr>
      </w:pPr>
      <w:r>
        <w:rPr>
          <w:rFonts w:ascii="Arial" w:cs="Arial" w:eastAsia="Arial" w:hAnsi="Arial"/>
          <w:sz w:val="18"/>
          <w:szCs w:val="18"/>
          <w:color w:val="auto"/>
        </w:rPr>
        <w:t>the other Loan Documents; (ii) (A) each of the Administrative Agent, the Lead Arrangers, the Bookrunners,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Lead Arrangers, the Bookrunners, the Issuing Banks and the Lenders has any obligation to the Borrower, Holdings or any of their respective Affiliates with respect to the transactions contemplated hereby except those obligations expressly set forth herein and in the other Loan Documents; and (iii) the Administrative Agent, the Lead Arrangers, the Bookrunners, the Issuing Banks and the Lenders and their respective Affiliates may be engaged in a broad range of transactions that involve interests that differ from those of the Borrower, Holdings and their respective Affiliates, and none of the Administrative Agent, the Lead Arrangers, the Bookrunners, the Issuing Banks and the Lenders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Lead Arrangers, the Bookrunners, the Issuing Banks and the Lenders with respect to any breach or alleged breach of agency or fiduciary duty in connection with any aspect of any transaction contemplated hereby.</w:t>
      </w:r>
    </w:p>
    <w:p>
      <w:pPr>
        <w:spacing w:after="0" w:line="17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9.16</w:t>
      </w:r>
      <w:r>
        <w:rPr>
          <w:sz w:val="20"/>
          <w:szCs w:val="20"/>
          <w:color w:val="auto"/>
        </w:rPr>
        <w:tab/>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w:t>
      </w:r>
    </w:p>
    <w:p>
      <w:pPr>
        <w:spacing w:after="0" w:line="219"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6"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xml:space="preserve">. Each of the Lenders and the Issuing Bank and, by accepting the benefits of the Security Documents, each Secured Party that is not a party hereto, hereby agrees that the Administrative Agent and/or Collateral Agent may enter into any intercreditor agreement and/or subordination agreement pursuant to, or contemplated by, the terms of this Agreement (including with respect to Indebtedness permitted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defined terms referenced therein) on its behalf and agrees to be bound by the terms thereof and, in each case, consents and agrees to the appointment of the Administrative Agent (or its affiliated designee, representative or agent) on its behalf as collateral agent, respectively, thereunder.</w:t>
      </w:r>
    </w:p>
    <w:p>
      <w:pPr>
        <w:spacing w:after="0" w:line="182"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hereunder or under any other Loan Document in one currency into another currency, the rate of exchange used shall be that at which in accordance with the normal banking procedures the Administrative Agent could purchase the first currency with such other currency on the Business Day preceding that on which final judgment is given. The obligation of the Borrowers in respect of any such sum due from them to the Administrative Agent or the Lenders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w:t>
      </w:r>
    </w:p>
    <w:p>
      <w:pPr>
        <w:sectPr>
          <w:pgSz w:w="11900" w:h="16838" w:orient="portrait"/>
          <w:cols w:equalWidth="0" w:num="1">
            <w:col w:w="11240"/>
          </w:cols>
          <w:pgMar w:left="320" w:top="1395" w:right="339" w:bottom="1440" w:gutter="0" w:footer="0" w:header="0"/>
        </w:sectPr>
      </w:pPr>
    </w:p>
    <w:bookmarkStart w:id="266" w:name="page267"/>
    <w:bookmarkEnd w:id="266"/>
    <w:p>
      <w:pPr>
        <w:jc w:val="both"/>
        <w:spacing w:after="0" w:line="285" w:lineRule="auto"/>
        <w:rPr>
          <w:sz w:val="20"/>
          <w:szCs w:val="20"/>
          <w:color w:val="auto"/>
        </w:rPr>
      </w:pPr>
      <w:r>
        <w:rPr>
          <w:rFonts w:ascii="Arial" w:cs="Arial" w:eastAsia="Arial" w:hAnsi="Arial"/>
          <w:sz w:val="17"/>
          <w:szCs w:val="17"/>
          <w:color w:val="auto"/>
        </w:rPr>
        <w:t>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or the relevant Lender of any sum adjudged to be so due in the Judgment Currency, the Administrative Agent or the relevant Lender may in accordance with the normal banking procedures purchase the Agreement Currency with the Judgment Currency. If the amount of the Agreement Currency so purchased is less than the sum originally due to the Administrative Agent or such Lender from the Borrowers in the Agreement Currency, each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Borrower (or to any other Person who may be entitled thereto under applicable law).</w:t>
      </w:r>
    </w:p>
    <w:p>
      <w:pPr>
        <w:spacing w:after="0" w:line="15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9.19</w:t>
      </w:r>
      <w:r>
        <w:rPr>
          <w:sz w:val="20"/>
          <w:szCs w:val="20"/>
          <w:color w:val="auto"/>
        </w:rPr>
        <w:tab/>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w:t>
      </w:r>
    </w:p>
    <w:p>
      <w:pPr>
        <w:spacing w:after="0" w:line="21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left="640" w:right="120" w:hanging="634"/>
        <w:spacing w:after="0" w:line="278" w:lineRule="auto"/>
        <w:tabs>
          <w:tab w:leader="none" w:pos="344"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6" w:lineRule="exact"/>
        <w:rPr>
          <w:rFonts w:ascii="Arial" w:cs="Arial" w:eastAsia="Arial" w:hAnsi="Arial"/>
          <w:sz w:val="19"/>
          <w:szCs w:val="19"/>
          <w:color w:val="auto"/>
        </w:rPr>
      </w:pPr>
    </w:p>
    <w:p>
      <w:pPr>
        <w:ind w:left="340" w:hanging="334"/>
        <w:spacing w:after="0"/>
        <w:tabs>
          <w:tab w:leader="none" w:pos="3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18" w:lineRule="exact"/>
        <w:rPr>
          <w:rFonts w:ascii="Arial" w:cs="Arial" w:eastAsia="Arial" w:hAnsi="Arial"/>
          <w:sz w:val="19"/>
          <w:szCs w:val="19"/>
          <w:color w:val="auto"/>
        </w:rPr>
      </w:pPr>
    </w:p>
    <w:p>
      <w:pPr>
        <w:ind w:left="1020" w:hanging="299"/>
        <w:spacing w:after="0"/>
        <w:tabs>
          <w:tab w:leader="none" w:pos="1020" w:val="left"/>
        </w:tabs>
        <w:numPr>
          <w:ilvl w:val="1"/>
          <w:numId w:val="282"/>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18" w:lineRule="exact"/>
        <w:rPr>
          <w:rFonts w:ascii="Arial" w:cs="Arial" w:eastAsia="Arial" w:hAnsi="Arial"/>
          <w:sz w:val="19"/>
          <w:szCs w:val="19"/>
          <w:color w:val="auto"/>
        </w:rPr>
      </w:pPr>
    </w:p>
    <w:p>
      <w:pPr>
        <w:ind w:left="1280" w:right="120" w:hanging="559"/>
        <w:spacing w:after="0" w:line="257" w:lineRule="auto"/>
        <w:tabs>
          <w:tab w:leader="none" w:pos="1074" w:val="left"/>
        </w:tabs>
        <w:numPr>
          <w:ilvl w:val="1"/>
          <w:numId w:val="282"/>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7" w:lineRule="exact"/>
        <w:rPr>
          <w:rFonts w:ascii="Arial" w:cs="Arial" w:eastAsia="Arial" w:hAnsi="Arial"/>
          <w:sz w:val="19"/>
          <w:szCs w:val="19"/>
          <w:color w:val="auto"/>
        </w:rPr>
      </w:pPr>
    </w:p>
    <w:p>
      <w:pPr>
        <w:ind w:left="1280" w:right="520" w:hanging="559"/>
        <w:spacing w:after="0" w:line="278" w:lineRule="auto"/>
        <w:tabs>
          <w:tab w:leader="none" w:pos="1128" w:val="left"/>
        </w:tabs>
        <w:numPr>
          <w:ilvl w:val="1"/>
          <w:numId w:val="282"/>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the applicable Resolution Authority.</w:t>
      </w:r>
    </w:p>
    <w:p>
      <w:pPr>
        <w:spacing w:after="0" w:line="156"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Swap Agreements or any other agreement or instrument that is a QFC (such support “</w:t>
      </w:r>
      <w:r>
        <w:rPr>
          <w:rFonts w:ascii="Arial" w:cs="Arial" w:eastAsia="Arial" w:hAnsi="Arial"/>
          <w:sz w:val="19"/>
          <w:szCs w:val="19"/>
          <w:u w:val="single" w:color="auto"/>
          <w:color w:val="auto"/>
        </w:rPr>
        <w:t>QFC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ectPr>
          <w:pgSz w:w="11900" w:h="16838" w:orient="portrait"/>
          <w:cols w:equalWidth="0" w:num="1">
            <w:col w:w="11240"/>
          </w:cols>
          <w:pgMar w:left="320" w:top="1395" w:right="339" w:bottom="1440" w:gutter="0" w:footer="0" w:header="0"/>
        </w:sectPr>
      </w:pPr>
    </w:p>
    <w:bookmarkStart w:id="267" w:name="page268"/>
    <w:bookmarkEnd w:id="267"/>
    <w:p>
      <w:pPr>
        <w:jc w:val="both"/>
        <w:ind w:firstLine="636"/>
        <w:spacing w:after="0" w:line="265"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9"/>
          <w:szCs w:val="19"/>
          <w:color w:val="auto"/>
        </w:rPr>
        <w:t>SECTION 9.21</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45" w:lineRule="exact"/>
        <w:rPr>
          <w:sz w:val="20"/>
          <w:szCs w:val="20"/>
          <w:color w:val="auto"/>
        </w:rPr>
      </w:pPr>
    </w:p>
    <w:p>
      <w:pPr>
        <w:jc w:val="both"/>
        <w:ind w:firstLine="1278"/>
        <w:spacing w:after="0" w:line="257" w:lineRule="auto"/>
        <w:tabs>
          <w:tab w:leader="none" w:pos="171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7" w:lineRule="exact"/>
        <w:rPr>
          <w:sz w:val="20"/>
          <w:szCs w:val="20"/>
          <w:color w:val="auto"/>
        </w:rPr>
      </w:pPr>
    </w:p>
    <w:p>
      <w:pPr>
        <w:jc w:val="both"/>
        <w:ind w:left="640" w:firstLine="638"/>
        <w:spacing w:after="0" w:line="263" w:lineRule="auto"/>
        <w:tabs>
          <w:tab w:leader="none" w:pos="178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69" w:lineRule="exact"/>
        <w:rPr>
          <w:rFonts w:ascii="Arial" w:cs="Arial" w:eastAsia="Arial" w:hAnsi="Arial"/>
          <w:sz w:val="19"/>
          <w:szCs w:val="19"/>
          <w:color w:val="auto"/>
        </w:rPr>
      </w:pPr>
    </w:p>
    <w:p>
      <w:pPr>
        <w:jc w:val="both"/>
        <w:ind w:left="640" w:firstLine="638"/>
        <w:spacing w:after="0" w:line="289" w:lineRule="auto"/>
        <w:tabs>
          <w:tab w:leader="none" w:pos="175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1" w:lineRule="exact"/>
        <w:rPr>
          <w:rFonts w:ascii="Arial" w:cs="Arial" w:eastAsia="Arial" w:hAnsi="Arial"/>
          <w:sz w:val="17"/>
          <w:szCs w:val="17"/>
          <w:color w:val="auto"/>
        </w:rPr>
      </w:pPr>
    </w:p>
    <w:p>
      <w:pPr>
        <w:jc w:val="both"/>
        <w:ind w:left="640" w:firstLine="638"/>
        <w:spacing w:after="0" w:line="270" w:lineRule="auto"/>
        <w:tabs>
          <w:tab w:leader="none" w:pos="170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w:t>
      </w:r>
    </w:p>
    <w:p>
      <w:pPr>
        <w:sectPr>
          <w:pgSz w:w="11900" w:h="16838" w:orient="portrait"/>
          <w:cols w:equalWidth="0" w:num="1">
            <w:col w:w="11240"/>
          </w:cols>
          <w:pgMar w:left="320" w:top="1395" w:right="339" w:bottom="1440" w:gutter="0" w:footer="0" w:header="0"/>
        </w:sectPr>
      </w:pPr>
    </w:p>
    <w:bookmarkStart w:id="268" w:name="page269"/>
    <w:bookmarkEnd w:id="268"/>
    <w:p>
      <w:pPr>
        <w:ind w:left="640"/>
        <w:spacing w:after="0" w:line="278" w:lineRule="auto"/>
        <w:rPr>
          <w:sz w:val="20"/>
          <w:szCs w:val="20"/>
          <w:color w:val="auto"/>
        </w:rPr>
      </w:pPr>
      <w:r>
        <w:rPr>
          <w:rFonts w:ascii="Arial" w:cs="Arial" w:eastAsia="Arial" w:hAnsi="Arial"/>
          <w:sz w:val="19"/>
          <w:szCs w:val="19"/>
          <w:color w:val="auto"/>
        </w:rPr>
        <w:t>Lender’s entrance into, participation in, administration of and performance of the Loans, the Letters of Credit, the Commitments and this Agreement, or</w:t>
      </w:r>
    </w:p>
    <w:p>
      <w:pPr>
        <w:spacing w:after="0" w:line="156" w:lineRule="exact"/>
        <w:rPr>
          <w:sz w:val="20"/>
          <w:szCs w:val="20"/>
          <w:color w:val="auto"/>
        </w:rPr>
      </w:pPr>
    </w:p>
    <w:p>
      <w:pPr>
        <w:ind w:left="640" w:firstLine="638"/>
        <w:spacing w:after="0" w:line="278" w:lineRule="auto"/>
        <w:tabs>
          <w:tab w:leader="none" w:pos="1757" w:val="left"/>
        </w:tabs>
        <w:numPr>
          <w:ilvl w:val="0"/>
          <w:numId w:val="285"/>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156" w:lineRule="exact"/>
        <w:rPr>
          <w:sz w:val="20"/>
          <w:szCs w:val="20"/>
          <w:color w:val="auto"/>
        </w:rPr>
      </w:pPr>
    </w:p>
    <w:p>
      <w:pPr>
        <w:jc w:val="both"/>
        <w:ind w:firstLine="1278"/>
        <w:spacing w:after="0" w:line="267" w:lineRule="auto"/>
        <w:tabs>
          <w:tab w:leader="none" w:pos="170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of exercise or any rights by the Administrative Agent under this Agreement, any Loan Document or any documents related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11240"/>
          </w:cols>
          <w:pgMar w:left="320" w:top="1395" w:right="339"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1272"/>
        <w:spacing w:after="0" w:line="278" w:lineRule="auto"/>
        <w:rPr>
          <w:sz w:val="20"/>
          <w:szCs w:val="20"/>
          <w:color w:val="auto"/>
        </w:rPr>
      </w:pPr>
      <w:r>
        <w:rPr>
          <w:rFonts w:ascii="Arial" w:cs="Arial" w:eastAsia="Arial" w:hAnsi="Arial"/>
          <w:sz w:val="19"/>
          <w:szCs w:val="19"/>
          <w:color w:val="auto"/>
        </w:rPr>
        <w:t>IN WITNESS WHEREOF, the parties hereto have caused this Agreement to be duly executed by their respective authorized officers as of the date first above written.</w:t>
      </w:r>
    </w:p>
    <w:p>
      <w:pPr>
        <w:spacing w:after="0" w:line="200" w:lineRule="exact"/>
        <w:rPr>
          <w:sz w:val="20"/>
          <w:szCs w:val="20"/>
          <w:color w:val="auto"/>
        </w:rPr>
      </w:pPr>
    </w:p>
    <w:p>
      <w:pPr>
        <w:spacing w:after="0" w:line="248"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TENABLE, INC., as Borrower</w:t>
      </w:r>
    </w:p>
    <w:p>
      <w:pPr>
        <w:spacing w:after="0" w:line="60" w:lineRule="exact"/>
        <w:rPr>
          <w:sz w:val="20"/>
          <w:szCs w:val="20"/>
          <w:color w:val="auto"/>
        </w:rPr>
      </w:pPr>
    </w:p>
    <w:p>
      <w:pPr>
        <w:ind w:left="3840"/>
        <w:spacing w:after="0"/>
        <w:tabs>
          <w:tab w:leader="none" w:pos="42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Stephen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31750</wp:posOffset>
            </wp:positionV>
            <wp:extent cx="19100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53"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Name: Stephen Vintz</w:t>
      </w:r>
    </w:p>
    <w:p>
      <w:pPr>
        <w:spacing w:after="0" w:line="60" w:lineRule="exact"/>
        <w:rPr>
          <w:sz w:val="20"/>
          <w:szCs w:val="20"/>
          <w:color w:val="auto"/>
        </w:rPr>
      </w:pPr>
    </w:p>
    <w:p>
      <w:pPr>
        <w:ind w:left="4300"/>
        <w:spacing w:after="0"/>
        <w:tabs>
          <w:tab w:leader="none" w:pos="492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390"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TENABLE HOLDINGS, INC., as Holdings</w:t>
      </w:r>
    </w:p>
    <w:p>
      <w:pPr>
        <w:spacing w:after="0" w:line="60" w:lineRule="exact"/>
        <w:rPr>
          <w:sz w:val="20"/>
          <w:szCs w:val="20"/>
          <w:color w:val="auto"/>
        </w:rPr>
      </w:pPr>
    </w:p>
    <w:p>
      <w:pPr>
        <w:ind w:left="3840"/>
        <w:spacing w:after="0"/>
        <w:tabs>
          <w:tab w:leader="none" w:pos="42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Stephen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31750</wp:posOffset>
            </wp:positionV>
            <wp:extent cx="1910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53"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Name: Stephen Vintz</w:t>
      </w:r>
    </w:p>
    <w:p>
      <w:pPr>
        <w:spacing w:after="0" w:line="60" w:lineRule="exact"/>
        <w:rPr>
          <w:sz w:val="20"/>
          <w:szCs w:val="20"/>
          <w:color w:val="auto"/>
        </w:rPr>
      </w:pPr>
    </w:p>
    <w:p>
      <w:pPr>
        <w:ind w:left="4300"/>
        <w:spacing w:after="0"/>
        <w:tabs>
          <w:tab w:leader="none" w:pos="4920" w:val="left"/>
        </w:tabs>
        <w:rPr>
          <w:sz w:val="20"/>
          <w:szCs w:val="20"/>
          <w:color w:val="auto"/>
        </w:rPr>
      </w:pPr>
      <w:r>
        <w:rPr>
          <w:rFonts w:ascii="Arial" w:cs="Arial" w:eastAsia="Arial" w:hAnsi="Arial"/>
          <w:sz w:val="19"/>
          <w:szCs w:val="19"/>
          <w:color w:val="auto"/>
        </w:rPr>
        <w:t>Title:</w:t>
        <w:tab/>
        <w:t>Chief Financial Officer</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JPMORGAN CHASE BANK, N.A.,</w:t>
      </w:r>
    </w:p>
    <w:p>
      <w:pPr>
        <w:spacing w:after="0" w:line="60"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as Administrative Agent and Collateral</w:t>
      </w:r>
    </w:p>
    <w:p>
      <w:pPr>
        <w:spacing w:after="0" w:line="46"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Agent</w:t>
      </w:r>
    </w:p>
    <w:p>
      <w:pPr>
        <w:spacing w:after="0" w:line="44" w:lineRule="exact"/>
        <w:rPr>
          <w:sz w:val="20"/>
          <w:szCs w:val="20"/>
          <w:color w:val="auto"/>
        </w:rPr>
      </w:pPr>
    </w:p>
    <w:p>
      <w:pPr>
        <w:ind w:left="2720"/>
        <w:spacing w:after="0"/>
        <w:tabs>
          <w:tab w:leader="none" w:pos="3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Vidita J.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31750</wp:posOffset>
            </wp:positionV>
            <wp:extent cx="19100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53"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Name: Vidita J. Shah</w:t>
      </w:r>
    </w:p>
    <w:p>
      <w:pPr>
        <w:spacing w:after="0" w:line="60" w:lineRule="exact"/>
        <w:rPr>
          <w:sz w:val="20"/>
          <w:szCs w:val="20"/>
          <w:color w:val="auto"/>
        </w:rPr>
      </w:pPr>
    </w:p>
    <w:p>
      <w:pPr>
        <w:ind w:left="3180"/>
        <w:spacing w:after="0"/>
        <w:tabs>
          <w:tab w:leader="none" w:pos="3800" w:val="left"/>
        </w:tabs>
        <w:rPr>
          <w:sz w:val="20"/>
          <w:szCs w:val="20"/>
          <w:color w:val="auto"/>
        </w:rPr>
      </w:pPr>
      <w:r>
        <w:rPr>
          <w:rFonts w:ascii="Arial" w:cs="Arial" w:eastAsia="Arial" w:hAnsi="Arial"/>
          <w:sz w:val="19"/>
          <w:szCs w:val="19"/>
          <w:color w:val="auto"/>
        </w:rPr>
        <w:t>Title:</w:t>
        <w:tab/>
        <w:t>Vice President</w:t>
      </w:r>
    </w:p>
    <w:p>
      <w:pPr>
        <w:spacing w:after="0" w:line="200" w:lineRule="exact"/>
        <w:rPr>
          <w:sz w:val="20"/>
          <w:szCs w:val="20"/>
          <w:color w:val="auto"/>
        </w:rPr>
      </w:pPr>
    </w:p>
    <w:p>
      <w:pPr>
        <w:spacing w:after="0" w:line="390"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JPMORGAN CHASE BANK, N.A.,</w:t>
      </w:r>
    </w:p>
    <w:p>
      <w:pPr>
        <w:spacing w:after="0" w:line="60"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as a Lender and an Issuing Bank</w:t>
      </w:r>
    </w:p>
    <w:p>
      <w:pPr>
        <w:spacing w:after="0" w:line="60" w:lineRule="exact"/>
        <w:rPr>
          <w:sz w:val="20"/>
          <w:szCs w:val="20"/>
          <w:color w:val="auto"/>
        </w:rPr>
      </w:pPr>
    </w:p>
    <w:p>
      <w:pPr>
        <w:ind w:left="2720"/>
        <w:spacing w:after="0"/>
        <w:tabs>
          <w:tab w:leader="none" w:pos="3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Vidita J.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31750</wp:posOffset>
            </wp:positionV>
            <wp:extent cx="1910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53"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Name: Vidita J. Shah</w:t>
      </w:r>
    </w:p>
    <w:p>
      <w:pPr>
        <w:spacing w:after="0" w:line="60" w:lineRule="exact"/>
        <w:rPr>
          <w:sz w:val="20"/>
          <w:szCs w:val="20"/>
          <w:color w:val="auto"/>
        </w:rPr>
      </w:pPr>
    </w:p>
    <w:p>
      <w:pPr>
        <w:ind w:left="3180"/>
        <w:spacing w:after="0"/>
        <w:tabs>
          <w:tab w:leader="none" w:pos="3800" w:val="left"/>
        </w:tabs>
        <w:rPr>
          <w:sz w:val="20"/>
          <w:szCs w:val="20"/>
          <w:color w:val="auto"/>
        </w:rPr>
      </w:pPr>
      <w:r>
        <w:rPr>
          <w:rFonts w:ascii="Arial" w:cs="Arial" w:eastAsia="Arial" w:hAnsi="Arial"/>
          <w:sz w:val="19"/>
          <w:szCs w:val="19"/>
          <w:color w:val="auto"/>
        </w:rPr>
        <w:t>Title:</w:t>
        <w:tab/>
        <w:t>Vice President</w:t>
      </w:r>
    </w:p>
    <w:p>
      <w:pPr>
        <w:sectPr>
          <w:pgSz w:w="11900" w:h="16838" w:orient="portrait"/>
          <w:cols w:equalWidth="0" w:num="1">
            <w:col w:w="9019"/>
          </w:cols>
          <w:pgMar w:left="1440" w:top="1440" w:right="1440" w:bottom="1440" w:gutter="0" w:footer="0" w:header="0"/>
        </w:sectPr>
      </w:pPr>
    </w:p>
    <w:bookmarkStart w:id="271" w:name="page272"/>
    <w:bookmarkEnd w:id="271"/>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BANK OF AMERICA, N.A.,</w:t>
      </w:r>
    </w:p>
    <w:p>
      <w:pPr>
        <w:spacing w:after="0" w:line="60"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as a Lender and an Issuing Bank</w:t>
      </w:r>
    </w:p>
    <w:p>
      <w:pPr>
        <w:spacing w:after="0" w:line="60" w:lineRule="exact"/>
        <w:rPr>
          <w:sz w:val="20"/>
          <w:szCs w:val="20"/>
          <w:color w:val="auto"/>
        </w:rPr>
      </w:pPr>
    </w:p>
    <w:p>
      <w:pPr>
        <w:ind w:left="2720"/>
        <w:spacing w:after="0"/>
        <w:tabs>
          <w:tab w:leader="none" w:pos="3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Louis J. Noppenberger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31750</wp:posOffset>
            </wp:positionV>
            <wp:extent cx="1910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5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Louis J. Noppenberger</w:t>
      </w:r>
    </w:p>
    <w:p>
      <w:pPr>
        <w:spacing w:after="0" w:line="71" w:lineRule="exact"/>
        <w:rPr>
          <w:sz w:val="20"/>
          <w:szCs w:val="20"/>
          <w:color w:val="auto"/>
        </w:rPr>
      </w:pPr>
    </w:p>
    <w:p>
      <w:pPr>
        <w:ind w:left="3180"/>
        <w:spacing w:after="0"/>
        <w:tabs>
          <w:tab w:leader="none" w:pos="3800" w:val="left"/>
        </w:tabs>
        <w:rPr>
          <w:sz w:val="20"/>
          <w:szCs w:val="20"/>
          <w:color w:val="auto"/>
        </w:rPr>
      </w:pPr>
      <w:r>
        <w:rPr>
          <w:rFonts w:ascii="Arial" w:cs="Arial" w:eastAsia="Arial" w:hAnsi="Arial"/>
          <w:sz w:val="18"/>
          <w:szCs w:val="18"/>
          <w:color w:val="auto"/>
        </w:rPr>
        <w:t>Title:</w:t>
        <w:tab/>
        <w:t>Senior Vice President</w:t>
      </w:r>
    </w:p>
    <w:p>
      <w:pPr>
        <w:sectPr>
          <w:pgSz w:w="11900" w:h="16838" w:orient="portrait"/>
          <w:cols w:equalWidth="0" w:num="1">
            <w:col w:w="9019"/>
          </w:cols>
          <w:pgMar w:left="1440" w:top="1440" w:right="1440" w:bottom="1440" w:gutter="0" w:footer="0" w:header="0"/>
        </w:sectPr>
      </w:pPr>
    </w:p>
    <w:bookmarkStart w:id="272" w:name="page273"/>
    <w:bookmarkEnd w:id="272"/>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BARCLAYS BANK PLC,</w:t>
      </w:r>
    </w:p>
    <w:p>
      <w:pPr>
        <w:spacing w:after="0" w:line="60"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as a Lender and an Issuing Bank</w:t>
      </w:r>
    </w:p>
    <w:p>
      <w:pPr>
        <w:spacing w:after="0" w:line="83" w:lineRule="exact"/>
        <w:rPr>
          <w:sz w:val="20"/>
          <w:szCs w:val="20"/>
          <w:color w:val="auto"/>
        </w:rPr>
      </w:pPr>
    </w:p>
    <w:p>
      <w:pPr>
        <w:ind w:left="2720"/>
        <w:spacing w:after="0"/>
        <w:tabs>
          <w:tab w:leader="none" w:pos="3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George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31750</wp:posOffset>
            </wp:positionV>
            <wp:extent cx="1910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53"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Name: George Lee</w:t>
      </w:r>
    </w:p>
    <w:p>
      <w:pPr>
        <w:spacing w:after="0" w:line="60" w:lineRule="exact"/>
        <w:rPr>
          <w:sz w:val="20"/>
          <w:szCs w:val="20"/>
          <w:color w:val="auto"/>
        </w:rPr>
      </w:pPr>
    </w:p>
    <w:p>
      <w:pPr>
        <w:ind w:left="3180"/>
        <w:spacing w:after="0"/>
        <w:tabs>
          <w:tab w:leader="none" w:pos="380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9019"/>
          </w:cols>
          <w:pgMar w:left="1440" w:top="1440" w:right="1440" w:bottom="1440" w:gutter="0" w:footer="0" w:header="0"/>
        </w:sectPr>
      </w:pPr>
    </w:p>
    <w:bookmarkStart w:id="273" w:name="page274"/>
    <w:bookmarkEnd w:id="273"/>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MORGAN  STANLEY  SENIOR  FUNDING,</w:t>
      </w:r>
    </w:p>
    <w:p>
      <w:pPr>
        <w:spacing w:after="0" w:line="23"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INC.,</w:t>
      </w:r>
    </w:p>
    <w:p>
      <w:pPr>
        <w:spacing w:after="0" w:line="44"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as a Lender and an Issuing Bank</w:t>
      </w:r>
    </w:p>
    <w:p>
      <w:pPr>
        <w:spacing w:after="0" w:line="60" w:lineRule="exact"/>
        <w:rPr>
          <w:sz w:val="20"/>
          <w:szCs w:val="20"/>
          <w:color w:val="auto"/>
        </w:rPr>
      </w:pPr>
    </w:p>
    <w:p>
      <w:pPr>
        <w:ind w:left="2720"/>
        <w:spacing w:after="0"/>
        <w:tabs>
          <w:tab w:leader="none" w:pos="3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31750</wp:posOffset>
            </wp:positionV>
            <wp:extent cx="21202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53"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Name: Michael King</w:t>
      </w:r>
    </w:p>
    <w:p>
      <w:pPr>
        <w:spacing w:after="0" w:line="60" w:lineRule="exact"/>
        <w:rPr>
          <w:sz w:val="20"/>
          <w:szCs w:val="20"/>
          <w:color w:val="auto"/>
        </w:rPr>
      </w:pPr>
    </w:p>
    <w:p>
      <w:pPr>
        <w:ind w:left="3180"/>
        <w:spacing w:after="0"/>
        <w:tabs>
          <w:tab w:leader="none" w:pos="3800" w:val="left"/>
        </w:tabs>
        <w:rPr>
          <w:sz w:val="20"/>
          <w:szCs w:val="20"/>
          <w:color w:val="auto"/>
        </w:rPr>
      </w:pPr>
      <w:r>
        <w:rPr>
          <w:rFonts w:ascii="Arial" w:cs="Arial" w:eastAsia="Arial" w:hAnsi="Arial"/>
          <w:sz w:val="19"/>
          <w:szCs w:val="19"/>
          <w:color w:val="auto"/>
        </w:rPr>
        <w:t>Title:</w:t>
        <w:tab/>
        <w:t>Vice President</w:t>
      </w:r>
    </w:p>
    <w:p>
      <w:pPr>
        <w:sectPr>
          <w:pgSz w:w="11900" w:h="16838" w:orient="portrait"/>
          <w:cols w:equalWidth="0" w:num="1">
            <w:col w:w="9019"/>
          </w:cols>
          <w:pgMar w:left="1440" w:top="1440" w:right="1440"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138" w:lineRule="exact"/>
        <w:rPr>
          <w:sz w:val="20"/>
          <w:szCs w:val="20"/>
          <w:color w:val="auto"/>
        </w:rPr>
      </w:pPr>
    </w:p>
    <w:p>
      <w:pPr>
        <w:ind w:left="440" w:hanging="416"/>
        <w:spacing w:after="0"/>
        <w:tabs>
          <w:tab w:leader="none" w:pos="4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24" w:lineRule="exact"/>
        <w:rPr>
          <w:rFonts w:ascii="Arial" w:cs="Arial" w:eastAsia="Arial" w:hAnsi="Arial"/>
          <w:sz w:val="18"/>
          <w:szCs w:val="18"/>
          <w:color w:val="auto"/>
        </w:rPr>
      </w:pPr>
    </w:p>
    <w:p>
      <w:pPr>
        <w:ind w:left="440" w:right="160" w:hanging="416"/>
        <w:spacing w:after="0" w:line="215" w:lineRule="auto"/>
        <w:tabs>
          <w:tab w:leader="none" w:pos="4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8"/>
          <w:szCs w:val="18"/>
          <w:color w:val="auto"/>
        </w:rPr>
      </w:pPr>
    </w:p>
    <w:p>
      <w:pPr>
        <w:ind w:left="440" w:right="240" w:hanging="416"/>
        <w:spacing w:after="0" w:line="235" w:lineRule="auto"/>
        <w:tabs>
          <w:tab w:leader="none" w:pos="4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440" w:right="320" w:hanging="416"/>
        <w:spacing w:after="0" w:line="222" w:lineRule="auto"/>
        <w:tabs>
          <w:tab w:leader="none" w:pos="4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0" w:lineRule="exact"/>
        <w:rPr>
          <w:rFonts w:ascii="Arial" w:cs="Arial" w:eastAsia="Arial" w:hAnsi="Arial"/>
          <w:sz w:val="18"/>
          <w:szCs w:val="18"/>
          <w:color w:val="auto"/>
        </w:rPr>
      </w:pPr>
    </w:p>
    <w:p>
      <w:pPr>
        <w:jc w:val="both"/>
        <w:ind w:left="1040" w:right="100" w:hanging="592"/>
        <w:spacing w:after="0" w:line="215" w:lineRule="auto"/>
        <w:tabs>
          <w:tab w:leader="none" w:pos="10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040" w:right="380" w:hanging="592"/>
        <w:spacing w:after="0" w:line="215" w:lineRule="auto"/>
        <w:tabs>
          <w:tab w:leader="none" w:pos="10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8"/>
          <w:szCs w:val="18"/>
          <w:color w:val="auto"/>
        </w:rPr>
      </w:pPr>
    </w:p>
    <w:p>
      <w:pPr>
        <w:ind w:left="1040" w:right="200" w:hanging="592"/>
        <w:spacing w:after="0" w:line="215" w:lineRule="auto"/>
        <w:tabs>
          <w:tab w:leader="none" w:pos="10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440" w:right="240" w:hanging="416"/>
        <w:spacing w:after="0" w:line="215" w:lineRule="auto"/>
        <w:tabs>
          <w:tab w:leader="none" w:pos="4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8"/>
          <w:szCs w:val="18"/>
          <w:color w:val="auto"/>
        </w:rPr>
      </w:pPr>
    </w:p>
    <w:p>
      <w:pPr>
        <w:ind w:left="1040" w:right="60" w:hanging="592"/>
        <w:spacing w:after="0" w:line="235" w:lineRule="auto"/>
        <w:tabs>
          <w:tab w:leader="none" w:pos="104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1040" w:right="300" w:hanging="592"/>
        <w:spacing w:after="0" w:line="222" w:lineRule="auto"/>
        <w:tabs>
          <w:tab w:leader="none" w:pos="10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20"/>
        <w:spacing w:after="0"/>
        <w:tabs>
          <w:tab w:leader="none" w:pos="680" w:val="left"/>
          <w:tab w:leader="none" w:pos="5740" w:val="left"/>
          <w:tab w:leader="none" w:pos="6180" w:val="left"/>
        </w:tabs>
        <w:rPr>
          <w:sz w:val="20"/>
          <w:szCs w:val="20"/>
          <w:color w:val="auto"/>
        </w:rPr>
      </w:pPr>
      <w:r>
        <w:rPr>
          <w:rFonts w:ascii="Arial" w:cs="Arial" w:eastAsia="Arial" w:hAnsi="Arial"/>
          <w:sz w:val="18"/>
          <w:szCs w:val="18"/>
          <w:color w:val="auto"/>
        </w:rPr>
        <w:t>Date:</w:t>
        <w:tab/>
        <w:t>July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3810</wp:posOffset>
            </wp:positionV>
            <wp:extent cx="32137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Amit Yoran</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8"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38" w:lineRule="exact"/>
        <w:rPr>
          <w:sz w:val="20"/>
          <w:szCs w:val="20"/>
          <w:color w:val="auto"/>
        </w:rPr>
      </w:pPr>
    </w:p>
    <w:p>
      <w:pPr>
        <w:ind w:left="440" w:hanging="416"/>
        <w:spacing w:after="0"/>
        <w:tabs>
          <w:tab w:leader="none" w:pos="4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24" w:lineRule="exact"/>
        <w:rPr>
          <w:rFonts w:ascii="Arial" w:cs="Arial" w:eastAsia="Arial" w:hAnsi="Arial"/>
          <w:sz w:val="18"/>
          <w:szCs w:val="18"/>
          <w:color w:val="auto"/>
        </w:rPr>
      </w:pPr>
    </w:p>
    <w:p>
      <w:pPr>
        <w:ind w:left="440" w:right="160" w:hanging="416"/>
        <w:spacing w:after="0" w:line="215" w:lineRule="auto"/>
        <w:tabs>
          <w:tab w:leader="none" w:pos="4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8"/>
          <w:szCs w:val="18"/>
          <w:color w:val="auto"/>
        </w:rPr>
      </w:pPr>
    </w:p>
    <w:p>
      <w:pPr>
        <w:ind w:left="440" w:right="240" w:hanging="416"/>
        <w:spacing w:after="0" w:line="235" w:lineRule="auto"/>
        <w:tabs>
          <w:tab w:leader="none" w:pos="4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440" w:right="320" w:hanging="416"/>
        <w:spacing w:after="0" w:line="222" w:lineRule="auto"/>
        <w:tabs>
          <w:tab w:leader="none" w:pos="4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0" w:lineRule="exact"/>
        <w:rPr>
          <w:rFonts w:ascii="Arial" w:cs="Arial" w:eastAsia="Arial" w:hAnsi="Arial"/>
          <w:sz w:val="18"/>
          <w:szCs w:val="18"/>
          <w:color w:val="auto"/>
        </w:rPr>
      </w:pPr>
    </w:p>
    <w:p>
      <w:pPr>
        <w:jc w:val="both"/>
        <w:ind w:left="1040" w:right="100" w:hanging="592"/>
        <w:spacing w:after="0" w:line="215" w:lineRule="auto"/>
        <w:tabs>
          <w:tab w:leader="none" w:pos="10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040" w:right="380" w:hanging="592"/>
        <w:spacing w:after="0" w:line="215" w:lineRule="auto"/>
        <w:tabs>
          <w:tab w:leader="none" w:pos="10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8"/>
          <w:szCs w:val="18"/>
          <w:color w:val="auto"/>
        </w:rPr>
      </w:pPr>
    </w:p>
    <w:p>
      <w:pPr>
        <w:ind w:left="1040" w:right="200" w:hanging="592"/>
        <w:spacing w:after="0" w:line="215" w:lineRule="auto"/>
        <w:tabs>
          <w:tab w:leader="none" w:pos="10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440" w:right="240" w:hanging="416"/>
        <w:spacing w:after="0" w:line="215" w:lineRule="auto"/>
        <w:tabs>
          <w:tab w:leader="none" w:pos="4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8"/>
          <w:szCs w:val="18"/>
          <w:color w:val="auto"/>
        </w:rPr>
      </w:pPr>
    </w:p>
    <w:p>
      <w:pPr>
        <w:ind w:left="1040" w:right="60" w:hanging="592"/>
        <w:spacing w:after="0" w:line="235" w:lineRule="auto"/>
        <w:tabs>
          <w:tab w:leader="none" w:pos="104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1040" w:right="300" w:hanging="592"/>
        <w:spacing w:after="0" w:line="222" w:lineRule="auto"/>
        <w:tabs>
          <w:tab w:leader="none" w:pos="10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680" w:val="left"/>
          <w:tab w:leader="none" w:pos="5740" w:val="left"/>
          <w:tab w:leader="none" w:pos="6180" w:val="left"/>
        </w:tabs>
        <w:rPr>
          <w:sz w:val="20"/>
          <w:szCs w:val="20"/>
          <w:color w:val="auto"/>
        </w:rPr>
      </w:pPr>
      <w:r>
        <w:rPr>
          <w:rFonts w:ascii="Arial" w:cs="Arial" w:eastAsia="Arial" w:hAnsi="Arial"/>
          <w:sz w:val="18"/>
          <w:szCs w:val="18"/>
          <w:color w:val="auto"/>
        </w:rPr>
        <w:t>Date:</w:t>
        <w:tab/>
        <w:t>July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3810</wp:posOffset>
            </wp:positionV>
            <wp:extent cx="32137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A. Vintz</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8"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18 U.S.C. SECTION 1350,</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AS ADOPTED PURSUANT TO</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July 30, 2021</w:t>
            </w:r>
          </w:p>
        </w:tc>
        <w:tc>
          <w:tcPr>
            <w:tcW w:w="2420" w:type="dxa"/>
            <w:vAlign w:val="bottom"/>
          </w:tcPr>
          <w:p>
            <w:pPr>
              <w:ind w:left="20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r>
      <w:tr>
        <w:trPr>
          <w:trHeight w:val="218"/>
        </w:trPr>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Amit Yoran</w:t>
            </w:r>
          </w:p>
        </w:tc>
      </w:tr>
      <w:tr>
        <w:trPr>
          <w:trHeight w:val="221"/>
        </w:trPr>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July 30, 2021</w:t>
            </w:r>
          </w:p>
        </w:tc>
        <w:tc>
          <w:tcPr>
            <w:tcW w:w="2420" w:type="dxa"/>
            <w:vAlign w:val="bottom"/>
          </w:tcPr>
          <w:p>
            <w:pPr>
              <w:ind w:left="20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18"/>
        </w:trPr>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21"/>
        </w:trPr>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abstractNum>
  <w:abstractNum w:abstractNumId="1">
    <w:nsid w:val="597B4D84"/>
    <w:multiLevelType w:val="hybridMultilevel"/>
    <w:lvl w:ilvl="0">
      <w:lvlJc w:val="left"/>
      <w:lvlText w:val="☐"/>
      <w:numFmt w:val="bullet"/>
      <w:start w:val="1"/>
    </w:lvl>
  </w:abstractNum>
  <w:abstractNum w:abstractNumId="2">
    <w:nsid w:val="F819E7F"/>
    <w:multiLevelType w:val="hybridMultilevel"/>
    <w:lvl w:ilvl="0">
      <w:lvlJc w:val="left"/>
      <w:lvlText w:val="%1."/>
      <w:numFmt w:val="decimal"/>
      <w:start w:val="1"/>
    </w:lvl>
  </w:abstractNum>
  <w:abstractNum w:abstractNumId="3">
    <w:nsid w:val="57C7D42D"/>
    <w:multiLevelType w:val="hybridMultilevel"/>
    <w:lvl w:ilvl="0">
      <w:lvlJc w:val="left"/>
      <w:lvlText w:val="•"/>
      <w:numFmt w:val="bullet"/>
      <w:start w:val="1"/>
    </w:lvl>
  </w:abstractNum>
  <w:abstractNum w:abstractNumId="4">
    <w:nsid w:val="312167AD"/>
    <w:multiLevelType w:val="hybridMultilevel"/>
    <w:lvl w:ilvl="0">
      <w:lvlJc w:val="left"/>
      <w:lvlText w:val="(%1)"/>
      <w:numFmt w:val="decimal"/>
      <w:start w:val="1"/>
    </w:lvl>
  </w:abstractNum>
  <w:abstractNum w:abstractNumId="5">
    <w:nsid w:val="631B64D4"/>
    <w:multiLevelType w:val="hybridMultilevel"/>
    <w:lvl w:ilvl="0">
      <w:lvlJc w:val="left"/>
      <w:lvlText w:val="(%1)"/>
      <w:numFmt w:val="decimal"/>
      <w:start w:val="1"/>
    </w:lvl>
  </w:abstractNum>
  <w:abstractNum w:abstractNumId="6">
    <w:nsid w:val="78B5E776"/>
    <w:multiLevelType w:val="hybridMultilevel"/>
    <w:lvl w:ilvl="0">
      <w:lvlJc w:val="left"/>
      <w:lvlText w:val="%1."/>
      <w:numFmt w:val="decimal"/>
      <w:start w:val="13"/>
    </w:lvl>
  </w:abstractNum>
  <w:abstractNum w:abstractNumId="7">
    <w:nsid w:val="75486E47"/>
    <w:multiLevelType w:val="hybridMultilevel"/>
    <w:lvl w:ilvl="0">
      <w:lvlJc w:val="left"/>
      <w:lvlText w:val="•"/>
      <w:numFmt w:val="bullet"/>
      <w:start w:val="1"/>
    </w:lvl>
  </w:abstractNum>
  <w:abstractNum w:abstractNumId="8">
    <w:nsid w:val="6E534CDE"/>
    <w:multiLevelType w:val="hybridMultilevel"/>
    <w:lvl w:ilvl="0">
      <w:lvlJc w:val="left"/>
      <w:lvlText w:val="•"/>
      <w:numFmt w:val="bullet"/>
      <w:start w:val="1"/>
    </w:lvl>
  </w:abstractNum>
  <w:abstractNum w:abstractNumId="9">
    <w:nsid w:val="1A0DDE32"/>
    <w:multiLevelType w:val="hybridMultilevel"/>
    <w:lvl w:ilvl="0">
      <w:lvlJc w:val="left"/>
      <w:lvlText w:val="(%1)"/>
      <w:numFmt w:val="decimal"/>
      <w:start w:val="1"/>
    </w:lvl>
  </w:abstractNum>
  <w:abstractNum w:abstractNumId="10">
    <w:nsid w:val="65968C1C"/>
    <w:multiLevelType w:val="hybridMultilevel"/>
    <w:lvl w:ilvl="0">
      <w:lvlJc w:val="left"/>
      <w:lvlText w:val="(%1)"/>
      <w:numFmt w:val="decimal"/>
      <w:start w:val="1"/>
    </w:lvl>
  </w:abstractNum>
  <w:abstractNum w:abstractNumId="11">
    <w:nsid w:val="46263DEC"/>
    <w:multiLevelType w:val="hybridMultilevel"/>
    <w:lvl w:ilvl="0">
      <w:lvlJc w:val="left"/>
      <w:lvlText w:val="(%1)"/>
      <w:numFmt w:val="decimal"/>
      <w:start w:val="1"/>
    </w:lvl>
  </w:abstractNum>
  <w:abstractNum w:abstractNumId="12">
    <w:nsid w:val="260D8C4A"/>
    <w:multiLevelType w:val="hybridMultilevel"/>
    <w:lvl w:ilvl="0">
      <w:lvlJc w:val="left"/>
      <w:lvlText w:val="(%1)"/>
      <w:numFmt w:val="decimal"/>
      <w:start w:val="1"/>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
      <w:numFmt w:val="bullet"/>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
      <w:numFmt w:val="bullet"/>
      <w:start w:val="1"/>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
      <w:numFmt w:val="bullet"/>
      <w:start w:val="1"/>
    </w:lvl>
  </w:abstractNum>
  <w:abstractNum w:abstractNumId="23">
    <w:nsid w:val="6CAA2304"/>
    <w:multiLevelType w:val="hybridMultilevel"/>
    <w:lvl w:ilvl="0">
      <w:lvlJc w:val="left"/>
      <w:lvlText w:val="•"/>
      <w:numFmt w:val="bullet"/>
      <w:start w:val="1"/>
    </w:lvl>
  </w:abstractNum>
  <w:abstractNum w:abstractNumId="24">
    <w:nsid w:val="3F7C2FF4"/>
    <w:multiLevelType w:val="hybridMultilevel"/>
    <w:lvl w:ilvl="0">
      <w:lvlJc w:val="left"/>
      <w:lvlText w:val="•"/>
      <w:numFmt w:val="bullet"/>
      <w:start w:val="1"/>
    </w:lvl>
  </w:abstractNum>
  <w:abstractNum w:abstractNumId="25">
    <w:nsid w:val="25413BEC"/>
    <w:multiLevelType w:val="hybridMultilevel"/>
    <w:lvl w:ilvl="0">
      <w:lvlJc w:val="left"/>
      <w:lvlText w:val="•"/>
      <w:numFmt w:val="bullet"/>
      <w:start w:val="1"/>
    </w:lvl>
  </w:abstractNum>
  <w:abstractNum w:abstractNumId="26">
    <w:nsid w:val="17180B0B"/>
    <w:multiLevelType w:val="hybridMultilevel"/>
    <w:lvl w:ilvl="0">
      <w:lvlJc w:val="left"/>
      <w:lvlText w:val="•"/>
      <w:numFmt w:val="bullet"/>
      <w:start w:val="1"/>
    </w:lvl>
  </w:abstractNum>
  <w:abstractNum w:abstractNumId="27">
    <w:nsid w:val="579328B9"/>
    <w:multiLevelType w:val="hybridMultilevel"/>
    <w:lvl w:ilvl="0">
      <w:lvlJc w:val="left"/>
      <w:lvlText w:val="•"/>
      <w:numFmt w:val="bullet"/>
      <w:start w:val="1"/>
    </w:lvl>
  </w:abstractNum>
  <w:abstractNum w:abstractNumId="28">
    <w:nsid w:val="5D205E20"/>
    <w:multiLevelType w:val="hybridMultilevel"/>
    <w:lvl w:ilvl="0">
      <w:lvlJc w:val="left"/>
      <w:lvlText w:val="•"/>
      <w:numFmt w:val="bullet"/>
      <w:start w:val="1"/>
    </w:lvl>
  </w:abstractNum>
  <w:abstractNum w:abstractNumId="29">
    <w:nsid w:val="11CCA8BA"/>
    <w:multiLevelType w:val="hybridMultilevel"/>
    <w:lvl w:ilvl="0">
      <w:lvlJc w:val="left"/>
      <w:lvlText w:val="•"/>
      <w:numFmt w:val="bullet"/>
      <w:start w:val="1"/>
    </w:lvl>
  </w:abstractNum>
  <w:abstractNum w:abstractNumId="30">
    <w:nsid w:val="4D32AB86"/>
    <w:multiLevelType w:val="hybridMultilevel"/>
    <w:lvl w:ilvl="0">
      <w:lvlJc w:val="left"/>
      <w:lvlText w:val="•"/>
      <w:numFmt w:val="bullet"/>
      <w:start w:val="1"/>
    </w:lvl>
  </w:abstractNum>
  <w:abstractNum w:abstractNumId="31">
    <w:nsid w:val="3F07ACC3"/>
    <w:multiLevelType w:val="hybridMultilevel"/>
    <w:lvl w:ilvl="0">
      <w:lvlJc w:val="left"/>
      <w:lvlText w:val="•"/>
      <w:numFmt w:val="bullet"/>
      <w:start w:val="1"/>
    </w:lvl>
  </w:abstractNum>
  <w:abstractNum w:abstractNumId="32">
    <w:nsid w:val="6B47F63E"/>
    <w:multiLevelType w:val="hybridMultilevel"/>
    <w:lvl w:ilvl="0">
      <w:lvlJc w:val="left"/>
      <w:lvlText w:val="•"/>
      <w:numFmt w:val="bullet"/>
      <w:start w:val="1"/>
    </w:lvl>
  </w:abstractNum>
  <w:abstractNum w:abstractNumId="33">
    <w:nsid w:val="5CB44A05"/>
    <w:multiLevelType w:val="hybridMultilevel"/>
    <w:lvl w:ilvl="0">
      <w:lvlJc w:val="left"/>
      <w:lvlText w:val="•"/>
      <w:numFmt w:val="bullet"/>
      <w:start w:val="1"/>
    </w:lvl>
  </w:abstractNum>
  <w:abstractNum w:abstractNumId="34">
    <w:nsid w:val="16CF80F1"/>
    <w:multiLevelType w:val="hybridMultilevel"/>
    <w:lvl w:ilvl="0">
      <w:lvlJc w:val="left"/>
      <w:lvlText w:val="•"/>
      <w:numFmt w:val="bullet"/>
      <w:start w:val="1"/>
    </w:lvl>
  </w:abstractNum>
  <w:abstractNum w:abstractNumId="35">
    <w:nsid w:val="1C695DEC"/>
    <w:multiLevelType w:val="hybridMultilevel"/>
    <w:lvl w:ilvl="0">
      <w:lvlJc w:val="left"/>
      <w:lvlText w:val="•"/>
      <w:numFmt w:val="bullet"/>
      <w:start w:val="1"/>
    </w:lvl>
  </w:abstractNum>
  <w:abstractNum w:abstractNumId="36">
    <w:nsid w:val="3FCFAED9"/>
    <w:multiLevelType w:val="hybridMultilevel"/>
    <w:lvl w:ilvl="0">
      <w:lvlJc w:val="left"/>
      <w:lvlText w:val="%1"/>
      <w:numFmt w:val="decimal"/>
      <w:start w:val="104"/>
    </w:lvl>
  </w:abstractNum>
  <w:abstractNum w:abstractNumId="37">
    <w:nsid w:val="F856867"/>
    <w:multiLevelType w:val="hybridMultilevel"/>
    <w:lvl w:ilvl="0">
      <w:lvlJc w:val="left"/>
      <w:lvlText w:val="(*)"/>
      <w:numFmt w:val="bullet"/>
      <w:start w:val="1"/>
    </w:lvl>
  </w:abstractNum>
  <w:abstractNum w:abstractNumId="38">
    <w:nsid w:val="11B1CC33"/>
    <w:multiLevelType w:val="hybridMultilevel"/>
    <w:lvl w:ilvl="0">
      <w:lvlJc w:val="left"/>
      <w:lvlText w:val="(%1)"/>
      <w:numFmt w:val="lowerLetter"/>
      <w:start w:val="2"/>
    </w:lvl>
  </w:abstractNum>
  <w:abstractNum w:abstractNumId="39">
    <w:nsid w:val="2E22FBB7"/>
    <w:multiLevelType w:val="hybridMultilevel"/>
    <w:lvl w:ilvl="0">
      <w:lvlJc w:val="left"/>
      <w:lvlText w:val="(%1)"/>
      <w:numFmt w:val="lowerLetter"/>
      <w:start w:val="1"/>
    </w:lvl>
  </w:abstractNum>
  <w:abstractNum w:abstractNumId="40">
    <w:nsid w:val="29934699"/>
    <w:multiLevelType w:val="hybridMultilevel"/>
    <w:lvl w:ilvl="0">
      <w:lvlJc w:val="left"/>
      <w:lvlText w:val="(%1)"/>
      <w:numFmt w:val="lowerLetter"/>
      <w:start w:val="6"/>
    </w:lvl>
  </w:abstractNum>
  <w:abstractNum w:abstractNumId="41">
    <w:nsid w:val="77485850"/>
    <w:multiLevelType w:val="hybridMultilevel"/>
    <w:lvl w:ilvl="0">
      <w:lvlJc w:val="left"/>
      <w:lvlText w:val="(%1)"/>
      <w:numFmt w:val="lowerLetter"/>
      <w:start w:val="1"/>
    </w:lvl>
  </w:abstractNum>
  <w:abstractNum w:abstractNumId="42">
    <w:nsid w:val="744939A3"/>
    <w:multiLevelType w:val="hybridMultilevel"/>
    <w:lvl w:ilvl="0">
      <w:lvlJc w:val="left"/>
      <w:lvlText w:val="(%1)"/>
      <w:numFmt w:val="lowerLetter"/>
      <w:start w:val="1"/>
    </w:lvl>
    <w:lvl w:ilvl="1">
      <w:lvlJc w:val="left"/>
      <w:lvlText w:val="(%2)"/>
      <w:numFmt w:val="lowerRoman"/>
      <w:start w:val="1"/>
    </w:lvl>
  </w:abstractNum>
  <w:abstractNum w:abstractNumId="43">
    <w:nsid w:val="4FA0D2E3"/>
    <w:multiLevelType w:val="hybridMultilevel"/>
    <w:lvl w:ilvl="0">
      <w:lvlJc w:val="left"/>
      <w:lvlText w:val="(%1)"/>
      <w:numFmt w:val="lowerLetter"/>
      <w:start w:val="2"/>
    </w:lvl>
  </w:abstractNum>
  <w:abstractNum w:abstractNumId="44">
    <w:nsid w:val="6B1D2C14"/>
    <w:multiLevelType w:val="hybridMultilevel"/>
    <w:lvl w:ilvl="0">
      <w:lvlJc w:val="left"/>
      <w:lvlText w:val="(%1)"/>
      <w:numFmt w:val="lowerLetter"/>
      <w:start w:val="4"/>
    </w:lvl>
  </w:abstractNum>
  <w:abstractNum w:abstractNumId="45">
    <w:nsid w:val="68B867D3"/>
    <w:multiLevelType w:val="hybridMultilevel"/>
    <w:lvl w:ilvl="0">
      <w:lvlJc w:val="left"/>
      <w:lvlText w:val="(%1)"/>
      <w:numFmt w:val="lowerLetter"/>
      <w:start w:val="1"/>
    </w:lvl>
  </w:abstractNum>
  <w:abstractNum w:abstractNumId="46">
    <w:nsid w:val="3F7F5DD9"/>
    <w:multiLevelType w:val="hybridMultilevel"/>
    <w:lvl w:ilvl="0">
      <w:lvlJc w:val="left"/>
      <w:lvlText w:val="(%1)"/>
      <w:numFmt w:val="lowerRoman"/>
      <w:start w:val="13"/>
    </w:lvl>
  </w:abstractNum>
  <w:abstractNum w:abstractNumId="47">
    <w:nsid w:val="2AE05A34"/>
    <w:multiLevelType w:val="hybridMultilevel"/>
    <w:lvl w:ilvl="0">
      <w:lvlJc w:val="left"/>
      <w:lvlText w:val="(%1)"/>
      <w:numFmt w:val="lowerLetter"/>
      <w:start w:val="1"/>
    </w:lvl>
    <w:lvl w:ilvl="1">
      <w:lvlJc w:val="left"/>
      <w:lvlText w:val="(%2)"/>
      <w:numFmt w:val="lowerRoman"/>
      <w:start w:val="1"/>
    </w:lvl>
  </w:abstractNum>
  <w:abstractNum w:abstractNumId="48">
    <w:nsid w:val="32794FF7"/>
    <w:multiLevelType w:val="hybridMultilevel"/>
    <w:lvl w:ilvl="0">
      <w:lvlJc w:val="left"/>
      <w:lvlText w:val="(%1)"/>
      <w:numFmt w:val="lowerRoman"/>
      <w:start w:val="10"/>
    </w:lvl>
  </w:abstractNum>
  <w:abstractNum w:abstractNumId="49">
    <w:nsid w:val="5454945E"/>
    <w:multiLevelType w:val="hybridMultilevel"/>
    <w:lvl w:ilvl="0">
      <w:lvlJc w:val="left"/>
      <w:lvlText w:val="%1"/>
      <w:numFmt w:val="lowerLetter"/>
      <w:start w:val="1"/>
    </w:lvl>
    <w:lvl w:ilvl="1">
      <w:lvlJc w:val="left"/>
      <w:lvlText w:val="(%2)"/>
      <w:numFmt w:val="lowerRoman"/>
      <w:start w:val="22"/>
    </w:lvl>
  </w:abstractNum>
  <w:abstractNum w:abstractNumId="50">
    <w:nsid w:val="4DEFDFA0"/>
    <w:multiLevelType w:val="hybridMultilevel"/>
    <w:lvl w:ilvl="0">
      <w:lvlJc w:val="left"/>
      <w:lvlText w:val="(%1)"/>
      <w:numFmt w:val="lowerLetter"/>
      <w:start w:val="2"/>
    </w:lvl>
    <w:lvl w:ilvl="1">
      <w:lvlJc w:val="left"/>
      <w:lvlText w:val="(%2)"/>
      <w:numFmt w:val="lowerRoman"/>
      <w:start w:val="1"/>
    </w:lvl>
  </w:abstractNum>
  <w:abstractNum w:abstractNumId="51">
    <w:nsid w:val="2123D5F2"/>
    <w:multiLevelType w:val="hybridMultilevel"/>
    <w:lvl w:ilvl="0">
      <w:lvlJc w:val="left"/>
      <w:lvlText w:val="(%1)"/>
      <w:numFmt w:val="lowerRoman"/>
      <w:start w:val="5"/>
    </w:lvl>
  </w:abstractNum>
  <w:abstractNum w:abstractNumId="52">
    <w:nsid w:val="135B8110"/>
    <w:multiLevelType w:val="hybridMultilevel"/>
    <w:lvl w:ilvl="0">
      <w:lvlJc w:val="left"/>
      <w:lvlText w:val="(%1)"/>
      <w:numFmt w:val="upperLetter"/>
      <w:start w:val="9"/>
    </w:lvl>
  </w:abstractNum>
  <w:abstractNum w:abstractNumId="53">
    <w:nsid w:val="94927A8"/>
    <w:multiLevelType w:val="hybridMultilevel"/>
    <w:lvl w:ilvl="0">
      <w:lvlJc w:val="left"/>
      <w:lvlText w:val="(%1)"/>
      <w:numFmt w:val="upperLetter"/>
      <w:start w:val="35"/>
    </w:lvl>
  </w:abstractNum>
  <w:abstractNum w:abstractNumId="54">
    <w:nsid w:val="DCDF8F6"/>
    <w:multiLevelType w:val="hybridMultilevel"/>
    <w:lvl w:ilvl="0">
      <w:lvlJc w:val="left"/>
      <w:lvlText w:val="(%1)"/>
      <w:numFmt w:val="upperLetter"/>
      <w:start w:val="61"/>
    </w:lvl>
  </w:abstractNum>
  <w:abstractNum w:abstractNumId="55">
    <w:nsid w:val="52D7B105"/>
    <w:multiLevelType w:val="hybridMultilevel"/>
    <w:lvl w:ilvl="0">
      <w:lvlJc w:val="left"/>
      <w:lvlText w:val="(%1)"/>
      <w:numFmt w:val="upperLetter"/>
      <w:start w:val="22"/>
    </w:lvl>
  </w:abstractNum>
  <w:abstractNum w:abstractNumId="56">
    <w:nsid w:val="2E8A6394"/>
    <w:multiLevelType w:val="hybridMultilevel"/>
    <w:lvl w:ilvl="0">
      <w:lvlJc w:val="left"/>
      <w:lvlText w:val="(%1)"/>
      <w:numFmt w:val="lowerLetter"/>
      <w:start w:val="1"/>
    </w:lvl>
  </w:abstractNum>
  <w:abstractNum w:abstractNumId="57">
    <w:nsid w:val="24E60401"/>
    <w:multiLevelType w:val="hybridMultilevel"/>
    <w:lvl w:ilvl="0">
      <w:lvlJc w:val="left"/>
      <w:lvlText w:val="(%1)"/>
      <w:numFmt w:val="lowerLetter"/>
      <w:start w:val="2"/>
    </w:lvl>
  </w:abstractNum>
  <w:abstractNum w:abstractNumId="58">
    <w:nsid w:val="2A6AD9BE"/>
    <w:multiLevelType w:val="hybridMultilevel"/>
    <w:lvl w:ilvl="0">
      <w:lvlJc w:val="left"/>
      <w:lvlText w:val="(%1)"/>
      <w:numFmt w:val="lowerLetter"/>
      <w:start w:val="5"/>
    </w:lvl>
  </w:abstractNum>
  <w:abstractNum w:abstractNumId="59">
    <w:nsid w:val="BAAC1B4"/>
    <w:multiLevelType w:val="hybridMultilevel"/>
    <w:lvl w:ilvl="0">
      <w:lvlJc w:val="left"/>
      <w:lvlText w:val="(%1)"/>
      <w:numFmt w:val="lowerLetter"/>
      <w:start w:val="1"/>
    </w:lvl>
  </w:abstractNum>
  <w:abstractNum w:abstractNumId="60">
    <w:nsid w:val="36B2ACBC"/>
    <w:multiLevelType w:val="hybridMultilevel"/>
    <w:lvl w:ilvl="0">
      <w:lvlJc w:val="left"/>
      <w:lvlText w:val="(%1)"/>
      <w:numFmt w:val="lowerLetter"/>
      <w:start w:val="3"/>
    </w:lvl>
  </w:abstractNum>
  <w:abstractNum w:abstractNumId="61">
    <w:nsid w:val="779D8544"/>
    <w:multiLevelType w:val="hybridMultilevel"/>
    <w:lvl w:ilvl="0">
      <w:lvlJc w:val="left"/>
      <w:lvlText w:val="(%1)"/>
      <w:numFmt w:val="lowerLetter"/>
      <w:start w:val="2"/>
    </w:lvl>
  </w:abstractNum>
  <w:abstractNum w:abstractNumId="62">
    <w:nsid w:val="4AB26E78"/>
    <w:multiLevelType w:val="hybridMultilevel"/>
    <w:lvl w:ilvl="0">
      <w:lvlJc w:val="left"/>
      <w:lvlText w:val="(%1)"/>
      <w:numFmt w:val="lowerLetter"/>
      <w:start w:val="1"/>
    </w:lvl>
  </w:abstractNum>
  <w:abstractNum w:abstractNumId="63">
    <w:nsid w:val="21FAA2FA"/>
    <w:multiLevelType w:val="hybridMultilevel"/>
    <w:lvl w:ilvl="0">
      <w:lvlJc w:val="left"/>
      <w:lvlText w:val="(%1)"/>
      <w:numFmt w:val="lowerLetter"/>
      <w:start w:val="1"/>
    </w:lvl>
    <w:lvl w:ilvl="1">
      <w:lvlJc w:val="left"/>
      <w:lvlText w:val="(%2)"/>
      <w:numFmt w:val="lowerRoman"/>
      <w:start w:val="1"/>
    </w:lvl>
  </w:abstractNum>
  <w:abstractNum w:abstractNumId="64">
    <w:nsid w:val="5451CF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5">
    <w:nsid w:val="6181EF6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6">
    <w:nsid w:val="3E6400E6"/>
    <w:multiLevelType w:val="hybridMultilevel"/>
    <w:lvl w:ilvl="0">
      <w:lvlJc w:val="left"/>
      <w:lvlText w:val="(%1)"/>
      <w:numFmt w:val="lowerLetter"/>
      <w:start w:val="10"/>
    </w:lvl>
    <w:lvl w:ilvl="1">
      <w:lvlJc w:val="left"/>
      <w:lvlText w:val="%2"/>
      <w:numFmt w:val="lowerLetter"/>
      <w:start w:val="1"/>
    </w:lvl>
    <w:lvl w:ilvl="2">
      <w:lvlJc w:val="left"/>
      <w:lvlText w:val="(%3)"/>
      <w:numFmt w:val="lowerRoman"/>
      <w:start w:val="2"/>
    </w:lvl>
  </w:abstractNum>
  <w:abstractNum w:abstractNumId="67">
    <w:nsid w:val="14217E23"/>
    <w:multiLevelType w:val="hybridMultilevel"/>
    <w:lvl w:ilvl="0">
      <w:lvlJc w:val="left"/>
      <w:lvlText w:val="(%1)"/>
      <w:numFmt w:val="lowerRoman"/>
      <w:start w:val="6"/>
    </w:lvl>
  </w:abstractNum>
  <w:abstractNum w:abstractNumId="68">
    <w:nsid w:val="710757D0"/>
    <w:multiLevelType w:val="hybridMultilevel"/>
    <w:lvl w:ilvl="0">
      <w:lvlJc w:val="left"/>
      <w:lvlText w:val="(%1)"/>
      <w:numFmt w:val="lowerLetter"/>
      <w:start w:val="4"/>
    </w:lvl>
  </w:abstractNum>
  <w:abstractNum w:abstractNumId="69">
    <w:nsid w:val="5015CD1A"/>
    <w:multiLevelType w:val="hybridMultilevel"/>
    <w:lvl w:ilvl="0">
      <w:lvlJc w:val="left"/>
      <w:lvlText w:val="(%1)"/>
      <w:numFmt w:val="lowerRoman"/>
      <w:start w:val="10"/>
    </w:lvl>
  </w:abstractNum>
  <w:abstractNum w:abstractNumId="70">
    <w:nsid w:val="424479DA"/>
    <w:multiLevelType w:val="hybridMultilevel"/>
    <w:lvl w:ilvl="0">
      <w:lvlJc w:val="left"/>
      <w:lvlText w:val="(%1)"/>
      <w:numFmt w:val="lowerLetter"/>
      <w:start w:val="3"/>
    </w:lvl>
  </w:abstractNum>
  <w:abstractNum w:abstractNumId="71">
    <w:nsid w:val="1A9A9E69"/>
    <w:multiLevelType w:val="hybridMultilevel"/>
    <w:lvl w:ilvl="0">
      <w:lvlJc w:val="left"/>
      <w:lvlText w:val="(%1)"/>
      <w:numFmt w:val="lowerRoman"/>
      <w:start w:val="2"/>
    </w:lvl>
  </w:abstractNum>
  <w:abstractNum w:abstractNumId="72">
    <w:nsid w:val="475E256A"/>
    <w:multiLevelType w:val="hybridMultilevel"/>
    <w:lvl w:ilvl="0">
      <w:lvlJc w:val="left"/>
      <w:lvlText w:val="(%1)"/>
      <w:numFmt w:val="lowerLetter"/>
      <w:start w:val="1"/>
    </w:lvl>
  </w:abstractNum>
  <w:abstractNum w:abstractNumId="73">
    <w:nsid w:val="368DB37E"/>
    <w:multiLevelType w:val="hybridMultilevel"/>
    <w:lvl w:ilvl="0">
      <w:lvlJc w:val="left"/>
      <w:lvlText w:val="(%1)"/>
      <w:numFmt w:val="lowerLetter"/>
      <w:start w:val="7"/>
    </w:lvl>
  </w:abstractNum>
  <w:abstractNum w:abstractNumId="74">
    <w:nsid w:val="6A3B714C"/>
    <w:multiLevelType w:val="hybridMultilevel"/>
    <w:lvl w:ilvl="0">
      <w:lvlJc w:val="left"/>
      <w:lvlText w:val="(%1)"/>
      <w:numFmt w:val="lowerLetter"/>
      <w:start w:val="17"/>
    </w:lvl>
  </w:abstractNum>
  <w:abstractNum w:abstractNumId="75">
    <w:nsid w:val="327B517E"/>
    <w:multiLevelType w:val="hybridMultilevel"/>
    <w:lvl w:ilvl="0">
      <w:lvlJc w:val="left"/>
      <w:lvlText w:val="(%1)"/>
      <w:numFmt w:val="lowerLetter"/>
      <w:start w:val="1"/>
    </w:lvl>
  </w:abstractNum>
  <w:abstractNum w:abstractNumId="76">
    <w:nsid w:val="1F461B51"/>
    <w:multiLevelType w:val="hybridMultilevel"/>
    <w:lvl w:ilvl="0">
      <w:lvlJc w:val="left"/>
      <w:lvlText w:val="%1"/>
      <w:numFmt w:val="lowerLetter"/>
      <w:start w:val="1"/>
    </w:lvl>
    <w:lvl w:ilvl="1">
      <w:lvlJc w:val="left"/>
      <w:lvlText w:val="(%2)"/>
      <w:numFmt w:val="lowerLetter"/>
      <w:start w:val="3"/>
    </w:lvl>
  </w:abstractNum>
  <w:abstractNum w:abstractNumId="77">
    <w:nsid w:val="29BACF25"/>
    <w:multiLevelType w:val="hybridMultilevel"/>
    <w:lvl w:ilvl="0">
      <w:lvlJc w:val="left"/>
      <w:lvlText w:val="(%1)"/>
      <w:numFmt w:val="lowerLetter"/>
      <w:start w:val="35"/>
    </w:lvl>
    <w:lvl w:ilvl="1">
      <w:lvlJc w:val="left"/>
      <w:lvlText w:val="(%2)"/>
      <w:numFmt w:val="lowerLetter"/>
      <w:start w:val="4"/>
    </w:lvl>
  </w:abstractNum>
  <w:abstractNum w:abstractNumId="78">
    <w:nsid w:val="5D5BABB3"/>
    <w:multiLevelType w:val="hybridMultilevel"/>
    <w:lvl w:ilvl="0">
      <w:lvlJc w:val="left"/>
      <w:lvlText w:val="(%1)"/>
      <w:numFmt w:val="lowerLetter"/>
      <w:start w:val="12"/>
    </w:lvl>
  </w:abstractNum>
  <w:abstractNum w:abstractNumId="79">
    <w:nsid w:val="51BF6B48"/>
    <w:multiLevelType w:val="hybridMultilevel"/>
    <w:lvl w:ilvl="0">
      <w:lvlJc w:val="left"/>
      <w:lvlText w:val="(%1)"/>
      <w:numFmt w:val="lowerLetter"/>
      <w:start w:val="1"/>
    </w:lvl>
  </w:abstractNum>
  <w:abstractNum w:abstractNumId="80">
    <w:nsid w:val="7E0F6384"/>
    <w:multiLevelType w:val="hybridMultilevel"/>
    <w:lvl w:ilvl="0">
      <w:lvlJc w:val="left"/>
      <w:lvlText w:val="(%1)"/>
      <w:numFmt w:val="lowerLetter"/>
      <w:start w:val="2"/>
    </w:lvl>
  </w:abstractNum>
  <w:abstractNum w:abstractNumId="81">
    <w:nsid w:val="2B4B8B53"/>
    <w:multiLevelType w:val="hybridMultilevel"/>
    <w:lvl w:ilvl="0">
      <w:lvlJc w:val="left"/>
      <w:lvlText w:val="(%1)"/>
      <w:numFmt w:val="lowerLetter"/>
      <w:start w:val="1"/>
    </w:lvl>
  </w:abstractNum>
  <w:abstractNum w:abstractNumId="82">
    <w:nsid w:val="72E3413A"/>
    <w:multiLevelType w:val="hybridMultilevel"/>
    <w:lvl w:ilvl="0">
      <w:lvlJc w:val="left"/>
      <w:lvlText w:val="(%1)"/>
      <w:numFmt w:val="lowerLetter"/>
      <w:start w:val="3"/>
    </w:lvl>
  </w:abstractNum>
  <w:abstractNum w:abstractNumId="83">
    <w:nsid w:val="116AE494"/>
    <w:multiLevelType w:val="hybridMultilevel"/>
    <w:lvl w:ilvl="0">
      <w:lvlJc w:val="left"/>
      <w:lvlText w:val="(%1)"/>
      <w:numFmt w:val="lowerRoman"/>
      <w:start w:val="2"/>
    </w:lvl>
  </w:abstractNum>
  <w:abstractNum w:abstractNumId="84">
    <w:nsid w:val="3494B2FB"/>
    <w:multiLevelType w:val="hybridMultilevel"/>
    <w:lvl w:ilvl="0">
      <w:lvlJc w:val="left"/>
      <w:lvlText w:val="(%1)"/>
      <w:numFmt w:val="lowerLetter"/>
      <w:start w:val="2"/>
    </w:lvl>
  </w:abstractNum>
  <w:abstractNum w:abstractNumId="85">
    <w:nsid w:val="B13A31"/>
    <w:multiLevelType w:val="hybridMultilevel"/>
    <w:lvl w:ilvl="0">
      <w:lvlJc w:val="left"/>
      <w:lvlText w:val="%1"/>
      <w:numFmt w:val="lowerLetter"/>
      <w:start w:val="1"/>
    </w:lvl>
    <w:lvl w:ilvl="1">
      <w:lvlJc w:val="left"/>
      <w:lvlText w:val="(%2)"/>
      <w:numFmt w:val="lowerLetter"/>
      <w:start w:val="1"/>
    </w:lvl>
  </w:abstractNum>
  <w:abstractNum w:abstractNumId="86">
    <w:nsid w:val="64429599"/>
    <w:multiLevelType w:val="hybridMultilevel"/>
    <w:lvl w:ilvl="0">
      <w:lvlJc w:val="left"/>
      <w:lvlText w:val="(%1)"/>
      <w:numFmt w:val="lowerLetter"/>
      <w:start w:val="35"/>
    </w:lvl>
    <w:lvl w:ilvl="1">
      <w:lvlJc w:val="left"/>
      <w:lvlText w:val="(%2)"/>
      <w:numFmt w:val="lowerLetter"/>
      <w:start w:val="4"/>
    </w:lvl>
  </w:abstractNum>
  <w:abstractNum w:abstractNumId="87">
    <w:nsid w:val="631F1690"/>
    <w:multiLevelType w:val="hybridMultilevel"/>
    <w:lvl w:ilvl="0">
      <w:lvlJc w:val="left"/>
      <w:lvlText w:val="(%1)"/>
      <w:numFmt w:val="lowerLetter"/>
      <w:start w:val="1"/>
    </w:lvl>
  </w:abstractNum>
  <w:abstractNum w:abstractNumId="88">
    <w:nsid w:val="25973E32"/>
    <w:multiLevelType w:val="hybridMultilevel"/>
    <w:lvl w:ilvl="0">
      <w:lvlJc w:val="left"/>
      <w:lvlText w:val="(%1)"/>
      <w:numFmt w:val="lowerLetter"/>
      <w:start w:val="3"/>
    </w:lvl>
  </w:abstractNum>
  <w:abstractNum w:abstractNumId="89">
    <w:nsid w:val="EAD6F57"/>
    <w:multiLevelType w:val="hybridMultilevel"/>
    <w:lvl w:ilvl="0">
      <w:lvlJc w:val="left"/>
      <w:lvlText w:val="(%1)"/>
      <w:numFmt w:val="lowerLetter"/>
      <w:start w:val="1"/>
    </w:lvl>
  </w:abstractNum>
  <w:abstractNum w:abstractNumId="90">
    <w:nsid w:val="6EC9D844"/>
    <w:multiLevelType w:val="hybridMultilevel"/>
    <w:lvl w:ilvl="0">
      <w:lvlJc w:val="left"/>
      <w:lvlText w:val="(%1)"/>
      <w:numFmt w:val="lowerRoman"/>
      <w:start w:val="1"/>
    </w:lvl>
  </w:abstractNum>
  <w:abstractNum w:abstractNumId="91">
    <w:nsid w:val="5C49EAEE"/>
    <w:multiLevelType w:val="hybridMultilevel"/>
    <w:lvl w:ilvl="0">
      <w:lvlJc w:val="left"/>
      <w:lvlText w:val="(%1)"/>
      <w:numFmt w:val="lowerRoman"/>
      <w:start w:val="4"/>
    </w:lvl>
  </w:abstractNum>
  <w:abstractNum w:abstractNumId="92">
    <w:nsid w:val="64AF49B"/>
    <w:multiLevelType w:val="hybridMultilevel"/>
    <w:lvl w:ilvl="0">
      <w:lvlJc w:val="left"/>
      <w:lvlText w:val="(%1)"/>
      <w:numFmt w:val="lowerLetter"/>
      <w:start w:val="1"/>
    </w:lvl>
  </w:abstractNum>
  <w:abstractNum w:abstractNumId="93">
    <w:nsid w:val="397C46BC"/>
    <w:multiLevelType w:val="hybridMultilevel"/>
    <w:lvl w:ilvl="0">
      <w:lvlJc w:val="left"/>
      <w:lvlText w:val="(%1)"/>
      <w:numFmt w:val="lowerLetter"/>
      <w:start w:val="3"/>
    </w:lvl>
  </w:abstractNum>
  <w:abstractNum w:abstractNumId="94">
    <w:nsid w:val="7E448DE9"/>
    <w:multiLevelType w:val="hybridMultilevel"/>
    <w:lvl w:ilvl="0">
      <w:lvlJc w:val="left"/>
      <w:lvlText w:val="(%1)"/>
      <w:numFmt w:val="lowerLetter"/>
      <w:start w:val="7"/>
    </w:lvl>
  </w:abstractNum>
  <w:abstractNum w:abstractNumId="95">
    <w:nsid w:val="5A9CC3E5"/>
    <w:multiLevelType w:val="hybridMultilevel"/>
    <w:lvl w:ilvl="0">
      <w:lvlJc w:val="left"/>
      <w:lvlText w:val="(%1)"/>
      <w:numFmt w:val="lowerLetter"/>
      <w:start w:val="8"/>
    </w:lvl>
  </w:abstractNum>
  <w:abstractNum w:abstractNumId="96">
    <w:nsid w:val="1AFE3625"/>
    <w:multiLevelType w:val="hybridMultilevel"/>
    <w:lvl w:ilvl="0">
      <w:lvlJc w:val="left"/>
      <w:lvlText w:val="(%1)"/>
      <w:numFmt w:val="lowerLetter"/>
      <w:start w:val="11"/>
    </w:lvl>
  </w:abstractNum>
  <w:abstractNum w:abstractNumId="97">
    <w:nsid w:val="3CA88ECF"/>
    <w:multiLevelType w:val="hybridMultilevel"/>
    <w:lvl w:ilvl="0">
      <w:lvlJc w:val="left"/>
      <w:lvlText w:val="(%1)"/>
      <w:numFmt w:val="lowerLetter"/>
      <w:start w:val="12"/>
    </w:lvl>
  </w:abstractNum>
  <w:abstractNum w:abstractNumId="98">
    <w:nsid w:val="6EBE4208"/>
    <w:multiLevelType w:val="hybridMultilevel"/>
    <w:lvl w:ilvl="0">
      <w:lvlJc w:val="left"/>
      <w:lvlText w:val="(%1)"/>
      <w:numFmt w:val="lowerLetter"/>
      <w:start w:val="1"/>
    </w:lvl>
  </w:abstractNum>
  <w:abstractNum w:abstractNumId="99">
    <w:nsid w:val="C058DF5"/>
    <w:multiLevelType w:val="hybridMultilevel"/>
    <w:lvl w:ilvl="0">
      <w:lvlJc w:val="left"/>
      <w:lvlText w:val="(%1)"/>
      <w:numFmt w:val="lowerLetter"/>
      <w:start w:val="1"/>
    </w:lvl>
  </w:abstractNum>
  <w:abstractNum w:abstractNumId="100">
    <w:nsid w:val="CBE5BE9"/>
    <w:multiLevelType w:val="hybridMultilevel"/>
    <w:lvl w:ilvl="0">
      <w:lvlJc w:val="left"/>
      <w:lvlText w:val="(%1)"/>
      <w:numFmt w:val="lowerLetter"/>
      <w:start w:val="2"/>
    </w:lvl>
    <w:lvl w:ilvl="1">
      <w:lvlJc w:val="left"/>
      <w:lvlText w:val="(%2)"/>
      <w:numFmt w:val="lowerRoman"/>
      <w:start w:val="1"/>
    </w:lvl>
  </w:abstractNum>
  <w:abstractNum w:abstractNumId="101">
    <w:nsid w:val="3102BBE2"/>
    <w:multiLevelType w:val="hybridMultilevel"/>
    <w:lvl w:ilvl="0">
      <w:lvlJc w:val="left"/>
      <w:lvlText w:val="(%1)"/>
      <w:numFmt w:val="lowerLetter"/>
      <w:start w:val="4"/>
    </w:lvl>
  </w:abstractNum>
  <w:abstractNum w:abstractNumId="102">
    <w:nsid w:val="26A02C5E"/>
    <w:multiLevelType w:val="hybridMultilevel"/>
    <w:lvl w:ilvl="0">
      <w:lvlJc w:val="left"/>
      <w:lvlText w:val="%1"/>
      <w:numFmt w:val="lowerLetter"/>
      <w:start w:val="1"/>
    </w:lvl>
    <w:lvl w:ilvl="1">
      <w:lvlJc w:val="left"/>
      <w:lvlText w:val="(%2)"/>
      <w:numFmt w:val="lowerLetter"/>
      <w:start w:val="1"/>
    </w:lvl>
  </w:abstractNum>
  <w:abstractNum w:abstractNumId="103">
    <w:nsid w:val="541C8153"/>
    <w:multiLevelType w:val="hybridMultilevel"/>
    <w:lvl w:ilvl="0">
      <w:lvlJc w:val="left"/>
      <w:lvlText w:val="(%1)"/>
      <w:numFmt w:val="lowerLetter"/>
      <w:start w:val="9"/>
    </w:lvl>
    <w:lvl w:ilvl="1">
      <w:lvlJc w:val="left"/>
      <w:lvlText w:val="%2"/>
      <w:numFmt w:val="lowerLetter"/>
      <w:start w:val="1"/>
    </w:lvl>
  </w:abstractNum>
  <w:abstractNum w:abstractNumId="104">
    <w:nsid w:val="67906F60"/>
    <w:multiLevelType w:val="hybridMultilevel"/>
    <w:lvl w:ilvl="0">
      <w:lvlJc w:val="left"/>
      <w:lvlText w:val="(%1)"/>
      <w:numFmt w:val="lowerLetter"/>
      <w:start w:val="3"/>
    </w:lvl>
  </w:abstractNum>
  <w:abstractNum w:abstractNumId="105">
    <w:nsid w:val="10DB9DAA"/>
    <w:multiLevelType w:val="hybridMultilevel"/>
    <w:lvl w:ilvl="0">
      <w:lvlJc w:val="left"/>
      <w:lvlText w:val="(%1)"/>
      <w:numFmt w:val="lowerLetter"/>
      <w:start w:val="1"/>
    </w:lvl>
  </w:abstractNum>
  <w:abstractNum w:abstractNumId="106">
    <w:nsid w:val="697D2D2"/>
    <w:multiLevelType w:val="hybridMultilevel"/>
    <w:lvl w:ilvl="0">
      <w:lvlJc w:val="left"/>
      <w:lvlText w:val="(%1)"/>
      <w:numFmt w:val="lowerLetter"/>
      <w:start w:val="1"/>
    </w:lvl>
  </w:abstractNum>
  <w:abstractNum w:abstractNumId="107">
    <w:nsid w:val="6D68AB2"/>
    <w:multiLevelType w:val="hybridMultilevel"/>
    <w:lvl w:ilvl="0">
      <w:lvlJc w:val="left"/>
      <w:lvlText w:val="%1"/>
      <w:numFmt w:val="lowerLetter"/>
      <w:start w:val="1"/>
    </w:lvl>
    <w:lvl w:ilvl="1">
      <w:lvlJc w:val="left"/>
      <w:lvlText w:val="(%2)"/>
      <w:numFmt w:val="lowerLetter"/>
      <w:start w:val="1"/>
    </w:lvl>
  </w:abstractNum>
  <w:abstractNum w:abstractNumId="108">
    <w:nsid w:val="3A966CD0"/>
    <w:multiLevelType w:val="hybridMultilevel"/>
    <w:lvl w:ilvl="0">
      <w:lvlJc w:val="left"/>
      <w:lvlText w:val="(%1)"/>
      <w:numFmt w:val="lowerLetter"/>
      <w:start w:val="9"/>
    </w:lvl>
    <w:lvl w:ilvl="1">
      <w:lvlJc w:val="left"/>
      <w:lvlText w:val="%2"/>
      <w:numFmt w:val="lowerLetter"/>
      <w:start w:val="1"/>
    </w:lvl>
  </w:abstractNum>
  <w:abstractNum w:abstractNumId="109">
    <w:nsid w:val="63F37E85"/>
    <w:multiLevelType w:val="hybridMultilevel"/>
    <w:lvl w:ilvl="0">
      <w:lvlJc w:val="left"/>
      <w:lvlText w:val="(%1)"/>
      <w:numFmt w:val="lowerRoman"/>
      <w:start w:val="2"/>
    </w:lvl>
  </w:abstractNum>
  <w:abstractNum w:abstractNumId="110">
    <w:nsid w:val="5895F5FA"/>
    <w:multiLevelType w:val="hybridMultilevel"/>
    <w:lvl w:ilvl="0">
      <w:lvlJc w:val="left"/>
      <w:lvlText w:val="%1"/>
      <w:numFmt w:val="decimal"/>
      <w:start w:val="1"/>
    </w:lvl>
    <w:lvl w:ilvl="1">
      <w:lvlJc w:val="left"/>
      <w:lvlText w:val="(%2)"/>
      <w:numFmt w:val="upperLetter"/>
      <w:start w:val="1"/>
    </w:lvl>
  </w:abstractNum>
  <w:abstractNum w:abstractNumId="111">
    <w:nsid w:val="38A5D054"/>
    <w:multiLevelType w:val="hybridMultilevel"/>
    <w:lvl w:ilvl="0">
      <w:lvlJc w:val="left"/>
      <w:lvlText w:val="(%1)"/>
      <w:numFmt w:val="decimal"/>
      <w:start w:val="10"/>
    </w:lvl>
    <w:lvl w:ilvl="1">
      <w:lvlJc w:val="left"/>
      <w:lvlText w:val="(%2)"/>
      <w:numFmt w:val="upperLetter"/>
      <w:start w:val="2"/>
    </w:lvl>
  </w:abstractNum>
  <w:abstractNum w:abstractNumId="112">
    <w:nsid w:val="F3F09D8"/>
    <w:multiLevelType w:val="hybridMultilevel"/>
    <w:lvl w:ilvl="0">
      <w:lvlJc w:val="left"/>
      <w:lvlText w:val="(%1)"/>
      <w:numFmt w:val="upperLetter"/>
      <w:start w:val="9"/>
    </w:lvl>
    <w:lvl w:ilvl="1">
      <w:lvlJc w:val="left"/>
      <w:lvlText w:val="(%2)"/>
      <w:numFmt w:val="decimal"/>
      <w:start w:val="2"/>
    </w:lvl>
  </w:abstractNum>
  <w:abstractNum w:abstractNumId="113">
    <w:nsid w:val="4B793735"/>
    <w:multiLevelType w:val="hybridMultilevel"/>
    <w:lvl w:ilvl="0">
      <w:lvlJc w:val="left"/>
      <w:lvlText w:val="(%1)"/>
      <w:numFmt w:val="upperLetter"/>
      <w:start w:val="3"/>
    </w:lvl>
  </w:abstractNum>
  <w:abstractNum w:abstractNumId="114">
    <w:nsid w:val="4A10B4E8"/>
    <w:multiLevelType w:val="hybridMultilevel"/>
    <w:lvl w:ilvl="0">
      <w:lvlJc w:val="left"/>
      <w:lvlText w:val="(%1)"/>
      <w:numFmt w:val="decimal"/>
      <w:start w:val="2"/>
    </w:lvl>
  </w:abstractNum>
  <w:abstractNum w:abstractNumId="115">
    <w:nsid w:val="43D3BCD4"/>
    <w:multiLevelType w:val="hybridMultilevel"/>
    <w:lvl w:ilvl="0">
      <w:lvlJc w:val="left"/>
      <w:lvlText w:val="(%1)"/>
      <w:numFmt w:val="decimal"/>
      <w:start w:val="3"/>
    </w:lvl>
  </w:abstractNum>
  <w:abstractNum w:abstractNumId="116">
    <w:nsid w:val="4C2A7166"/>
    <w:multiLevelType w:val="hybridMultilevel"/>
    <w:lvl w:ilvl="0">
      <w:lvlJc w:val="left"/>
      <w:lvlText w:val="(%1)"/>
      <w:numFmt w:val="upperLetter"/>
      <w:start w:val="4"/>
    </w:lvl>
  </w:abstractNum>
  <w:abstractNum w:abstractNumId="117">
    <w:nsid w:val="2E534A82"/>
    <w:multiLevelType w:val="hybridMultilevel"/>
    <w:lvl w:ilvl="0">
      <w:lvlJc w:val="left"/>
      <w:lvlText w:val="(%1)"/>
      <w:numFmt w:val="decimal"/>
      <w:start w:val="2"/>
    </w:lvl>
  </w:abstractNum>
  <w:abstractNum w:abstractNumId="118">
    <w:nsid w:val="26F2D364"/>
    <w:multiLevelType w:val="hybridMultilevel"/>
    <w:lvl w:ilvl="0">
      <w:lvlJc w:val="left"/>
      <w:lvlText w:val="%1"/>
      <w:numFmt w:val="upperLetter"/>
      <w:start w:val="1"/>
    </w:lvl>
    <w:lvl w:ilvl="1">
      <w:lvlJc w:val="left"/>
      <w:lvlText w:val="(%2)"/>
      <w:numFmt w:val="decimal"/>
      <w:start w:val="3"/>
    </w:lvl>
  </w:abstractNum>
  <w:abstractNum w:abstractNumId="119">
    <w:nsid w:val="71C1AF98"/>
    <w:multiLevelType w:val="hybridMultilevel"/>
    <w:lvl w:ilvl="0">
      <w:lvlJc w:val="left"/>
      <w:lvlText w:val="(%1)"/>
      <w:numFmt w:val="upperLetter"/>
      <w:start w:val="61"/>
    </w:lvl>
    <w:lvl w:ilvl="1">
      <w:lvlJc w:val="left"/>
      <w:lvlText w:val="%2"/>
      <w:numFmt w:val="decimal"/>
      <w:start w:val="1"/>
    </w:lvl>
  </w:abstractNum>
  <w:abstractNum w:abstractNumId="120">
    <w:nsid w:val="3D00B9D9"/>
    <w:multiLevelType w:val="hybridMultilevel"/>
    <w:lvl w:ilvl="0">
      <w:lvlJc w:val="left"/>
      <w:lvlText w:val="(%1)"/>
      <w:numFmt w:val="upperLetter"/>
      <w:start w:val="10"/>
    </w:lvl>
    <w:lvl w:ilvl="1">
      <w:lvlJc w:val="left"/>
      <w:lvlText w:val="%2"/>
      <w:numFmt w:val="decimal"/>
      <w:start w:val="1"/>
    </w:lvl>
  </w:abstractNum>
  <w:abstractNum w:abstractNumId="121">
    <w:nsid w:val="15BCABA8"/>
    <w:multiLevelType w:val="hybridMultilevel"/>
    <w:lvl w:ilvl="0">
      <w:lvlJc w:val="left"/>
      <w:lvlText w:val="(%1)"/>
      <w:numFmt w:val="upperLetter"/>
      <w:start w:val="5"/>
    </w:lvl>
  </w:abstractNum>
  <w:abstractNum w:abstractNumId="122">
    <w:nsid w:val="4E0B9A87"/>
    <w:multiLevelType w:val="hybridMultilevel"/>
    <w:lvl w:ilvl="0">
      <w:lvlJc w:val="left"/>
      <w:lvlText w:val="(%1)"/>
      <w:numFmt w:val="upperLetter"/>
      <w:start w:val="6"/>
    </w:lvl>
  </w:abstractNum>
  <w:abstractNum w:abstractNumId="123">
    <w:nsid w:val="434BAE75"/>
    <w:multiLevelType w:val="hybridMultilevel"/>
    <w:lvl w:ilvl="0">
      <w:lvlJc w:val="left"/>
      <w:lvlText w:val="(%1)"/>
      <w:numFmt w:val="lowerLetter"/>
      <w:start w:val="2"/>
    </w:lvl>
  </w:abstractNum>
  <w:abstractNum w:abstractNumId="124">
    <w:nsid w:val="4F38F265"/>
    <w:multiLevelType w:val="hybridMultilevel"/>
    <w:lvl w:ilvl="0">
      <w:lvlJc w:val="left"/>
      <w:lvlText w:val="(%1)"/>
      <w:numFmt w:val="lowerLetter"/>
      <w:start w:val="25"/>
    </w:lvl>
    <w:lvl w:ilvl="1">
      <w:lvlJc w:val="left"/>
      <w:lvlText w:val="(%2)"/>
      <w:numFmt w:val="lowerLetter"/>
      <w:start w:val="5"/>
    </w:lvl>
  </w:abstractNum>
  <w:abstractNum w:abstractNumId="125">
    <w:nsid w:val="4C502870"/>
    <w:multiLevelType w:val="hybridMultilevel"/>
    <w:lvl w:ilvl="0">
      <w:lvlJc w:val="left"/>
      <w:lvlText w:val="(%1)"/>
      <w:numFmt w:val="lowerLetter"/>
      <w:start w:val="6"/>
    </w:lvl>
  </w:abstractNum>
  <w:abstractNum w:abstractNumId="126">
    <w:nsid w:val="1DE8725A"/>
    <w:multiLevelType w:val="hybridMultilevel"/>
    <w:lvl w:ilvl="0">
      <w:lvlJc w:val="left"/>
      <w:lvlText w:val="(%1)"/>
      <w:numFmt w:val="lowerLetter"/>
      <w:start w:val="1"/>
    </w:lvl>
  </w:abstractNum>
  <w:abstractNum w:abstractNumId="127">
    <w:nsid w:val="6A37288A"/>
    <w:multiLevelType w:val="hybridMultilevel"/>
    <w:lvl w:ilvl="0">
      <w:lvlJc w:val="left"/>
      <w:lvlText w:val="(%1)"/>
      <w:numFmt w:val="lowerLetter"/>
      <w:start w:val="3"/>
    </w:lvl>
  </w:abstractNum>
  <w:abstractNum w:abstractNumId="128">
    <w:nsid w:val="8F8B73F"/>
    <w:multiLevelType w:val="hybridMultilevel"/>
    <w:lvl w:ilvl="0">
      <w:lvlJc w:val="left"/>
      <w:lvlText w:val="(%1)"/>
      <w:numFmt w:val="lowerLetter"/>
      <w:start w:val="1"/>
    </w:lvl>
  </w:abstractNum>
  <w:abstractNum w:abstractNumId="129">
    <w:nsid w:val="CA6B462"/>
    <w:multiLevelType w:val="hybridMultilevel"/>
    <w:lvl w:ilvl="0">
      <w:lvlJc w:val="left"/>
      <w:lvlText w:val="(%1)"/>
      <w:numFmt w:val="lowerLetter"/>
      <w:start w:val="1"/>
    </w:lvl>
  </w:abstractNum>
  <w:abstractNum w:abstractNumId="130">
    <w:nsid w:val="763CB680"/>
    <w:multiLevelType w:val="hybridMultilevel"/>
    <w:lvl w:ilvl="0">
      <w:lvlJc w:val="left"/>
      <w:lvlText w:val="(%1)"/>
      <w:numFmt w:val="decimal"/>
      <w:start w:val="1"/>
    </w:lvl>
  </w:abstractNum>
  <w:abstractNum w:abstractNumId="131">
    <w:nsid w:val="15B71329"/>
    <w:multiLevelType w:val="hybridMultilevel"/>
    <w:lvl w:ilvl="0">
      <w:lvlJc w:val="left"/>
      <w:lvlText w:val="(%1)"/>
      <w:numFmt w:val="lowerLetter"/>
      <w:start w:val="2"/>
    </w:lvl>
  </w:abstractNum>
  <w:abstractNum w:abstractNumId="132">
    <w:nsid w:val="3DA97044"/>
    <w:multiLevelType w:val="hybridMultilevel"/>
    <w:lvl w:ilvl="0">
      <w:lvlJc w:val="left"/>
      <w:lvlText w:val="(%1)"/>
      <w:numFmt w:val="lowerLetter"/>
      <w:start w:val="3"/>
    </w:lvl>
  </w:abstractNum>
  <w:abstractNum w:abstractNumId="133">
    <w:nsid w:val="1CDCE2DE"/>
    <w:multiLevelType w:val="hybridMultilevel"/>
    <w:lvl w:ilvl="0">
      <w:lvlJc w:val="left"/>
      <w:lvlText w:val="(%1)"/>
      <w:numFmt w:val="lowerLetter"/>
      <w:start w:val="7"/>
    </w:lvl>
  </w:abstractNum>
  <w:abstractNum w:abstractNumId="134">
    <w:nsid w:val="69D3947C"/>
    <w:multiLevelType w:val="hybridMultilevel"/>
    <w:lvl w:ilvl="0">
      <w:lvlJc w:val="left"/>
      <w:lvlText w:val="(%1)"/>
      <w:numFmt w:val="decimal"/>
      <w:start w:val="1"/>
    </w:lvl>
  </w:abstractNum>
  <w:abstractNum w:abstractNumId="135">
    <w:nsid w:val="2539DFA5"/>
    <w:multiLevelType w:val="hybridMultilevel"/>
    <w:lvl w:ilvl="0">
      <w:lvlJc w:val="left"/>
      <w:lvlText w:val="(%1)"/>
      <w:numFmt w:val="decimal"/>
      <w:start w:val="1"/>
    </w:lvl>
    <w:lvl w:ilvl="1">
      <w:lvlJc w:val="left"/>
      <w:lvlText w:val="(%2)"/>
      <w:numFmt w:val="lowerLetter"/>
      <w:start w:val="1"/>
    </w:lvl>
  </w:abstractNum>
  <w:abstractNum w:abstractNumId="136">
    <w:nsid w:val="2DB88089"/>
    <w:multiLevelType w:val="hybridMultilevel"/>
    <w:lvl w:ilvl="0">
      <w:lvlJc w:val="left"/>
      <w:lvlText w:val="(%1)"/>
      <w:numFmt w:val="decimal"/>
      <w:start w:val="1"/>
    </w:lvl>
  </w:abstractNum>
  <w:abstractNum w:abstractNumId="137">
    <w:nsid w:val="706B674E"/>
    <w:multiLevelType w:val="hybridMultilevel"/>
    <w:lvl w:ilvl="0">
      <w:lvlJc w:val="left"/>
      <w:lvlText w:val="(%1)"/>
      <w:numFmt w:val="decimal"/>
      <w:start w:val="1"/>
    </w:lvl>
  </w:abstractNum>
  <w:abstractNum w:abstractNumId="138">
    <w:nsid w:val="2C106A57"/>
    <w:multiLevelType w:val="hybridMultilevel"/>
    <w:lvl w:ilvl="0">
      <w:lvlJc w:val="left"/>
      <w:lvlText w:val="(%1)"/>
      <w:numFmt w:val="decimal"/>
      <w:start w:val="2"/>
    </w:lvl>
  </w:abstractNum>
  <w:abstractNum w:abstractNumId="139">
    <w:nsid w:val="684EED59"/>
    <w:multiLevelType w:val="hybridMultilevel"/>
    <w:lvl w:ilvl="0">
      <w:lvlJc w:val="left"/>
      <w:lvlText w:val="(%1)"/>
      <w:numFmt w:val="decimal"/>
      <w:start w:val="1"/>
    </w:lvl>
  </w:abstractNum>
  <w:abstractNum w:abstractNumId="140">
    <w:nsid w:val="545EE5D3"/>
    <w:multiLevelType w:val="hybridMultilevel"/>
    <w:lvl w:ilvl="0">
      <w:lvlJc w:val="left"/>
      <w:lvlText w:val="(%1)"/>
      <w:numFmt w:val="decimal"/>
      <w:start w:val="1"/>
    </w:lvl>
  </w:abstractNum>
  <w:abstractNum w:abstractNumId="141">
    <w:nsid w:val="4A66051"/>
    <w:multiLevelType w:val="hybridMultilevel"/>
    <w:lvl w:ilvl="0">
      <w:lvlJc w:val="left"/>
      <w:lvlText w:val="(%1)"/>
      <w:numFmt w:val="decimal"/>
      <w:start w:val="2"/>
    </w:lvl>
  </w:abstractNum>
  <w:abstractNum w:abstractNumId="142">
    <w:nsid w:val="20F4BDAD"/>
    <w:multiLevelType w:val="hybridMultilevel"/>
    <w:lvl w:ilvl="0">
      <w:lvlJc w:val="left"/>
      <w:lvlText w:val="(%1)"/>
      <w:numFmt w:val="lowerLetter"/>
      <w:start w:val="1"/>
    </w:lvl>
    <w:lvl w:ilvl="1">
      <w:lvlJc w:val="left"/>
      <w:lvlText w:val="(%2)"/>
      <w:numFmt w:val="lowerRoman"/>
      <w:start w:val="1"/>
    </w:lvl>
  </w:abstractNum>
  <w:abstractNum w:abstractNumId="143">
    <w:nsid w:val="639DEFAC"/>
    <w:multiLevelType w:val="hybridMultilevel"/>
    <w:lvl w:ilvl="0">
      <w:lvlJc w:val="left"/>
      <w:lvlText w:val="(%1)"/>
      <w:numFmt w:val="lowerLetter"/>
      <w:start w:val="2"/>
    </w:lvl>
  </w:abstractNum>
  <w:abstractNum w:abstractNumId="144">
    <w:nsid w:val="501F9786"/>
    <w:multiLevelType w:val="hybridMultilevel"/>
    <w:lvl w:ilvl="0">
      <w:lvlJc w:val="left"/>
      <w:lvlText w:val="(%1)"/>
      <w:numFmt w:val="lowerLetter"/>
      <w:start w:val="3"/>
    </w:lvl>
  </w:abstractNum>
  <w:abstractNum w:abstractNumId="145">
    <w:nsid w:val="6B057295"/>
    <w:multiLevelType w:val="hybridMultilevel"/>
    <w:lvl w:ilvl="0">
      <w:lvlJc w:val="left"/>
      <w:lvlText w:val="(%1)"/>
      <w:numFmt w:val="lowerLetter"/>
      <w:start w:val="1"/>
    </w:lvl>
  </w:abstractNum>
  <w:abstractNum w:abstractNumId="146">
    <w:nsid w:val="2771AC80"/>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47">
    <w:nsid w:val="1C4A08EC"/>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48">
    <w:nsid w:val="1958BD17"/>
    <w:multiLevelType w:val="hybridMultilevel"/>
    <w:lvl w:ilvl="0">
      <w:lvlJc w:val="left"/>
      <w:lvlText w:val="(%1)"/>
      <w:numFmt w:val="lowerRoman"/>
      <w:start w:val="10"/>
    </w:lvl>
    <w:lvl w:ilvl="1">
      <w:lvlJc w:val="left"/>
      <w:lvlText w:val="(%2)"/>
      <w:numFmt w:val="upperLetter"/>
      <w:start w:val="2"/>
    </w:lvl>
    <w:lvl w:ilvl="2">
      <w:lvlJc w:val="left"/>
      <w:lvlText w:val="%3"/>
      <w:numFmt w:val="lowerRoman"/>
      <w:start w:val="1"/>
    </w:lvl>
  </w:abstractNum>
  <w:abstractNum w:abstractNumId="149">
    <w:nsid w:val="4E647FE4"/>
    <w:multiLevelType w:val="hybridMultilevel"/>
    <w:lvl w:ilvl="0">
      <w:lvlJc w:val="left"/>
      <w:lvlText w:val="%1"/>
      <w:numFmt w:val="lowerLetter"/>
      <w:start w:val="1"/>
    </w:lvl>
    <w:lvl w:ilvl="1">
      <w:lvlJc w:val="left"/>
      <w:lvlText w:val="(%2)"/>
      <w:numFmt w:val="upperLetter"/>
      <w:start w:val="5"/>
    </w:lvl>
    <w:lvl w:ilvl="2">
      <w:lvlJc w:val="left"/>
      <w:lvlText w:val="(%3)"/>
      <w:numFmt w:val="lowerLetter"/>
      <w:start w:val="61"/>
    </w:lvl>
  </w:abstractNum>
  <w:abstractNum w:abstractNumId="150">
    <w:nsid w:val="E0BB885"/>
    <w:multiLevelType w:val="hybridMultilevel"/>
    <w:lvl w:ilvl="0">
      <w:lvlJc w:val="left"/>
      <w:lvlText w:val="(%1)"/>
      <w:numFmt w:val="lowerLetter"/>
      <w:start w:val="6"/>
    </w:lvl>
    <w:lvl w:ilvl="1">
      <w:lvlJc w:val="left"/>
      <w:lvlText w:val="%2"/>
      <w:numFmt w:val="upperLetter"/>
      <w:start w:val="1"/>
    </w:lvl>
    <w:lvl w:ilvl="2">
      <w:lvlJc w:val="left"/>
      <w:lvlText w:val="%3"/>
      <w:numFmt w:val="lowerLetter"/>
      <w:start w:val="1"/>
    </w:lvl>
  </w:abstractNum>
  <w:abstractNum w:abstractNumId="151">
    <w:nsid w:val="565976F1"/>
    <w:multiLevelType w:val="hybridMultilevel"/>
    <w:lvl w:ilvl="0">
      <w:lvlJc w:val="left"/>
      <w:lvlText w:val="(%1)"/>
      <w:numFmt w:val="lowerLetter"/>
      <w:start w:val="7"/>
    </w:lvl>
  </w:abstractNum>
  <w:abstractNum w:abstractNumId="152">
    <w:nsid w:val="64212B8C"/>
    <w:multiLevelType w:val="hybridMultilevel"/>
    <w:lvl w:ilvl="0">
      <w:lvlJc w:val="left"/>
      <w:lvlText w:val="(%1)"/>
      <w:numFmt w:val="lowerLetter"/>
      <w:start w:val="1"/>
    </w:lvl>
  </w:abstractNum>
  <w:abstractNum w:abstractNumId="153">
    <w:nsid w:val="5C17530C"/>
    <w:multiLevelType w:val="hybridMultilevel"/>
    <w:lvl w:ilvl="0">
      <w:lvlJc w:val="left"/>
      <w:lvlText w:val="(%1)"/>
      <w:numFmt w:val="lowerLetter"/>
      <w:start w:val="4"/>
    </w:lvl>
  </w:abstractNum>
  <w:abstractNum w:abstractNumId="154">
    <w:nsid w:val="19A52566"/>
    <w:multiLevelType w:val="hybridMultilevel"/>
    <w:lvl w:ilvl="0">
      <w:lvlJc w:val="left"/>
      <w:lvlText w:val="(%1)"/>
      <w:numFmt w:val="lowerLetter"/>
      <w:start w:val="1"/>
    </w:lvl>
  </w:abstractNum>
  <w:abstractNum w:abstractNumId="155">
    <w:nsid w:val="335A1DF1"/>
    <w:multiLevelType w:val="hybridMultilevel"/>
    <w:lvl w:ilvl="0">
      <w:lvlJc w:val="left"/>
      <w:lvlText w:val="(%1)"/>
      <w:numFmt w:val="lowerLetter"/>
      <w:start w:val="2"/>
    </w:lvl>
  </w:abstractNum>
  <w:abstractNum w:abstractNumId="156">
    <w:nsid w:val="28677B7C"/>
    <w:multiLevelType w:val="hybridMultilevel"/>
    <w:lvl w:ilvl="0">
      <w:lvlJc w:val="left"/>
      <w:lvlText w:val="(%1)"/>
      <w:numFmt w:val="lowerLetter"/>
      <w:start w:val="1"/>
    </w:lvl>
  </w:abstractNum>
  <w:abstractNum w:abstractNumId="157">
    <w:nsid w:val="378D97C0"/>
    <w:multiLevelType w:val="hybridMultilevel"/>
    <w:lvl w:ilvl="0">
      <w:lvlJc w:val="left"/>
      <w:lvlText w:val="%1"/>
      <w:numFmt w:val="lowerLetter"/>
      <w:start w:val="1"/>
    </w:lvl>
    <w:lvl w:ilvl="1">
      <w:lvlJc w:val="left"/>
      <w:lvlText w:val="(%2)"/>
      <w:numFmt w:val="lowerLetter"/>
      <w:start w:val="2"/>
    </w:lvl>
  </w:abstractNum>
  <w:abstractNum w:abstractNumId="158">
    <w:nsid w:val="1D91467C"/>
    <w:multiLevelType w:val="hybridMultilevel"/>
    <w:lvl w:ilvl="0">
      <w:lvlJc w:val="left"/>
      <w:lvlText w:val="(%1)"/>
      <w:numFmt w:val="lowerLetter"/>
      <w:start w:val="4"/>
    </w:lvl>
    <w:lvl w:ilvl="1">
      <w:lvlJc w:val="left"/>
      <w:lvlText w:val="%2"/>
      <w:numFmt w:val="lowerLetter"/>
      <w:start w:val="1"/>
    </w:lvl>
  </w:abstractNum>
  <w:abstractNum w:abstractNumId="159">
    <w:nsid w:val="316032BB"/>
    <w:multiLevelType w:val="hybridMultilevel"/>
    <w:lvl w:ilvl="0">
      <w:lvlJc w:val="left"/>
      <w:lvlText w:val="%1"/>
      <w:numFmt w:val="lowerLetter"/>
      <w:start w:val="1"/>
    </w:lvl>
    <w:lvl w:ilvl="1">
      <w:lvlJc w:val="left"/>
      <w:lvlText w:val="(%2)"/>
      <w:numFmt w:val="lowerRoman"/>
      <w:start w:val="2"/>
    </w:lvl>
  </w:abstractNum>
  <w:abstractNum w:abstractNumId="160">
    <w:nsid w:val="44344C22"/>
    <w:multiLevelType w:val="hybridMultilevel"/>
    <w:lvl w:ilvl="0">
      <w:lvlJc w:val="left"/>
      <w:lvlText w:val="(%1)"/>
      <w:numFmt w:val="lowerLetter"/>
      <w:start w:val="3"/>
    </w:lvl>
    <w:lvl w:ilvl="1">
      <w:lvlJc w:val="left"/>
      <w:lvlText w:val="%2"/>
      <w:numFmt w:val="lowerRoman"/>
      <w:start w:val="1"/>
    </w:lvl>
  </w:abstractNum>
  <w:abstractNum w:abstractNumId="161">
    <w:nsid w:val="13CDFCFC"/>
    <w:multiLevelType w:val="hybridMultilevel"/>
    <w:lvl w:ilvl="0">
      <w:lvlJc w:val="left"/>
      <w:lvlText w:val="(%1)"/>
      <w:numFmt w:val="lowerLetter"/>
      <w:start w:val="4"/>
    </w:lvl>
  </w:abstractNum>
  <w:abstractNum w:abstractNumId="162">
    <w:nsid w:val="471745E4"/>
    <w:multiLevelType w:val="hybridMultilevel"/>
    <w:lvl w:ilvl="0">
      <w:lvlJc w:val="left"/>
      <w:lvlText w:val="(%1)"/>
      <w:numFmt w:val="lowerLetter"/>
      <w:start w:val="1"/>
    </w:lvl>
  </w:abstractNum>
  <w:abstractNum w:abstractNumId="163">
    <w:nsid w:val="1DDBC66"/>
    <w:multiLevelType w:val="hybridMultilevel"/>
    <w:lvl w:ilvl="0">
      <w:lvlJc w:val="left"/>
      <w:lvlText w:val="(%1)"/>
      <w:numFmt w:val="lowerLetter"/>
      <w:start w:val="2"/>
    </w:lvl>
  </w:abstractNum>
  <w:abstractNum w:abstractNumId="164">
    <w:nsid w:val="30AADFDA"/>
    <w:multiLevelType w:val="hybridMultilevel"/>
    <w:lvl w:ilvl="0">
      <w:lvlJc w:val="left"/>
      <w:lvlText w:val="(%1)"/>
      <w:numFmt w:val="lowerLetter"/>
      <w:start w:val="1"/>
    </w:lvl>
    <w:lvl w:ilvl="1">
      <w:lvlJc w:val="left"/>
      <w:lvlText w:val="(%2)"/>
      <w:numFmt w:val="lowerRoman"/>
      <w:start w:val="1"/>
    </w:lvl>
  </w:abstractNum>
  <w:abstractNum w:abstractNumId="165">
    <w:nsid w:val="30EADA61"/>
    <w:multiLevelType w:val="hybridMultilevel"/>
    <w:lvl w:ilvl="0">
      <w:lvlJc w:val="left"/>
      <w:lvlText w:val="%1"/>
      <w:numFmt w:val="lowerLetter"/>
      <w:start w:val="1"/>
    </w:lvl>
    <w:lvl w:ilvl="1">
      <w:lvlJc w:val="left"/>
      <w:lvlText w:val="(%2)"/>
      <w:numFmt w:val="lowerRoman"/>
      <w:start w:val="3"/>
    </w:lvl>
  </w:abstractNum>
  <w:abstractNum w:abstractNumId="166">
    <w:nsid w:val="27179C0B"/>
    <w:multiLevelType w:val="hybridMultilevel"/>
    <w:lvl w:ilvl="0">
      <w:lvlJc w:val="left"/>
      <w:lvlText w:val="(%1)"/>
      <w:numFmt w:val="lowerLetter"/>
      <w:start w:val="2"/>
    </w:lvl>
    <w:lvl w:ilvl="1">
      <w:lvlJc w:val="left"/>
      <w:lvlText w:val="%2"/>
      <w:numFmt w:val="lowerRoman"/>
      <w:start w:val="1"/>
    </w:lvl>
  </w:abstractNum>
  <w:abstractNum w:abstractNumId="167">
    <w:nsid w:val="5E636063"/>
    <w:multiLevelType w:val="hybridMultilevel"/>
    <w:lvl w:ilvl="0">
      <w:lvlJc w:val="left"/>
      <w:lvlText w:val="(%1)"/>
      <w:numFmt w:val="lowerRoman"/>
      <w:start w:val="4"/>
    </w:lvl>
  </w:abstractNum>
  <w:abstractNum w:abstractNumId="168">
    <w:nsid w:val="215641AF"/>
    <w:multiLevelType w:val="hybridMultilevel"/>
    <w:lvl w:ilvl="0">
      <w:lvlJc w:val="left"/>
      <w:lvlText w:val="(%1)"/>
      <w:numFmt w:val="lowerLetter"/>
      <w:start w:val="1"/>
    </w:lvl>
  </w:abstractNum>
  <w:abstractNum w:abstractNumId="169">
    <w:nsid w:val="53280662"/>
    <w:multiLevelType w:val="hybridMultilevel"/>
    <w:lvl w:ilvl="0">
      <w:lvlJc w:val="left"/>
      <w:lvlText w:val="(%1)"/>
      <w:numFmt w:val="lowerLetter"/>
      <w:start w:val="2"/>
    </w:lvl>
  </w:abstractNum>
  <w:abstractNum w:abstractNumId="170">
    <w:nsid w:val="46B24DBC"/>
    <w:multiLevelType w:val="hybridMultilevel"/>
    <w:lvl w:ilvl="0">
      <w:lvlJc w:val="left"/>
      <w:lvlText w:val="(%1)"/>
      <w:numFmt w:val="lowerLetter"/>
      <w:start w:val="1"/>
    </w:lvl>
  </w:abstractNum>
  <w:abstractNum w:abstractNumId="171">
    <w:nsid w:val="75B52783"/>
    <w:multiLevelType w:val="hybridMultilevel"/>
    <w:lvl w:ilvl="0">
      <w:lvlJc w:val="left"/>
      <w:lvlText w:val="(%1)"/>
      <w:numFmt w:val="lowerLetter"/>
      <w:start w:val="1"/>
    </w:lvl>
  </w:abstractNum>
  <w:abstractNum w:abstractNumId="172">
    <w:nsid w:val="57CE66B4"/>
    <w:multiLevelType w:val="hybridMultilevel"/>
    <w:lvl w:ilvl="0">
      <w:lvlJc w:val="left"/>
      <w:lvlText w:val="(%1)"/>
      <w:numFmt w:val="lowerLetter"/>
      <w:start w:val="2"/>
    </w:lvl>
  </w:abstractNum>
  <w:abstractNum w:abstractNumId="173">
    <w:nsid w:val="67A70B69"/>
    <w:multiLevelType w:val="hybridMultilevel"/>
    <w:lvl w:ilvl="0">
      <w:lvlJc w:val="left"/>
      <w:lvlText w:val="(%1)"/>
      <w:numFmt w:val="lowerLetter"/>
      <w:start w:val="1"/>
    </w:lvl>
  </w:abstractNum>
  <w:abstractNum w:abstractNumId="174">
    <w:nsid w:val="5953172F"/>
    <w:multiLevelType w:val="hybridMultilevel"/>
    <w:lvl w:ilvl="0">
      <w:lvlJc w:val="left"/>
      <w:lvlText w:val="(%1)"/>
      <w:numFmt w:val="lowerLetter"/>
      <w:start w:val="1"/>
    </w:lvl>
  </w:abstractNum>
  <w:abstractNum w:abstractNumId="175">
    <w:nsid w:val="27EDFE3A"/>
    <w:multiLevelType w:val="hybridMultilevel"/>
    <w:lvl w:ilvl="0">
      <w:lvlJc w:val="left"/>
      <w:lvlText w:val="(%1)"/>
      <w:numFmt w:val="lowerLetter"/>
      <w:start w:val="1"/>
    </w:lvl>
  </w:abstractNum>
  <w:abstractNum w:abstractNumId="176">
    <w:nsid w:val="52AC7DFF"/>
    <w:multiLevelType w:val="hybridMultilevel"/>
    <w:lvl w:ilvl="0">
      <w:lvlJc w:val="left"/>
      <w:lvlText w:val="%1"/>
      <w:numFmt w:val="lowerLetter"/>
      <w:start w:val="1"/>
    </w:lvl>
    <w:lvl w:ilvl="1">
      <w:lvlJc w:val="left"/>
      <w:lvlText w:val="(%2)"/>
      <w:numFmt w:val="lowerLetter"/>
      <w:start w:val="1"/>
    </w:lvl>
  </w:abstractNum>
  <w:abstractNum w:abstractNumId="177">
    <w:nsid w:val="C4C3AF"/>
    <w:multiLevelType w:val="hybridMultilevel"/>
    <w:lvl w:ilvl="0">
      <w:lvlJc w:val="left"/>
      <w:lvlText w:val="(%1)"/>
      <w:numFmt w:val="lowerLetter"/>
      <w:start w:val="61"/>
    </w:lvl>
    <w:lvl w:ilvl="1">
      <w:lvlJc w:val="left"/>
      <w:lvlText w:val="%2"/>
      <w:numFmt w:val="lowerLetter"/>
      <w:start w:val="1"/>
    </w:lvl>
  </w:abstractNum>
  <w:abstractNum w:abstractNumId="178">
    <w:nsid w:val="44380727"/>
    <w:multiLevelType w:val="hybridMultilevel"/>
    <w:lvl w:ilvl="0">
      <w:lvlJc w:val="left"/>
      <w:lvlText w:val="%1"/>
      <w:numFmt w:val="lowerLetter"/>
      <w:start w:val="1"/>
    </w:lvl>
    <w:lvl w:ilvl="1">
      <w:lvlJc w:val="left"/>
      <w:lvlText w:val="(%2)"/>
      <w:numFmt w:val="lowerLetter"/>
      <w:start w:val="5"/>
    </w:lvl>
  </w:abstractNum>
  <w:abstractNum w:abstractNumId="179">
    <w:nsid w:val="6C053B16"/>
    <w:multiLevelType w:val="hybridMultilevel"/>
    <w:lvl w:ilvl="0">
      <w:lvlJc w:val="left"/>
      <w:lvlText w:val="(%1)"/>
      <w:numFmt w:val="lowerLetter"/>
      <w:start w:val="35"/>
    </w:lvl>
    <w:lvl w:ilvl="1">
      <w:lvlJc w:val="left"/>
      <w:lvlText w:val="(%2)"/>
      <w:numFmt w:val="lowerLetter"/>
      <w:start w:val="7"/>
    </w:lvl>
  </w:abstractNum>
  <w:abstractNum w:abstractNumId="180">
    <w:nsid w:val="4F294393"/>
    <w:multiLevelType w:val="hybridMultilevel"/>
    <w:lvl w:ilvl="0">
      <w:lvlJc w:val="left"/>
      <w:lvlText w:val="(%1)"/>
      <w:numFmt w:val="lowerLetter"/>
      <w:start w:val="10"/>
    </w:lvl>
  </w:abstractNum>
  <w:abstractNum w:abstractNumId="181">
    <w:nsid w:val="5243BFAC"/>
    <w:multiLevelType w:val="hybridMultilevel"/>
    <w:lvl w:ilvl="0">
      <w:lvlJc w:val="left"/>
      <w:lvlText w:val="(%1)"/>
      <w:numFmt w:val="lowerLetter"/>
      <w:start w:val="1"/>
    </w:lvl>
  </w:abstractNum>
  <w:abstractNum w:abstractNumId="182">
    <w:nsid w:val="425EB207"/>
    <w:multiLevelType w:val="hybridMultilevel"/>
    <w:lvl w:ilvl="0">
      <w:lvlJc w:val="left"/>
      <w:lvlText w:val="(%1)"/>
      <w:numFmt w:val="lowerLetter"/>
      <w:start w:val="1"/>
    </w:lvl>
  </w:abstractNum>
  <w:abstractNum w:abstractNumId="183">
    <w:nsid w:val="334A6F1F"/>
    <w:multiLevelType w:val="hybridMultilevel"/>
    <w:lvl w:ilvl="0">
      <w:lvlJc w:val="left"/>
      <w:lvlText w:val="%1"/>
      <w:numFmt w:val="lowerLetter"/>
      <w:start w:val="1"/>
    </w:lvl>
    <w:lvl w:ilvl="1">
      <w:lvlJc w:val="left"/>
      <w:lvlText w:val="(%2)"/>
      <w:numFmt w:val="lowerLetter"/>
      <w:start w:val="5"/>
    </w:lvl>
  </w:abstractNum>
  <w:abstractNum w:abstractNumId="184">
    <w:nsid w:val="2E5B12B8"/>
    <w:multiLevelType w:val="hybridMultilevel"/>
    <w:lvl w:ilvl="0">
      <w:lvlJc w:val="left"/>
      <w:lvlText w:val="(%1)"/>
      <w:numFmt w:val="lowerLetter"/>
      <w:start w:val="9"/>
    </w:lvl>
    <w:lvl w:ilvl="1">
      <w:lvlJc w:val="left"/>
      <w:lvlText w:val="(%2)"/>
      <w:numFmt w:val="lowerLetter"/>
      <w:start w:val="6"/>
    </w:lvl>
  </w:abstractNum>
  <w:abstractNum w:abstractNumId="185">
    <w:nsid w:val="5C03D76D"/>
    <w:multiLevelType w:val="hybridMultilevel"/>
    <w:lvl w:ilvl="0">
      <w:lvlJc w:val="left"/>
      <w:lvlText w:val="(%1)"/>
      <w:numFmt w:val="lowerLetter"/>
      <w:start w:val="35"/>
    </w:lvl>
    <w:lvl w:ilvl="1">
      <w:lvlJc w:val="left"/>
      <w:lvlText w:val="(%2)"/>
      <w:numFmt w:val="lowerLetter"/>
      <w:start w:val="8"/>
    </w:lvl>
  </w:abstractNum>
  <w:abstractNum w:abstractNumId="186">
    <w:nsid w:val="66A48D11"/>
    <w:multiLevelType w:val="hybridMultilevel"/>
    <w:lvl w:ilvl="0">
      <w:lvlJc w:val="left"/>
      <w:lvlText w:val="(%1)"/>
      <w:numFmt w:val="lowerRoman"/>
      <w:start w:val="1"/>
    </w:lvl>
  </w:abstractNum>
  <w:abstractNum w:abstractNumId="187">
    <w:nsid w:val="56C28E34"/>
    <w:multiLevelType w:val="hybridMultilevel"/>
    <w:lvl w:ilvl="0">
      <w:lvlJc w:val="left"/>
      <w:lvlText w:val="(%1)"/>
      <w:numFmt w:val="lowerLetter"/>
      <w:start w:val="1"/>
    </w:lvl>
  </w:abstractNum>
  <w:abstractNum w:abstractNumId="188">
    <w:nsid w:val="13916F2D"/>
    <w:multiLevelType w:val="hybridMultilevel"/>
    <w:lvl w:ilvl="0">
      <w:lvlJc w:val="left"/>
      <w:lvlText w:val="(%1)"/>
      <w:numFmt w:val="lowerLetter"/>
      <w:start w:val="1"/>
    </w:lvl>
  </w:abstractNum>
  <w:abstractNum w:abstractNumId="189">
    <w:nsid w:val="435D38D"/>
    <w:multiLevelType w:val="hybridMultilevel"/>
    <w:lvl w:ilvl="0">
      <w:lvlJc w:val="left"/>
      <w:lvlText w:val="(%1)"/>
      <w:numFmt w:val="lowerLetter"/>
      <w:start w:val="1"/>
    </w:lvl>
  </w:abstractNum>
  <w:abstractNum w:abstractNumId="190">
    <w:nsid w:val="822C0EF"/>
    <w:multiLevelType w:val="hybridMultilevel"/>
    <w:lvl w:ilvl="0">
      <w:lvlJc w:val="left"/>
      <w:lvlText w:val="(%1)"/>
      <w:numFmt w:val="lowerLetter"/>
      <w:start w:val="1"/>
    </w:lvl>
  </w:abstractNum>
  <w:abstractNum w:abstractNumId="191">
    <w:nsid w:val="57C5BB4F"/>
    <w:multiLevelType w:val="hybridMultilevel"/>
    <w:lvl w:ilvl="0">
      <w:lvlJc w:val="left"/>
      <w:lvlText w:val="(%1)"/>
      <w:numFmt w:val="lowerLetter"/>
      <w:start w:val="1"/>
    </w:lvl>
  </w:abstractNum>
  <w:abstractNum w:abstractNumId="192">
    <w:nsid w:val="1803D089"/>
    <w:multiLevelType w:val="hybridMultilevel"/>
    <w:lvl w:ilvl="0">
      <w:lvlJc w:val="left"/>
      <w:lvlText w:val="(%1)"/>
      <w:numFmt w:val="lowerLetter"/>
      <w:start w:val="1"/>
    </w:lvl>
  </w:abstractNum>
  <w:abstractNum w:abstractNumId="193">
    <w:nsid w:val="4F3A06D4"/>
    <w:multiLevelType w:val="hybridMultilevel"/>
    <w:lvl w:ilvl="0">
      <w:lvlJc w:val="left"/>
      <w:lvlText w:val="(%1)"/>
      <w:numFmt w:val="lowerLetter"/>
      <w:start w:val="2"/>
    </w:lvl>
  </w:abstractNum>
  <w:abstractNum w:abstractNumId="194">
    <w:nsid w:val="59A377B6"/>
    <w:multiLevelType w:val="hybridMultilevel"/>
    <w:lvl w:ilvl="0">
      <w:lvlJc w:val="left"/>
      <w:lvlText w:val="(%1)"/>
      <w:numFmt w:val="lowerLetter"/>
      <w:start w:val="1"/>
    </w:lvl>
    <w:lvl w:ilvl="1">
      <w:lvlJc w:val="left"/>
      <w:lvlText w:val="(%2)"/>
      <w:numFmt w:val="lowerRoman"/>
      <w:start w:val="1"/>
    </w:lvl>
  </w:abstractNum>
  <w:abstractNum w:abstractNumId="195">
    <w:nsid w:val="48AEB063"/>
    <w:multiLevelType w:val="hybridMultilevel"/>
    <w:lvl w:ilvl="0">
      <w:lvlJc w:val="left"/>
      <w:lvlText w:val="%1"/>
      <w:numFmt w:val="lowerLetter"/>
      <w:start w:val="1"/>
    </w:lvl>
    <w:lvl w:ilvl="1">
      <w:lvlJc w:val="left"/>
      <w:lvlText w:val="(%2)"/>
      <w:numFmt w:val="lowerRoman"/>
      <w:start w:val="4"/>
    </w:lvl>
  </w:abstractNum>
  <w:abstractNum w:abstractNumId="196">
    <w:nsid w:val="24E135"/>
    <w:multiLevelType w:val="hybridMultilevel"/>
    <w:lvl w:ilvl="0">
      <w:lvlJc w:val="left"/>
      <w:lvlText w:val="(%1)"/>
      <w:numFmt w:val="lowerLetter"/>
      <w:start w:val="23"/>
    </w:lvl>
    <w:lvl w:ilvl="1">
      <w:lvlJc w:val="left"/>
      <w:lvlText w:val="%2"/>
      <w:numFmt w:val="lowerRoman"/>
      <w:start w:val="1"/>
    </w:lvl>
  </w:abstractNum>
  <w:abstractNum w:abstractNumId="197">
    <w:nsid w:val="BB13C1"/>
    <w:multiLevelType w:val="hybridMultilevel"/>
    <w:lvl w:ilvl="0">
      <w:lvlJc w:val="left"/>
      <w:lvlText w:val="%1"/>
      <w:numFmt w:val="decimal"/>
      <w:start w:val="1"/>
    </w:lvl>
    <w:lvl w:ilvl="1">
      <w:lvlJc w:val="left"/>
      <w:lvlText w:val="(%2)"/>
      <w:numFmt w:val="lowerRoman"/>
      <w:start w:val="8"/>
    </w:lvl>
  </w:abstractNum>
  <w:abstractNum w:abstractNumId="198">
    <w:nsid w:val="271210C7"/>
    <w:multiLevelType w:val="hybridMultilevel"/>
    <w:lvl w:ilvl="0">
      <w:lvlJc w:val="left"/>
      <w:lvlText w:val="(%1)"/>
      <w:numFmt w:val="decimal"/>
      <w:start w:val="2"/>
    </w:lvl>
    <w:lvl w:ilvl="1">
      <w:lvlJc w:val="left"/>
      <w:lvlText w:val="(%2)"/>
      <w:numFmt w:val="lowerRoman"/>
      <w:start w:val="9"/>
    </w:lvl>
  </w:abstractNum>
  <w:abstractNum w:abstractNumId="199">
    <w:nsid w:val="217B22E4"/>
    <w:multiLevelType w:val="hybridMultilevel"/>
    <w:lvl w:ilvl="0">
      <w:lvlJc w:val="left"/>
      <w:lvlText w:val="(%1)"/>
      <w:numFmt w:val="lowerRoman"/>
      <w:start w:val="14"/>
    </w:lvl>
  </w:abstractNum>
  <w:abstractNum w:abstractNumId="200">
    <w:nsid w:val="53E31A24"/>
    <w:multiLevelType w:val="hybridMultilevel"/>
    <w:lvl w:ilvl="0">
      <w:lvlJc w:val="left"/>
      <w:lvlText w:val="(%1)"/>
      <w:numFmt w:val="lowerRoman"/>
      <w:start w:val="22"/>
    </w:lvl>
  </w:abstractNum>
  <w:abstractNum w:abstractNumId="201">
    <w:nsid w:val="6DC45E83"/>
    <w:multiLevelType w:val="hybridMultilevel"/>
    <w:lvl w:ilvl="0">
      <w:lvlJc w:val="left"/>
      <w:lvlText w:val="%1"/>
      <w:numFmt w:val="lowerLetter"/>
      <w:start w:val="1"/>
    </w:lvl>
    <w:lvl w:ilvl="1">
      <w:lvlJc w:val="left"/>
      <w:lvlText w:val="(%2)"/>
      <w:numFmt w:val="lowerRoman"/>
      <w:start w:val="28"/>
    </w:lvl>
  </w:abstractNum>
  <w:abstractNum w:abstractNumId="202">
    <w:nsid w:val="17304A67"/>
    <w:multiLevelType w:val="hybridMultilevel"/>
    <w:lvl w:ilvl="0">
      <w:lvlJc w:val="left"/>
      <w:lvlText w:val="(%1)"/>
      <w:numFmt w:val="lowerLetter"/>
      <w:start w:val="2"/>
    </w:lvl>
    <w:lvl w:ilvl="1">
      <w:lvlJc w:val="left"/>
      <w:lvlText w:val="%2"/>
      <w:numFmt w:val="lowerRoman"/>
      <w:start w:val="1"/>
    </w:lvl>
  </w:abstractNum>
  <w:abstractNum w:abstractNumId="203">
    <w:nsid w:val="2BB180D8"/>
    <w:multiLevelType w:val="hybridMultilevel"/>
    <w:lvl w:ilvl="0">
      <w:lvlJc w:val="left"/>
      <w:lvlText w:val="%1"/>
      <w:numFmt w:val="decimal"/>
      <w:start w:val="1"/>
    </w:lvl>
    <w:lvl w:ilvl="1">
      <w:lvlJc w:val="left"/>
      <w:lvlText w:val="(%2)"/>
      <w:numFmt w:val="lowerRoman"/>
      <w:start w:val="1"/>
    </w:lvl>
  </w:abstractNum>
  <w:abstractNum w:abstractNumId="204">
    <w:nsid w:val="556B69ED"/>
    <w:multiLevelType w:val="hybridMultilevel"/>
    <w:lvl w:ilvl="0">
      <w:lvlJc w:val="left"/>
      <w:lvlText w:val="(%1)"/>
      <w:numFmt w:val="decimal"/>
      <w:start w:val="2"/>
    </w:lvl>
    <w:lvl w:ilvl="1">
      <w:lvlJc w:val="left"/>
      <w:lvlText w:val="(%2)"/>
      <w:numFmt w:val="lowerRoman"/>
      <w:start w:val="4"/>
    </w:lvl>
  </w:abstractNum>
  <w:abstractNum w:abstractNumId="205">
    <w:nsid w:val="70836196"/>
    <w:multiLevelType w:val="hybridMultilevel"/>
    <w:lvl w:ilvl="0">
      <w:lvlJc w:val="left"/>
      <w:lvlText w:val="(%1)"/>
      <w:numFmt w:val="lowerRoman"/>
      <w:start w:val="6"/>
    </w:lvl>
  </w:abstractNum>
  <w:abstractNum w:abstractNumId="206">
    <w:nsid w:val="539F7F12"/>
    <w:multiLevelType w:val="hybridMultilevel"/>
    <w:lvl w:ilvl="0">
      <w:lvlJc w:val="left"/>
      <w:lvlText w:val="%1"/>
      <w:numFmt w:val="upperLetter"/>
      <w:start w:val="1"/>
    </w:lvl>
    <w:lvl w:ilvl="1">
      <w:lvlJc w:val="left"/>
      <w:lvlText w:val="(%2)"/>
      <w:numFmt w:val="lowerRoman"/>
      <w:start w:val="13"/>
    </w:lvl>
  </w:abstractNum>
  <w:abstractNum w:abstractNumId="207">
    <w:nsid w:val="2817E7EC"/>
    <w:multiLevelType w:val="hybridMultilevel"/>
    <w:lvl w:ilvl="0">
      <w:lvlJc w:val="left"/>
      <w:lvlText w:val="(%1)"/>
      <w:numFmt w:val="upperLetter"/>
      <w:start w:val="3"/>
    </w:lvl>
    <w:lvl w:ilvl="1">
      <w:lvlJc w:val="left"/>
      <w:lvlText w:val="(%2)"/>
      <w:numFmt w:val="lowerRoman"/>
      <w:start w:val="17"/>
    </w:lvl>
  </w:abstractNum>
  <w:abstractNum w:abstractNumId="208">
    <w:nsid w:val="71482545"/>
    <w:multiLevelType w:val="hybridMultilevel"/>
    <w:lvl w:ilvl="0">
      <w:lvlJc w:val="left"/>
      <w:lvlText w:val="(%1)"/>
      <w:numFmt w:val="lowerRoman"/>
      <w:start w:val="28"/>
    </w:lvl>
  </w:abstractNum>
  <w:abstractNum w:abstractNumId="209">
    <w:nsid w:val="17D78639"/>
    <w:multiLevelType w:val="hybridMultilevel"/>
    <w:lvl w:ilvl="0">
      <w:lvlJc w:val="left"/>
      <w:lvlText w:val="(%1)"/>
      <w:numFmt w:val="lowerRoman"/>
      <w:start w:val="28"/>
    </w:lvl>
  </w:abstractNum>
  <w:abstractNum w:abstractNumId="210">
    <w:nsid w:val="141D2302"/>
    <w:multiLevelType w:val="hybridMultilevel"/>
    <w:lvl w:ilvl="0">
      <w:lvlJc w:val="left"/>
      <w:lvlText w:val="(%1)"/>
      <w:numFmt w:val="lowerLetter"/>
      <w:start w:val="1"/>
    </w:lvl>
    <w:lvl w:ilvl="1">
      <w:lvlJc w:val="left"/>
      <w:lvlText w:val="(%2)"/>
      <w:numFmt w:val="lowerRoman"/>
      <w:start w:val="1"/>
    </w:lvl>
  </w:abstractNum>
  <w:abstractNum w:abstractNumId="211">
    <w:nsid w:val="407168D8"/>
    <w:multiLevelType w:val="hybridMultilevel"/>
    <w:lvl w:ilvl="0">
      <w:lvlJc w:val="left"/>
      <w:lvlText w:val="(%1)"/>
      <w:numFmt w:val="lowerRoman"/>
      <w:start w:val="4"/>
    </w:lvl>
  </w:abstractNum>
  <w:abstractNum w:abstractNumId="212">
    <w:nsid w:val="6A1B45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13">
    <w:nsid w:val="567BD50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4">
    <w:nsid w:val="73BBD7F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5">
    <w:nsid w:val="1876589D"/>
    <w:multiLevelType w:val="hybridMultilevel"/>
    <w:lvl w:ilvl="0">
      <w:lvlJc w:val="left"/>
      <w:lvlText w:val="(%1)"/>
      <w:numFmt w:val="lowerLetter"/>
      <w:start w:val="4"/>
    </w:lvl>
  </w:abstractNum>
  <w:abstractNum w:abstractNumId="216">
    <w:nsid w:val="327FAC77"/>
    <w:multiLevelType w:val="hybridMultilevel"/>
    <w:lvl w:ilvl="0">
      <w:lvlJc w:val="left"/>
      <w:lvlText w:val="(%1)"/>
      <w:numFmt w:val="lowerLetter"/>
      <w:start w:val="1"/>
    </w:lvl>
  </w:abstractNum>
  <w:abstractNum w:abstractNumId="217">
    <w:nsid w:val="5A606509"/>
    <w:multiLevelType w:val="hybridMultilevel"/>
    <w:lvl w:ilvl="0">
      <w:lvlJc w:val="left"/>
      <w:lvlText w:val="(%1)"/>
      <w:numFmt w:val="lowerLetter"/>
      <w:start w:val="3"/>
    </w:lvl>
  </w:abstractNum>
  <w:abstractNum w:abstractNumId="218">
    <w:nsid w:val="6F38E6D1"/>
    <w:multiLevelType w:val="hybridMultilevel"/>
    <w:lvl w:ilvl="0">
      <w:lvlJc w:val="left"/>
      <w:lvlText w:val="(%1)"/>
      <w:numFmt w:val="lowerLetter"/>
      <w:start w:val="13"/>
    </w:lvl>
  </w:abstractNum>
  <w:abstractNum w:abstractNumId="219">
    <w:nsid w:val="46111BA5"/>
    <w:multiLevelType w:val="hybridMultilevel"/>
    <w:lvl w:ilvl="0">
      <w:lvlJc w:val="left"/>
      <w:lvlText w:val="(%1)"/>
      <w:numFmt w:val="lowerLetter"/>
      <w:start w:val="21"/>
    </w:lvl>
  </w:abstractNum>
  <w:abstractNum w:abstractNumId="220">
    <w:nsid w:val="5E963896"/>
    <w:multiLevelType w:val="hybridMultilevel"/>
    <w:lvl w:ilvl="0">
      <w:lvlJc w:val="left"/>
      <w:lvlText w:val="(%1)"/>
      <w:numFmt w:val="lowerLetter"/>
      <w:start w:val="27"/>
    </w:lvl>
  </w:abstractNum>
  <w:abstractNum w:abstractNumId="221">
    <w:nsid w:val="775BA7C1"/>
    <w:multiLevelType w:val="hybridMultilevel"/>
    <w:lvl w:ilvl="0">
      <w:lvlJc w:val="left"/>
      <w:lvlText w:val="(%1)"/>
      <w:numFmt w:val="lowerLetter"/>
      <w:start w:val="1"/>
    </w:lvl>
  </w:abstractNum>
  <w:abstractNum w:abstractNumId="222">
    <w:nsid w:val="1DD6D6F4"/>
    <w:multiLevelType w:val="hybridMultilevel"/>
    <w:lvl w:ilvl="0">
      <w:lvlJc w:val="left"/>
      <w:lvlText w:val="(%1)"/>
      <w:numFmt w:val="lowerLetter"/>
      <w:start w:val="12"/>
    </w:lvl>
  </w:abstractNum>
  <w:abstractNum w:abstractNumId="223">
    <w:nsid w:val="769A091F"/>
    <w:multiLevelType w:val="hybridMultilevel"/>
    <w:lvl w:ilvl="0">
      <w:lvlJc w:val="left"/>
      <w:lvlText w:val="(%1)"/>
      <w:numFmt w:val="lowerLetter"/>
      <w:start w:val="17"/>
    </w:lvl>
  </w:abstractNum>
  <w:abstractNum w:abstractNumId="224">
    <w:nsid w:val="4695AE95"/>
    <w:multiLevelType w:val="hybridMultilevel"/>
    <w:lvl w:ilvl="0">
      <w:lvlJc w:val="left"/>
      <w:lvlText w:val="(%1)"/>
      <w:numFmt w:val="lowerLetter"/>
      <w:start w:val="1"/>
    </w:lvl>
    <w:lvl w:ilvl="1">
      <w:lvlJc w:val="left"/>
      <w:lvlText w:val="(%2)"/>
      <w:numFmt w:val="lowerRoman"/>
      <w:start w:val="1"/>
    </w:lvl>
  </w:abstractNum>
  <w:abstractNum w:abstractNumId="225">
    <w:nsid w:val="777A4EAA"/>
    <w:multiLevelType w:val="hybridMultilevel"/>
    <w:lvl w:ilvl="0">
      <w:lvlJc w:val="left"/>
      <w:lvlText w:val="(%1)"/>
      <w:numFmt w:val="lowerRoman"/>
      <w:start w:val="4"/>
    </w:lvl>
  </w:abstractNum>
  <w:abstractNum w:abstractNumId="226">
    <w:nsid w:val="3F48B982"/>
    <w:multiLevelType w:val="hybridMultilevel"/>
    <w:lvl w:ilvl="0">
      <w:lvlJc w:val="left"/>
      <w:lvlText w:val="%1"/>
      <w:numFmt w:val="upperLetter"/>
      <w:start w:val="1"/>
    </w:lvl>
    <w:lvl w:ilvl="1">
      <w:lvlJc w:val="left"/>
      <w:lvlText w:val="(%2)"/>
      <w:numFmt w:val="lowerRoman"/>
      <w:start w:val="6"/>
    </w:lvl>
    <w:lvl w:ilvl="2">
      <w:lvlJc w:val="left"/>
      <w:lvlText w:val="%3"/>
      <w:numFmt w:val="upperLetter"/>
      <w:start w:val="1"/>
    </w:lvl>
  </w:abstractNum>
  <w:abstractNum w:abstractNumId="227">
    <w:nsid w:val="46BA8FC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28">
    <w:nsid w:val="7835626C"/>
    <w:multiLevelType w:val="hybridMultilevel"/>
    <w:lvl w:ilvl="0">
      <w:lvlJc w:val="left"/>
      <w:lvlText w:val="%1"/>
      <w:numFmt w:val="lowerRoman"/>
      <w:start w:val="1"/>
    </w:lvl>
    <w:lvl w:ilvl="1">
      <w:lvlJc w:val="left"/>
      <w:lvlText w:val="(%2)"/>
      <w:numFmt w:val="upperLetter"/>
      <w:start w:val="5"/>
    </w:lvl>
  </w:abstractNum>
  <w:abstractNum w:abstractNumId="229">
    <w:nsid w:val="665ACA49"/>
    <w:multiLevelType w:val="hybridMultilevel"/>
    <w:lvl w:ilvl="0">
      <w:lvlJc w:val="left"/>
      <w:lvlText w:val="(%1)"/>
      <w:numFmt w:val="lowerRoman"/>
      <w:start w:val="7"/>
    </w:lvl>
    <w:lvl w:ilvl="1">
      <w:lvlJc w:val="left"/>
      <w:lvlText w:val="%2"/>
      <w:numFmt w:val="upperLetter"/>
      <w:start w:val="1"/>
    </w:lvl>
  </w:abstractNum>
  <w:abstractNum w:abstractNumId="230">
    <w:nsid w:val="6835B2AE"/>
    <w:multiLevelType w:val="hybridMultilevel"/>
    <w:lvl w:ilvl="0">
      <w:lvlJc w:val="left"/>
      <w:lvlText w:val="%1"/>
      <w:numFmt w:val="lowerLetter"/>
      <w:start w:val="1"/>
    </w:lvl>
    <w:lvl w:ilvl="1">
      <w:lvlJc w:val="left"/>
      <w:lvlText w:val="(%2)"/>
      <w:numFmt w:val="lowerRoman"/>
      <w:start w:val="12"/>
    </w:lvl>
  </w:abstractNum>
  <w:abstractNum w:abstractNumId="231">
    <w:nsid w:val="4C187C90"/>
    <w:multiLevelType w:val="hybridMultilevel"/>
    <w:lvl w:ilvl="0">
      <w:lvlJc w:val="left"/>
      <w:lvlText w:val="(%1)"/>
      <w:numFmt w:val="lowerLetter"/>
      <w:start w:val="2"/>
    </w:lvl>
    <w:lvl w:ilvl="1">
      <w:lvlJc w:val="left"/>
      <w:lvlText w:val="%2"/>
      <w:numFmt w:val="lowerRoman"/>
      <w:start w:val="1"/>
    </w:lvl>
  </w:abstractNum>
  <w:abstractNum w:abstractNumId="232">
    <w:nsid w:val="541F28CD"/>
    <w:multiLevelType w:val="hybridMultilevel"/>
    <w:lvl w:ilvl="0">
      <w:lvlJc w:val="left"/>
      <w:lvlText w:val="(%1)"/>
      <w:numFmt w:val="lowerRoman"/>
      <w:start w:val="1"/>
    </w:lvl>
  </w:abstractNum>
  <w:abstractNum w:abstractNumId="233">
    <w:nsid w:val="7F65FD16"/>
    <w:multiLevelType w:val="hybridMultilevel"/>
    <w:lvl w:ilvl="0">
      <w:lvlJc w:val="left"/>
      <w:lvlText w:val="(%1)"/>
      <w:numFmt w:val="lowerRoman"/>
      <w:start w:val="8"/>
    </w:lvl>
  </w:abstractNum>
  <w:abstractNum w:abstractNumId="234">
    <w:nsid w:val="77C9FD68"/>
    <w:multiLevelType w:val="hybridMultilevel"/>
    <w:lvl w:ilvl="0">
      <w:lvlJc w:val="left"/>
      <w:lvlText w:val="%1"/>
      <w:numFmt w:val="lowerRoman"/>
      <w:start w:val="1"/>
    </w:lvl>
    <w:lvl w:ilvl="1">
      <w:lvlJc w:val="left"/>
      <w:lvlText w:val="(%2)"/>
      <w:numFmt w:val="lowerLetter"/>
      <w:start w:val="1"/>
    </w:lvl>
  </w:abstractNum>
  <w:abstractNum w:abstractNumId="235">
    <w:nsid w:val="298A92BA"/>
    <w:multiLevelType w:val="hybridMultilevel"/>
    <w:lvl w:ilvl="0">
      <w:lvlJc w:val="left"/>
      <w:lvlText w:val="(%1)"/>
      <w:numFmt w:val="lowerRoman"/>
      <w:start w:val="26"/>
    </w:lvl>
    <w:lvl w:ilvl="1">
      <w:lvlJc w:val="left"/>
      <w:lvlText w:val="(%2)"/>
      <w:numFmt w:val="lowerLetter"/>
      <w:start w:val="2"/>
    </w:lvl>
  </w:abstractNum>
  <w:abstractNum w:abstractNumId="236">
    <w:nsid w:val="6FE95EAC"/>
    <w:multiLevelType w:val="hybridMultilevel"/>
    <w:lvl w:ilvl="0">
      <w:lvlJc w:val="left"/>
      <w:lvlText w:val="(%1)"/>
      <w:numFmt w:val="lowerLetter"/>
      <w:start w:val="10"/>
    </w:lvl>
  </w:abstractNum>
  <w:abstractNum w:abstractNumId="237">
    <w:nsid w:val="4B697C7A"/>
    <w:multiLevelType w:val="hybridMultilevel"/>
    <w:lvl w:ilvl="0">
      <w:lvlJc w:val="left"/>
      <w:lvlText w:val="(%1)"/>
      <w:numFmt w:val="lowerLetter"/>
      <w:start w:val="11"/>
    </w:lvl>
  </w:abstractNum>
  <w:abstractNum w:abstractNumId="238">
    <w:nsid w:val="51A27AA6"/>
    <w:multiLevelType w:val="hybridMultilevel"/>
    <w:lvl w:ilvl="0">
      <w:lvlJc w:val="left"/>
      <w:lvlText w:val="(%1)"/>
      <w:numFmt w:val="lowerLetter"/>
      <w:start w:val="1"/>
    </w:lvl>
  </w:abstractNum>
  <w:abstractNum w:abstractNumId="239">
    <w:nsid w:val="613183F2"/>
    <w:multiLevelType w:val="hybridMultilevel"/>
    <w:lvl w:ilvl="0">
      <w:lvlJc w:val="left"/>
      <w:lvlText w:val="(%1)"/>
      <w:numFmt w:val="lowerRoman"/>
      <w:start w:val="4"/>
    </w:lvl>
    <w:lvl w:ilvl="1">
      <w:lvlJc w:val="left"/>
      <w:lvlText w:val="(%2)"/>
      <w:numFmt w:val="lowerLetter"/>
      <w:start w:val="8"/>
    </w:lvl>
  </w:abstractNum>
  <w:abstractNum w:abstractNumId="240">
    <w:nsid w:val="634102B4"/>
    <w:multiLevelType w:val="hybridMultilevel"/>
    <w:lvl w:ilvl="0">
      <w:lvlJc w:val="left"/>
      <w:lvlText w:val="(%1)"/>
      <w:numFmt w:val="lowerLetter"/>
      <w:start w:val="13"/>
    </w:lvl>
  </w:abstractNum>
  <w:abstractNum w:abstractNumId="241">
    <w:nsid w:val="65BF9DA8"/>
    <w:multiLevelType w:val="hybridMultilevel"/>
    <w:lvl w:ilvl="0">
      <w:lvlJc w:val="left"/>
      <w:lvlText w:val="(%1)"/>
      <w:numFmt w:val="lowerLetter"/>
      <w:start w:val="1"/>
    </w:lvl>
  </w:abstractNum>
  <w:abstractNum w:abstractNumId="242">
    <w:nsid w:val="21A2ECCA"/>
    <w:multiLevelType w:val="hybridMultilevel"/>
    <w:lvl w:ilvl="0">
      <w:lvlJc w:val="left"/>
      <w:lvlText w:val="(%1)"/>
      <w:numFmt w:val="lowerRoman"/>
      <w:start w:val="1"/>
    </w:lvl>
  </w:abstractNum>
  <w:abstractNum w:abstractNumId="243">
    <w:nsid w:val="4D5C4899"/>
    <w:multiLevelType w:val="hybridMultilevel"/>
    <w:lvl w:ilvl="0">
      <w:lvlJc w:val="left"/>
      <w:lvlText w:val="(%1)"/>
      <w:numFmt w:val="lowerRoman"/>
      <w:start w:val="2"/>
    </w:lvl>
  </w:abstractNum>
  <w:abstractNum w:abstractNumId="244">
    <w:nsid w:val="3C3B72B2"/>
    <w:multiLevelType w:val="hybridMultilevel"/>
    <w:lvl w:ilvl="0">
      <w:lvlJc w:val="left"/>
      <w:lvlText w:val="%1"/>
      <w:numFmt w:val="lowerRoman"/>
      <w:start w:val="1"/>
    </w:lvl>
    <w:lvl w:ilvl="1">
      <w:lvlJc w:val="left"/>
      <w:lvlText w:val="(%2)"/>
      <w:numFmt w:val="lowerRoman"/>
      <w:start w:val="3"/>
    </w:lvl>
  </w:abstractNum>
  <w:abstractNum w:abstractNumId="245">
    <w:nsid w:val="155EC4C2"/>
    <w:multiLevelType w:val="hybridMultilevel"/>
    <w:lvl w:ilvl="0">
      <w:lvlJc w:val="left"/>
      <w:lvlText w:val="(%1)"/>
      <w:numFmt w:val="lowerRoman"/>
      <w:start w:val="4"/>
    </w:lvl>
    <w:lvl w:ilvl="1">
      <w:lvlJc w:val="left"/>
      <w:lvlText w:val="%2"/>
      <w:numFmt w:val="lowerRoman"/>
      <w:start w:val="1"/>
    </w:lvl>
  </w:abstractNum>
  <w:abstractNum w:abstractNumId="246">
    <w:nsid w:val="65D2A137"/>
    <w:multiLevelType w:val="hybridMultilevel"/>
    <w:lvl w:ilvl="0">
      <w:lvlJc w:val="left"/>
      <w:lvlText w:val="(%1)"/>
      <w:numFmt w:val="lowerLetter"/>
      <w:start w:val="2"/>
    </w:lvl>
  </w:abstractNum>
  <w:abstractNum w:abstractNumId="247">
    <w:nsid w:val="6EBB1F2A"/>
    <w:multiLevelType w:val="hybridMultilevel"/>
    <w:lvl w:ilvl="0">
      <w:lvlJc w:val="left"/>
      <w:lvlText w:val="(%1)"/>
      <w:numFmt w:val="lowerLetter"/>
      <w:start w:val="1"/>
    </w:lvl>
  </w:abstractNum>
  <w:abstractNum w:abstractNumId="248">
    <w:nsid w:val="6FBF29CB"/>
    <w:multiLevelType w:val="hybridMultilevel"/>
    <w:lvl w:ilvl="0">
      <w:lvlJc w:val="left"/>
      <w:lvlText w:val="(%1)"/>
      <w:numFmt w:val="lowerLetter"/>
      <w:start w:val="2"/>
    </w:lvl>
  </w:abstractNum>
  <w:abstractNum w:abstractNumId="249">
    <w:nsid w:val="550B8808"/>
    <w:multiLevelType w:val="hybridMultilevel"/>
    <w:lvl w:ilvl="0">
      <w:lvlJc w:val="left"/>
      <w:lvlText w:val="(%1)"/>
      <w:numFmt w:val="lowerLetter"/>
      <w:start w:val="2"/>
    </w:lvl>
  </w:abstractNum>
  <w:abstractNum w:abstractNumId="250">
    <w:nsid w:val="34CC3ACF"/>
    <w:multiLevelType w:val="hybridMultilevel"/>
    <w:lvl w:ilvl="0">
      <w:lvlJc w:val="left"/>
      <w:lvlText w:val="(%1)"/>
      <w:numFmt w:val="lowerLetter"/>
      <w:start w:val="5"/>
    </w:lvl>
  </w:abstractNum>
  <w:abstractNum w:abstractNumId="251">
    <w:nsid w:val="4E556261"/>
    <w:multiLevelType w:val="hybridMultilevel"/>
    <w:lvl w:ilvl="0">
      <w:lvlJc w:val="left"/>
      <w:lvlText w:val="(%1)"/>
      <w:numFmt w:val="lowerLetter"/>
      <w:start w:val="1"/>
    </w:lvl>
  </w:abstractNum>
  <w:abstractNum w:abstractNumId="252">
    <w:nsid w:val="4C672FC9"/>
    <w:multiLevelType w:val="hybridMultilevel"/>
    <w:lvl w:ilvl="0">
      <w:lvlJc w:val="left"/>
      <w:lvlText w:val="(%1)"/>
      <w:numFmt w:val="lowerRoman"/>
      <w:start w:val="1"/>
    </w:lvl>
  </w:abstractNum>
  <w:abstractNum w:abstractNumId="253">
    <w:nsid w:val="52A311C3"/>
    <w:multiLevelType w:val="hybridMultilevel"/>
    <w:lvl w:ilvl="0">
      <w:lvlJc w:val="left"/>
      <w:lvlText w:val="(%1)"/>
      <w:numFmt w:val="lowerLetter"/>
      <w:start w:val="1"/>
    </w:lvl>
  </w:abstractNum>
  <w:abstractNum w:abstractNumId="254">
    <w:nsid w:val="44EF6B80"/>
    <w:multiLevelType w:val="hybridMultilevel"/>
    <w:lvl w:ilvl="0">
      <w:lvlJc w:val="left"/>
      <w:lvlText w:val="(%1)"/>
      <w:numFmt w:val="lowerLetter"/>
      <w:start w:val="2"/>
    </w:lvl>
    <w:lvl w:ilvl="1">
      <w:lvlJc w:val="left"/>
      <w:lvlText w:val="(%2)"/>
      <w:numFmt w:val="decimal"/>
      <w:start w:val="2"/>
    </w:lvl>
  </w:abstractNum>
  <w:abstractNum w:abstractNumId="255">
    <w:nsid w:val="12FCDE5E"/>
    <w:multiLevelType w:val="hybridMultilevel"/>
    <w:lvl w:ilvl="0">
      <w:lvlJc w:val="left"/>
      <w:lvlText w:val="(%1)"/>
      <w:numFmt w:val="decimal"/>
      <w:start w:val="3"/>
    </w:lvl>
  </w:abstractNum>
  <w:abstractNum w:abstractNumId="256">
    <w:nsid w:val="4A1D606E"/>
    <w:multiLevelType w:val="hybridMultilevel"/>
    <w:lvl w:ilvl="0">
      <w:lvlJc w:val="left"/>
      <w:lvlText w:val="(%1)"/>
      <w:numFmt w:val="lowerLetter"/>
      <w:start w:val="1"/>
    </w:lvl>
    <w:lvl w:ilvl="1">
      <w:lvlJc w:val="left"/>
      <w:lvlText w:val="(%2)"/>
      <w:numFmt w:val="lowerRoman"/>
      <w:start w:val="1"/>
    </w:lvl>
  </w:abstractNum>
  <w:abstractNum w:abstractNumId="257">
    <w:nsid w:val="4382503"/>
    <w:multiLevelType w:val="hybridMultilevel"/>
    <w:lvl w:ilvl="0">
      <w:lvlJc w:val="left"/>
      <w:lvlText w:val="(%1)"/>
      <w:numFmt w:val="lowerLetter"/>
      <w:start w:val="2"/>
    </w:lvl>
  </w:abstractNum>
  <w:abstractNum w:abstractNumId="258">
    <w:nsid w:val="59B76E28"/>
    <w:multiLevelType w:val="hybridMultilevel"/>
    <w:lvl w:ilvl="0">
      <w:lvlJc w:val="left"/>
      <w:lvlText w:val="(%1)"/>
      <w:numFmt w:val="lowerLetter"/>
      <w:start w:val="3"/>
    </w:lvl>
  </w:abstractNum>
  <w:abstractNum w:abstractNumId="259">
    <w:nsid w:val="4252C2DA"/>
    <w:multiLevelType w:val="hybridMultilevel"/>
    <w:lvl w:ilvl="0">
      <w:lvlJc w:val="left"/>
      <w:lvlText w:val="%1"/>
      <w:numFmt w:val="lowerLetter"/>
      <w:start w:val="1"/>
    </w:lvl>
    <w:lvl w:ilvl="1">
      <w:lvlJc w:val="left"/>
      <w:lvlText w:val="(%2)"/>
      <w:numFmt w:val="lowerLetter"/>
      <w:start w:val="1"/>
    </w:lvl>
  </w:abstractNum>
  <w:abstractNum w:abstractNumId="260">
    <w:nsid w:val="6A92EF4C"/>
    <w:multiLevelType w:val="hybridMultilevel"/>
    <w:lvl w:ilvl="0">
      <w:lvlJc w:val="left"/>
      <w:lvlText w:val="(%1)"/>
      <w:numFmt w:val="lowerLetter"/>
      <w:start w:val="9"/>
    </w:lvl>
    <w:lvl w:ilvl="1">
      <w:lvlJc w:val="left"/>
      <w:lvlText w:val="%2"/>
      <w:numFmt w:val="lowerLetter"/>
      <w:start w:val="1"/>
    </w:lvl>
  </w:abstractNum>
  <w:abstractNum w:abstractNumId="261">
    <w:nsid w:val="41ED20D7"/>
    <w:multiLevelType w:val="hybridMultilevel"/>
    <w:lvl w:ilvl="0">
      <w:lvlJc w:val="left"/>
      <w:lvlText w:val="(%1)"/>
      <w:numFmt w:val="lowerLetter"/>
      <w:start w:val="3"/>
    </w:lvl>
  </w:abstractNum>
  <w:abstractNum w:abstractNumId="262">
    <w:nsid w:val="E6B3F6A"/>
    <w:multiLevelType w:val="hybridMultilevel"/>
    <w:lvl w:ilvl="0">
      <w:lvlJc w:val="left"/>
      <w:lvlText w:val="(%1)"/>
      <w:numFmt w:val="lowerLetter"/>
      <w:start w:val="3"/>
    </w:lvl>
    <w:lvl w:ilvl="1">
      <w:lvlJc w:val="left"/>
      <w:lvlText w:val="(%2)"/>
      <w:numFmt w:val="lowerLetter"/>
      <w:start w:val="4"/>
    </w:lvl>
  </w:abstractNum>
  <w:abstractNum w:abstractNumId="263">
    <w:nsid w:val="3EB21819"/>
    <w:multiLevelType w:val="hybridMultilevel"/>
    <w:lvl w:ilvl="0">
      <w:lvlJc w:val="left"/>
      <w:lvlText w:val="(%1)"/>
      <w:numFmt w:val="lowerLetter"/>
      <w:start w:val="1"/>
    </w:lvl>
  </w:abstractNum>
  <w:abstractNum w:abstractNumId="264">
    <w:nsid w:val="41531DED"/>
    <w:multiLevelType w:val="hybridMultilevel"/>
    <w:lvl w:ilvl="0">
      <w:lvlJc w:val="left"/>
      <w:lvlText w:val="%1"/>
      <w:numFmt w:val="lowerLetter"/>
      <w:start w:val="1"/>
    </w:lvl>
    <w:lvl w:ilvl="1">
      <w:lvlJc w:val="left"/>
      <w:lvlText w:val="(%2)"/>
      <w:numFmt w:val="lowerLetter"/>
      <w:start w:val="2"/>
    </w:lvl>
  </w:abstractNum>
  <w:abstractNum w:abstractNumId="265">
    <w:nsid w:val="6353CD2"/>
    <w:multiLevelType w:val="hybridMultilevel"/>
    <w:lvl w:ilvl="0">
      <w:lvlJc w:val="left"/>
      <w:lvlText w:val="(%1)"/>
      <w:numFmt w:val="lowerLetter"/>
      <w:start w:val="26"/>
    </w:lvl>
    <w:lvl w:ilvl="1">
      <w:lvlJc w:val="left"/>
      <w:lvlText w:val="%2"/>
      <w:numFmt w:val="lowerLetter"/>
      <w:start w:val="1"/>
    </w:lvl>
  </w:abstractNum>
  <w:abstractNum w:abstractNumId="266">
    <w:nsid w:val="683CAAD3"/>
    <w:multiLevelType w:val="hybridMultilevel"/>
    <w:lvl w:ilvl="0">
      <w:lvlJc w:val="left"/>
      <w:lvlText w:val="(%1)"/>
      <w:numFmt w:val="lowerLetter"/>
      <w:start w:val="3"/>
    </w:lvl>
  </w:abstractNum>
  <w:abstractNum w:abstractNumId="267">
    <w:nsid w:val="313C7C99"/>
    <w:multiLevelType w:val="hybridMultilevel"/>
    <w:lvl w:ilvl="0">
      <w:lvlJc w:val="left"/>
      <w:lvlText w:val="(%1)"/>
      <w:numFmt w:val="lowerLetter"/>
      <w:start w:val="1"/>
    </w:lvl>
  </w:abstractNum>
  <w:abstractNum w:abstractNumId="268">
    <w:nsid w:val="519EB94C"/>
    <w:multiLevelType w:val="hybridMultilevel"/>
    <w:lvl w:ilvl="0">
      <w:lvlJc w:val="left"/>
      <w:lvlText w:val="(%1)"/>
      <w:numFmt w:val="lowerLetter"/>
      <w:start w:val="2"/>
    </w:lvl>
    <w:lvl w:ilvl="1">
      <w:lvlJc w:val="left"/>
      <w:lvlText w:val="(%2)"/>
      <w:numFmt w:val="lowerLetter"/>
      <w:start w:val="35"/>
    </w:lvl>
  </w:abstractNum>
  <w:abstractNum w:abstractNumId="269">
    <w:nsid w:val="39DF2579"/>
    <w:multiLevelType w:val="hybridMultilevel"/>
    <w:lvl w:ilvl="0">
      <w:lvlJc w:val="left"/>
      <w:lvlText w:val="(%1)"/>
      <w:numFmt w:val="lowerRoman"/>
      <w:start w:val="3"/>
    </w:lvl>
  </w:abstractNum>
  <w:abstractNum w:abstractNumId="270">
    <w:nsid w:val="126E008B"/>
    <w:multiLevelType w:val="hybridMultilevel"/>
    <w:lvl w:ilvl="0">
      <w:lvlJc w:val="left"/>
      <w:lvlText w:val="%1"/>
      <w:numFmt w:val="lowerLetter"/>
      <w:start w:val="1"/>
    </w:lvl>
    <w:lvl w:ilvl="1">
      <w:lvlJc w:val="left"/>
      <w:lvlText w:val="(%2)"/>
      <w:numFmt w:val="lowerRoman"/>
      <w:start w:val="5"/>
    </w:lvl>
  </w:abstractNum>
  <w:abstractNum w:abstractNumId="271">
    <w:nsid w:val="34DFBC00"/>
    <w:multiLevelType w:val="hybridMultilevel"/>
    <w:lvl w:ilvl="0">
      <w:lvlJc w:val="left"/>
      <w:lvlText w:val="(%1)"/>
      <w:numFmt w:val="lowerLetter"/>
      <w:start w:val="3"/>
    </w:lvl>
    <w:lvl w:ilvl="1">
      <w:lvlJc w:val="left"/>
      <w:lvlText w:val="(%2)"/>
      <w:numFmt w:val="lowerRoman"/>
      <w:start w:val="2"/>
    </w:lvl>
  </w:abstractNum>
  <w:abstractNum w:abstractNumId="272">
    <w:nsid w:val="1F9EC322"/>
    <w:multiLevelType w:val="hybridMultilevel"/>
    <w:lvl w:ilvl="0">
      <w:lvlJc w:val="left"/>
      <w:lvlText w:val="%1"/>
      <w:numFmt w:val="lowerLetter"/>
      <w:start w:val="1"/>
    </w:lvl>
    <w:lvl w:ilvl="1">
      <w:lvlJc w:val="left"/>
      <w:lvlText w:val="(%2)"/>
      <w:numFmt w:val="lowerLetter"/>
      <w:start w:val="61"/>
    </w:lvl>
  </w:abstractNum>
  <w:abstractNum w:abstractNumId="273">
    <w:nsid w:val="3410ED56"/>
    <w:multiLevelType w:val="hybridMultilevel"/>
    <w:lvl w:ilvl="0">
      <w:lvlJc w:val="left"/>
      <w:lvlText w:val="(%1)"/>
      <w:numFmt w:val="lowerLetter"/>
      <w:start w:val="4"/>
    </w:lvl>
    <w:lvl w:ilvl="1">
      <w:lvlJc w:val="left"/>
      <w:lvlText w:val="%2"/>
      <w:numFmt w:val="lowerLetter"/>
      <w:start w:val="1"/>
    </w:lvl>
  </w:abstractNum>
  <w:abstractNum w:abstractNumId="274">
    <w:nsid w:val="23C049A"/>
    <w:multiLevelType w:val="hybridMultilevel"/>
    <w:lvl w:ilvl="0">
      <w:lvlJc w:val="left"/>
      <w:lvlText w:val="(%1)"/>
      <w:numFmt w:val="lowerLetter"/>
      <w:start w:val="8"/>
    </w:lvl>
  </w:abstractNum>
  <w:abstractNum w:abstractNumId="275">
    <w:nsid w:val="5BDA35D4"/>
    <w:multiLevelType w:val="hybridMultilevel"/>
    <w:lvl w:ilvl="0">
      <w:lvlJc w:val="left"/>
      <w:lvlText w:val="(%1)"/>
      <w:numFmt w:val="lowerLetter"/>
      <w:start w:val="1"/>
    </w:lvl>
  </w:abstractNum>
  <w:abstractNum w:abstractNumId="276">
    <w:nsid w:val="496FB218"/>
    <w:multiLevelType w:val="hybridMultilevel"/>
    <w:lvl w:ilvl="0">
      <w:lvlJc w:val="left"/>
      <w:lvlText w:val="(%1)"/>
      <w:numFmt w:val="lowerLetter"/>
      <w:start w:val="3"/>
    </w:lvl>
  </w:abstractNum>
  <w:abstractNum w:abstractNumId="277">
    <w:nsid w:val="680EA5D1"/>
    <w:multiLevelType w:val="hybridMultilevel"/>
    <w:lvl w:ilvl="0">
      <w:lvlJc w:val="left"/>
      <w:lvlText w:val="(%1)"/>
      <w:numFmt w:val="lowerLetter"/>
      <w:start w:val="1"/>
    </w:lvl>
  </w:abstractNum>
  <w:abstractNum w:abstractNumId="278">
    <w:nsid w:val="4A9554FE"/>
    <w:multiLevelType w:val="hybridMultilevel"/>
    <w:lvl w:ilvl="0">
      <w:lvlJc w:val="left"/>
      <w:lvlText w:val="(%1)"/>
      <w:numFmt w:val="lowerLetter"/>
      <w:start w:val="2"/>
    </w:lvl>
  </w:abstractNum>
  <w:abstractNum w:abstractNumId="279">
    <w:nsid w:val="392EDBE4"/>
    <w:multiLevelType w:val="hybridMultilevel"/>
    <w:lvl w:ilvl="0">
      <w:lvlJc w:val="left"/>
      <w:lvlText w:val="(%1)"/>
      <w:numFmt w:val="lowerLetter"/>
      <w:start w:val="1"/>
    </w:lvl>
  </w:abstractNum>
  <w:abstractNum w:abstractNumId="280">
    <w:nsid w:val="3D1A2DD9"/>
    <w:multiLevelType w:val="hybridMultilevel"/>
    <w:lvl w:ilvl="0">
      <w:lvlJc w:val="left"/>
      <w:lvlText w:val="(%1)"/>
      <w:numFmt w:val="lowerLetter"/>
      <w:start w:val="2"/>
    </w:lvl>
  </w:abstractNum>
  <w:abstractNum w:abstractNumId="281">
    <w:nsid w:val="7F618FCD"/>
    <w:multiLevelType w:val="hybridMultilevel"/>
    <w:lvl w:ilvl="0">
      <w:lvlJc w:val="left"/>
      <w:lvlText w:val="%1."/>
      <w:numFmt w:val="decimal"/>
      <w:start w:val="1"/>
    </w:lvl>
    <w:lvl w:ilvl="1">
      <w:lvlJc w:val="left"/>
      <w:lvlText w:val="%2."/>
      <w:numFmt w:val="lowerRoman"/>
      <w:start w:val="1"/>
    </w:lvl>
  </w:abstractNum>
  <w:abstractNum w:abstractNumId="282">
    <w:nsid w:val="7843E45"/>
    <w:multiLevelType w:val="hybridMultilevel"/>
    <w:lvl w:ilvl="0">
      <w:lvlJc w:val="left"/>
      <w:lvlText w:val="(%1)"/>
      <w:numFmt w:val="lowerLetter"/>
      <w:start w:val="1"/>
    </w:lvl>
  </w:abstractNum>
  <w:abstractNum w:abstractNumId="283">
    <w:nsid w:val="9815DA3"/>
    <w:multiLevelType w:val="hybridMultilevel"/>
    <w:lvl w:ilvl="0">
      <w:lvlJc w:val="left"/>
      <w:lvlText w:val="(%1)"/>
      <w:numFmt w:val="decimal"/>
      <w:start w:val="1"/>
    </w:lvl>
  </w:abstractNum>
  <w:abstractNum w:abstractNumId="284">
    <w:nsid w:val="5204A191"/>
    <w:multiLevelType w:val="hybridMultilevel"/>
    <w:lvl w:ilvl="0">
      <w:lvlJc w:val="left"/>
      <w:lvlText w:val="(%1)"/>
      <w:numFmt w:val="decimal"/>
      <w:start w:val="4"/>
    </w:lvl>
  </w:abstractNum>
  <w:abstractNum w:abstractNumId="285">
    <w:nsid w:val="4C73A9C6"/>
    <w:multiLevelType w:val="hybridMultilevel"/>
    <w:lvl w:ilvl="0">
      <w:lvlJc w:val="left"/>
      <w:lvlText w:val="(%1)"/>
      <w:numFmt w:val="lowerLetter"/>
      <w:start w:val="2"/>
    </w:lvl>
  </w:abstractNum>
  <w:abstractNum w:abstractNumId="286">
    <w:nsid w:val="1C7E3C01"/>
    <w:multiLevelType w:val="hybridMultilevel"/>
    <w:lvl w:ilvl="0">
      <w:lvlJc w:val="left"/>
      <w:lvlText w:val="%1."/>
      <w:numFmt w:val="decimal"/>
      <w:start w:val="1"/>
    </w:lvl>
    <w:lvl w:ilvl="1">
      <w:lvlJc w:val="left"/>
      <w:lvlText w:val="(%2)"/>
      <w:numFmt w:val="lowerLetter"/>
      <w:start w:val="1"/>
    </w:lvl>
  </w:abstractNum>
  <w:abstractNum w:abstractNumId="287">
    <w:nsid w:val="1C2201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78" Type="http://schemas.openxmlformats.org/officeDocument/2006/relationships/hyperlink" Target="http://www.sec.gov/Archives/edgar/data/1660280/000119312518231446/d562353dex31.htm" TargetMode="External"/><Relationship Id="rId79" Type="http://schemas.openxmlformats.org/officeDocument/2006/relationships/hyperlink" Target="http://www.sec.gov/Archives/edgar/data/1660280/000119312518209705/d548092dex34.htm" TargetMode="External"/><Relationship Id="rId80" Type="http://schemas.openxmlformats.org/officeDocument/2006/relationships/hyperlink" Target="http://www.sec.gov/Archives/edgar/data/1660280/000119312518218215/d548092dex41.htm" TargetMode="External"/><Relationship Id="rId81" Type="http://schemas.openxmlformats.org/officeDocument/2006/relationships/hyperlink" Target="http://www.sec.gov/Archives/edgar/data/1660280/00016602802100001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2021-08-02T05:42:55Z</dcterms:created>
  <dcterms:modified xsi:type="dcterms:W3CDTF">2021-08-02T05:42:55Z</dcterms:modified>
</cp:coreProperties>
</file>