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48704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870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Anschutz Barron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TENABLE HOLDINGS,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6100 MERRIWEATHER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Tenable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TENB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5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3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Accounting Officer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COLUMBIA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21044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69,794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92,879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02/26/2026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92,879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92,879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-2012315</wp:posOffset>
            </wp:positionV>
            <wp:extent cx="29210" cy="20173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7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a contingent right to receive one share of Issuer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2"/>
        <w:spacing w:after="0" w:line="256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25% of the shares underlying the RSUs vest on February 22, 2027, with the remainder vesting in equal quarterly installments over 3 years, subject to the Reporting Person's continuous service with the Issuer as of the applicable vesting date, and subject to accelerated vesting in specified circumstances.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David Bartholomew,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02/27/2026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09403" TargetMode="External"/><Relationship Id="rId14" Type="http://schemas.openxmlformats.org/officeDocument/2006/relationships/hyperlink" Target="http://www.sec.gov/cgi-bin/browse-edgar?action=getcompany&amp;CIK=000166028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2026-02-27T17:22:17Z</dcterms:created>
  <dcterms:modified xsi:type="dcterms:W3CDTF">2026-02-27T17:22:17Z</dcterms:modified>
</cp:coreProperties>
</file>