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Matthew Charles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21044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11/21/2025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14,544</w:t>
            </w:r>
          </w:p>
        </w:tc>
        <w:tc>
          <w:tcPr>
            <w:tcW w:w="6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14,544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11/21/2025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5,278</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26.06</w:t>
            </w:r>
          </w:p>
        </w:tc>
        <w:tc>
          <w:tcPr>
            <w:tcW w:w="1200" w:type="dxa"/>
            <w:vAlign w:val="bottom"/>
            <w:tcBorders>
              <w:bottom w:val="single" w:sz="8" w:color="2C2C2C"/>
            </w:tcBorders>
            <w:gridSpan w:val="2"/>
          </w:tcPr>
          <w:p>
            <w:pPr>
              <w:jc w:val="right"/>
              <w:ind w:right="381"/>
              <w:spacing w:after="0"/>
              <w:rPr>
                <w:sz w:val="20"/>
                <w:szCs w:val="20"/>
                <w:color w:val="auto"/>
              </w:rPr>
            </w:pPr>
            <w:r>
              <w:rPr>
                <w:rFonts w:ascii="Times New Roman" w:cs="Times New Roman" w:eastAsia="Times New Roman" w:hAnsi="Times New Roman"/>
                <w:sz w:val="17"/>
                <w:szCs w:val="17"/>
                <w:color w:val="0000FF"/>
              </w:rPr>
              <w:t>9,266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14,544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11/21/2025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14,544</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218,168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5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16 equal quarterly instalments over 4 years starting November 21, 2025, subject to the Reporting Person's continuous service with the Issuer as of the applicable vesting date, and subject to accelerated vesting in specified circumstances.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6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11/25/2025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6979"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2025-11-25T18:56:34Z</dcterms:created>
  <dcterms:modified xsi:type="dcterms:W3CDTF">2025-11-25T18:56:34Z</dcterms:modified>
</cp:coreProperties>
</file>