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231F20"/>
        </w:rPr>
        <w:t>UNITED STATES</w:t>
      </w:r>
    </w:p>
    <w:p>
      <w:pPr>
        <w:spacing w:after="0" w:line="28"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231F20"/>
        </w:rPr>
        <w:t>SECURITIES AND EXCHANGE COMMISSION</w:t>
      </w:r>
    </w:p>
    <w:p>
      <w:pPr>
        <w:spacing w:after="0" w:line="71"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231F20"/>
        </w:rPr>
        <w:t>Washington, D.C. 20549</w:t>
      </w:r>
    </w:p>
    <w:p>
      <w:pPr>
        <w:spacing w:after="0" w:line="17"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26"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231F20"/>
        </w:rPr>
        <w:t>FORM 10-K</w:t>
      </w:r>
    </w:p>
    <w:p>
      <w:pPr>
        <w:spacing w:after="0" w:line="37"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19" w:lineRule="exact"/>
        <w:rPr>
          <w:sz w:val="24"/>
          <w:szCs w:val="24"/>
          <w:color w:val="auto"/>
        </w:rPr>
      </w:pPr>
    </w:p>
    <w:p>
      <w:pPr>
        <w:ind w:left="820" w:hanging="478"/>
        <w:spacing w:after="0"/>
        <w:tabs>
          <w:tab w:leader="none" w:pos="8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4"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For the fiscal year ended December 31, 2024</w:t>
      </w:r>
    </w:p>
    <w:p>
      <w:pPr>
        <w:spacing w:after="0" w:line="25"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or</w:t>
      </w:r>
    </w:p>
    <w:p>
      <w:pPr>
        <w:spacing w:after="0" w:line="130" w:lineRule="exact"/>
        <w:rPr>
          <w:sz w:val="24"/>
          <w:szCs w:val="24"/>
          <w:color w:val="auto"/>
        </w:rPr>
      </w:pPr>
    </w:p>
    <w:p>
      <w:pPr>
        <w:ind w:left="840" w:hanging="498"/>
        <w:spacing w:after="0"/>
        <w:tabs>
          <w:tab w:leader="none" w:pos="8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4"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Commission file number 001-38600</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83"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231F20"/>
        </w:rPr>
        <w:t>TENABLE HOLDINGS, INC.</w:t>
      </w:r>
    </w:p>
    <w:p>
      <w:pPr>
        <w:spacing w:after="0" w:line="76"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231F20"/>
        </w:rPr>
        <w:t>(Exact name of registrant as specified in its charter)</w:t>
      </w:r>
    </w:p>
    <w:p>
      <w:pPr>
        <w:spacing w:after="0" w:line="22"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ectPr>
          <w:pgSz w:w="11900" w:h="16838" w:orient="portrait"/>
          <w:cols w:equalWidth="0" w:num="1">
            <w:col w:w="11240"/>
          </w:cols>
          <w:pgMar w:left="320" w:top="1389" w:right="339" w:bottom="1440" w:gutter="0" w:footer="0" w:header="0"/>
        </w:sectPr>
      </w:pPr>
    </w:p>
    <w:p>
      <w:pPr>
        <w:spacing w:after="0" w:line="132"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47-5580846</w:t>
      </w:r>
    </w:p>
    <w:p>
      <w:pPr>
        <w:spacing w:after="0" w:line="38" w:lineRule="exact"/>
        <w:rPr>
          <w:sz w:val="24"/>
          <w:szCs w:val="24"/>
          <w:color w:val="auto"/>
        </w:rPr>
      </w:pPr>
    </w:p>
    <w:p>
      <w:pPr>
        <w:sectPr>
          <w:pgSz w:w="11900" w:h="16838" w:orient="portrait"/>
          <w:cols w:equalWidth="0" w:num="2">
            <w:col w:w="8120" w:space="720"/>
            <w:col w:w="2400"/>
          </w:cols>
          <w:pgMar w:left="320" w:top="1389" w:right="339" w:bottom="1440" w:gutter="0" w:footer="0" w:header="0"/>
          <w:type w:val="continuous"/>
        </w:sectPr>
      </w:pPr>
    </w:p>
    <w:p>
      <w:pPr>
        <w:ind w:left="8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57" w:lineRule="exact"/>
        <w:rPr>
          <w:sz w:val="24"/>
          <w:szCs w:val="24"/>
          <w:color w:val="auto"/>
        </w:rPr>
      </w:pPr>
    </w:p>
    <w:p>
      <w:pPr>
        <w:sectPr>
          <w:pgSz w:w="11900" w:h="16838" w:orient="portrait"/>
          <w:cols w:equalWidth="0" w:num="2">
            <w:col w:w="7260" w:space="720"/>
            <w:col w:w="3260"/>
          </w:cols>
          <w:pgMar w:left="320" w:top="1389" w:right="33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6100 Merriweather Drive, Columbia, Maryland 21044</w:t>
      </w:r>
    </w:p>
    <w:p>
      <w:pPr>
        <w:spacing w:after="0" w:line="25"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1" w:lineRule="exact"/>
        <w:rPr>
          <w:sz w:val="24"/>
          <w:szCs w:val="24"/>
          <w:color w:val="auto"/>
        </w:rPr>
      </w:pPr>
    </w:p>
    <w:p>
      <w:pPr>
        <w:ind w:left="5300"/>
        <w:spacing w:after="0"/>
        <w:rPr>
          <w:sz w:val="20"/>
          <w:szCs w:val="20"/>
          <w:color w:val="auto"/>
        </w:rPr>
      </w:pPr>
      <w:r>
        <w:rPr>
          <w:rFonts w:ascii="Arial" w:cs="Arial" w:eastAsia="Arial" w:hAnsi="Arial"/>
          <w:sz w:val="14"/>
          <w:szCs w:val="14"/>
          <w:b w:val="1"/>
          <w:bCs w:val="1"/>
          <w:color w:val="auto"/>
        </w:rPr>
        <w:t>(410) 872-0555</w:t>
      </w:r>
    </w:p>
    <w:p>
      <w:pPr>
        <w:spacing w:after="0" w:line="2" w:lineRule="exact"/>
        <w:rPr>
          <w:sz w:val="24"/>
          <w:szCs w:val="24"/>
          <w:color w:val="auto"/>
        </w:rPr>
      </w:pPr>
    </w:p>
    <w:p>
      <w:pPr>
        <w:ind w:left="4120"/>
        <w:spacing w:after="0"/>
        <w:rPr>
          <w:sz w:val="20"/>
          <w:szCs w:val="20"/>
          <w:color w:val="auto"/>
        </w:rPr>
      </w:pPr>
      <w:r>
        <w:rPr>
          <w:rFonts w:ascii="Arial" w:cs="Arial" w:eastAsia="Arial" w:hAnsi="Arial"/>
          <w:sz w:val="14"/>
          <w:szCs w:val="14"/>
          <w:color w:val="auto"/>
        </w:rPr>
        <w:t>(Registrant’s telephone number, including area code)</w:t>
      </w: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32"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389" w:right="339" w:bottom="1440" w:gutter="0" w:footer="0" w:header="0"/>
          <w:type w:val="continuous"/>
        </w:sectPr>
      </w:pPr>
    </w:p>
    <w:p>
      <w:pPr>
        <w:spacing w:after="0" w:line="38" w:lineRule="exact"/>
        <w:rPr>
          <w:sz w:val="24"/>
          <w:szCs w:val="24"/>
          <w:color w:val="auto"/>
        </w:rPr>
      </w:pPr>
    </w:p>
    <w:p>
      <w:pPr>
        <w:jc w:val="center"/>
        <w:ind w:left="7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38" w:lineRule="exact"/>
        <w:rPr>
          <w:sz w:val="24"/>
          <w:szCs w:val="24"/>
          <w:color w:val="auto"/>
        </w:rPr>
      </w:pPr>
    </w:p>
    <w:p>
      <w:pPr>
        <w:sectPr>
          <w:pgSz w:w="11900" w:h="16838" w:orient="portrait"/>
          <w:cols w:equalWidth="0" w:num="3">
            <w:col w:w="4600" w:space="720"/>
            <w:col w:w="1860" w:space="720"/>
            <w:col w:w="3340"/>
          </w:cols>
          <w:pgMar w:left="320" w:top="1389" w:right="339" w:bottom="1440" w:gutter="0" w:footer="0" w:header="0"/>
          <w:type w:val="continuous"/>
        </w:sectPr>
      </w:pPr>
    </w:p>
    <w:p>
      <w:pPr>
        <w:ind w:left="134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38" w:lineRule="exact"/>
        <w:rPr>
          <w:sz w:val="24"/>
          <w:szCs w:val="24"/>
          <w:color w:val="auto"/>
        </w:rPr>
      </w:pPr>
    </w:p>
    <w:p>
      <w:pPr>
        <w:sectPr>
          <w:pgSz w:w="11900" w:h="16838" w:orient="portrait"/>
          <w:cols w:equalWidth="0" w:num="3">
            <w:col w:w="5020" w:space="720"/>
            <w:col w:w="1840" w:space="720"/>
            <w:col w:w="2940"/>
          </w:cols>
          <w:pgMar w:left="320" w:top="1389" w:right="339" w:bottom="1440" w:gutter="0" w:footer="0" w:header="0"/>
          <w:type w:val="continuous"/>
        </w:sectPr>
      </w:pPr>
    </w:p>
    <w:p>
      <w:pPr>
        <w:ind w:left="39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26" w:lineRule="exact"/>
        <w:rPr>
          <w:sz w:val="24"/>
          <w:szCs w:val="24"/>
          <w:color w:val="auto"/>
        </w:rPr>
      </w:pPr>
    </w:p>
    <w:p>
      <w:pPr>
        <w:ind w:right="3040"/>
        <w:spacing w:after="0" w:line="23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6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340" w:type="dxa"/>
        <w:tblCellMar>
          <w:top w:w="0" w:type="dxa"/>
          <w:left w:w="0" w:type="dxa"/>
          <w:bottom w:w="0" w:type="dxa"/>
          <w:right w:w="0" w:type="dxa"/>
        </w:tblCellMar>
      </w:tblPr>
      <w:tr>
        <w:trPr>
          <w:trHeight w:val="244"/>
        </w:trPr>
        <w:tc>
          <w:tcPr>
            <w:tcW w:w="3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420"/>
              <w:spacing w:after="0"/>
              <w:rPr>
                <w:sz w:val="20"/>
                <w:szCs w:val="20"/>
                <w:color w:val="auto"/>
              </w:rPr>
            </w:pPr>
            <w:r>
              <w:rPr>
                <w:rFonts w:ascii="Arial" w:cs="Arial" w:eastAsia="Arial" w:hAnsi="Arial"/>
                <w:sz w:val="14"/>
                <w:szCs w:val="14"/>
                <w:color w:val="auto"/>
              </w:rPr>
              <w:t>Accelerated filer</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2"/>
        </w:trPr>
        <w:tc>
          <w:tcPr>
            <w:tcW w:w="314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420"/>
              <w:spacing w:after="0"/>
              <w:rPr>
                <w:sz w:val="20"/>
                <w:szCs w:val="20"/>
                <w:color w:val="auto"/>
              </w:rPr>
            </w:pPr>
            <w:r>
              <w:rPr>
                <w:rFonts w:ascii="Arial" w:cs="Arial" w:eastAsia="Arial" w:hAnsi="Arial"/>
                <w:sz w:val="14"/>
                <w:szCs w:val="14"/>
                <w:color w:val="auto"/>
              </w:rPr>
              <w:t>Smaller reporting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2"/>
        </w:trPr>
        <w:tc>
          <w:tcPr>
            <w:tcW w:w="31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720" w:type="dxa"/>
            <w:vAlign w:val="bottom"/>
          </w:tcPr>
          <w:p>
            <w:pPr>
              <w:ind w:left="420"/>
              <w:spacing w:after="0"/>
              <w:rPr>
                <w:sz w:val="20"/>
                <w:szCs w:val="20"/>
                <w:color w:val="auto"/>
              </w:rPr>
            </w:pPr>
            <w:r>
              <w:rPr>
                <w:rFonts w:ascii="Arial" w:cs="Arial" w:eastAsia="Arial" w:hAnsi="Arial"/>
                <w:sz w:val="14"/>
                <w:szCs w:val="14"/>
                <w:color w:val="auto"/>
              </w:rPr>
              <w:t>Emerging growth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left="340" w:right="180"/>
        <w:spacing w:after="0" w:line="254"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3" w:lineRule="exact"/>
        <w:rPr>
          <w:sz w:val="24"/>
          <w:szCs w:val="24"/>
          <w:color w:val="auto"/>
        </w:rPr>
      </w:pPr>
    </w:p>
    <w:p>
      <w:pPr>
        <w:ind w:right="2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1" w:lineRule="exact"/>
        <w:rPr>
          <w:sz w:val="24"/>
          <w:szCs w:val="24"/>
          <w:color w:val="auto"/>
        </w:rPr>
      </w:pPr>
    </w:p>
    <w:p>
      <w:pPr>
        <w:ind w:right="160"/>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1" w:lineRule="exact"/>
        <w:rPr>
          <w:sz w:val="24"/>
          <w:szCs w:val="24"/>
          <w:color w:val="auto"/>
        </w:rPr>
      </w:pPr>
    </w:p>
    <w:p>
      <w:pPr>
        <w:ind w:right="680"/>
        <w:spacing w:after="0" w:line="18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2024, the aggregate market value of the common stock of the registrant held by non-affiliates was approximately $5.1 billion.</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as of February 18, 2025 was 120,302,439.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1010285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64" w:lineRule="exact"/>
        <w:rPr>
          <w:sz w:val="20"/>
          <w:szCs w:val="20"/>
          <w:color w:val="auto"/>
        </w:rPr>
      </w:pPr>
    </w:p>
    <w:p>
      <w:pPr>
        <w:ind w:firstLine="318"/>
        <w:spacing w:after="0" w:line="293" w:lineRule="auto"/>
        <w:rPr>
          <w:sz w:val="20"/>
          <w:szCs w:val="20"/>
          <w:color w:val="auto"/>
        </w:rPr>
      </w:pPr>
      <w:r>
        <w:rPr>
          <w:rFonts w:ascii="Arial" w:cs="Arial" w:eastAsia="Arial" w:hAnsi="Arial"/>
          <w:sz w:val="14"/>
          <w:szCs w:val="14"/>
          <w:color w:val="auto"/>
        </w:rPr>
        <w:t>Portions of the registrant's definitive Proxy Statement relating to the 2025 Annual Meeting of Stockholders are incorporated herein by reference in Part III of this Annual Report on Form 10-K. The Proxy Statement will be filed with the Securities and Exchange Commission within 120 days after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862330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gridSpan w:val="10"/>
          </w:tcPr>
          <w:p>
            <w:pPr>
              <w:jc w:val="center"/>
              <w:ind w:right="3320"/>
              <w:spacing w:after="0"/>
              <w:rPr>
                <w:sz w:val="20"/>
                <w:szCs w:val="20"/>
                <w:color w:val="auto"/>
              </w:rPr>
            </w:pPr>
            <w:r>
              <w:rPr>
                <w:rFonts w:ascii="Arial" w:cs="Arial" w:eastAsia="Arial" w:hAnsi="Arial"/>
                <w:sz w:val="18"/>
                <w:szCs w:val="18"/>
                <w:b w:val="1"/>
                <w:bCs w:val="1"/>
                <w:color w:val="auto"/>
                <w:w w:val="97"/>
              </w:rPr>
              <w:t>TENABLE HOLDINGS, INC.</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6"/>
              </w:rPr>
              <w:t>TABLE OF CONTENTS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gridSpan w:val="4"/>
          </w:tcPr>
          <w:p>
            <w:pPr>
              <w:jc w:val="right"/>
              <w:ind w:right="12"/>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41"/>
        </w:trPr>
        <w:tc>
          <w:tcPr>
            <w:tcW w:w="104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5"/>
              </w:rPr>
              <w:t>Business</w:t>
            </w:r>
          </w:p>
        </w:tc>
        <w:tc>
          <w:tcPr>
            <w:tcW w:w="8920" w:type="dxa"/>
            <w:vAlign w:val="bottom"/>
            <w:gridSpan w:val="21"/>
          </w:tcPr>
          <w:p>
            <w:pPr>
              <w:spacing w:after="0"/>
              <w:rPr>
                <w:sz w:val="16"/>
                <w:szCs w:val="16"/>
                <w:color w:val="auto"/>
              </w:rPr>
            </w:pPr>
          </w:p>
        </w:tc>
        <w:tc>
          <w:tcPr>
            <w:tcW w:w="42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95"/>
              </w:rPr>
              <w:t>Risk Factors</w:t>
            </w:r>
          </w:p>
        </w:tc>
        <w:tc>
          <w:tcPr>
            <w:tcW w:w="8660" w:type="dxa"/>
            <w:vAlign w:val="bottom"/>
            <w:gridSpan w:val="19"/>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12</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1B.</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Unresolved Staff Comments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1C.</w:t>
            </w:r>
          </w:p>
        </w:tc>
        <w:tc>
          <w:tcPr>
            <w:tcW w:w="1080" w:type="dxa"/>
            <w:vAlign w:val="bottom"/>
            <w:tcBorders>
              <w:top w:val="single" w:sz="8" w:color="0000FF"/>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96"/>
              </w:rPr>
              <w:t>Cybersecurity</w:t>
            </w:r>
          </w:p>
        </w:tc>
        <w:tc>
          <w:tcPr>
            <w:tcW w:w="1120" w:type="dxa"/>
            <w:vAlign w:val="bottom"/>
            <w:tcBorders>
              <w:top w:val="single" w:sz="8" w:color="0000FF"/>
            </w:tcBorders>
            <w:gridSpan w:val="6"/>
          </w:tcPr>
          <w:p>
            <w:pPr>
              <w:spacing w:after="0"/>
              <w:rPr>
                <w:sz w:val="17"/>
                <w:szCs w:val="17"/>
                <w:color w:val="auto"/>
              </w:rPr>
            </w:pPr>
          </w:p>
        </w:tc>
        <w:tc>
          <w:tcPr>
            <w:tcW w:w="7440" w:type="dxa"/>
            <w:vAlign w:val="bottom"/>
            <w:gridSpan w:val="12"/>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Properties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6"/>
              </w:rPr>
              <w:t>Legal Proceedings</w:t>
            </w:r>
          </w:p>
        </w:tc>
        <w:tc>
          <w:tcPr>
            <w:tcW w:w="8180" w:type="dxa"/>
            <w:vAlign w:val="bottom"/>
            <w:gridSpan w:val="16"/>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Mine Safety Disclosures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506"/>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Arial" w:cs="Arial" w:eastAsia="Arial" w:hAnsi="Arial"/>
                <w:sz w:val="18"/>
                <w:szCs w:val="18"/>
                <w:color w:val="auto"/>
              </w:rPr>
              <w:t>Item 5.</w:t>
            </w:r>
          </w:p>
        </w:tc>
        <w:tc>
          <w:tcPr>
            <w:tcW w:w="9640" w:type="dxa"/>
            <w:vAlign w:val="bottom"/>
            <w:gridSpan w:val="22"/>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98"/>
              </w:rPr>
              <w:t>Reserved</w:t>
            </w:r>
          </w:p>
        </w:tc>
        <w:tc>
          <w:tcPr>
            <w:tcW w:w="7900" w:type="dxa"/>
            <w:vAlign w:val="bottom"/>
            <w:tcBorders>
              <w:top w:val="single" w:sz="8" w:color="0000FF"/>
            </w:tcBorders>
            <w:gridSpan w:val="19"/>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48</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7.</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7A.</w:t>
            </w:r>
          </w:p>
        </w:tc>
        <w:tc>
          <w:tcPr>
            <w:tcW w:w="6940" w:type="dxa"/>
            <w:vAlign w:val="bottom"/>
            <w:tcBorders>
              <w:top w:val="single" w:sz="8" w:color="0000FF"/>
            </w:tcBorders>
            <w:gridSpan w:val="18"/>
          </w:tcPr>
          <w:p>
            <w:pPr>
              <w:spacing w:after="0" w:line="205" w:lineRule="exact"/>
              <w:rPr>
                <w:sz w:val="20"/>
                <w:szCs w:val="20"/>
                <w:color w:val="auto"/>
              </w:rPr>
            </w:pPr>
            <w:r>
              <w:rPr>
                <w:rFonts w:ascii="Arial" w:cs="Arial" w:eastAsia="Arial" w:hAnsi="Arial"/>
                <w:sz w:val="18"/>
                <w:szCs w:val="18"/>
                <w:color w:val="0000FF"/>
              </w:rPr>
              <w:t>Quantitative and Qualitative Disclosures about Market Risk</w:t>
            </w:r>
          </w:p>
        </w:tc>
        <w:tc>
          <w:tcPr>
            <w:tcW w:w="2700" w:type="dxa"/>
            <w:vAlign w:val="bottom"/>
            <w:gridSpan w:val="4"/>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8.</w:t>
            </w:r>
          </w:p>
        </w:tc>
        <w:tc>
          <w:tcPr>
            <w:tcW w:w="4600" w:type="dxa"/>
            <w:vAlign w:val="bottom"/>
            <w:tcBorders>
              <w:top w:val="single" w:sz="8" w:color="0000FF"/>
            </w:tcBorders>
            <w:gridSpan w:val="15"/>
          </w:tcPr>
          <w:p>
            <w:pPr>
              <w:spacing w:after="0" w:line="205" w:lineRule="exact"/>
              <w:rPr>
                <w:sz w:val="20"/>
                <w:szCs w:val="20"/>
                <w:color w:val="auto"/>
              </w:rPr>
            </w:pPr>
            <w:r>
              <w:rPr>
                <w:rFonts w:ascii="Arial" w:cs="Arial" w:eastAsia="Arial" w:hAnsi="Arial"/>
                <w:sz w:val="18"/>
                <w:szCs w:val="18"/>
                <w:color w:val="0000FF"/>
              </w:rPr>
              <w:t>Financial Statements and Supplementary Data</w:t>
            </w:r>
          </w:p>
        </w:tc>
        <w:tc>
          <w:tcPr>
            <w:tcW w:w="5040" w:type="dxa"/>
            <w:vAlign w:val="bottom"/>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9.</w:t>
            </w:r>
          </w:p>
        </w:tc>
        <w:tc>
          <w:tcPr>
            <w:tcW w:w="7000" w:type="dxa"/>
            <w:vAlign w:val="bottom"/>
            <w:tcBorders>
              <w:bottom w:val="single" w:sz="8" w:color="0000FF"/>
            </w:tcBorders>
            <w:gridSpan w:val="19"/>
          </w:tcPr>
          <w:p>
            <w:pPr>
              <w:spacing w:after="0" w:line="205" w:lineRule="exact"/>
              <w:rPr>
                <w:sz w:val="20"/>
                <w:szCs w:val="20"/>
                <w:color w:val="auto"/>
              </w:rPr>
            </w:pPr>
            <w:r>
              <w:rPr>
                <w:rFonts w:ascii="Arial" w:cs="Arial" w:eastAsia="Arial" w:hAnsi="Arial"/>
                <w:sz w:val="18"/>
                <w:szCs w:val="18"/>
                <w:color w:val="0000FF"/>
                <w:w w:val="97"/>
              </w:rPr>
              <w:t>Changes in and Disagreements with Accountants on Accounting and Financial Disclosure</w:t>
            </w:r>
          </w:p>
        </w:tc>
        <w:tc>
          <w:tcPr>
            <w:tcW w:w="26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205" w:lineRule="exact"/>
              <w:rPr>
                <w:sz w:val="20"/>
                <w:szCs w:val="20"/>
                <w:color w:val="auto"/>
              </w:rPr>
            </w:pPr>
            <w:r>
              <w:rPr>
                <w:rFonts w:ascii="Arial" w:cs="Arial" w:eastAsia="Arial" w:hAnsi="Arial"/>
                <w:sz w:val="18"/>
                <w:szCs w:val="18"/>
                <w:color w:val="0000FF"/>
                <w:w w:val="93"/>
              </w:rPr>
              <w:t>100</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9A.</w:t>
            </w:r>
          </w:p>
        </w:tc>
        <w:tc>
          <w:tcPr>
            <w:tcW w:w="196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7"/>
              </w:rPr>
              <w:t>Controls and Procedures</w:t>
            </w:r>
          </w:p>
        </w:tc>
        <w:tc>
          <w:tcPr>
            <w:tcW w:w="768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205" w:lineRule="exact"/>
              <w:rPr>
                <w:sz w:val="20"/>
                <w:szCs w:val="20"/>
                <w:color w:val="auto"/>
              </w:rPr>
            </w:pPr>
            <w:r>
              <w:rPr>
                <w:rFonts w:ascii="Arial" w:cs="Arial" w:eastAsia="Arial" w:hAnsi="Arial"/>
                <w:sz w:val="18"/>
                <w:szCs w:val="18"/>
                <w:color w:val="0000FF"/>
                <w:w w:val="93"/>
              </w:rPr>
              <w:t>100</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9B.</w:t>
            </w:r>
          </w:p>
        </w:tc>
        <w:tc>
          <w:tcPr>
            <w:tcW w:w="138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7"/>
              </w:rPr>
              <w:t>Other Information</w:t>
            </w:r>
          </w:p>
        </w:tc>
        <w:tc>
          <w:tcPr>
            <w:tcW w:w="826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205" w:lineRule="exact"/>
              <w:rPr>
                <w:sz w:val="20"/>
                <w:szCs w:val="20"/>
                <w:color w:val="auto"/>
              </w:rPr>
            </w:pPr>
            <w:r>
              <w:rPr>
                <w:rFonts w:ascii="Arial" w:cs="Arial" w:eastAsia="Arial" w:hAnsi="Arial"/>
                <w:sz w:val="18"/>
                <w:szCs w:val="18"/>
                <w:color w:val="0000FF"/>
                <w:w w:val="93"/>
              </w:rPr>
              <w:t>101</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9C.</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101</w:t>
            </w:r>
          </w:p>
        </w:tc>
        <w:tc>
          <w:tcPr>
            <w:tcW w:w="0" w:type="dxa"/>
            <w:vAlign w:val="bottom"/>
          </w:tcPr>
          <w:p>
            <w:pPr>
              <w:spacing w:after="0"/>
              <w:rPr>
                <w:sz w:val="1"/>
                <w:szCs w:val="1"/>
                <w:color w:val="auto"/>
              </w:rPr>
            </w:pPr>
          </w:p>
        </w:tc>
      </w:tr>
      <w:tr>
        <w:trPr>
          <w:trHeight w:val="506"/>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Arial" w:cs="Arial" w:eastAsia="Arial" w:hAnsi="Arial"/>
                <w:sz w:val="18"/>
                <w:szCs w:val="18"/>
                <w:color w:val="auto"/>
              </w:rPr>
              <w:t>Item 10.</w:t>
            </w:r>
          </w:p>
        </w:tc>
        <w:tc>
          <w:tcPr>
            <w:tcW w:w="4420" w:type="dxa"/>
            <w:vAlign w:val="bottom"/>
            <w:tcBorders>
              <w:bottom w:val="single" w:sz="8" w:color="0000FF"/>
            </w:tcBorders>
            <w:gridSpan w:val="14"/>
          </w:tcPr>
          <w:p>
            <w:pPr>
              <w:spacing w:after="0" w:line="189" w:lineRule="exact"/>
              <w:rPr>
                <w:sz w:val="20"/>
                <w:szCs w:val="20"/>
                <w:color w:val="auto"/>
              </w:rPr>
            </w:pPr>
            <w:r>
              <w:rPr>
                <w:rFonts w:ascii="Arial" w:cs="Arial" w:eastAsia="Arial" w:hAnsi="Arial"/>
                <w:sz w:val="18"/>
                <w:szCs w:val="18"/>
                <w:color w:val="0000FF"/>
                <w:w w:val="97"/>
              </w:rPr>
              <w:t>Directors, Executive Officers and Corporate Governance</w:t>
            </w:r>
          </w:p>
        </w:tc>
        <w:tc>
          <w:tcPr>
            <w:tcW w:w="5220" w:type="dxa"/>
            <w:vAlign w:val="bottom"/>
            <w:gridSpan w:val="8"/>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0000FF"/>
            </w:tcBorders>
            <w:gridSpan w:val="3"/>
          </w:tcPr>
          <w:p>
            <w:pPr>
              <w:jc w:val="right"/>
              <w:spacing w:after="0" w:line="189" w:lineRule="exact"/>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11.</w:t>
            </w:r>
          </w:p>
        </w:tc>
        <w:tc>
          <w:tcPr>
            <w:tcW w:w="196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7"/>
              </w:rPr>
              <w:t>Executive Compensation</w:t>
            </w:r>
          </w:p>
        </w:tc>
        <w:tc>
          <w:tcPr>
            <w:tcW w:w="768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205" w:lineRule="exact"/>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12.</w:t>
            </w:r>
          </w:p>
        </w:tc>
        <w:tc>
          <w:tcPr>
            <w:tcW w:w="964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22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205" w:lineRule="exact"/>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13.</w:t>
            </w:r>
          </w:p>
        </w:tc>
        <w:tc>
          <w:tcPr>
            <w:tcW w:w="964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22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205" w:lineRule="exact"/>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14.</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Principal Accountant Fees and Services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102</w:t>
            </w:r>
          </w:p>
        </w:tc>
        <w:tc>
          <w:tcPr>
            <w:tcW w:w="0" w:type="dxa"/>
            <w:vAlign w:val="bottom"/>
          </w:tcPr>
          <w:p>
            <w:pPr>
              <w:spacing w:after="0"/>
              <w:rPr>
                <w:sz w:val="1"/>
                <w:szCs w:val="1"/>
                <w:color w:val="auto"/>
              </w:rPr>
            </w:pPr>
          </w:p>
        </w:tc>
      </w:tr>
      <w:tr>
        <w:trPr>
          <w:trHeight w:val="506"/>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line="189" w:lineRule="exact"/>
              <w:rPr>
                <w:sz w:val="20"/>
                <w:szCs w:val="20"/>
                <w:color w:val="auto"/>
              </w:rPr>
            </w:pPr>
            <w:r>
              <w:rPr>
                <w:rFonts w:ascii="Arial" w:cs="Arial" w:eastAsia="Arial" w:hAnsi="Arial"/>
                <w:sz w:val="18"/>
                <w:szCs w:val="18"/>
                <w:color w:val="auto"/>
              </w:rPr>
              <w:t>Item 15.</w:t>
            </w:r>
          </w:p>
        </w:tc>
        <w:tc>
          <w:tcPr>
            <w:tcW w:w="9640" w:type="dxa"/>
            <w:vAlign w:val="bottom"/>
            <w:tcBorders>
              <w:bottom w:val="single" w:sz="8" w:color="0000FF"/>
            </w:tcBorders>
            <w:gridSpan w:val="22"/>
          </w:tcPr>
          <w:p>
            <w:pPr>
              <w:spacing w:after="0" w:line="189" w:lineRule="exact"/>
              <w:rPr>
                <w:sz w:val="20"/>
                <w:szCs w:val="20"/>
                <w:color w:val="auto"/>
              </w:rPr>
            </w:pPr>
            <w:r>
              <w:rPr>
                <w:rFonts w:ascii="Arial" w:cs="Arial" w:eastAsia="Arial" w:hAnsi="Arial"/>
                <w:sz w:val="18"/>
                <w:szCs w:val="18"/>
                <w:color w:val="0000FF"/>
              </w:rPr>
              <w:t>Exhibits, Financial Statement Schedules</w:t>
            </w:r>
          </w:p>
        </w:tc>
        <w:tc>
          <w:tcPr>
            <w:tcW w:w="220" w:type="dxa"/>
            <w:vAlign w:val="bottom"/>
          </w:tcPr>
          <w:p>
            <w:pPr>
              <w:spacing w:after="0"/>
              <w:rPr>
                <w:sz w:val="16"/>
                <w:szCs w:val="16"/>
                <w:color w:val="auto"/>
              </w:rPr>
            </w:pPr>
          </w:p>
        </w:tc>
        <w:tc>
          <w:tcPr>
            <w:tcW w:w="300" w:type="dxa"/>
            <w:vAlign w:val="bottom"/>
            <w:tcBorders>
              <w:bottom w:val="single" w:sz="8" w:color="0000FF"/>
            </w:tcBorders>
            <w:gridSpan w:val="3"/>
          </w:tcPr>
          <w:p>
            <w:pPr>
              <w:jc w:val="right"/>
              <w:spacing w:after="0" w:line="189" w:lineRule="exact"/>
              <w:rPr>
                <w:sz w:val="20"/>
                <w:szCs w:val="20"/>
                <w:color w:val="auto"/>
              </w:rPr>
            </w:pPr>
            <w:r>
              <w:rPr>
                <w:rFonts w:ascii="Arial" w:cs="Arial" w:eastAsia="Arial" w:hAnsi="Arial"/>
                <w:sz w:val="18"/>
                <w:szCs w:val="18"/>
                <w:color w:val="0000FF"/>
                <w:w w:val="93"/>
              </w:rPr>
              <w:t>103</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16.</w:t>
            </w:r>
          </w:p>
        </w:tc>
        <w:tc>
          <w:tcPr>
            <w:tcW w:w="964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rPr>
              <w:t>Form 10-K Summary</w:t>
            </w:r>
          </w:p>
        </w:tc>
        <w:tc>
          <w:tcPr>
            <w:tcW w:w="22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205" w:lineRule="exact"/>
              <w:rPr>
                <w:sz w:val="20"/>
                <w:szCs w:val="20"/>
                <w:color w:val="auto"/>
              </w:rPr>
            </w:pPr>
            <w:r>
              <w:rPr>
                <w:rFonts w:ascii="Arial" w:cs="Arial" w:eastAsia="Arial" w:hAnsi="Arial"/>
                <w:sz w:val="18"/>
                <w:szCs w:val="18"/>
                <w:color w:val="0000FF"/>
                <w:w w:val="93"/>
              </w:rPr>
              <w:t>105</w:t>
            </w:r>
          </w:p>
        </w:tc>
        <w:tc>
          <w:tcPr>
            <w:tcW w:w="0" w:type="dxa"/>
            <w:vAlign w:val="bottom"/>
          </w:tcPr>
          <w:p>
            <w:pPr>
              <w:spacing w:after="0"/>
              <w:rPr>
                <w:sz w:val="1"/>
                <w:szCs w:val="1"/>
                <w:color w:val="auto"/>
              </w:rPr>
            </w:pPr>
          </w:p>
        </w:tc>
      </w:tr>
      <w:tr>
        <w:trPr>
          <w:trHeight w:val="205"/>
        </w:trPr>
        <w:tc>
          <w:tcPr>
            <w:tcW w:w="1040" w:type="dxa"/>
            <w:vAlign w:val="bottom"/>
          </w:tcPr>
          <w:p>
            <w:pPr>
              <w:spacing w:after="0"/>
              <w:rPr>
                <w:sz w:val="17"/>
                <w:szCs w:val="17"/>
                <w:color w:val="auto"/>
              </w:rPr>
            </w:pP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Signatures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1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28" w:lineRule="exact"/>
        <w:rPr>
          <w:sz w:val="20"/>
          <w:szCs w:val="20"/>
          <w:color w:val="auto"/>
        </w:rPr>
      </w:pPr>
    </w:p>
    <w:p>
      <w:pPr>
        <w:ind w:left="640" w:right="42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 of geopolitical events, including the ongoing conflict between Ukraine and Russia, the regional conflict in the Middle East, and rising tensions between China and Taiwan, and related sanctions, tariffs imposed by the United States or other governments, global economic uncertainty and financial market conditions on our business, results of operations and financial condition, including on our sales and our revenue growth rate;</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58" w:lineRule="exact"/>
        <w:rPr>
          <w:rFonts w:ascii="Arial" w:cs="Arial" w:eastAsia="Arial" w:hAnsi="Arial"/>
          <w:sz w:val="18"/>
          <w:szCs w:val="18"/>
          <w:color w:val="auto"/>
        </w:rPr>
      </w:pPr>
    </w:p>
    <w:p>
      <w:pPr>
        <w:ind w:left="640" w:right="4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technological change, release new products and product features and effectively enhance, innovate and scale our enterprise platform and solutions;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profitability;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and potential acquisitions and integration of complementary businesses and technologies;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problems with the security, integrity, reliability, compatibility and quality of our platform and solutions;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capital requirements and stock performance;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further expand our overall headcount;</w:t>
      </w:r>
    </w:p>
    <w:p>
      <w:pPr>
        <w:spacing w:after="0" w:line="58" w:lineRule="exact"/>
        <w:rPr>
          <w:rFonts w:ascii="Arial" w:cs="Arial" w:eastAsia="Arial" w:hAnsi="Arial"/>
          <w:sz w:val="18"/>
          <w:szCs w:val="18"/>
          <w:color w:val="auto"/>
        </w:rPr>
      </w:pPr>
    </w:p>
    <w:p>
      <w:pPr>
        <w:ind w:left="640" w:right="10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 the impact of securities analysts’ reports on these prices.</w:t>
      </w:r>
    </w:p>
    <w:p>
      <w:pPr>
        <w:spacing w:after="0" w:line="217"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We are a leading provider of exposure management solutions. Exposure management is the evolution of vulnerability management, advancing risk assessment and prioritization across the entire attack surface – from IT infrastructure to cloud environments to critical infrastructure. Tenable unifies security visibility, insight and action across this attack surface, equipping modern organizations to expose and close the cybersecurity gaps that erode business value, reputation and trust.</w:t>
      </w:r>
    </w:p>
    <w:p>
      <w:pPr>
        <w:spacing w:after="0" w:line="180"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Organizations are increasingly accelerating their adoption of public and private cloud infrastructure, implementing internet-facing applications and embracing new identity management systems. This rapid digital transformation is dramatically expanding the modern attack surface and introducing new exposures – cyber risks capable of causing liability, loss and irreparable harm.</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most organizations, the modern attack surface has expanded to include:</w:t>
      </w:r>
    </w:p>
    <w:p>
      <w:pPr>
        <w:spacing w:after="0" w:line="111" w:lineRule="exact"/>
        <w:rPr>
          <w:sz w:val="20"/>
          <w:szCs w:val="20"/>
          <w:color w:val="auto"/>
        </w:rPr>
      </w:pPr>
    </w:p>
    <w:p>
      <w:pPr>
        <w:ind w:left="640" w:right="50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and dynamic multi-cloud environments, which organizations are rapidly adopting even as they face a shortage of cloud security expertise;</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Artificial intelligence, or AI, including AI agents, which are programs that autonomously complete tasks to meet established goals;</w:t>
      </w:r>
    </w:p>
    <w:p>
      <w:pPr>
        <w:spacing w:after="0" w:line="58" w:lineRule="exact"/>
        <w:rPr>
          <w:rFonts w:ascii="Arial" w:cs="Arial" w:eastAsia="Arial" w:hAnsi="Arial"/>
          <w:sz w:val="18"/>
          <w:szCs w:val="18"/>
          <w:color w:val="auto"/>
        </w:rPr>
      </w:pPr>
    </w:p>
    <w:p>
      <w:pPr>
        <w:ind w:left="640" w:right="2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Identity and access management systems used to control machine identities, application programming interfaces, or APIs, and user privileges, which are vulnerable to misconfigurations that can open up attack pathways within an organization;</w:t>
      </w:r>
    </w:p>
    <w:p>
      <w:pPr>
        <w:spacing w:after="0" w:line="4" w:lineRule="exact"/>
        <w:rPr>
          <w:rFonts w:ascii="Arial" w:cs="Arial" w:eastAsia="Arial" w:hAnsi="Arial"/>
          <w:sz w:val="18"/>
          <w:szCs w:val="18"/>
          <w:color w:val="auto"/>
        </w:rPr>
      </w:pPr>
    </w:p>
    <w:p>
      <w:pPr>
        <w:ind w:left="640" w:righ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assortment of operational technology, or OT — such as industrial control systems, or ICS, and supervisory control and data acquisition, or SCADA, systems — which is increasingly internet-facing and is often linked to existing IT systems;</w:t>
      </w:r>
    </w:p>
    <w:p>
      <w:pPr>
        <w:spacing w:after="0" w:line="4" w:lineRule="exact"/>
        <w:rPr>
          <w:rFonts w:ascii="Arial" w:cs="Arial" w:eastAsia="Arial" w:hAnsi="Arial"/>
          <w:sz w:val="18"/>
          <w:szCs w:val="18"/>
          <w:color w:val="auto"/>
        </w:rPr>
      </w:pPr>
    </w:p>
    <w:p>
      <w:pPr>
        <w:ind w:left="640" w:right="50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 devices, including mobile phones and tablets, internet of things, or IoT, devices and other types of “shadow IT” used by employees, often without the knowledge of the IT and security teams;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Virtual machines, microservices, open-source code repositories, containers and other tools used by DevOps teams.</w:t>
      </w:r>
    </w:p>
    <w:p>
      <w:pPr>
        <w:spacing w:after="0" w:line="217" w:lineRule="exact"/>
        <w:rPr>
          <w:sz w:val="20"/>
          <w:szCs w:val="20"/>
          <w:color w:val="auto"/>
        </w:rPr>
      </w:pPr>
    </w:p>
    <w:p>
      <w:pPr>
        <w:ind w:right="460" w:firstLine="318"/>
        <w:spacing w:after="0" w:line="253" w:lineRule="auto"/>
        <w:rPr>
          <w:sz w:val="20"/>
          <w:szCs w:val="20"/>
          <w:color w:val="auto"/>
        </w:rPr>
      </w:pPr>
      <w:r>
        <w:rPr>
          <w:rFonts w:ascii="Arial" w:cs="Arial" w:eastAsia="Arial" w:hAnsi="Arial"/>
          <w:sz w:val="18"/>
          <w:szCs w:val="18"/>
          <w:color w:val="auto"/>
        </w:rPr>
        <w:t>The complexity of the modern attack surface is a key driver behind the growing need for exposure management programs. Scattered products and siloed views have left organizations struggling to hold back threats across a fragmented attack surface. Security teams are overwhelmed by the constant influx of data from the array of point solutions they are using to manage cloud assets, interconnected vulnerabilities, web applications, and identity systems. They are also challenged with effectively analyzing all that data to make informed decisions about which exposures represent the greatest risk to the organization.</w:t>
      </w:r>
    </w:p>
    <w:p>
      <w:pPr>
        <w:spacing w:after="0" w:line="18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Existing point tools cannot adequately address the central challenge of modern security: a deeply divided approach to seeing and reducing cyber risk. We believe an exposure management program can solve three distinct real-world challenges facing cybersecurity professionals and their organizations:</w:t>
      </w:r>
    </w:p>
    <w:p>
      <w:pPr>
        <w:spacing w:after="0" w:line="69"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attack surface isn’t siloed, but security programs often are;</w:t>
      </w:r>
    </w:p>
    <w:p>
      <w:pPr>
        <w:spacing w:after="0" w:line="58" w:lineRule="exact"/>
        <w:rPr>
          <w:rFonts w:ascii="Arial" w:cs="Arial" w:eastAsia="Arial" w:hAnsi="Arial"/>
          <w:sz w:val="18"/>
          <w:szCs w:val="18"/>
          <w:color w:val="auto"/>
        </w:rPr>
      </w:pPr>
    </w:p>
    <w:p>
      <w:pPr>
        <w:ind w:left="640" w:right="68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There’s more data than ever, yet it’s difficult for security professionals to analyze cyber risk context and insights to identify true exposures;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professionals and business leaders lack a common risk language to align and mobilize responses.</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An exposure management program, underpinned by a technology platform such as our Tenable One Exposure Management Platform, or Tenable One, can help address these real-world problems. Successfully implemented, an exposure management platform allows organizations to:</w:t>
      </w:r>
    </w:p>
    <w:p>
      <w:pPr>
        <w:spacing w:after="0" w:line="69"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comprehensive visibility across the modern attack surface;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Bring cyber risk context and insights from across the attack surface together as one;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swift action to eradicate priority cyber exposures and reduce business risk.</w:t>
      </w:r>
    </w:p>
    <w:p>
      <w:pPr>
        <w:spacing w:after="0" w:line="217"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To be effective, an exposure management platform must extend beyond traditional vulnerability management, which concentrates on the discovery and remediation of publicly disclosed Common Vulnerabilities and Exposures, or CVEs. The platform must include information about configuration issues, vulnerabilities and attack paths across a spectrum of assets and technologies — including cloud configurations and deployments, identity solutions, such as Active Directory, and web applications.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Enterprise Platform Offerings</w:t>
      </w:r>
    </w:p>
    <w:p>
      <w:pPr>
        <w:spacing w:after="0" w:line="21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Tenable One is an AI-powered exposure management platform that gives enterprises a single, unified view of risk across all types of assets and attack pathways. The platform combines broad, industry-leading vulnerability coverage, spanning IT assets, cloud resources, containers, web apps and identity systems. Tenable One builds on the speed and breadth of vulnerability coverage from our research team of cybersecurity and data science experts, or Tenable Research, and adds aggregated exposure view analytics, guidance on mitigating attack pathways, centralized asset inventory and patch management that correlates vulnerabilities with remediation actions. It leverages AI, and machine learning, or ML, rapidly analyzing and interpreting vast data sets to pinpoint priority weaknesses and high-risk attack paths, deliver recommendations and automate routine tasks.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Tenable One integrates the following products and tools:</w:t>
      </w:r>
    </w:p>
    <w:p>
      <w:pPr>
        <w:spacing w:after="0" w:line="215" w:lineRule="exact"/>
        <w:rPr>
          <w:sz w:val="20"/>
          <w:szCs w:val="20"/>
          <w:color w:val="auto"/>
        </w:rPr>
      </w:pPr>
    </w:p>
    <w:p>
      <w:pPr>
        <w:ind w:left="640" w:hanging="316"/>
        <w:spacing w:after="0" w:line="25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Tenable Vulnerability Management</w:t>
      </w:r>
      <w:r>
        <w:rPr>
          <w:rFonts w:ascii="Arial" w:cs="Arial" w:eastAsia="Arial" w:hAnsi="Arial"/>
          <w:sz w:val="18"/>
          <w:szCs w:val="18"/>
          <w:color w:val="auto"/>
        </w:rPr>
        <w:t>: Our cloud-delivered software-as-a-service, or SaaS, vulnerability management offering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with a risk-based view of traditional and modern attack surfaces. Tenable Vulnerability Management empowers organizations to know, expose and close their critical vulnerabilities. The solution is designed to find hidden vulnerabilities with continuous, always-on asset discovery and assessment of known and unknown assets–even highly dynamic cloud or remote workforce assets–in an environment. Tenable Vulnerability Management also identifies which vulnerabilities to fix first with automated prioritization that combines vulnerability data, threat intelligence and data science.</w:t>
      </w:r>
    </w:p>
    <w:p>
      <w:pPr>
        <w:spacing w:after="0" w:line="73" w:lineRule="exact"/>
        <w:rPr>
          <w:rFonts w:ascii="Arial" w:cs="Arial" w:eastAsia="Arial" w:hAnsi="Arial"/>
          <w:sz w:val="18"/>
          <w:szCs w:val="18"/>
          <w:color w:val="auto"/>
        </w:rPr>
      </w:pPr>
    </w:p>
    <w:p>
      <w:pPr>
        <w:ind w:left="640" w:right="340" w:hanging="316"/>
        <w:spacing w:after="0" w:line="267"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Tenable Cloud Security</w:t>
      </w:r>
      <w:r>
        <w:rPr>
          <w:rFonts w:ascii="Arial" w:cs="Arial" w:eastAsia="Arial" w:hAnsi="Arial"/>
          <w:sz w:val="17"/>
          <w:szCs w:val="17"/>
          <w:color w:val="auto"/>
        </w:rPr>
        <w:t>: Our cloud security solution that helps organizations reduce risk by rapidly exposing and closing priority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gaps caused by misconfigurations, risky entitlements and vulnerabilities in one powerful cloud native application protection platform (CNAPP). From development to runtime, Tenable Cloud Security continuously analyzes cloud resources to find the most important risks, spot unknown threats and toxic combinations of security issues and deliver actionable insights within minutes. Our cloud infrastructure entitlement management (CIEM) gives users control over access entitlements so they can eradicate exposures caused by human and service identities in the cloud and achieve least-privilege access to cloud resources and data at scale. Data security posture management (DSPM) and AI security posture management (AI-SPM) capabilities enable users to automatically discover, classify and analyze sensitive data risk and protect AI workloads with flexible, agentless scanning.</w:t>
      </w:r>
    </w:p>
    <w:p>
      <w:pPr>
        <w:spacing w:after="0" w:line="62" w:lineRule="exact"/>
        <w:rPr>
          <w:rFonts w:ascii="Arial" w:cs="Arial" w:eastAsia="Arial" w:hAnsi="Arial"/>
          <w:sz w:val="17"/>
          <w:szCs w:val="17"/>
          <w:color w:val="auto"/>
        </w:rPr>
      </w:pPr>
    </w:p>
    <w:p>
      <w:pPr>
        <w:ind w:left="640" w:hanging="316"/>
        <w:spacing w:after="0" w:line="26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Tenable Identity Exposure</w:t>
      </w:r>
      <w:r>
        <w:rPr>
          <w:rFonts w:ascii="Arial" w:cs="Arial" w:eastAsia="Arial" w:hAnsi="Arial"/>
          <w:sz w:val="18"/>
          <w:szCs w:val="18"/>
          <w:color w:val="auto"/>
        </w:rPr>
        <w:t>: Our solution offers end-to-end protection from identity-based threats by unifying identities across Active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Directory, hybrid and Entra ID. Users can find and fix existing weaknesses before they are exploited and detect and respond to ongoing attacks in real time without the need to deploy agents or use privileged accounts.</w:t>
      </w:r>
    </w:p>
    <w:p>
      <w:pPr>
        <w:spacing w:after="0" w:line="66" w:lineRule="exact"/>
        <w:rPr>
          <w:rFonts w:ascii="Arial" w:cs="Arial" w:eastAsia="Arial" w:hAnsi="Arial"/>
          <w:sz w:val="18"/>
          <w:szCs w:val="18"/>
          <w:color w:val="auto"/>
        </w:rPr>
      </w:pPr>
    </w:p>
    <w:p>
      <w:pPr>
        <w:ind w:left="640" w:right="260" w:hanging="316"/>
        <w:spacing w:after="0" w:line="26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Tenable Web App Scanning</w:t>
      </w:r>
      <w:r>
        <w:rPr>
          <w:rFonts w:ascii="Arial" w:cs="Arial" w:eastAsia="Arial" w:hAnsi="Arial"/>
          <w:sz w:val="18"/>
          <w:szCs w:val="18"/>
          <w:color w:val="auto"/>
        </w:rPr>
        <w:t>: Our easy-to-use, comprehensive and automated Vulnerability Scanning for modern web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allows organizations to quickly configure and manage web app scans, enabling them to identify vulnerabilities and prioritize remediation.</w:t>
      </w:r>
    </w:p>
    <w:p>
      <w:pPr>
        <w:spacing w:after="0" w:line="66" w:lineRule="exact"/>
        <w:rPr>
          <w:rFonts w:ascii="Arial" w:cs="Arial" w:eastAsia="Arial" w:hAnsi="Arial"/>
          <w:sz w:val="18"/>
          <w:szCs w:val="18"/>
          <w:color w:val="auto"/>
        </w:rPr>
      </w:pPr>
    </w:p>
    <w:p>
      <w:pPr>
        <w:ind w:left="640" w:right="60" w:hanging="316"/>
        <w:spacing w:after="0" w:line="25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Tenable Lumin Exposure View</w:t>
      </w:r>
      <w:r>
        <w:rPr>
          <w:rFonts w:ascii="Arial" w:cs="Arial" w:eastAsia="Arial" w:hAnsi="Arial"/>
          <w:sz w:val="18"/>
          <w:szCs w:val="18"/>
          <w:color w:val="auto"/>
        </w:rPr>
        <w:t>: Our measurement tool, which leverages our expansive knowledge base of assets and vulnerabilities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coupled with data science insights, to help our customers objectively score, trend and benchmark cyber risk across their organizations, including by business unit or geography, for comparison and best practices. We believe this capability is critical to help security executives effectively translate technical information and communicate cybersecurity risk to a non-technical audience, including the C-suite and the board of directors, to enable them to make better strategic decisions on where to focus investment to maximize cybersecurity risk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right="120" w:hanging="316"/>
        <w:spacing w:after="0" w:line="261" w:lineRule="auto"/>
        <w:tabs>
          <w:tab w:leader="none" w:pos="6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Tenable Attack Surface Management</w:t>
      </w:r>
      <w:r>
        <w:rPr>
          <w:rFonts w:ascii="Arial" w:cs="Arial" w:eastAsia="Arial" w:hAnsi="Arial"/>
          <w:sz w:val="18"/>
          <w:szCs w:val="18"/>
          <w:color w:val="auto"/>
        </w:rPr>
        <w:t>: Our solution continuously maps the internet to deliver comprehensive visibility into internet-facing assets, even those security teams don't know about, so they can assess the cybersecurity posture of their entire external attack surface for a more complete picture of where they may be exposed.</w:t>
      </w:r>
    </w:p>
    <w:p>
      <w:pPr>
        <w:spacing w:after="0" w:line="66" w:lineRule="exact"/>
        <w:rPr>
          <w:rFonts w:ascii="Arial" w:cs="Arial" w:eastAsia="Arial" w:hAnsi="Arial"/>
          <w:sz w:val="18"/>
          <w:szCs w:val="18"/>
          <w:b w:val="1"/>
          <w:bCs w:val="1"/>
          <w:color w:val="auto"/>
        </w:rPr>
      </w:pPr>
    </w:p>
    <w:p>
      <w:pPr>
        <w:ind w:left="640" w:hanging="316"/>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Tenable Security Center</w:t>
      </w:r>
      <w:r>
        <w:rPr>
          <w:rFonts w:ascii="Arial" w:cs="Arial" w:eastAsia="Arial" w:hAnsi="Arial"/>
          <w:sz w:val="18"/>
          <w:szCs w:val="18"/>
          <w:color w:val="auto"/>
        </w:rPr>
        <w:t>: Our on-premises vulnerability management offering that provides a risk-based view of an organization’s IT,</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and compliance posture so organizations can quickly identify, investigate and prioritize their assets and vulnerabilities based on risk assessment and predictive analytics, and provide insightful remediation guidance.</w:t>
      </w:r>
    </w:p>
    <w:p>
      <w:pPr>
        <w:spacing w:after="0" w:line="66" w:lineRule="exact"/>
        <w:rPr>
          <w:rFonts w:ascii="Arial" w:cs="Arial" w:eastAsia="Arial" w:hAnsi="Arial"/>
          <w:sz w:val="18"/>
          <w:szCs w:val="18"/>
          <w:color w:val="auto"/>
        </w:rPr>
      </w:pPr>
    </w:p>
    <w:p>
      <w:pPr>
        <w:ind w:left="640" w:right="560" w:hanging="316"/>
        <w:spacing w:after="0" w:line="307" w:lineRule="auto"/>
        <w:tabs>
          <w:tab w:leader="none" w:pos="63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Tenable OT Security</w:t>
      </w:r>
      <w:r>
        <w:rPr>
          <w:rFonts w:ascii="Arial" w:cs="Arial" w:eastAsia="Arial" w:hAnsi="Arial"/>
          <w:sz w:val="17"/>
          <w:szCs w:val="17"/>
          <w:color w:val="auto"/>
        </w:rPr>
        <w:t>: Our unified security solution for converged OT/IoT environments provides threat detection, asset tracking,</w:t>
      </w:r>
      <w:r>
        <w:rPr>
          <w:rFonts w:ascii="Arial" w:cs="Arial" w:eastAsia="Arial" w:hAnsi="Arial"/>
          <w:sz w:val="17"/>
          <w:szCs w:val="17"/>
          <w:b w:val="1"/>
          <w:bCs w:val="1"/>
          <w:color w:val="auto"/>
        </w:rPr>
        <w:t xml:space="preserve"> </w:t>
      </w:r>
      <w:r>
        <w:rPr>
          <w:rFonts w:ascii="Arial" w:cs="Arial" w:eastAsia="Arial" w:hAnsi="Arial"/>
          <w:sz w:val="17"/>
          <w:szCs w:val="17"/>
          <w:color w:val="auto"/>
        </w:rPr>
        <w:t>vulnerability management, and configuration control capabilities to protect OT environments, including industrial networks.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Nessus Solutions</w:t>
      </w:r>
    </w:p>
    <w:p>
      <w:pPr>
        <w:spacing w:after="0" w:line="21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Nessus</w:t>
      </w:r>
      <w:r>
        <w:rPr>
          <w:rFonts w:ascii="Arial" w:cs="Arial" w:eastAsia="Arial" w:hAnsi="Arial"/>
          <w:sz w:val="18"/>
          <w:szCs w:val="18"/>
          <w:color w:val="auto"/>
        </w:rPr>
        <w:t xml:space="preserve"> product line is one of the most widely deployed vulnerability assessment solutions in the cybersecurity industry and underpins our enterprise platform. Since the introduction of Nessus in 1998, we have built and nurtured an extensive community of Nessus users. We continue to cultivate knowledge and affinity within this user base, which, when combined with our enterprise customers and Tenable Research, creates powerful network effects in the form of a continuous feedback loop of data and insights. We use these learnings to expand our assessment capabilities and coverage, continually optimize our solutions and inform our product strategy and innovation priorities. We believe these data and insights will also fuel and strengthen our benchmarking capabilities over time.</w:t>
      </w:r>
    </w:p>
    <w:p>
      <w:pPr>
        <w:spacing w:after="0" w:line="180"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b w:val="1"/>
          <w:bCs w:val="1"/>
          <w:color w:val="auto"/>
        </w:rPr>
        <w:t xml:space="preserve">Nessus Expert </w:t>
      </w:r>
      <w:r>
        <w:rPr>
          <w:rFonts w:ascii="Arial" w:cs="Arial" w:eastAsia="Arial" w:hAnsi="Arial"/>
          <w:sz w:val="17"/>
          <w:szCs w:val="17"/>
          <w:color w:val="auto"/>
        </w:rPr>
        <w:t>adds Web App scanning capabilities, Infrastructure as Code, or IaC, scanning along with external attack surface discovery</w:t>
      </w:r>
      <w:r>
        <w:rPr>
          <w:rFonts w:ascii="Arial" w:cs="Arial" w:eastAsia="Arial" w:hAnsi="Arial"/>
          <w:sz w:val="17"/>
          <w:szCs w:val="17"/>
          <w:b w:val="1"/>
          <w:bCs w:val="1"/>
          <w:color w:val="auto"/>
        </w:rPr>
        <w:t xml:space="preserve"> </w:t>
      </w:r>
      <w:r>
        <w:rPr>
          <w:rFonts w:ascii="Arial" w:cs="Arial" w:eastAsia="Arial" w:hAnsi="Arial"/>
          <w:sz w:val="17"/>
          <w:szCs w:val="17"/>
          <w:color w:val="auto"/>
        </w:rPr>
        <w:t>capabilities to identify all domains and subdomains that make up an organization’s external-facing attack surface. Nessus Expert enables users to programmatically detect cloud infrastructure misconfigurations and vulnerabilities in the design and build phases of the software development lifecycle and continuously discover and inventory an organization's internet-facing assets from an attacker's perspective.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Technology Ecosystem</w:t>
      </w:r>
    </w:p>
    <w:p>
      <w:pPr>
        <w:spacing w:after="0" w:line="219" w:lineRule="exact"/>
        <w:rPr>
          <w:sz w:val="20"/>
          <w:szCs w:val="20"/>
          <w:color w:val="auto"/>
        </w:rPr>
      </w:pPr>
    </w:p>
    <w:p>
      <w:pPr>
        <w:ind w:right="120" w:firstLine="318"/>
        <w:spacing w:after="0" w:line="275" w:lineRule="auto"/>
        <w:rPr>
          <w:sz w:val="20"/>
          <w:szCs w:val="20"/>
          <w:color w:val="auto"/>
        </w:rPr>
      </w:pPr>
      <w:r>
        <w:rPr>
          <w:rFonts w:ascii="Arial" w:cs="Arial" w:eastAsia="Arial" w:hAnsi="Arial"/>
          <w:sz w:val="17"/>
          <w:szCs w:val="17"/>
          <w:color w:val="auto"/>
        </w:rPr>
        <w:t>We have partnered and/or integrated with market leading technology companies to pioneer the industry’s first exposure management ecosystem to help organizations build resilient cybersecurity programs. Our ecosystem consists of a variety of third-party data import sources integrated into our platform offerings, as well as export of our data out to third-party IT systems. Our technology ecosystem connects disparate solutions and data to automate processes and accelerate an organization’s ability to understand, manage and reduce its cyber risk.</w:t>
      </w:r>
    </w:p>
    <w:p>
      <w:pPr>
        <w:spacing w:after="0" w:line="164" w:lineRule="exact"/>
        <w:rPr>
          <w:sz w:val="20"/>
          <w:szCs w:val="20"/>
          <w:color w:val="auto"/>
        </w:rPr>
      </w:pPr>
    </w:p>
    <w:p>
      <w:pPr>
        <w:ind w:right="360" w:firstLine="318"/>
        <w:spacing w:after="0" w:line="260" w:lineRule="auto"/>
        <w:rPr>
          <w:sz w:val="20"/>
          <w:szCs w:val="20"/>
          <w:color w:val="auto"/>
        </w:rPr>
      </w:pPr>
      <w:r>
        <w:rPr>
          <w:rFonts w:ascii="Arial" w:cs="Arial" w:eastAsia="Arial" w:hAnsi="Arial"/>
          <w:sz w:val="18"/>
          <w:szCs w:val="18"/>
          <w:color w:val="auto"/>
        </w:rPr>
        <w:t>We integrate a variety of third-party data sources, including ticketing, configuration management databases, or CMDBs, and systems management, into our platform to augment our native data collection and help with analysis and remediation prioritization. Furthermore, our data is exported out to enrich third-party IT management and security systems.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Growth Strategy</w:t>
      </w:r>
    </w:p>
    <w:p>
      <w:pPr>
        <w:spacing w:after="0" w:line="219" w:lineRule="exact"/>
        <w:rPr>
          <w:sz w:val="20"/>
          <w:szCs w:val="20"/>
          <w:color w:val="auto"/>
        </w:rPr>
      </w:pPr>
    </w:p>
    <w:p>
      <w:pPr>
        <w:ind w:right="20" w:firstLine="318"/>
        <w:spacing w:after="0" w:line="304" w:lineRule="auto"/>
        <w:rPr>
          <w:sz w:val="20"/>
          <w:szCs w:val="20"/>
          <w:color w:val="auto"/>
        </w:rPr>
      </w:pPr>
      <w:r>
        <w:rPr>
          <w:rFonts w:ascii="Arial" w:cs="Arial" w:eastAsia="Arial" w:hAnsi="Arial"/>
          <w:sz w:val="17"/>
          <w:szCs w:val="17"/>
          <w:color w:val="auto"/>
        </w:rPr>
        <w:t>Our objectives are to expand our market leadership in exposure management and to scale our business by capturing our large market opportunities in cloud, identity and OT, while expanding our operating and free cash flow margins. To accomplish these objectives, we intend to:</w:t>
      </w:r>
    </w:p>
    <w:p>
      <w:pPr>
        <w:spacing w:after="0" w:line="35" w:lineRule="exact"/>
        <w:rPr>
          <w:sz w:val="20"/>
          <w:szCs w:val="20"/>
          <w:color w:val="auto"/>
        </w:rPr>
      </w:pPr>
    </w:p>
    <w:p>
      <w:pPr>
        <w:ind w:left="640" w:right="120" w:hanging="316"/>
        <w:spacing w:after="0" w:line="25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acquire new enterprise platform customers. </w:t>
      </w:r>
      <w:r>
        <w:rPr>
          <w:rFonts w:ascii="Arial" w:cs="Arial" w:eastAsia="Arial" w:hAnsi="Arial"/>
          <w:sz w:val="18"/>
          <w:szCs w:val="18"/>
          <w:color w:val="auto"/>
        </w:rPr>
        <w:t>We believe there is a substantial opportunity to increase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platform offerings. We have experienced growth in new enterprise platform customers due to expanded product capabilities and investments in sales and marketing. We intend to continue to aggressively pursue new domestic and international customers by adding sales capacity and leveraging our network of channel partnerships around the world.</w:t>
      </w:r>
    </w:p>
    <w:p>
      <w:pPr>
        <w:spacing w:after="0" w:line="74"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Expand asset coverage within our customer base</w:t>
      </w:r>
      <w:r>
        <w:rPr>
          <w:rFonts w:ascii="Arial" w:cs="Arial" w:eastAsia="Arial" w:hAnsi="Arial"/>
          <w:sz w:val="18"/>
          <w:szCs w:val="18"/>
          <w:color w:val="auto"/>
        </w:rPr>
        <w:t>. We believe we have a significant opportunity to expand our relationships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customers by targeting additional teams, business units or geographies, pursuing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right="760"/>
        <w:spacing w:after="0" w:line="274" w:lineRule="auto"/>
        <w:rPr>
          <w:sz w:val="20"/>
          <w:szCs w:val="20"/>
          <w:color w:val="auto"/>
        </w:rPr>
      </w:pPr>
      <w:r>
        <w:rPr>
          <w:rFonts w:ascii="Arial" w:cs="Arial" w:eastAsia="Arial" w:hAnsi="Arial"/>
          <w:sz w:val="18"/>
          <w:szCs w:val="18"/>
          <w:color w:val="auto"/>
        </w:rPr>
        <w:t>broad enterprise deployments and generally expanding our coverage of their network-connected assets and cross-selling new applications and solutions.</w:t>
      </w:r>
    </w:p>
    <w:p>
      <w:pPr>
        <w:spacing w:after="0" w:line="57" w:lineRule="exact"/>
        <w:rPr>
          <w:sz w:val="20"/>
          <w:szCs w:val="20"/>
          <w:color w:val="auto"/>
        </w:rPr>
      </w:pPr>
    </w:p>
    <w:p>
      <w:pPr>
        <w:ind w:left="640" w:right="100" w:hanging="316"/>
        <w:spacing w:after="0" w:line="25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technology platform</w:t>
      </w:r>
      <w:r>
        <w:rPr>
          <w:rFonts w:ascii="Arial" w:cs="Arial" w:eastAsia="Arial" w:hAnsi="Arial"/>
          <w:sz w:val="18"/>
          <w:szCs w:val="18"/>
          <w:color w:val="auto"/>
        </w:rPr>
        <w:t>. We intend to continue to innovate, develop and broaden our exposure and traditional vulnerability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solutions, including expanding the coverage of emerging attack surfaces and asset types and the addition of analytical capabilities, to help our customers measure and manage their cyber exposure. As we collect more data and ingest more data from third-party sources, we believe our data set will become even more valuable over time, which will allow us to continue to develop new analytical products and capabilities to our existing product suite over time.</w:t>
      </w:r>
    </w:p>
    <w:p>
      <w:pPr>
        <w:spacing w:after="0" w:line="75"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Explore acquisition opportunities</w:t>
      </w:r>
      <w:r>
        <w:rPr>
          <w:rFonts w:ascii="Arial" w:cs="Arial" w:eastAsia="Arial" w:hAnsi="Arial"/>
          <w:sz w:val="18"/>
          <w:szCs w:val="18"/>
          <w:color w:val="auto"/>
        </w:rPr>
        <w:t>. We intend to acquire other businesses, technology and/or development personnel that will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enhance the functionality of our platform offerings.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Customers</w:t>
      </w:r>
    </w:p>
    <w:p>
      <w:pPr>
        <w:spacing w:after="0" w:line="219"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We sell and market our enterprise platform offerings through our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175"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Our customers are located in over 170 countries and include organizations of all sizes and span a wide range of industries, including manufacturing, energy and industrials; technology, media and telecommunications; banking, insurance and finance; government, education and non-profit; healthcare; and retail and consumer.</w:t>
      </w:r>
    </w:p>
    <w:p>
      <w:pPr>
        <w:spacing w:after="0" w:line="175"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At December 31, 2024, we had approximately 44,000 customers. At December 31, 2024 our customers included approximately 65% of the Fortune 500 and approximately 50% of the Global 2000 and large government agencies. In 2024, 2023 and 2022, no single customer represented more than 2% of our revenue.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21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sales strategy employs both a direct-touch approach through our sales force and a low-touch approach through sales closed by our channel partners and on our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enterprise platform customers.</w:t>
      </w:r>
    </w:p>
    <w:p>
      <w:pPr>
        <w:spacing w:after="0" w:line="180" w:lineRule="exact"/>
        <w:rPr>
          <w:sz w:val="20"/>
          <w:szCs w:val="20"/>
          <w:color w:val="auto"/>
        </w:rPr>
      </w:pPr>
    </w:p>
    <w:p>
      <w:pPr>
        <w:ind w:right="280" w:firstLine="318"/>
        <w:spacing w:after="0" w:line="304" w:lineRule="auto"/>
        <w:rPr>
          <w:sz w:val="20"/>
          <w:szCs w:val="20"/>
          <w:color w:val="auto"/>
        </w:rPr>
      </w:pPr>
      <w:r>
        <w:rPr>
          <w:rFonts w:ascii="Arial" w:cs="Arial" w:eastAsia="Arial" w:hAnsi="Arial"/>
          <w:sz w:val="17"/>
          <w:szCs w:val="17"/>
          <w:color w:val="auto"/>
        </w:rPr>
        <w:t>We sell to organizations of all sizes across a broad range of industries, with a specific focus on enterprise accounts. Our sales team is divided by customer size and geography, including the Americas; Europe, the Middle East and Africa, or EMEA; and Asia Pacific and Japan.</w:t>
      </w:r>
    </w:p>
    <w:p>
      <w:pPr>
        <w:spacing w:after="0" w:line="141"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spacing w:after="0" w:line="69" w:lineRule="exact"/>
        <w:rPr>
          <w:sz w:val="20"/>
          <w:szCs w:val="20"/>
          <w:color w:val="auto"/>
        </w:rPr>
      </w:pPr>
    </w:p>
    <w:p>
      <w:pPr>
        <w:ind w:right="180" w:firstLine="318"/>
        <w:spacing w:after="0" w:line="266" w:lineRule="auto"/>
        <w:rPr>
          <w:sz w:val="20"/>
          <w:szCs w:val="20"/>
          <w:color w:val="auto"/>
        </w:rPr>
      </w:pPr>
      <w:r>
        <w:rPr>
          <w:rFonts w:ascii="Arial" w:cs="Arial" w:eastAsia="Arial" w:hAnsi="Arial"/>
          <w:sz w:val="17"/>
          <w:szCs w:val="17"/>
          <w:color w:val="auto"/>
        </w:rPr>
        <w:t>Our marketing initiatives cultivate brand awareness and leverage our track record of innovation in exposure management to expand into new markets, such as cloud security. We are focused on building demand across all segments with a specific emphasis on our enterprise customers and delivering tailored marketing programs for security executives, functional managers, security practitioners, managed service providers and consultants. Our marketing efforts are also designed to establish the Tenable brand as a thought leader and trusted resource of credible educational information and original research. We provide a variety of educational resources for cybersecurity practitioners and leaders, as well as cloud security teams, DevOps teams, OT practitioners and identity and access management practitioners, including a community forum where customers can ask questions of our experts and their peers. We execute marketing programs targeted at new customer acquisition, customer retention and cross-selling and up-selling of products across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Research and Development</w:t>
      </w:r>
    </w:p>
    <w:p>
      <w:pPr>
        <w:spacing w:after="0" w:line="219" w:lineRule="exact"/>
        <w:rPr>
          <w:sz w:val="20"/>
          <w:szCs w:val="20"/>
          <w:color w:val="auto"/>
        </w:rPr>
      </w:pPr>
    </w:p>
    <w:p>
      <w:pPr>
        <w:jc w:val="both"/>
        <w:ind w:right="300" w:firstLine="318"/>
        <w:spacing w:after="0" w:line="260" w:lineRule="auto"/>
        <w:rPr>
          <w:sz w:val="20"/>
          <w:szCs w:val="20"/>
          <w:color w:val="auto"/>
        </w:rPr>
      </w:pPr>
      <w:r>
        <w:rPr>
          <w:rFonts w:ascii="Arial" w:cs="Arial" w:eastAsia="Arial" w:hAnsi="Arial"/>
          <w:sz w:val="18"/>
          <w:szCs w:val="18"/>
          <w:color w:val="auto"/>
        </w:rPr>
        <w:t>We continue to invest substantial resources in research and development to enhance our platform offerings by developing new features, functionality, and applications. Our engineering expertise combines extensive security product development experience with individuals who possess deep cloud and user interface design backgrounds.</w:t>
      </w:r>
    </w:p>
    <w:p>
      <w:pPr>
        <w:spacing w:after="0" w:line="175"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Our Tenable Research team is staffed by cybersecurity, cloud and data science experts who deliver exposure management intelligence, data science insights, alerts and security advisories. Our Tenable Research team has developed AI-based research tools to help improve efficiency and effectiveness in processes such as reverse engineering, code debugging, web app security and visibility into cloud-based tools. Frequent updates from Tenable Research ensure the latest vulnerability checks, zero-day research, and configuration benchmarks are available within our exposure management solutions.</w:t>
      </w:r>
    </w:p>
    <w:p>
      <w:pPr>
        <w:spacing w:after="0" w:line="181" w:lineRule="exact"/>
        <w:rPr>
          <w:sz w:val="20"/>
          <w:szCs w:val="20"/>
          <w:color w:val="auto"/>
        </w:rPr>
      </w:pPr>
    </w:p>
    <w:p>
      <w:pPr>
        <w:ind w:right="680" w:firstLine="318"/>
        <w:spacing w:after="0" w:line="274" w:lineRule="auto"/>
        <w:rPr>
          <w:sz w:val="20"/>
          <w:szCs w:val="20"/>
          <w:color w:val="auto"/>
        </w:rPr>
      </w:pPr>
      <w:r>
        <w:rPr>
          <w:rFonts w:ascii="Arial" w:cs="Arial" w:eastAsia="Arial" w:hAnsi="Arial"/>
          <w:sz w:val="18"/>
          <w:szCs w:val="18"/>
          <w:color w:val="auto"/>
        </w:rPr>
        <w:t>We believe ongoing and timely development of new products and features is imperative to maintaining our competitive position. We continue to invest in development of our solutions across our global research and development team.</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Backlog</w:t>
      </w:r>
    </w:p>
    <w:p>
      <w:pPr>
        <w:spacing w:after="0" w:line="219"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We define backlog as contractually committed orders to be invoiced under our existing agreements that are not included in deferred revenue on our consolidated balance sheets. We expect the amount of backlog to change from period to period due to the timing of billings for our solutions and professional services. At December 31, 2024 and 2023, we had backlog of $ 33.2 million and $23.4 million, respectively. We expect the majority of the backlog at December 31, 2024 to be invoiced within the following 12 months.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219"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vulnerability assessment capabilities, including CrowdStrike; public cloud vendors and other companies, such as Palo Alto Networks and Wiz, that offer solutions for cloud security (private, public and hybrid cloud); and providers of point solutions that compete with some of the features present in our solutions. Many organizations also choose to build their own solutions in-house, often using open-source code rather than purchasing external solutions, and we compete against these internally-developed efforts as well.</w:t>
      </w:r>
    </w:p>
    <w:p>
      <w:pPr>
        <w:spacing w:after="0" w:line="190"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 significantly greater resources than we do. In addition, as our market grows and rapidly changes, we expect it will continue to attract new competitors, including companies that are larger and more established than us and smaller emerging companies, which could introduce new products and services.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Intellectual Property</w:t>
      </w:r>
    </w:p>
    <w:p>
      <w:pPr>
        <w:spacing w:after="0" w:line="219" w:lineRule="exact"/>
        <w:rPr>
          <w:sz w:val="20"/>
          <w:szCs w:val="20"/>
          <w:color w:val="auto"/>
        </w:rPr>
      </w:pPr>
    </w:p>
    <w:p>
      <w:pPr>
        <w:jc w:val="both"/>
        <w:ind w:right="380" w:firstLine="318"/>
        <w:spacing w:after="0" w:line="260" w:lineRule="auto"/>
        <w:rPr>
          <w:sz w:val="20"/>
          <w:szCs w:val="20"/>
          <w:color w:val="auto"/>
        </w:rPr>
      </w:pPr>
      <w:r>
        <w:rPr>
          <w:rFonts w:ascii="Arial" w:cs="Arial" w:eastAsia="Arial" w:hAnsi="Arial"/>
          <w:sz w:val="18"/>
          <w:szCs w:val="18"/>
          <w:color w:val="auto"/>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spacing w:after="0" w:line="175"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At December 31, 2024, we had 47 issued patents and 22 patent applications pending in the United States. Our issued patents expire between 2027 and 2042 and cover our network scanning, monitoring and analysis technologies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80"/>
        <w:spacing w:after="0" w:line="274" w:lineRule="auto"/>
        <w:rPr>
          <w:sz w:val="20"/>
          <w:szCs w:val="20"/>
          <w:color w:val="auto"/>
        </w:rPr>
      </w:pPr>
      <w:r>
        <w:rPr>
          <w:rFonts w:ascii="Arial" w:cs="Arial" w:eastAsia="Arial" w:hAnsi="Arial"/>
          <w:sz w:val="18"/>
          <w:szCs w:val="18"/>
          <w:color w:val="auto"/>
        </w:rPr>
        <w:t>additional features of our platform offerings. At December 31, 2024, we had 18 registered trademarks in the United States. We view our copyrights, trade secrets and know-how as a significant component of our intellectual property assets.</w:t>
      </w:r>
    </w:p>
    <w:p>
      <w:pPr>
        <w:spacing w:after="0" w:line="163" w:lineRule="exact"/>
        <w:rPr>
          <w:sz w:val="20"/>
          <w:szCs w:val="20"/>
          <w:color w:val="auto"/>
        </w:rPr>
      </w:pPr>
    </w:p>
    <w:p>
      <w:pPr>
        <w:ind w:right="320" w:firstLine="318"/>
        <w:spacing w:after="0" w:line="260" w:lineRule="auto"/>
        <w:rPr>
          <w:sz w:val="20"/>
          <w:szCs w:val="20"/>
          <w:color w:val="auto"/>
        </w:rPr>
      </w:pPr>
      <w:r>
        <w:rPr>
          <w:rFonts w:ascii="Arial" w:cs="Arial" w:eastAsia="Arial" w:hAnsi="Arial"/>
          <w:sz w:val="18"/>
          <w:szCs w:val="18"/>
          <w:color w:val="auto"/>
        </w:rPr>
        <w:t>We also license certain software from third parties for integration into our solutions, including open source software and other software available on commercially reasonable terms. We cannot assure you that such third parties will maintain such software or continue to make it available.</w:t>
      </w:r>
    </w:p>
    <w:p>
      <w:pPr>
        <w:spacing w:after="0" w:line="175" w:lineRule="exact"/>
        <w:rPr>
          <w:sz w:val="20"/>
          <w:szCs w:val="20"/>
          <w:color w:val="auto"/>
        </w:rPr>
      </w:pPr>
    </w:p>
    <w:p>
      <w:pPr>
        <w:ind w:right="140" w:firstLine="318"/>
        <w:spacing w:after="0" w:line="269" w:lineRule="auto"/>
        <w:rPr>
          <w:sz w:val="20"/>
          <w:szCs w:val="20"/>
          <w:color w:val="auto"/>
        </w:rPr>
      </w:pPr>
      <w:r>
        <w:rPr>
          <w:rFonts w:ascii="Arial" w:cs="Arial" w:eastAsia="Arial" w:hAnsi="Arial"/>
          <w:sz w:val="17"/>
          <w:szCs w:val="17"/>
          <w:color w:val="auto"/>
        </w:rPr>
        <w:t>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 intellectual property rights, licenses and confidentiality and invention assignment agreements, unauthorized parties may still attempt to copy, reverse engineer, misappropriate or otherwise obtain and use our software and technology. In addition, we intend to continue to expand our international operations, and effective patent, copyright, trademark and trade secret protection may not be available or may be limited in foreign countries.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Government Regulation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Various federal, state and foreign legislative and regulatory bodies have legislation pending that could affect our business.</w:t>
      </w:r>
    </w:p>
    <w:p>
      <w:pPr>
        <w:spacing w:after="0" w:line="217"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In the ordinary course of our business, we process personal information.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as amended by the California Privacy Rights Act of 2020, or, collectively, the CCPA, the Colorado Privacy Act, Virginia’s Consumer Data Protection Act, the Connecticut Privacy Act, the Utah Consumer Privacy Act and similar U.S. state comprehensive privacy laws, the European Union’s General Data Protection Regulation 2016/679, or EU GDPR, the EU GDPR as it forms part of the United Kingdom law by virtue of section 3 of the European Union (Withdrawal) Act of 2018, or UK GDPR, and the ePrivacy Directive.</w:t>
      </w:r>
    </w:p>
    <w:p>
      <w:pPr>
        <w:spacing w:after="0" w:line="174" w:lineRule="exact"/>
        <w:rPr>
          <w:sz w:val="20"/>
          <w:szCs w:val="20"/>
          <w:color w:val="auto"/>
        </w:rPr>
      </w:pPr>
    </w:p>
    <w:p>
      <w:pPr>
        <w:ind w:right="160" w:firstLine="318"/>
        <w:spacing w:after="0" w:line="253" w:lineRule="auto"/>
        <w:rPr>
          <w:sz w:val="20"/>
          <w:szCs w:val="20"/>
          <w:color w:val="auto"/>
        </w:rPr>
      </w:pPr>
      <w:r>
        <w:rPr>
          <w:rFonts w:ascii="Arial" w:cs="Arial" w:eastAsia="Arial" w:hAnsi="Arial"/>
          <w:sz w:val="18"/>
          <w:szCs w:val="18"/>
          <w:color w:val="auto"/>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These laws prohibit or restrict the export of our products and services to certain countries, regions, governments, entities or persons subject to trade restrictions. For more information on the potential impacts of government regulations affecting our business, see Risk Factors included under Part I, Item 1A.</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Human Capital</w:t>
      </w:r>
    </w:p>
    <w:p>
      <w:pPr>
        <w:spacing w:after="0" w:line="219"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At December 31, 2024, we had 1,872 employees, including 854 employees located outside of the United States. None of our U.S. employees are represented by a labor union or covered by a collective bargaining agreement. Certain international employees are subject to collective bargaining agreements in connection with local labor laws. We have not experienced any work stoppages, and we consider our relations with our employees to be good.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uphold a core set of values for our entire global workforce:</w:t>
      </w:r>
    </w:p>
    <w:p>
      <w:pPr>
        <w:spacing w:after="0" w:line="111" w:lineRule="exact"/>
        <w:rPr>
          <w:sz w:val="20"/>
          <w:szCs w:val="20"/>
          <w:color w:val="auto"/>
        </w:rPr>
      </w:pPr>
    </w:p>
    <w:p>
      <w:pPr>
        <w:ind w:left="640" w:right="300" w:hanging="316"/>
        <w:spacing w:after="0" w:line="27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Tenable: </w:t>
      </w:r>
      <w:r>
        <w:rPr>
          <w:rFonts w:ascii="Arial" w:cs="Arial" w:eastAsia="Arial" w:hAnsi="Arial"/>
          <w:sz w:val="18"/>
          <w:szCs w:val="18"/>
          <w:color w:val="auto"/>
        </w:rPr>
        <w:t>We work together and we win together. We are part of one Tenable team - employees, customers, partners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stakeholders.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Results: </w:t>
      </w:r>
      <w:r>
        <w:rPr>
          <w:rFonts w:ascii="Arial" w:cs="Arial" w:eastAsia="Arial" w:hAnsi="Arial"/>
          <w:sz w:val="18"/>
          <w:szCs w:val="18"/>
          <w:color w:val="auto"/>
        </w:rPr>
        <w:t>We set high goals, take bold risks, measure honestly and deliver results that exceed expectations.</w:t>
      </w:r>
    </w:p>
    <w:p>
      <w:pPr>
        <w:spacing w:after="0" w:line="58" w:lineRule="exact"/>
        <w:rPr>
          <w:rFonts w:ascii="Arial" w:cs="Arial" w:eastAsia="Arial" w:hAnsi="Arial"/>
          <w:sz w:val="18"/>
          <w:szCs w:val="18"/>
          <w:color w:val="auto"/>
        </w:rPr>
      </w:pPr>
    </w:p>
    <w:p>
      <w:pPr>
        <w:ind w:left="640" w:right="240" w:hanging="316"/>
        <w:spacing w:after="0" w:line="27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Care: </w:t>
      </w:r>
      <w:r>
        <w:rPr>
          <w:rFonts w:ascii="Arial" w:cs="Arial" w:eastAsia="Arial" w:hAnsi="Arial"/>
          <w:sz w:val="18"/>
          <w:szCs w:val="18"/>
          <w:color w:val="auto"/>
        </w:rPr>
        <w:t>We are committed to our work, our customers, our colleagues and our communities. We speak candidly and always do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thing.</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What We Do Matters: </w:t>
      </w:r>
      <w:r>
        <w:rPr>
          <w:rFonts w:ascii="Arial" w:cs="Arial" w:eastAsia="Arial" w:hAnsi="Arial"/>
          <w:sz w:val="18"/>
          <w:szCs w:val="18"/>
          <w:color w:val="auto"/>
        </w:rPr>
        <w:t>The work that we do makes a difference in this world.</w:t>
      </w:r>
    </w:p>
    <w:p>
      <w:pPr>
        <w:spacing w:after="0" w:line="21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Our key human capital objectives are to attract, retain, engage, reward and develop our highly talented existing and future employees, while cultivating an inclusive workforce and culture to achieve exceptional business results. We strive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be a career destination where employees from all backgrounds are welcome and empowered, are treated with fairness and respect, can make a difference, and have the opportunity to grow.</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Benefits and Talent Development</w:t>
      </w:r>
    </w:p>
    <w:p>
      <w:pPr>
        <w:spacing w:after="0" w:line="217"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We provide robust compensation and benefits packages to attract and retain our employees. We incentivize our employees by aligning a portion of their compensation with the overall success of our business. In addition to base salary, our total rewards packages include annual bonuses, equity awards, an employee stock purchase plan, retirement plans, and health and wellness benefits. Equity awards of restricted stock units that vest over time are granted to new hires and to most employees on an annual basis. Eligible employees can participate in our employee stock purchase plan, in which employees may contribute a percentage of their compensation to purchase shares of our common stock at a discount. Our health and wellness benefits include medical and life insurance, paid time off, family leave, and employee assistance programs. We are committed to a structured hybrid workplace strategy which both allows flexibility and recognizes the value of in-person collaboration and community.</w:t>
      </w:r>
    </w:p>
    <w:p>
      <w:pPr>
        <w:spacing w:after="0" w:line="190" w:lineRule="exact"/>
        <w:rPr>
          <w:sz w:val="20"/>
          <w:szCs w:val="20"/>
          <w:color w:val="auto"/>
        </w:rPr>
      </w:pPr>
    </w:p>
    <w:p>
      <w:pPr>
        <w:ind w:right="460" w:firstLine="318"/>
        <w:spacing w:after="0" w:line="260" w:lineRule="auto"/>
        <w:rPr>
          <w:sz w:val="20"/>
          <w:szCs w:val="20"/>
          <w:color w:val="auto"/>
        </w:rPr>
      </w:pPr>
      <w:r>
        <w:rPr>
          <w:rFonts w:ascii="Arial" w:cs="Arial" w:eastAsia="Arial" w:hAnsi="Arial"/>
          <w:sz w:val="18"/>
          <w:szCs w:val="18"/>
          <w:color w:val="auto"/>
        </w:rPr>
        <w:t>We promote and support employee development and organizational effectiveness by providing high-quality learning and development programs as well as tuition assistance programs. These programs are designed to meet individual, team and organizational needs and objectives, enabling our workforce to grow professionally and increase their impact to the business.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Engagement and Inclusion</w:t>
      </w:r>
    </w:p>
    <w:p>
      <w:pPr>
        <w:spacing w:after="0" w:line="217" w:lineRule="exact"/>
        <w:rPr>
          <w:sz w:val="20"/>
          <w:szCs w:val="20"/>
          <w:color w:val="auto"/>
        </w:rPr>
      </w:pPr>
    </w:p>
    <w:p>
      <w:pPr>
        <w:ind w:right="440" w:firstLine="318"/>
        <w:spacing w:after="0" w:line="274" w:lineRule="auto"/>
        <w:rPr>
          <w:sz w:val="20"/>
          <w:szCs w:val="20"/>
          <w:color w:val="auto"/>
        </w:rPr>
      </w:pPr>
      <w:r>
        <w:rPr>
          <w:rFonts w:ascii="Arial" w:cs="Arial" w:eastAsia="Arial" w:hAnsi="Arial"/>
          <w:sz w:val="18"/>
          <w:szCs w:val="18"/>
          <w:color w:val="auto"/>
        </w:rPr>
        <w:t>Engagement and inclusion at Tenable is a catalyst for cultivating a workplace where every individual's unique strengths contribute to a culture of innovation, belonging and community impact.</w:t>
      </w:r>
    </w:p>
    <w:p>
      <w:pPr>
        <w:spacing w:after="0" w:line="163"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Our engagement and inclusion mission aligns all initiatives with our Workforce Diversity, Workplace Inclusion and Community Impact pillars to enhance our overall employee value proposition. It emphasizes that an inclusive culture fosters employee engagement, fuels innovation and yields outstanding business results. We strive to be a career destination where employees from all backgrounds, regardless of race, gender, ethnicity, sexual orientation or disability, can do their best work. Our engagement and inclusion mission pillars include:</w:t>
      </w:r>
    </w:p>
    <w:p>
      <w:pPr>
        <w:spacing w:after="0" w:line="74" w:lineRule="exact"/>
        <w:rPr>
          <w:sz w:val="20"/>
          <w:szCs w:val="20"/>
          <w:color w:val="auto"/>
        </w:rPr>
      </w:pPr>
    </w:p>
    <w:p>
      <w:pPr>
        <w:ind w:left="640" w:right="180" w:hanging="316"/>
        <w:spacing w:after="0" w:line="27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Diversity: </w:t>
      </w:r>
      <w:r>
        <w:rPr>
          <w:rFonts w:ascii="Arial" w:cs="Arial" w:eastAsia="Arial" w:hAnsi="Arial"/>
          <w:sz w:val="18"/>
          <w:szCs w:val="18"/>
          <w:color w:val="auto"/>
        </w:rPr>
        <w:t>Attract, retain, and develop talent through strategic partnerships with diversity organizations, targeted branding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inclusive engagement and development opportunities for all employees.</w:t>
      </w:r>
    </w:p>
    <w:p>
      <w:pPr>
        <w:spacing w:after="0" w:line="4" w:lineRule="exact"/>
        <w:rPr>
          <w:rFonts w:ascii="Arial" w:cs="Arial" w:eastAsia="Arial" w:hAnsi="Arial"/>
          <w:sz w:val="18"/>
          <w:szCs w:val="18"/>
          <w:color w:val="auto"/>
        </w:rPr>
      </w:pPr>
    </w:p>
    <w:p>
      <w:pPr>
        <w:ind w:left="640" w:right="200" w:hanging="316"/>
        <w:spacing w:after="0" w:line="27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Workplace Inclusion: </w:t>
      </w:r>
      <w:r>
        <w:rPr>
          <w:rFonts w:ascii="Arial" w:cs="Arial" w:eastAsia="Arial" w:hAnsi="Arial"/>
          <w:sz w:val="18"/>
          <w:szCs w:val="18"/>
          <w:color w:val="auto"/>
        </w:rPr>
        <w:t>Cultivate an inclusive workplace where all employees feel they belong and are given the support they need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thrive.</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Community Impact: </w:t>
      </w:r>
      <w:r>
        <w:rPr>
          <w:rFonts w:ascii="Arial" w:cs="Arial" w:eastAsia="Arial" w:hAnsi="Arial"/>
          <w:sz w:val="18"/>
          <w:szCs w:val="18"/>
          <w:color w:val="auto"/>
        </w:rPr>
        <w:t>Increase our commitment to supporting the next generation of STEM talent in underrepresented communities.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Environmental Stewardship</w:t>
      </w:r>
    </w:p>
    <w:p>
      <w:pPr>
        <w:spacing w:after="0" w:line="217" w:lineRule="exact"/>
        <w:rPr>
          <w:sz w:val="20"/>
          <w:szCs w:val="20"/>
          <w:color w:val="auto"/>
        </w:rPr>
      </w:pPr>
    </w:p>
    <w:p>
      <w:pPr>
        <w:ind w:right="540" w:firstLine="318"/>
        <w:spacing w:after="0" w:line="260" w:lineRule="auto"/>
        <w:rPr>
          <w:sz w:val="20"/>
          <w:szCs w:val="20"/>
          <w:color w:val="auto"/>
        </w:rPr>
      </w:pPr>
      <w:r>
        <w:rPr>
          <w:rFonts w:ascii="Arial" w:cs="Arial" w:eastAsia="Arial" w:hAnsi="Arial"/>
          <w:sz w:val="18"/>
          <w:szCs w:val="18"/>
          <w:color w:val="auto"/>
        </w:rPr>
        <w:t>We care deeply about the places where we live and work. Our Board and management team recognize that we have a role to play in environmental stewardship. We believe that environmentally responsible operating practices are important to generating value for our stockholders, being a good partner with our customers and being a good employer to our employees.</w:t>
      </w:r>
    </w:p>
    <w:p>
      <w:pPr>
        <w:spacing w:after="0" w:line="175"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Our energy consumption and usage within data centers is an important component of our day-to-day operations of our business. We outsource our data center needs to Amazon Web Services, or AWS. AWS, in addition to carefully choosing data center locations to mitigate environmental risk, has a long-term commitment to use 100% renewable energy. Aside from data center needs, greenhouse gas emissions and water and energy usage are not material factors in the day-to-day operations of our business. However, we believe that we can still play a part through environmentally sound practices.</w:t>
      </w:r>
    </w:p>
    <w:p>
      <w:pPr>
        <w:spacing w:after="0" w:line="181" w:lineRule="exact"/>
        <w:rPr>
          <w:sz w:val="20"/>
          <w:szCs w:val="20"/>
          <w:color w:val="auto"/>
        </w:rPr>
      </w:pPr>
    </w:p>
    <w:p>
      <w:pPr>
        <w:ind w:right="920" w:firstLine="318"/>
        <w:spacing w:after="0" w:line="274" w:lineRule="auto"/>
        <w:rPr>
          <w:sz w:val="20"/>
          <w:szCs w:val="20"/>
          <w:color w:val="auto"/>
        </w:rPr>
      </w:pPr>
      <w:r>
        <w:rPr>
          <w:rFonts w:ascii="Arial" w:cs="Arial" w:eastAsia="Arial" w:hAnsi="Arial"/>
          <w:sz w:val="18"/>
          <w:szCs w:val="18"/>
          <w:color w:val="auto"/>
        </w:rPr>
        <w:t>Tenable headquarters is a LEED Certified Gold for Core Construction. In addition, we have taken the following actions to enable environmental stewardship:</w:t>
      </w:r>
    </w:p>
    <w:p>
      <w:pPr>
        <w:spacing w:after="0" w:line="4" w:lineRule="exact"/>
        <w:rPr>
          <w:sz w:val="20"/>
          <w:szCs w:val="20"/>
          <w:color w:val="auto"/>
        </w:rPr>
      </w:pPr>
    </w:p>
    <w:p>
      <w:pPr>
        <w:ind w:left="440" w:hanging="1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Implemented recycling in our offices;</w:t>
      </w:r>
    </w:p>
    <w:p>
      <w:pPr>
        <w:spacing w:after="0" w:line="58" w:lineRule="exact"/>
        <w:rPr>
          <w:rFonts w:ascii="Arial" w:cs="Arial" w:eastAsia="Arial" w:hAnsi="Arial"/>
          <w:sz w:val="18"/>
          <w:szCs w:val="18"/>
          <w:color w:val="auto"/>
        </w:rPr>
      </w:pPr>
    </w:p>
    <w:p>
      <w:pPr>
        <w:ind w:left="440" w:hanging="1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 biodegradable to-go boxes to reduce food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hanging="116"/>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 strict policy for disposing of hardware; and</w:t>
      </w:r>
    </w:p>
    <w:p>
      <w:pPr>
        <w:spacing w:after="0" w:line="58" w:lineRule="exact"/>
        <w:rPr>
          <w:rFonts w:ascii="Arial" w:cs="Arial" w:eastAsia="Arial" w:hAnsi="Arial"/>
          <w:sz w:val="18"/>
          <w:szCs w:val="18"/>
          <w:color w:val="auto"/>
        </w:rPr>
      </w:pPr>
    </w:p>
    <w:p>
      <w:pPr>
        <w:ind w:left="440" w:hanging="116"/>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 travel portal that provides detail on our carbon footprint.</w:t>
      </w:r>
    </w:p>
    <w:p>
      <w:pPr>
        <w:spacing w:after="0" w:line="217"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Tenable and our employees have donated time and money to important environmental causes, such as healthy waterways and other clean-up efforts, recycling, carbon footprint mitigation and protection of threatened wildlife.</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Financial Information and Segments</w:t>
      </w:r>
    </w:p>
    <w:p>
      <w:pPr>
        <w:spacing w:after="0" w:line="219" w:lineRule="exact"/>
        <w:rPr>
          <w:sz w:val="20"/>
          <w:szCs w:val="20"/>
          <w:color w:val="auto"/>
        </w:rPr>
      </w:pPr>
    </w:p>
    <w:p>
      <w:pPr>
        <w:ind w:right="660" w:firstLine="318"/>
        <w:spacing w:after="0" w:line="27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to our consolidated financial statements in this Annual Report on Form 10-K for segment and geographical information.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219" w:lineRule="exact"/>
        <w:rPr>
          <w:sz w:val="20"/>
          <w:szCs w:val="20"/>
          <w:color w:val="auto"/>
        </w:rPr>
      </w:pPr>
    </w:p>
    <w:p>
      <w:pPr>
        <w:jc w:val="both"/>
        <w:ind w:right="140" w:firstLine="318"/>
        <w:spacing w:after="0" w:line="260" w:lineRule="auto"/>
        <w:rPr>
          <w:sz w:val="20"/>
          <w:szCs w:val="20"/>
          <w:color w:val="auto"/>
        </w:rPr>
      </w:pPr>
      <w:r>
        <w:rPr>
          <w:rFonts w:ascii="Arial" w:cs="Arial" w:eastAsia="Arial" w:hAnsi="Arial"/>
          <w:sz w:val="18"/>
          <w:szCs w:val="18"/>
          <w:color w:val="auto"/>
        </w:rPr>
        <w:t>Tenable Network Security, Inc., our predecessor, was incorporated under the laws of the State of Delaware in 2002. Tenable Holdings, Inc. was incorporated in Delaware in October 2015. In November 2015, Tenable Network Security, Inc. was merged into a wholly owned subsidiary and in 2017 was renamed as Tenable, Inc.</w:t>
      </w:r>
    </w:p>
    <w:p>
      <w:pPr>
        <w:spacing w:after="0" w:line="17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principal executive offices are located at 6100 Merriweather Drive, Columbia, Maryland 21044.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spacing w:after="0" w:line="180"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“Tenable,” “Nessus,”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 respective owners. Solely for convenience, trademarks and trade names referred to in this Annual Report on Form 10-K may appear without the ® or TM symbols.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Available Information</w:t>
      </w:r>
    </w:p>
    <w:p>
      <w:pPr>
        <w:spacing w:after="0" w:line="219"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color w:val="auto"/>
        </w:rPr>
        <w:t>Our Annual Report on Form 10-K, Quarterly Reports on Form 10-Q, Current Reports on Form 8-K, Proxy Statement, and amendments to reports filed pursuant to Sections 13(a) and 15(d) of the Exchange Act, are available for download free of charge from our investor relations website https://investors.tenable.com after we file them with the Securities and Exchange Commission, or the SEC. The SEC’s website https://www.sec.gov contains reports, proxy and information statements, and other information regarding issuers that file electronically with the SEC.</w:t>
      </w:r>
    </w:p>
    <w:p>
      <w:pPr>
        <w:spacing w:after="0" w:line="181"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(https://investors.tenable.com), our filings with the SEC, our website, webcasts, press releases, and conference calls. We use these mediums, including our website, to communicate with investors and the general public about our company, our products, and other issues, and for complying with our disclosure obligations under Regulation FD. It is possible that the information that we make available on our website may be deemed to be material information. We therefore encourage investors and others interested in our company to review the information that we make available on our website, in addition to following our SEC filings, our webcasts, press releases, and conference calls. The information we post through these channels is not a part of this Annual Report on Form 10-K. These channels be may updated from time to time on our investor relations website. The contents of any website referred to in this Form 10-K are not intended to be incorporated into this Annual Report on Form 10-K or in any other report or document we file with the SEC.</w:t>
      </w:r>
    </w:p>
    <w:p>
      <w:pPr>
        <w:spacing w:after="0" w:line="18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9" w:lineRule="exact"/>
        <w:rPr>
          <w:sz w:val="20"/>
          <w:szCs w:val="20"/>
          <w:color w:val="auto"/>
        </w:rPr>
      </w:pPr>
    </w:p>
    <w:p>
      <w:pPr>
        <w:ind w:right="160" w:firstLine="318"/>
        <w:spacing w:after="0" w:line="253"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i w:val="1"/>
          <w:iCs w:val="1"/>
          <w:color w:val="auto"/>
        </w:rPr>
        <w:t>the following risks or others not specified below materialize, our business, financial condition and results of operations could be materially and adversely affected.</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19"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57"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maintain profitability in the future.</w:t>
      </w:r>
    </w:p>
    <w:p>
      <w:pPr>
        <w:spacing w:after="0" w:line="58" w:lineRule="exact"/>
        <w:rPr>
          <w:rFonts w:ascii="Arial" w:cs="Arial" w:eastAsia="Arial" w:hAnsi="Arial"/>
          <w:sz w:val="18"/>
          <w:szCs w:val="18"/>
          <w:color w:val="auto"/>
        </w:rPr>
      </w:pPr>
    </w:p>
    <w:p>
      <w:pPr>
        <w:ind w:left="640" w:right="24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offer solutions that address the dynamic cybersecurity landscape, we may not remain competitive.</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continue to scale our business quickly enough to meet our customers’ growing needs.</w:t>
      </w:r>
    </w:p>
    <w:p>
      <w:pPr>
        <w:spacing w:after="0" w:line="58"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26" w:lineRule="exact"/>
        <w:rPr>
          <w:rFonts w:ascii="Arial" w:cs="Arial" w:eastAsia="Arial" w:hAnsi="Arial"/>
          <w:sz w:val="18"/>
          <w:szCs w:val="18"/>
          <w:color w:val="auto"/>
        </w:rPr>
      </w:pPr>
    </w:p>
    <w:p>
      <w:pPr>
        <w:ind w:left="640" w:right="340" w:hanging="316"/>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incorporated and may in the future further incorporate generative and other types of AI processes, algorithms, and technologies into certain of our products and services. This technology is new and developing, and may generate output that is inaccurate or flawed or may not achieve market acceptance, which could result in operational, financial, regulatory, and reputational harm and other adverse consequences to our business.</w:t>
      </w:r>
    </w:p>
    <w:p>
      <w:pPr>
        <w:spacing w:after="0" w:line="21" w:lineRule="exact"/>
        <w:rPr>
          <w:rFonts w:ascii="Arial" w:cs="Arial" w:eastAsia="Arial" w:hAnsi="Arial"/>
          <w:sz w:val="18"/>
          <w:szCs w:val="18"/>
          <w:color w:val="auto"/>
        </w:rPr>
      </w:pPr>
    </w:p>
    <w:p>
      <w:pPr>
        <w:ind w:left="640" w:right="52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quarterly results of operations are likely to fluctuate significantly due to a wide range of factors, which makes our future results difficult to predict.</w:t>
      </w:r>
    </w:p>
    <w:p>
      <w:pPr>
        <w:spacing w:after="0" w:line="4" w:lineRule="exact"/>
        <w:rPr>
          <w:rFonts w:ascii="Arial" w:cs="Arial" w:eastAsia="Arial" w:hAnsi="Arial"/>
          <w:sz w:val="18"/>
          <w:szCs w:val="18"/>
          <w:color w:val="auto"/>
        </w:rPr>
      </w:pPr>
    </w:p>
    <w:p>
      <w:pPr>
        <w:ind w:left="640" w:hanging="316"/>
        <w:spacing w:after="0" w:line="281"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our subscription offerings would harm our business, results of operations, and financial condition.</w:t>
      </w:r>
    </w:p>
    <w:p>
      <w:pPr>
        <w:spacing w:after="0" w:line="2" w:lineRule="exact"/>
        <w:rPr>
          <w:rFonts w:ascii="Arial" w:cs="Arial" w:eastAsia="Arial" w:hAnsi="Arial"/>
          <w:sz w:val="17"/>
          <w:szCs w:val="17"/>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third parties to maintain and operate certain elements of our network infrastructure.</w:t>
      </w:r>
    </w:p>
    <w:p>
      <w:pPr>
        <w:spacing w:after="0" w:line="58" w:lineRule="exact"/>
        <w:rPr>
          <w:rFonts w:ascii="Arial" w:cs="Arial" w:eastAsia="Arial" w:hAnsi="Arial"/>
          <w:sz w:val="18"/>
          <w:szCs w:val="18"/>
          <w:color w:val="auto"/>
        </w:rPr>
      </w:pPr>
    </w:p>
    <w:p>
      <w:pPr>
        <w:ind w:left="640" w:right="100" w:hanging="316"/>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our third-party channel partner network of distributors and resellers to generate a substantial amount of our revenue.</w:t>
      </w:r>
    </w:p>
    <w:p>
      <w:pPr>
        <w:spacing w:after="0" w:line="21" w:lineRule="exact"/>
        <w:rPr>
          <w:rFonts w:ascii="Arial" w:cs="Arial" w:eastAsia="Arial" w:hAnsi="Arial"/>
          <w:sz w:val="18"/>
          <w:szCs w:val="18"/>
          <w:color w:val="auto"/>
        </w:rPr>
      </w:pPr>
    </w:p>
    <w:p>
      <w:pPr>
        <w:ind w:left="640" w:right="80" w:hanging="316"/>
        <w:spacing w:after="0" w:line="250"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17" w:lineRule="exact"/>
        <w:rPr>
          <w:sz w:val="20"/>
          <w:szCs w:val="20"/>
          <w:color w:val="auto"/>
        </w:rPr>
      </w:pPr>
    </w:p>
    <w:p>
      <w:pPr>
        <w:ind w:firstLine="318"/>
        <w:spacing w:after="0" w:line="282" w:lineRule="auto"/>
        <w:rPr>
          <w:sz w:val="20"/>
          <w:szCs w:val="20"/>
          <w:color w:val="auto"/>
        </w:rPr>
      </w:pPr>
      <w:r>
        <w:rPr>
          <w:rFonts w:ascii="Arial" w:cs="Arial" w:eastAsia="Arial" w:hAnsi="Arial"/>
          <w:sz w:val="17"/>
          <w:szCs w:val="17"/>
          <w:color w:val="auto"/>
        </w:rPr>
        <w:t>We have historically incurred net losses, including net losses of $36.3 million, $78.3 million and $92.2 million in 2024, 2023 and 2022, respectively. At December 31, 2024, we had an accumulated deficit of $861.3 million. Because the market for our offerings is highly competitive and rapidly evolving and these solutions have not yet reached widespread adoption, it is difficult for us to predict our future results of operations.</w:t>
      </w:r>
    </w:p>
    <w:p>
      <w:pPr>
        <w:spacing w:after="0" w:line="159"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57"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administrative expense.</w:t>
      </w:r>
    </w:p>
    <w:p>
      <w:pPr>
        <w:spacing w:after="0" w:line="217"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68" w:lineRule="exact"/>
        <w:rPr>
          <w:sz w:val="20"/>
          <w:szCs w:val="20"/>
          <w:color w:val="auto"/>
        </w:rPr>
      </w:pPr>
    </w:p>
    <w:p>
      <w:pPr>
        <w:ind w:right="620" w:firstLine="318"/>
        <w:spacing w:after="0" w:line="286"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offer solutions that address the dynamic cybersecurity landscape, we may not remain competitive.</w:t>
      </w:r>
    </w:p>
    <w:p>
      <w:pPr>
        <w:spacing w:after="0" w:line="143"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nascent vulnerability assessment capabilities, including CrowdStrike; public cloud vendors and companies, such as Palo Alto Networks and Wiz, that offer solutions for cloud security (private, public and hybrid cloud); and providers of point solutions that compete with some of the features present in our solutions. We also compete against internally-developed efforts that often use open source solutions.</w:t>
      </w:r>
    </w:p>
    <w:p>
      <w:pPr>
        <w:spacing w:after="0" w:line="174"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Microsoft has a vulnerability management offering and has continued to acquire security solutions for their cybersecurity platform. Smaller companies could also launch new products and services that we do not offer and that could gain market acceptance quickly.</w:t>
      </w:r>
    </w:p>
    <w:p>
      <w:pPr>
        <w:spacing w:after="0" w:line="169"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190"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or in hybrid environments and the increasing adoption by organizations of cloud or hybrid cloud architectures. Developing new solutions and product enhancements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spacing w:after="0" w:line="18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17" w:lineRule="exact"/>
        <w:rPr>
          <w:sz w:val="20"/>
          <w:szCs w:val="20"/>
          <w:color w:val="auto"/>
        </w:rPr>
      </w:pPr>
    </w:p>
    <w:p>
      <w:pPr>
        <w:ind w:right="260" w:firstLine="318"/>
        <w:spacing w:after="0" w:line="275" w:lineRule="auto"/>
        <w:rPr>
          <w:sz w:val="20"/>
          <w:szCs w:val="20"/>
          <w:color w:val="auto"/>
        </w:rPr>
      </w:pPr>
      <w:r>
        <w:rPr>
          <w:rFonts w:ascii="Arial" w:cs="Arial" w:eastAsia="Arial" w:hAnsi="Arial"/>
          <w:sz w:val="17"/>
          <w:szCs w:val="17"/>
          <w:color w:val="auto"/>
        </w:rPr>
        <w:t>From 2023 to 2024, our revenue grew from $798.7 million to $900.0 million, representing year over year growth of 13%.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58"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58" w:lineRule="exact"/>
        <w:rPr>
          <w:rFonts w:ascii="Arial" w:cs="Arial" w:eastAsia="Arial" w:hAnsi="Arial"/>
          <w:sz w:val="18"/>
          <w:szCs w:val="18"/>
          <w:color w:val="auto"/>
        </w:rPr>
      </w:pPr>
    </w:p>
    <w:p>
      <w:pPr>
        <w:ind w:left="640" w:right="340" w:hanging="316"/>
        <w:spacing w:after="0" w:line="27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 or the integration of acquired products and capabilities;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or increase the rate at which customers purchase and renew subscriptions to our enterprise platform offerings;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17"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If we are unable to maintain consistent revenue or revenue growth, including as a result of macroeconomic conditions, our stock price could be volatile, and it may be difficult to achieve and maintain profitability. You should not rely on our revenue for any prior quarterly or annual periods as any indication of our future revenue or revenue growth.</w:t>
      </w:r>
    </w:p>
    <w:p>
      <w:pPr>
        <w:spacing w:after="0" w:line="175" w:lineRule="exact"/>
        <w:rPr>
          <w:sz w:val="20"/>
          <w:szCs w:val="20"/>
          <w:color w:val="auto"/>
        </w:rPr>
      </w:pPr>
    </w:p>
    <w:p>
      <w:pPr>
        <w:ind w:right="420" w:firstLine="318"/>
        <w:spacing w:after="0" w:line="274"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63" w:lineRule="exact"/>
        <w:rPr>
          <w:sz w:val="20"/>
          <w:szCs w:val="20"/>
          <w:color w:val="auto"/>
        </w:rPr>
      </w:pPr>
    </w:p>
    <w:p>
      <w:pPr>
        <w:ind w:right="120" w:firstLine="318"/>
        <w:spacing w:after="0" w:line="259"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our subscription offerings would harm our business, results of operations, and financial condition.</w:t>
      </w:r>
    </w:p>
    <w:p>
      <w:pPr>
        <w:spacing w:after="0" w:line="167"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including those resulting from exchange rate fluctuations relative to the U.S. dollar that make our products more expensive to existing customers, high rates of inflation and interest rates or concerns of an economic recession in the United States or other major markets, that could lead to decreased spending,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Annual Report on Form 10-K.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191" w:lineRule="exact"/>
        <w:rPr>
          <w:sz w:val="20"/>
          <w:szCs w:val="20"/>
          <w:color w:val="auto"/>
        </w:rPr>
      </w:pPr>
    </w:p>
    <w:p>
      <w:pPr>
        <w:ind w:right="20" w:firstLine="318"/>
        <w:spacing w:after="0" w:line="266"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60"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macroeconomic conditions, may not be immediately reflected in our revenue results for that period. This decline, however, would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continue scaling our business quickly enough to meet our customers’ growing needs.</w:t>
      </w:r>
    </w:p>
    <w:p>
      <w:pPr>
        <w:spacing w:after="0" w:line="21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91" w:lineRule="exact"/>
        <w:rPr>
          <w:sz w:val="20"/>
          <w:szCs w:val="20"/>
          <w:color w:val="auto"/>
        </w:rPr>
      </w:pPr>
    </w:p>
    <w:p>
      <w:pPr>
        <w:ind w:right="80" w:firstLine="318"/>
        <w:spacing w:after="0" w:line="286"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43"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Our enterprise platform offerings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careful planning and execution between our customers, our customer support teams and our channel partners. Further, when new or updated elements of our customers’ infrastructure, new usage trends, such as remote and hybrid work,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168"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1" w:lineRule="exact"/>
        <w:rPr>
          <w:sz w:val="20"/>
          <w:szCs w:val="20"/>
          <w:color w:val="auto"/>
        </w:rPr>
      </w:pPr>
    </w:p>
    <w:p>
      <w:pPr>
        <w:ind w:firstLine="318"/>
        <w:spacing w:after="0" w:line="279" w:lineRule="auto"/>
        <w:rPr>
          <w:sz w:val="20"/>
          <w:szCs w:val="20"/>
          <w:color w:val="auto"/>
        </w:rPr>
      </w:pPr>
      <w:r>
        <w:rPr>
          <w:rFonts w:ascii="Arial" w:cs="Arial" w:eastAsia="Arial" w:hAnsi="Arial"/>
          <w:sz w:val="17"/>
          <w:szCs w:val="17"/>
          <w:b w:val="1"/>
          <w:bCs w:val="1"/>
          <w:i w:val="1"/>
          <w:iCs w:val="1"/>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disrupted, or if our solutions fail to detect vulnerabilities or incorrectly detect vulnerabilities, or if they contain undetected errors or defects, we could experience adverse consequences.</w:t>
      </w:r>
    </w:p>
    <w:p>
      <w:pPr>
        <w:spacing w:after="0" w:line="151"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In the ordinary course of our business, we collect, store, use, transmit, disclose or otherwise process proprietary, confidential, and sensitive information, including personal data, intellectual property, and trade secrets.</w:t>
      </w:r>
    </w:p>
    <w:p>
      <w:pPr>
        <w:spacing w:after="0" w:line="163"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sell cybersecurity products and, as a result, may be at increased risk of being a target of cyberattacks designed to penetrate our platform or internal systems, to compromise our data, alter or modify our source code, or to otherwise impede the performance of our products. Threats to information systems and data come from a variety of sources. In addition to computer “hackers,” threat actors, personnel (such as through theft or misuse, or other insider threat listed below), "hacktivists," organized criminal threat actors, sophisticated nation-states and nation-state-supported actors now engage and are expected to continue to engage in cyber-attacks. Nation-state actors and nation-state-supported actors may engage in such attacks for geopolitical reasons and in conjunction with military conflicts and defense activities, including the ongoing conflict between Ukraine and Russia, the ongoing conflict in the Middle East, and rising tensions between China and Taiwan. During times of war and other major conflicts, we, third parties upon which we may rely, and our customers may be vulnerable to a heightened risk of these threats, including retaliatory cyber-attacks that could materially disrupt our systems and operations, supply chain, and ability to produce, sell and distribute our goods and services. We, our customers, and the third parties upon which we rely are subject to a variety of evolving threats, which are prevalent, continue to rise, and increasingly difficult to detect. These threats include but are not limited to: social-engineering attacks (including through deep fakes, which may be increasingly more difficult to identify as fake, and phishing attacks); credential harvesting; malicious code (such as viruses and worms); malware (including as a result of advanced persistent threat intrusions); denial-of-service attacks, credential stuffing; insider threats (including due to personnel misconduct, error or malicious activity);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prudent to make extortion payments, but we may be unable to do so if, for example, applicable laws prohibit such payments.</w:t>
      </w:r>
    </w:p>
    <w:p>
      <w:pPr>
        <w:spacing w:after="0" w:line="191"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Additionally, we are incorporated into the supply chain of a large number of companies worldwide and, as a result, if our solutions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spacing w:after="0" w:line="180" w:lineRule="exact"/>
        <w:rPr>
          <w:sz w:val="20"/>
          <w:szCs w:val="20"/>
          <w:color w:val="auto"/>
        </w:rPr>
      </w:pPr>
    </w:p>
    <w:p>
      <w:pPr>
        <w:ind w:right="380" w:firstLine="318"/>
        <w:spacing w:after="0" w:line="274" w:lineRule="auto"/>
        <w:rPr>
          <w:sz w:val="20"/>
          <w:szCs w:val="20"/>
          <w:color w:val="auto"/>
        </w:rPr>
      </w:pPr>
      <w:r>
        <w:rPr>
          <w:rFonts w:ascii="Arial" w:cs="Arial" w:eastAsia="Arial" w:hAnsi="Arial"/>
          <w:sz w:val="18"/>
          <w:szCs w:val="18"/>
          <w:color w:val="auto"/>
        </w:rPr>
        <w:t>Remote work and use of remote devices has increased risks to our information technology systems and data, as more of our personnel utilize network connections, computers and devices outside of our premises or network,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identified during due diligence of such acquired or integrated entities, and it may be difficult to integrate other companies into our information technology environment and security program.</w:t>
      </w:r>
    </w:p>
    <w:p>
      <w:pPr>
        <w:spacing w:after="0" w:line="181"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We rely on third-party service providers and technologies to operate critical business systems, including processing confidential and sensitive information, including, without limitation, cloud-based infrastructure, data center facilities, encryption and authentication technology, employee email and other functions. We also rely on third-party service providers to provide other products, services, or otherwise, to operate our business and elements of our infrastructure, including endpoints. Our ability to monitor these third parties' information security practices is limited, and these third parties may not have adequate information security measures in place. Additionally, software errors or vulnerabilities in these third-party technologies could result in significant disruptions to our information technology systems, leading to downtime, data loss, or compromised data integrity.</w:t>
      </w:r>
    </w:p>
    <w:p>
      <w:pPr>
        <w:spacing w:after="0" w:line="187"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If our third-party service providers or partners experience a security incident or other interruption or cause an extended outage or disruption to our systems, we could experience adverse consequences. It is possible that our customers and potential customers would hold us accountable for any security incident affecting our third-party service providers’ or partners' infrastructure or other interruption caused by our third-party service providers or partners that impacts our infrastructure. We may incur significant liability from those customers and from other third parties with respect to any such incident. Because our agreements with certain third-party service providers, such as AWS and Snowflake, limit their liability for damages, we may not be able to recover a material portion of our liabilities to our customers and third parties arising from issues with such third-party service providers, such as AWS and Snowflake, in the event of an incident affecting the third parties’ systems. Moreover, while we may be entitled to damages from third-party service providers if they fail to satisfy their privacy or security-related obligations to us or if they cause a disruption in our infrastructure, any award may be insufficient to cover our damages, or we may be unable to recover such reward. In addition, supply-chain attacks have increased in frequency and severity and there have been high-profile incidents of third-party service providers causing widespread disruptions in their customers' infrastructures due to errors in their SaaS offerings, such as the Windows outage caused by a flawed CrowdStrike software update that occurred in July 2024. We cannot guarantee that third parties’ infrastructure in our supply chain or our third-party partners’ supply chains have not been compromised or that errors by our third-party service providers won’t cause disruptions in our infrastructure.</w:t>
      </w:r>
    </w:p>
    <w:p>
      <w:pPr>
        <w:spacing w:after="0" w:line="186"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have experienced, and may in the future experience, disruptions, outages, other performance problems and security threats due to a variety of factors, including infrastructure changes, deliberate or unintentional human actions (including by third parties), software defects and configuration errors, capacity constraints, fraud or security incidents. We take steps designed to detect, mitigate and remediate vulnerabilities and defects and configuration errors in our information technology systems (such as our hardware and software, including that of third parties upon which we rely) and in our software applications, products and services. We may not, however, be able to detect and remediate all such vulnerabilities, defects or configuration errors on a timely basis. For example, we have identified certain vulnerabilities in our information systems and software applications, and we take steps designed to mitigate the risks associated with known vulnerabilities. Despite our efforts, there can be no assurance that these vulnerability, defect and configuration error mitigation measures will be completely effective. Further, we may experience delays in developing and deploying remedial measures and patches designed to address any such identified vulnerabilities, defects or configuration errors. Additionally, as part of our business operations, employees and authorized personnel, or insiders, access our systems, applications, and data, including through the use of mobile devices, including personally-owned devices. Our business may be adversely affected if insiders cause cybersecurity incidents such as data breaches, intellectual property theft, ransom demands, or operational disruptions. We take steps designed to detect and mitigate insider threats, however, despite our efforts, there can be no assurance that these efforts will be completely effective and we have expended significant resources to prevent, detect and investigate such threats. Additionally, our ability to implement and enforce security measures on employee-owned mobile devices is more limited, which increases the risk of cybersecurity threats.</w:t>
      </w:r>
    </w:p>
    <w:p>
      <w:pPr>
        <w:spacing w:after="0" w:line="196"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Any of these or similar threats could cause a security incident or other interruption that can result in unauthorized, unlawful, or accidental acquisition, modification, destruction, loss, alteration, encryption, disclosure of, or access to our proprietary, confidential, and sensitive information or our information technology systems, or those of the third parties upon whom we rely. For example, we have been the target of unsuccessful phishing attempts in the past and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such attempts will continue in the future. A security incident or other interruption could disrupt our ability (and that of third parties upon whom we rely) to provide our solutions. In some instances, we or our third-party service providers may not be able to identify the cause or causes of these security incidents or performance problems within an acceptable period of time. If our solutions are unavailable or if our customers are unable to access features of our solutions within a reasonable amount of time or at all, our business could be adversely affected. In addition, if we or any of the third-party providers we use were to experience or cause a significant or prolonged outage or security incident, our business could be adversely affected. We may expend significant resources or modify our business activities to try to protect against or recover from security incidents. Certain data privacy and security obligations may require us to implement and maintain specific security measures, industry-standard or reasonable security measures to protect our information technology systems and proprietary, confidential, and sensitive information, including personal data.</w:t>
      </w:r>
    </w:p>
    <w:p>
      <w:pPr>
        <w:spacing w:after="0" w:line="187"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Data protection requirements may also require us or we may voluntarily choose to notify relevant stakeholders of security incidents, including affected individuals, partners, collaborators, customers, regulators, law enforcement agencies and others, or take other actions, such as providing credit monitoring and identity theft protection services. Such disclosures and related actions can be costly, and the disclosures or failure to comply with such applicable requirements could lead to adverse consequences.</w:t>
      </w:r>
    </w:p>
    <w:p>
      <w:pPr>
        <w:spacing w:after="0" w:line="180" w:lineRule="exact"/>
        <w:rPr>
          <w:sz w:val="20"/>
          <w:szCs w:val="20"/>
          <w:color w:val="auto"/>
        </w:rPr>
      </w:pPr>
    </w:p>
    <w:p>
      <w:pPr>
        <w:ind w:right="300" w:firstLine="318"/>
        <w:spacing w:after="0" w:line="260" w:lineRule="auto"/>
        <w:rPr>
          <w:sz w:val="20"/>
          <w:szCs w:val="20"/>
          <w:color w:val="auto"/>
        </w:rPr>
      </w:pPr>
      <w:r>
        <w:rPr>
          <w:rFonts w:ascii="Arial" w:cs="Arial" w:eastAsia="Arial" w:hAnsi="Arial"/>
          <w:sz w:val="18"/>
          <w:szCs w:val="18"/>
          <w:color w:val="auto"/>
        </w:rPr>
        <w:t>Additionally, even if we have issued or otherwise made patches or information for vulnerabilities in our software applications, products or services, our customers may be unwilling or unable to deploy such patches and use such information effectively and in a timely manner. Vulnerabilities could be exploited and result in a security incident.</w:t>
      </w:r>
    </w:p>
    <w:p>
      <w:pPr>
        <w:spacing w:after="0" w:line="175"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If we, our customers, or a third party upon which we rely, experience or cause a security incident or other interruption, or are perceived to have experienced or caused a security incident or other interruption, we may experience material adverse consequences, such as government enforcement actions (for example, investigations, fines, penalties, audits, and inspections); additional reporting obligations and/or oversight; restrictions on processing information (including personal data); litigation (including class claims); indemnification obligations; negative publicity; reputational harm; monetary fund diversions; interruptions of our operations (including availability of data); financial loss (including by issuing credits to our customers); diversion of management attention; and other similar harm. Security incidents or other disruptions and attendant material consequences may cause customers to stop using our solutions (including by not renewing their purchases of our solutions), deter new customers from using our solutions, and negatively impact our ability to grow and operate our business.</w:t>
      </w:r>
    </w:p>
    <w:p>
      <w:pPr>
        <w:spacing w:after="0" w:line="175"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There can be no assurance that any limitations or exclusions of liabilities in our contracts would be enforceable or adequate or would otherwise protect us from liabilities or damages if we fail to comply with data protection requirements related to information security or security incidents. We cannot be sure that our insurance coverage will be adequate or otherwise protect us from or adequately mitigate liabilities or damages with respect to claims, costs, expenses, litigation, fines, penalties, business loss, data loss, regulatory actions or other impacts arising out of security incidents.</w:t>
      </w:r>
    </w:p>
    <w:p>
      <w:pPr>
        <w:spacing w:after="0" w:line="181"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In addition, we face unique risks as a SaaS company that sells products and services that involve protecting the information systems of our customers. If our solutions fail to detect vulnerabilities in our customers’ cybersecurity infrastructure, including for remote devices, or if our solutions fail to identify new and increasingly complex methods of cyberattacks, our business may suffer and our customers' businesses may be damaged, including by interrupting their networking traffic or operational technology environments. Furthermore, a security incident could heighten the impact of these material adverse consequences because of the nature of our business and expectations of our customers. There is no guarantee that our solutions will detect all vulnerabilities or threats in our customers' systems,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information about new exploits, attacks and vulnerabilities. If the information from these third parties is inaccurate, the potential for false indications of vulnerabilities or threats increases. These false positives, while typical in the industry, may impair the perceived reliability of our offerings. Additionally, our business depends upon the appropriate and successful implementation of our product by our customers. If our customers fail to use our solutions according to our specifications, our customers may suffer a security incident on their own systems or other adverse consequences. Even if such an incident is unrelated to our security practices, it could result in our incurring significant economic and operational costs in investigating, remediating, and implementing additional measures to further protect our customers from their own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reliability and continuous availability of our solutions is critical to our success. We have experienced errors or defects in the past in connection with the release of new solutions and product upgrades, and we expect that these errors or defects will be found from time to time in the future in new or enhanced solutions after commercial release. For example, on December 31, 2024, we identified Nessus agents versions 10.8.0 and 10.8.1 going offline under certain conditions which impacted the availability of our Vulnerability Management and Security Center solutions for certain customers. Upon discovery of the incident, we developed and released a version 10.8.2 of our Nessus agent on January 2, 2025, which enabled affected customers to resolve the issue. Although the financial impacts of this incident have not been significant, similar incidents in the future could result in costs associated with service-level credits and loss of customer trust, which could have a material adverse effect on our business and financial performance. In addition, we use third parties to assist in the development of our products and these third parties could be a source of errors or defects. Some defects may cause our solutions to be vulnerable to attacks, cause them to fail to detect vulnerabilities, or temporarily interrupt customers’ networking traffic or operational technology environments, any of which may damage our customers’ business and could hurt our reputation.</w:t>
      </w:r>
    </w:p>
    <w:p>
      <w:pPr>
        <w:spacing w:after="0" w:line="191"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As a result of any of the risks associated with our SaaS business, we may experience material adverse consequences. We may also be subject to liability claims for damages related to errors or defects in our solutions.</w:t>
      </w:r>
    </w:p>
    <w:p>
      <w:pPr>
        <w:spacing w:after="0" w:line="163" w:lineRule="exact"/>
        <w:rPr>
          <w:sz w:val="20"/>
          <w:szCs w:val="20"/>
          <w:color w:val="auto"/>
        </w:rPr>
      </w:pPr>
    </w:p>
    <w:p>
      <w:pPr>
        <w:ind w:right="120" w:firstLine="318"/>
        <w:spacing w:after="0" w:line="259" w:lineRule="auto"/>
        <w:rPr>
          <w:sz w:val="20"/>
          <w:szCs w:val="20"/>
          <w:color w:val="auto"/>
        </w:rPr>
      </w:pPr>
      <w:r>
        <w:rPr>
          <w:rFonts w:ascii="Arial" w:cs="Arial" w:eastAsia="Arial" w:hAnsi="Arial"/>
          <w:sz w:val="18"/>
          <w:szCs w:val="18"/>
          <w:b w:val="1"/>
          <w:bCs w:val="1"/>
          <w:i w:val="1"/>
          <w:iCs w:val="1"/>
          <w:color w:val="auto"/>
        </w:rPr>
        <w:t>We have incorporated and may in the future further incorporate generative and other types of AI processes, algorithms, and technologies into certain of our products and services. This technology is new and developing, and may generate output that is inaccurate or flawed or may not achieve market acceptance, which could result in operational, financial, regulatory, and reputational harm and other adverse consequences to our business.</w:t>
      </w:r>
    </w:p>
    <w:p>
      <w:pPr>
        <w:spacing w:after="0" w:line="16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We have incorporated and may in the future further incorporate AI features in certain of our products and services, including ExposureAI and Tenable AI Assistant. The use of generative AI processes at scale is relatively new, and may lead to challenges, concerns and risks, including various privacy and security risks that are significant or that we may not be able to predict, especially if our use of these technologies in our products and services becomes more important to our operations over time. The technologies underpinning these features are in the early stages of commercial use and exist in an emerging regulatory environment, which presents regulatory, litigation, ethical, reputational, operational and financial risks. AI in our products and services may be difficult to deploy successfully due to operational issues inherent to the nature of such technologies, including the development, maintenance and operation of deep learning datasets. Additionally, if we do not have adequate rights to utilize the data or other materials and content that our AI technologies depend on, we may face legal consequences for violating applicable laws, third-party intellectual property, privacy or other rights, or contracts to which we are a party.</w:t>
      </w:r>
    </w:p>
    <w:p>
      <w:pPr>
        <w:spacing w:after="0" w:line="17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Uncertainty in the legal regulatory regime relating to AI and emerging ethical issues surrounding the use of AI may require significant resources to modify and maintain business practices to comply with U.S. and non-U.S. laws, the nature of which cannot be determined at this time. Existing laws and regulations may apply to us or our suppliers, vendors, partners and customers in new ways, and new laws and regulations may be instituted. Many U.S. and international governmental bodies and regulators have proposed, enacted or are in the process of developing, new regulations related to the use of AI and machine learning technologies. For example, the European Union authorities recently adopted a legal framework on AI regulation, the Artificial Intelligence Act, which applies beyond the European Union’s borders and establishes obligations for AI providers and those deploying AI systems. Other jurisdictions may adopt similar or potentially more restrictive laws, which may render the use of such technologies challenging. The final form of these may impose obligations related to our development, offering and use of AI technologies and expose us to increased risk of regulatory enforcement and litigation.</w:t>
      </w:r>
    </w:p>
    <w:p>
      <w:pPr>
        <w:spacing w:after="0" w:line="187"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Any sensitive information (including confidential, competitive, proprietary, or personal data) that we input into a third-party generative AI platform could be leaked or disclosed to others, including if sensitive information is used to train the third parties’ AI model. Additionally, where an AI model ingests personal data and makes connections using such data, those technologies may reveal other personal or sensitive information generated by the model.</w:t>
      </w:r>
    </w:p>
    <w:p>
      <w:pPr>
        <w:spacing w:after="0" w:line="18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Our AI technology features may also generate output that is misleading, insecure, inaccurate, harmful or otherwise flawed. Our customers or others may rely on or use such misleading, insecure, harmful or otherwise flawed content to their detriment, which may harm our brand, reputation, business or customers, cause competitive harm or expose us to legal liability. For example, AI algorithms use machine learning and predictive analytics which may be insufficient 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poor quality and reflect inherent biases and could lead to flawed, biased, and inaccurate results. Deficient or inaccurate recommendations, forecasts, or analyses that generative AI applications assist in producing could lead to customer rejection or skepticism of our products, affect our reputation or brand, and negatively affect our financial results. Further, unauthorized use or misuse of AI by our employees or others may result in disclosure of confidential company and customer data, reputational harm, privacy law violations and legal liability. Our use of generative AI may also lead to novel and urgent cybersecurity risks, including related to personal data, which may adversely affect our operations and reputation.</w:t>
      </w:r>
    </w:p>
    <w:p>
      <w:pPr>
        <w:spacing w:after="0" w:line="185" w:lineRule="exact"/>
        <w:rPr>
          <w:sz w:val="20"/>
          <w:szCs w:val="20"/>
          <w:color w:val="auto"/>
        </w:rPr>
      </w:pPr>
    </w:p>
    <w:p>
      <w:pPr>
        <w:ind w:right="480" w:firstLine="318"/>
        <w:spacing w:after="0" w:line="286"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43" w:lineRule="exact"/>
        <w:rPr>
          <w:sz w:val="20"/>
          <w:szCs w:val="20"/>
          <w:color w:val="auto"/>
        </w:rPr>
      </w:pPr>
    </w:p>
    <w:p>
      <w:pPr>
        <w:ind w:right="400" w:firstLine="318"/>
        <w:spacing w:after="0" w:line="274"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57"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58" w:lineRule="exact"/>
        <w:rPr>
          <w:rFonts w:ascii="Arial" w:cs="Arial" w:eastAsia="Arial" w:hAnsi="Arial"/>
          <w:sz w:val="18"/>
          <w:szCs w:val="18"/>
          <w:color w:val="auto"/>
        </w:rPr>
      </w:pPr>
    </w:p>
    <w:p>
      <w:pPr>
        <w:ind w:left="640" w:right="28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 including remote devices;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58"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 (including security breaches by our service providers or vendors);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customers delaying purchasing decisions in anticipation of new developments or enhancements by us or our competitors or otherwise;</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58" w:lineRule="exact"/>
        <w:rPr>
          <w:rFonts w:ascii="Arial" w:cs="Arial" w:eastAsia="Arial" w:hAnsi="Arial"/>
          <w:sz w:val="18"/>
          <w:szCs w:val="18"/>
          <w:color w:val="auto"/>
        </w:rPr>
      </w:pPr>
    </w:p>
    <w:p>
      <w:pPr>
        <w:ind w:left="640" w:right="16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4" w:lineRule="exact"/>
        <w:rPr>
          <w:rFonts w:ascii="Arial" w:cs="Arial" w:eastAsia="Arial" w:hAnsi="Arial"/>
          <w:sz w:val="18"/>
          <w:szCs w:val="18"/>
          <w:color w:val="auto"/>
        </w:rPr>
      </w:pPr>
    </w:p>
    <w:p>
      <w:pPr>
        <w:ind w:left="640" w:right="68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personnel costs, third-party cloud infrastructure costs and facilities costs;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58" w:lineRule="exact"/>
        <w:rPr>
          <w:rFonts w:ascii="Arial" w:cs="Arial" w:eastAsia="Arial" w:hAnsi="Arial"/>
          <w:sz w:val="18"/>
          <w:szCs w:val="18"/>
          <w:color w:val="auto"/>
        </w:rPr>
      </w:pPr>
    </w:p>
    <w:p>
      <w:pPr>
        <w:ind w:left="640" w:right="32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right="36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public health crises such as pandemics or similar outbreaks, war, incidents of terrorism or responses to these events, or an economic recession in the United States or other major markets.</w:t>
      </w:r>
    </w:p>
    <w:p>
      <w:pPr>
        <w:spacing w:after="0" w:line="163"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180" w:lineRule="exact"/>
        <w:rPr>
          <w:sz w:val="20"/>
          <w:szCs w:val="20"/>
          <w:color w:val="auto"/>
        </w:rPr>
      </w:pPr>
    </w:p>
    <w:p>
      <w:pPr>
        <w:jc w:val="both"/>
        <w:ind w:right="40" w:firstLine="318"/>
        <w:spacing w:after="0" w:line="251"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17"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maintaining and promoting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17"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 One is hosted on AWS which provides us with computing and storage capacity. Interruptions in our systems or the third-party systems on which we rely, particularly AWS, whether due to system failures, computer viruses or cyber threats, physical or electronic break-ins or other factors, could affect the security or availability of our solutions, network infrastructure and website.</w:t>
      </w:r>
    </w:p>
    <w:p>
      <w:pPr>
        <w:spacing w:after="0" w:line="185"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174" w:lineRule="exact"/>
        <w:rPr>
          <w:sz w:val="20"/>
          <w:szCs w:val="20"/>
          <w:color w:val="auto"/>
        </w:rPr>
      </w:pPr>
    </w:p>
    <w:p>
      <w:pPr>
        <w:ind w:right="100" w:firstLine="318"/>
        <w:spacing w:after="0" w:line="286"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43"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customer data, disruptions in service delivery or other problems, the market for cloud-based solutions as a whole may be negatively impacted, which in turn would negatively impact our revenue and our growth prospects.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1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although unfavorable macroeconomic conditions and the extent to which we continue to enter into larger deals, could result in longer average sales cycles. Further, the length of time that potential customers devote to their testing and evaluation, contract negotiation and budgeting processes varies significantly, depending on the size of the organization and nature of the product or service under consideration. Macroeconomic uncertainty, including foreign exchange rates, inflation, disruptions in access to bank deposits or lending commitments due to bank failures and uncertainty about economic stability, and concerns about economic recessions in the United States or other major markets, have and could continue to impact the budgets and 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average sales cycle.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86" w:lineRule="exact"/>
        <w:rPr>
          <w:sz w:val="20"/>
          <w:szCs w:val="20"/>
          <w:color w:val="auto"/>
        </w:rPr>
      </w:pPr>
    </w:p>
    <w:p>
      <w:pPr>
        <w:jc w:val="both"/>
        <w:ind w:right="120" w:firstLine="318"/>
        <w:spacing w:after="0" w:line="259" w:lineRule="auto"/>
        <w:rPr>
          <w:sz w:val="20"/>
          <w:szCs w:val="20"/>
          <w:color w:val="auto"/>
        </w:rPr>
      </w:pPr>
      <w:r>
        <w:rPr>
          <w:rFonts w:ascii="Arial" w:cs="Arial" w:eastAsia="Arial" w:hAnsi="Arial"/>
          <w:sz w:val="18"/>
          <w:szCs w:val="18"/>
          <w:b w:val="1"/>
          <w:bCs w:val="1"/>
          <w:i w:val="1"/>
          <w:iCs w:val="1"/>
          <w:color w:val="auto"/>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67"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 the ordinary course of our business, we collect, receive, store, process, generate, use, transfer, disclose, make accessible, protect, secure, dispose of, transmit, and share (collectively, “process”) personal data and other sensitive information, including proprietary and confidential business information, trade secrets, intellectual property, and sensitive third-party information. Our data processing activities subject us to numerous data privacy and security obligations, such as various laws, rules, regulations, guidance, industry standards, external and internal privacy and security policies, contracts, and other obligations that govern the processing of personal data by us and on our behalf.</w:t>
      </w:r>
    </w:p>
    <w:p>
      <w:pPr>
        <w:spacing w:after="0" w:line="16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the United States, federal, state, and local governments have enacted numerous data privacy security laws, including data breach notification laws, data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collectively, the CCPA, imposes obligations on covered businesses to provide specific disclosures in privacy notices and honor requests of California residents to exercise certain rights related to their personal data. The CCPA applies to personal data of consumers, business representatives and employees who are California residents and provides for fines for noncompliance (up to $7,500 per intentional violations. Further, the CCPA allows private litigants affected by certain data breaches to recover significant statutory damages. Similar laws have been passed or are being considered in several other states, as well as at the federal and local levels, and we expect more states to pass similar laws in the future. These developments may further complicate compliance efforts and may increase legal risk and compliance costs for us, the third parties with whom we work, and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40" w:firstLine="318"/>
        <w:spacing w:after="0" w:line="275" w:lineRule="auto"/>
        <w:rPr>
          <w:sz w:val="20"/>
          <w:szCs w:val="20"/>
          <w:color w:val="auto"/>
        </w:rPr>
      </w:pPr>
      <w:r>
        <w:rPr>
          <w:rFonts w:ascii="Arial" w:cs="Arial" w:eastAsia="Arial" w:hAnsi="Arial"/>
          <w:sz w:val="17"/>
          <w:szCs w:val="17"/>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Additionally, under various privacy laws and other obligations, we may be required to provide certain notices and obtain consents to process certain types of personal data. For example, some of our data processing practices may be challenged including in relation to our use of chatbot and session replay providers. These practices may be subject to increased challenges by class action plaintiffs. Our inability or failure to obtain consent for these practices could result in adverse consequences.</w:t>
      </w:r>
    </w:p>
    <w:p>
      <w:pPr>
        <w:spacing w:after="0" w:line="180"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Outside the United States, an increasing number of laws, regulations, and industry standards govern data privacy and security. For example, the European Union’s General Data Protection Regulation, or EU GDPR, and the United Kingdom’s GDPR, or UK GDPR, impose strict requirements for processing the personal data of individuals. Violations of these obligations carry significant potential consequences. For example, under the EU GDPR, government regulators may impose temporary or definitive bans on processing, as well as fines of up to €20 million or 4% of the annual global revenue, whichever is greater. In addition, new EU and UK regulations or legislative actions regarding data privacy and security (together with applicable industry standards) may be proposed or enacted, such as the EU's Digital Operational Resilience Act and its second Network and Information Security Directive, which may increase our costs of doing business, and non-compliance with such laws and regulations, as applicable to us, may lead to significant administrative fines. We have an internal data privacy function that oversees and supervises our compliance with data privacy laws, including EU and UK data protection regulations but, despite our efforts, we may fail, or be perceived to have failed, to comply. Canada's Personal Information Protection and Electronic Documents Act, or PIPEDA, and various related provincial laws, Canada's Anti-Spam Legislation, or CASL, and Brazil's General Data Protection Law (Law No. 13,709/2018), or Lei Geral de Proteção de Dados Pessaois, or LGPD, may apply to our operations. The LGPD broadly regulates processing personal data of individuals in Brazil and imposes compliance obligations and penalties comparable to those of the EU GDPR. Additionally, we also target customers in Asia and may be subject to new and emerging data privacy regimes in Asia, including China's Personal Information Protection Law, Japan's Act on the Protection of Personal Information, and Singapore's Personal Data Protection Act.</w:t>
      </w:r>
    </w:p>
    <w:p>
      <w:pPr>
        <w:spacing w:after="0" w:line="17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For example, some European regulators have significantly restricted some companies from transferring certain personal data out of Europe for allegedly violating the GDPR’s cross-border data transfer limitations.</w:t>
      </w:r>
    </w:p>
    <w:p>
      <w:pPr>
        <w:spacing w:after="0" w:line="194" w:lineRule="exact"/>
        <w:rPr>
          <w:sz w:val="20"/>
          <w:szCs w:val="20"/>
          <w:color w:val="auto"/>
        </w:rPr>
      </w:pPr>
    </w:p>
    <w:p>
      <w:pPr>
        <w:ind w:right="620" w:firstLine="318"/>
        <w:spacing w:after="0" w:line="274" w:lineRule="auto"/>
        <w:rPr>
          <w:sz w:val="20"/>
          <w:szCs w:val="20"/>
          <w:color w:val="auto"/>
        </w:rPr>
      </w:pPr>
      <w:r>
        <w:rPr>
          <w:rFonts w:ascii="Arial" w:cs="Arial" w:eastAsia="Arial" w:hAnsi="Arial"/>
          <w:sz w:val="18"/>
          <w:szCs w:val="18"/>
          <w:color w:val="auto"/>
        </w:rPr>
        <w:t>In addition to data privacy and security laws, we are contractually subject to industry standards adopted by industry groups and may become subject to such obligations in the future. Furthermore, we are bound by other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360"/>
        <w:spacing w:after="0" w:line="260" w:lineRule="auto"/>
        <w:rPr>
          <w:sz w:val="20"/>
          <w:szCs w:val="20"/>
          <w:color w:val="auto"/>
        </w:rPr>
      </w:pPr>
      <w:r>
        <w:rPr>
          <w:rFonts w:ascii="Arial" w:cs="Arial" w:eastAsia="Arial" w:hAnsi="Arial"/>
          <w:sz w:val="18"/>
          <w:szCs w:val="18"/>
          <w:color w:val="auto"/>
        </w:rPr>
        <w:t>obligations relating to data privacy and security, and our efforts to comply with such obligations may not be successful. For example, certain privacy laws, such as the GDPR and the CCPA, require our customers to impose specific contractual restrictions on their service providers. Additionally, some of our customer contracts require us to host personal data locally.</w:t>
      </w:r>
    </w:p>
    <w:p>
      <w:pPr>
        <w:spacing w:after="0" w:line="175"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We have published privacy policies, marketing materials, whitepapers, and other statements, such statements related to compliance with certain certifications or self-regulatory principles, concerning data privacy,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1"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Our obligations related to data privacy and security (and customers’ data privacy expectations) are quickly becoming increasingly stringent, and creating uncertainty. Additionally, these obligations may be subject to differing applications and interpretations, which may be inconsistent or in conflict among jurisdictions. Preparing for and complying with these obligations requires us to devote significant resources. These obligations may necessitate changes to our services, information technologies, systems, and practices and to those of any third parties that process personal data on our behalf. Existing and proposed laws and regulations can be costly to comply with, can delay or impede the development or adoption of our products and services and require significant management time and attention. Although we endeavor to comply with all data privacy and security obligations, we may at times fail (or be perceived to have failed) to do so. Moreover, despite our efforts, our personnel or third parties upon which we rely may fail to comply with such obligations, which could negatively impact our business operations and compliance posture. If we or the third parties upon which we rely fail, or are perceived to have failed, to address or comply with applicable data privacy and security obligations, we could face significant consequences. These consequences include, but are not limited to: government enforcement actions (such as investigations, fines, penalties, audits, inspections, and similar actions); litigation (including class-action related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interruptions or stoppages in our business operations, inability to process personal data or operate in certain jurisdictions; limited ability to develop or commercialize our products; expenditure of time and resources to defend any claim or inquiry; reputational harm; loss of customers; reduction in the use of our products; or revision or restricting of our operations.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rely on our third-party channel partner network of distributors and resellers to generate a substantial amount of our revenue.</w:t>
      </w:r>
    </w:p>
    <w:p>
      <w:pPr>
        <w:spacing w:after="0" w:line="22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typically use a two-tiered, channel model whereby we sell our products and services to our distributors, who in turn sell to our resellers, who then sell to our end users, who we call customers. We anticipate that we will continue to rely on this two-tiered sales model in order to help facilitate sales of our offerings as part of larger purchases in the United States and to grow our business internationally. In 2024, 2023 and 2022, we derived 94%, 93% and 92%, respectively, of our revenue from sales through channel partners, and the percentage of revenue derived from channel partners may continue to increase in future periods. Ingram Micro, Inc., a distributor, accounted for 34%, 36% and 38% of our revenue in 2024, 2023 and 2022, respectively, and 29% of our accounts receivable at December 31, 2024 and 32% at December 31, 2023.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as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result of economic uncertainty, legal or regulatory actions, such as government investigations or law enforcement activities, impacting their business,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0" w:lineRule="exact"/>
        <w:rPr>
          <w:sz w:val="20"/>
          <w:szCs w:val="20"/>
          <w:color w:val="auto"/>
        </w:rPr>
      </w:pPr>
    </w:p>
    <w:p>
      <w:pPr>
        <w:ind w:right="140" w:firstLine="318"/>
        <w:spacing w:after="0" w:line="286"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43"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187"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400"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and customers who receive government funding. As a result, we are subject to federal contracting regulations, including the Federal Acquisition Regulation, or the FAR. Under the FAR, certain types of contracts require pricing that is based on estimated direct and indirect costs, which are subject to change. The new U.S. presidential administration’s commitment to reduce government spending, may impact availability of funding for U.S. government customers, generally, as well as eliminate departments and/or personnel who rely on our products which could adversely affect our business and financial performance.</w:t>
      </w:r>
    </w:p>
    <w:p>
      <w:pPr>
        <w:spacing w:after="0" w:line="185"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Any such termination, adjustment, sanction, debarment or suspension could have an adverse effect on our business. Moreover, as a U.S. government contractor, we maintain plans to ensure compliance with nondiscrimination and regulatory requirements for qualified employees on the basis of gender, race, disability and veteran status. Consequently, we may be subject to executive orders and regulatory changes affecting various aspects of our operations, including compliance with nondiscrimination plans. Any required elimination or modification of such plans in response to new executive orders could pose challenges in hiring or retaining employees and may lead to other adverse operational impacts. Failure to comply with these requirements could expose us to administrative, civil, or criminal liabilities, including fines, penalties, repayments or suspension or debarment from eligibility from future U.S. government contracts. Further, as a U.S. government contractor, we are subject to an increased risk of investigations, criminal prosecution, civil fraud, whistleblower lawsuits and other legal actions and liabilities as compared to solely private sector commercial companies.</w:t>
      </w:r>
    </w:p>
    <w:p>
      <w:pPr>
        <w:spacing w:after="0" w:line="187"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0" w:lineRule="exact"/>
        <w:rPr>
          <w:sz w:val="20"/>
          <w:szCs w:val="20"/>
          <w:color w:val="auto"/>
        </w:rPr>
      </w:pPr>
    </w:p>
    <w:p>
      <w:pPr>
        <w:ind w:right="880" w:firstLine="318"/>
        <w:spacing w:after="0" w:line="286"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43"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190" w:lineRule="exact"/>
        <w:rPr>
          <w:sz w:val="20"/>
          <w:szCs w:val="20"/>
          <w:color w:val="auto"/>
        </w:rPr>
      </w:pPr>
    </w:p>
    <w:p>
      <w:pPr>
        <w:ind w:right="220" w:firstLine="318"/>
        <w:spacing w:after="0" w:line="253"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1" w:lineRule="exact"/>
        <w:rPr>
          <w:sz w:val="20"/>
          <w:szCs w:val="20"/>
          <w:color w:val="auto"/>
        </w:rPr>
      </w:pPr>
    </w:p>
    <w:p>
      <w:pPr>
        <w:ind w:right="680" w:firstLine="318"/>
        <w:spacing w:after="0" w:line="286"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43" w:lineRule="exact"/>
        <w:rPr>
          <w:sz w:val="20"/>
          <w:szCs w:val="20"/>
          <w:color w:val="auto"/>
        </w:rPr>
      </w:pPr>
    </w:p>
    <w:p>
      <w:pPr>
        <w:ind w:right="180" w:firstLine="318"/>
        <w:spacing w:after="0" w:line="269" w:lineRule="auto"/>
        <w:rPr>
          <w:sz w:val="20"/>
          <w:szCs w:val="20"/>
          <w:color w:val="auto"/>
        </w:rPr>
      </w:pPr>
      <w:r>
        <w:rPr>
          <w:rFonts w:ascii="Arial" w:cs="Arial" w:eastAsia="Arial" w:hAnsi="Arial"/>
          <w:sz w:val="17"/>
          <w:szCs w:val="17"/>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and if these new or enhanced offerings do not garner widespread market adoption and implementation, our operating results and competitive position could suffer.</w:t>
      </w:r>
    </w:p>
    <w:p>
      <w:pPr>
        <w:spacing w:after="0" w:line="169" w:lineRule="exact"/>
        <w:rPr>
          <w:sz w:val="20"/>
          <w:szCs w:val="20"/>
          <w:color w:val="auto"/>
        </w:rPr>
      </w:pPr>
    </w:p>
    <w:p>
      <w:pPr>
        <w:jc w:val="both"/>
        <w:ind w:right="340" w:firstLine="318"/>
        <w:spacing w:after="0" w:line="304"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4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57" w:lineRule="exact"/>
        <w:rPr>
          <w:sz w:val="20"/>
          <w:szCs w:val="20"/>
          <w:color w:val="auto"/>
        </w:rPr>
      </w:pPr>
    </w:p>
    <w:p>
      <w:pPr>
        <w:ind w:left="640" w:right="40" w:hanging="316"/>
        <w:spacing w:after="0" w:line="27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predict market demand accurately, including changes in demand as a result of macroeconomic trends, in terms of functionality and to supply offerings that meets this demand in a timely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58" w:lineRule="exact"/>
        <w:rPr>
          <w:rFonts w:ascii="Arial" w:cs="Arial" w:eastAsia="Arial" w:hAnsi="Arial"/>
          <w:sz w:val="18"/>
          <w:szCs w:val="18"/>
          <w:color w:val="auto"/>
        </w:rPr>
      </w:pPr>
    </w:p>
    <w:p>
      <w:pPr>
        <w:ind w:left="640" w:right="120" w:hanging="316"/>
        <w:spacing w:after="0" w:line="27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difficult macroeconomic conditions, causing them to delay or forgo IT purchases;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17" w:lineRule="exact"/>
        <w:rPr>
          <w:sz w:val="20"/>
          <w:szCs w:val="20"/>
          <w:color w:val="auto"/>
        </w:rPr>
      </w:pPr>
    </w:p>
    <w:p>
      <w:pPr>
        <w:ind w:right="400" w:firstLine="318"/>
        <w:spacing w:after="0" w:line="260"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75" w:lineRule="exact"/>
        <w:rPr>
          <w:sz w:val="20"/>
          <w:szCs w:val="20"/>
          <w:color w:val="auto"/>
        </w:rPr>
      </w:pPr>
    </w:p>
    <w:p>
      <w:pPr>
        <w:ind w:right="100" w:firstLine="318"/>
        <w:spacing w:after="0" w:line="286"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43"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97" w:lineRule="exact"/>
        <w:rPr>
          <w:sz w:val="20"/>
          <w:szCs w:val="20"/>
          <w:color w:val="auto"/>
        </w:rPr>
      </w:pPr>
    </w:p>
    <w:p>
      <w:pPr>
        <w:ind w:right="460" w:firstLine="318"/>
        <w:spacing w:after="0" w:line="286"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4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network and infrastructure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5" w:lineRule="exact"/>
        <w:rPr>
          <w:sz w:val="20"/>
          <w:szCs w:val="20"/>
          <w:color w:val="auto"/>
        </w:rPr>
      </w:pPr>
    </w:p>
    <w:p>
      <w:pPr>
        <w:ind w:right="560" w:firstLine="318"/>
        <w:spacing w:after="0" w:line="286"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43"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46% and 45% of our revenue in 2024 and 2023,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markets that we enter. Our current international operations and future initiatives will involve a variety of risks, including:</w:t>
      </w:r>
    </w:p>
    <w:p>
      <w:pPr>
        <w:spacing w:after="0" w:line="111"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of foreign exchange rates;</w:t>
      </w:r>
    </w:p>
    <w:p>
      <w:pPr>
        <w:spacing w:after="0" w:line="58" w:lineRule="exact"/>
        <w:rPr>
          <w:rFonts w:ascii="Arial" w:cs="Arial" w:eastAsia="Arial" w:hAnsi="Arial"/>
          <w:sz w:val="18"/>
          <w:szCs w:val="18"/>
          <w:color w:val="auto"/>
        </w:rPr>
      </w:pPr>
    </w:p>
    <w:p>
      <w:pPr>
        <w:ind w:left="640" w:right="80" w:hanging="316"/>
        <w:spacing w:after="0" w:line="260"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the corresponding impact on its ongoing legal, political, and economic relationship with the European Union and heightened levels of inflation;</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58" w:lineRule="exact"/>
        <w:rPr>
          <w:rFonts w:ascii="Arial" w:cs="Arial" w:eastAsia="Arial" w:hAnsi="Arial"/>
          <w:sz w:val="18"/>
          <w:szCs w:val="18"/>
          <w:color w:val="auto"/>
        </w:rPr>
      </w:pPr>
    </w:p>
    <w:p>
      <w:pPr>
        <w:ind w:left="640" w:right="240" w:hanging="316"/>
        <w:spacing w:after="0" w:line="292"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costs of staffing, managing and potentially reorganizing foreign operations, including increased employee recruitment, training and retention costs related to global employment turnover trends and inflationary pressures in the labor market;</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58" w:lineRule="exact"/>
        <w:rPr>
          <w:rFonts w:ascii="Arial" w:cs="Arial" w:eastAsia="Arial" w:hAnsi="Arial"/>
          <w:sz w:val="18"/>
          <w:szCs w:val="18"/>
          <w:color w:val="auto"/>
        </w:rPr>
      </w:pPr>
    </w:p>
    <w:p>
      <w:pPr>
        <w:ind w:left="640" w:right="220" w:hanging="316"/>
        <w:spacing w:after="0" w:line="27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spacing w:after="0" w:line="4" w:lineRule="exact"/>
        <w:rPr>
          <w:rFonts w:ascii="Arial" w:cs="Arial" w:eastAsia="Arial" w:hAnsi="Arial"/>
          <w:sz w:val="18"/>
          <w:szCs w:val="18"/>
          <w:color w:val="auto"/>
        </w:rPr>
      </w:pPr>
    </w:p>
    <w:p>
      <w:pPr>
        <w:ind w:left="640" w:right="320" w:hanging="316"/>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imposed by the United States or other governments on our solutions, trade barriers, economic sanctions and other regulatory or contractual limitations on our ability to sell or provide our solutions in certain foreign markets, and the risks and costs of non-compliance;</w:t>
      </w:r>
    </w:p>
    <w:p>
      <w:pPr>
        <w:spacing w:after="0" w:line="21" w:lineRule="exact"/>
        <w:rPr>
          <w:rFonts w:ascii="Arial" w:cs="Arial" w:eastAsia="Arial" w:hAnsi="Arial"/>
          <w:sz w:val="18"/>
          <w:szCs w:val="18"/>
          <w:color w:val="auto"/>
        </w:rPr>
      </w:pPr>
    </w:p>
    <w:p>
      <w:pPr>
        <w:ind w:left="640" w:right="300" w:hanging="316"/>
        <w:spacing w:after="0" w:line="27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4" w:lineRule="exact"/>
        <w:rPr>
          <w:rFonts w:ascii="Arial" w:cs="Arial" w:eastAsia="Arial" w:hAnsi="Arial"/>
          <w:sz w:val="18"/>
          <w:szCs w:val="18"/>
          <w:color w:val="auto"/>
        </w:rPr>
      </w:pPr>
    </w:p>
    <w:p>
      <w:pPr>
        <w:ind w:left="640" w:right="240" w:hanging="316"/>
        <w:spacing w:after="0" w:line="27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4" w:lineRule="exact"/>
        <w:rPr>
          <w:rFonts w:ascii="Arial" w:cs="Arial" w:eastAsia="Arial" w:hAnsi="Arial"/>
          <w:sz w:val="18"/>
          <w:szCs w:val="18"/>
          <w:color w:val="auto"/>
        </w:rPr>
      </w:pPr>
    </w:p>
    <w:p>
      <w:pPr>
        <w:ind w:left="640" w:right="1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political unrest, public health crises such as pandemics or similar outbreaks, acts of terrorism, hostilities or war, including the conflict between Ukraine and Russia, the ongoing conflict in the Middle East and increasing tensions between China and Taiwan;</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42"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 and regimes.</w:t>
      </w:r>
    </w:p>
    <w:p>
      <w:pPr>
        <w:spacing w:after="0" w:line="21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60"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including the recent passing of our former CEO, Mr. Yoran, could adversely affect our ability to execute our business plan, and we may not be able to find adequate replacements. We cannot ensure that we will be able to retain the services of any members of our senior management or other key employees.</w:t>
      </w:r>
    </w:p>
    <w:p>
      <w:pPr>
        <w:spacing w:after="0" w:line="187"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As previously announced, our Board of Directors is conducting a process to identify a new Chief Executive Officer for our company, including internal and external candidates. Although we intend to navigate this transition effectively, the uncertainty during the transition period may interrupt operations, impact relationships with partners and customers and increase the risks of employee departures, which may also result in the loss of institutional or technical knowledge, all of which may adversely affect our business.</w:t>
      </w:r>
    </w:p>
    <w:p>
      <w:pPr>
        <w:spacing w:after="0" w:line="180"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Our ability to successfully pursue our growth strategy also depends on our ability to attract, motivate and retain our personnel. Competition for well-qualified employees in all aspects of our business is intense. The move by companies to offer a remote or hybrid work environment may increase competition for such employees outside of our traditional office locations. In addition, employee turnover rates in the broader global economy and inflationary pressures in the labor market have increased and may continue to be elevated, which has led, and could continue to lead to increased recruiting, training and retention costs. If we do not succeed in attracting well-qualified employees, retaining and motivating existing employees or maintaining our corporate culture in a hybrid or remote work environment, our business would be adversely affected.</w:t>
      </w:r>
    </w:p>
    <w:p>
      <w:pPr>
        <w:spacing w:after="0" w:line="169"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 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17"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17"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exposure management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187"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1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have acquired products, technologies and businesses from other parties, such as our acquisition of Vulcan Cyber Ltd., or Vulcan Cyber, which we announced in January 2025, our June 2024 acquisition of Eureka Security, Inc., or Eureka, and our October 2023 acquisition of Ermetic, Ltd., or Ermetic, and we expect to expand our current business by acquiring additional businesses or technologies in the future. Acquisitions involve many risks, including the following:</w:t>
      </w:r>
    </w:p>
    <w:p>
      <w:pPr>
        <w:spacing w:after="0" w:line="180" w:lineRule="exact"/>
        <w:rPr>
          <w:sz w:val="20"/>
          <w:szCs w:val="20"/>
          <w:color w:val="auto"/>
        </w:rPr>
      </w:pPr>
    </w:p>
    <w:p>
      <w:pPr>
        <w:ind w:left="640" w:right="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1"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58" w:lineRule="exact"/>
        <w:rPr>
          <w:rFonts w:ascii="Arial" w:cs="Arial" w:eastAsia="Arial" w:hAnsi="Arial"/>
          <w:sz w:val="18"/>
          <w:szCs w:val="18"/>
          <w:color w:val="auto"/>
        </w:rPr>
      </w:pPr>
    </w:p>
    <w:p>
      <w:pPr>
        <w:ind w:left="640" w:right="68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58" w:lineRule="exact"/>
        <w:rPr>
          <w:rFonts w:ascii="Arial" w:cs="Arial" w:eastAsia="Arial" w:hAnsi="Arial"/>
          <w:sz w:val="18"/>
          <w:szCs w:val="18"/>
          <w:color w:val="auto"/>
        </w:rPr>
      </w:pPr>
    </w:p>
    <w:p>
      <w:pPr>
        <w:ind w:left="640" w:right="64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additional stock in connection with an acquisition could result in substantial dilution to our existing stockholders; and</w:t>
      </w:r>
    </w:p>
    <w:p>
      <w:pPr>
        <w:spacing w:after="0" w:line="58" w:lineRule="exact"/>
        <w:rPr>
          <w:rFonts w:ascii="Arial" w:cs="Arial" w:eastAsia="Arial" w:hAnsi="Arial"/>
          <w:sz w:val="18"/>
          <w:szCs w:val="18"/>
          <w:color w:val="auto"/>
        </w:rPr>
      </w:pPr>
    </w:p>
    <w:p>
      <w:pPr>
        <w:ind w:left="640" w:right="8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63" w:lineRule="exact"/>
        <w:rPr>
          <w:sz w:val="20"/>
          <w:szCs w:val="20"/>
          <w:color w:val="auto"/>
        </w:rPr>
      </w:pPr>
    </w:p>
    <w:p>
      <w:pPr>
        <w:ind w:right="540" w:firstLine="318"/>
        <w:spacing w:after="0" w:line="255" w:lineRule="auto"/>
        <w:rPr>
          <w:sz w:val="20"/>
          <w:szCs w:val="20"/>
          <w:color w:val="auto"/>
        </w:rPr>
      </w:pPr>
      <w:r>
        <w:rPr>
          <w:rFonts w:ascii="Arial" w:cs="Arial" w:eastAsia="Arial" w:hAnsi="Arial"/>
          <w:sz w:val="18"/>
          <w:szCs w:val="18"/>
          <w:color w:val="auto"/>
        </w:rPr>
        <w:t>Acquired businesses have had, and may in the future have, a less mature cybersecurity program than our own. While we take steps designed to ensure our data and system security protection measures cover the acquired business, there may be cybersecurity risks and vulnerabilities arising from those acquired or integrated entities’ systems, technologies and services, that could also impact our existing systems, technologies and services and increase our cybersecurity risks.</w:t>
      </w:r>
    </w:p>
    <w:p>
      <w:pPr>
        <w:spacing w:after="0" w:line="180"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In addition, Vulcan Cyber, Eureka and Ermetic and other companies we have acquired principally operate in Israel and the Regional conflict in the Middle East may also have the effect of heightening the risks identified above.</w:t>
      </w:r>
    </w:p>
    <w:p>
      <w:pPr>
        <w:spacing w:after="0" w:line="163" w:lineRule="exact"/>
        <w:rPr>
          <w:sz w:val="20"/>
          <w:szCs w:val="20"/>
          <w:color w:val="auto"/>
        </w:rPr>
      </w:pPr>
    </w:p>
    <w:p>
      <w:pPr>
        <w:ind w:right="520" w:firstLine="318"/>
        <w:spacing w:after="0" w:line="286" w:lineRule="auto"/>
        <w:rPr>
          <w:sz w:val="20"/>
          <w:szCs w:val="20"/>
          <w:color w:val="auto"/>
        </w:rPr>
      </w:pPr>
      <w:r>
        <w:rPr>
          <w:rFonts w:ascii="Arial" w:cs="Arial" w:eastAsia="Arial" w:hAnsi="Arial"/>
          <w:sz w:val="18"/>
          <w:szCs w:val="18"/>
          <w:b w:val="1"/>
          <w:bCs w:val="1"/>
          <w:i w:val="1"/>
          <w:iCs w:val="1"/>
          <w:color w:val="auto"/>
        </w:rPr>
        <w:t>We are subject to risks associated with our investments in private companies, including partial or complete loss of invested capital, and significant changes in the fair value of this portfolio could adversely impact our financial results.</w:t>
      </w:r>
    </w:p>
    <w:p>
      <w:pPr>
        <w:spacing w:after="0" w:line="143"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We have invested, and may continue to invest, in private companies where we do not have the ability to exercise significant influence over results. Investments in private companies are inherently risky. The companies in which we invest are early stage private companies focused on cybersecurity innovation, and such companies may still be developing technologies or products with limited cash to support the development, marketing and sales of their technologies or products. These companies may have no or limited revenues, may not be or ever become profitable, may not be able to secure additional private financing to fund their operations, or their technologies, services, or products may not be successfully developed or introduced to the market. If any company in which we invest fails, we could lose all or part of our investment in that company. In addition, if we determine that any of our investments in such companies have experienced a decline in value, we will recognize an expense to adjust the carrying value to its estimated fair value. For example, in 2023 we recognized $5.6 million of impairment loss related to our investments. Negative changes in the estimated fair value of our investments in private companies could have an adverse effect on our results of operations and financial condition.</w:t>
      </w:r>
    </w:p>
    <w:p>
      <w:pPr>
        <w:spacing w:after="0" w:line="185" w:lineRule="exact"/>
        <w:rPr>
          <w:sz w:val="20"/>
          <w:szCs w:val="20"/>
          <w:color w:val="auto"/>
        </w:rPr>
      </w:pPr>
    </w:p>
    <w:p>
      <w:pPr>
        <w:ind w:right="280" w:firstLine="318"/>
        <w:spacing w:after="0" w:line="260" w:lineRule="auto"/>
        <w:rPr>
          <w:sz w:val="20"/>
          <w:szCs w:val="20"/>
          <w:color w:val="auto"/>
        </w:rPr>
      </w:pPr>
      <w:r>
        <w:rPr>
          <w:rFonts w:ascii="Arial" w:cs="Arial" w:eastAsia="Arial" w:hAnsi="Arial"/>
          <w:sz w:val="18"/>
          <w:szCs w:val="18"/>
          <w:color w:val="auto"/>
        </w:rPr>
        <w:t>Furthermore, our ability to liquidate an investment in a private company will typically depend on a liquidity event, such as a private equity financing, a public offering or acquisition, as no public market currently exists for such securities. We may not be able to dispose of these investments on favorable terms or at all.</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01"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and the foreseeable future.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current Credit Agreement includes, and we expect that any future agreements governing our indebtedness will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Weakness and volatility in the capital markets and the economy in general could limit our access to capital markets and increase our costs of borrowing.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do not generate sufficient cash flows, we may be unable to service all of our indebtedness.</w:t>
      </w:r>
    </w:p>
    <w:p>
      <w:pPr>
        <w:spacing w:after="0" w:line="217"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To service our indebtedness, we will require a significant amount of cash. Our ability to generate cash, make scheduled payments or to refinance our debt obligations depends on our successful financial and operating performance, which may be affected by a range of economic, competitive and business factors, many of which are outside of our control and some of which are described elsewhere in the “Risk Factors” section of this report.</w:t>
      </w:r>
    </w:p>
    <w:p>
      <w:pPr>
        <w:spacing w:after="0" w:line="180"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If our cash flows and capital resources are insufficient to fund our debt service obligations, or to repay our outstanding senior secured credit facility, or Term Loan, when it matures, we may have to undertake alternative financing plans, such as refinancing or restructuring our debt, selling assets or operations, reducing or delaying capital investments, or seeking to raise additional capital. We may not be able to refinance our debt, or any refinancing of our debt could be at higher interest rates and may require us to comply with more restrictive covenants that could further restrict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60"/>
        <w:spacing w:after="0" w:line="304" w:lineRule="auto"/>
        <w:rPr>
          <w:sz w:val="20"/>
          <w:szCs w:val="20"/>
          <w:color w:val="auto"/>
        </w:rPr>
      </w:pPr>
      <w:r>
        <w:rPr>
          <w:rFonts w:ascii="Arial" w:cs="Arial" w:eastAsia="Arial" w:hAnsi="Arial"/>
          <w:sz w:val="17"/>
          <w:szCs w:val="17"/>
          <w:color w:val="auto"/>
        </w:rPr>
        <w:t>operations. Our ability to implement successfully any such alternative financing plans will depend on a range of factors, including general economic conditions, the level of activity in capital markets generally, and the terms of our various debt instruments then in effect.</w:t>
      </w:r>
    </w:p>
    <w:p>
      <w:pPr>
        <w:spacing w:after="0" w:line="141" w:lineRule="exact"/>
        <w:rPr>
          <w:sz w:val="20"/>
          <w:szCs w:val="20"/>
          <w:color w:val="auto"/>
        </w:rPr>
      </w:pPr>
    </w:p>
    <w:p>
      <w:pPr>
        <w:ind w:right="420" w:firstLine="318"/>
        <w:spacing w:after="0" w:line="286" w:lineRule="auto"/>
        <w:rPr>
          <w:sz w:val="20"/>
          <w:szCs w:val="20"/>
          <w:color w:val="auto"/>
        </w:rPr>
      </w:pPr>
      <w:r>
        <w:rPr>
          <w:rFonts w:ascii="Arial" w:cs="Arial" w:eastAsia="Arial" w:hAnsi="Arial"/>
          <w:sz w:val="18"/>
          <w:szCs w:val="18"/>
          <w:b w:val="1"/>
          <w:bCs w:val="1"/>
          <w:i w:val="1"/>
          <w:iCs w:val="1"/>
          <w:color w:val="auto"/>
        </w:rPr>
        <w:t>Covenants under our Credit Agreement may restrict our business and operations in many ways, and if we do not effectively manage our covenants, our financial conditions and results of operations could be adversely affected.</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Credit Agreement imposes various covenants that limit our ability and/or our restricted subsidiaries’ ability to, among other things:</w:t>
      </w:r>
    </w:p>
    <w:p>
      <w:pPr>
        <w:spacing w:after="0" w:line="111"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repurchase equity, prepay, redeem or repurchase certain debt, and make certain investments;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 and issue certain preferred stock;</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liens on assets;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certain asset sales, including capital stock of our subsidiaries;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consolidate with, or sell all or substantially all our assets to another person;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certain restrictions on the ability of restricted subsidiaries to pay dividends or make other payments to us.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covenants may:</w:t>
      </w:r>
    </w:p>
    <w:p>
      <w:pPr>
        <w:spacing w:after="0" w:line="111"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58" w:lineRule="exact"/>
        <w:rPr>
          <w:rFonts w:ascii="Arial" w:cs="Arial" w:eastAsia="Arial" w:hAnsi="Arial"/>
          <w:sz w:val="18"/>
          <w:szCs w:val="18"/>
          <w:color w:val="auto"/>
        </w:rPr>
      </w:pPr>
    </w:p>
    <w:p>
      <w:pPr>
        <w:ind w:left="640" w:right="8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less leveraged competitors;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21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If we are unable to successfully manage the limitations and decreased flexibility on our business due to our significant debt obligations, we may not be able to capitalize on strategic opportunities or grow our business to the extent we would be able to without these limitations.</w:t>
      </w:r>
    </w:p>
    <w:p>
      <w:pPr>
        <w:spacing w:after="0" w:line="163"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Our failure to comply with any of the covenants could result in a default under the Credit Agreement, which could permit the administrative agent or the lenders to cause the administrative agent to declare all or part of any of our outstanding senior secured term loans or revolving loans to be immediately due and payable or to exercise any remedies provided to the administrative agent, including, proceeding against the collateral granted to secure our obligations under the Credit Agreement. An event of default under the Credit Agreement could also lead to a default under the terms of certain of our other agreements. Any such event of default or any exercise of rights and remedies by our creditors could seriously harm our business.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variable rate debt subjects us to interest rate risk that could cause our debt service obligations to increase significantly</w:t>
      </w:r>
      <w:r>
        <w:rPr>
          <w:rFonts w:ascii="Arial" w:cs="Arial" w:eastAsia="Arial" w:hAnsi="Arial"/>
          <w:sz w:val="18"/>
          <w:szCs w:val="18"/>
          <w:color w:val="auto"/>
        </w:rPr>
        <w:t>.</w:t>
      </w:r>
    </w:p>
    <w:p>
      <w:pPr>
        <w:spacing w:after="0" w:line="24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indebtedness under our Credit Agreement is at variable rates of interest, which exposes us to interest rate risk. If interest rates increase, the debt service obligations on such indebtedness would increase even if the amount borrowed remains the same, and our net income and cash flows, including cash available for servicing our indebtedness, would correspondingly decrease. In addition, as a result of an amendment to our Credit Agreement, certain of the variable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indebtedness extended to us uses the Secured Overnight Financing Rate, or SOFR, as a benchmark for establishing the interest rate. While we will continue to use SOFR, other factors may impact SOFR including factors causing SOFR to cease to exist, new methods of calculating SOFR to be established, or the use of an alternative reference rate(s). These consequences are not entirely predictable and could have an adverse impact on our financing costs, returns on investments, valuation of derivative contracts and our financial results.</w:t>
      </w:r>
    </w:p>
    <w:p>
      <w:pPr>
        <w:spacing w:after="0" w:line="180" w:lineRule="exact"/>
        <w:rPr>
          <w:sz w:val="20"/>
          <w:szCs w:val="20"/>
          <w:color w:val="auto"/>
        </w:rPr>
      </w:pPr>
    </w:p>
    <w:p>
      <w:pPr>
        <w:ind w:right="260" w:firstLine="318"/>
        <w:spacing w:after="0" w:line="253"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and public reporting and corporate governance requirements. If there are significant changes in current principles, financial reporting standards, interpretations or public reporting and corporate governance requirements, or if our estimates or judgments relating to our critical accounting policies or reporting or governance requirements prove to be incorrect, we may experience unexpected financial reporting fluctuations or increased compliance costs and strain on our resources and our results of operations could be adversely affected.</w:t>
      </w:r>
    </w:p>
    <w:p>
      <w:pPr>
        <w:spacing w:after="0" w:line="175"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18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85" w:lineRule="exact"/>
        <w:rPr>
          <w:sz w:val="20"/>
          <w:szCs w:val="20"/>
          <w:color w:val="auto"/>
        </w:rPr>
      </w:pPr>
    </w:p>
    <w:p>
      <w:pPr>
        <w:ind w:right="280" w:firstLine="318"/>
        <w:spacing w:after="0" w:line="275" w:lineRule="auto"/>
        <w:rPr>
          <w:sz w:val="20"/>
          <w:szCs w:val="20"/>
          <w:color w:val="auto"/>
        </w:rPr>
      </w:pPr>
      <w:r>
        <w:rPr>
          <w:rFonts w:ascii="Arial" w:cs="Arial" w:eastAsia="Arial" w:hAnsi="Arial"/>
          <w:sz w:val="17"/>
          <w:szCs w:val="17"/>
          <w:color w:val="auto"/>
        </w:rPr>
        <w:t>As a public company, we are also subject to the reporting and corporate governance requirements of the Exchange Act, the listing requirements of the Nasdaq Stock Market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w:t>
      </w:r>
    </w:p>
    <w:p>
      <w:pPr>
        <w:spacing w:after="0" w:line="16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SEC and applicable listing standard requirements and review new pronouncements, drafts and interpretations thereof that are relevant to us. We might be required to change our accounting policies, alter our operational policies and implement new or enhance existing systems, or we may be required to restate our published financial statements, as a result of new standards or requirements, changes to existing standards or requirements and changes in their interpretation. Such changes to existing standards or requirements or changes in their interpretation may have an adverse effect on our reputation, business, financial position and profit, or cause an adverse deviation from our revenue and operating profit target, which may negatively impact our financial results. Additionally, we may incur substantial professional fees and expend significant management efforts, and we may need to hire additional staff with the appropriate experience and compile systems and processes necessary to adopt these new standards and disclosure or governance requirements.</w:t>
      </w:r>
    </w:p>
    <w:p>
      <w:pPr>
        <w:spacing w:after="0" w:line="18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For example, a number of climate disclosure regulations have been enacted, including the Corporate Sustainability Reporting Directive and the State of California's climate disclosure legislation, and other entities, including the SEC, may enact additional climate disclosure requirements. These rules may require disclosure on climate-related risks, risk management, governance and targets, and will require the company to calculate and disclose greenhouse gas emissions data and obtain assurance reports on these disclosures. Ongoing compliance with these regulations is expected to be challenging and will heighten the compliance risks identified above. Additionally, our failure or perceived failure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0"/>
        <w:spacing w:after="0" w:line="274" w:lineRule="auto"/>
        <w:rPr>
          <w:sz w:val="20"/>
          <w:szCs w:val="20"/>
          <w:color w:val="auto"/>
        </w:rPr>
      </w:pPr>
      <w:r>
        <w:rPr>
          <w:rFonts w:ascii="Arial" w:cs="Arial" w:eastAsia="Arial" w:hAnsi="Arial"/>
          <w:sz w:val="18"/>
          <w:szCs w:val="18"/>
          <w:color w:val="auto"/>
        </w:rPr>
        <w:t>with these disclosure requirements could lead to regulatory investigations, litigation, reputational harm, and other adverse business consequences.</w:t>
      </w:r>
    </w:p>
    <w:p>
      <w:pPr>
        <w:spacing w:after="0" w:line="163"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In addition, in July 2023, the SEC adopted rules requiring the disclosure of information about a material cybersecurity incident on Form 8-K within four business days of determining that the incident is material, unless the US Attorney General concludes that such a disclosure would pose a substantial risk to national security or public safety. These rules also require disclosures describing the processes used to identify, assess and manage cybersecurity risks, management's role in assessing and managing material risks from cybersecurity threats and the board of directors' role in overseeing cybersecurity risks.</w:t>
      </w:r>
    </w:p>
    <w:p>
      <w:pPr>
        <w:spacing w:after="0" w:line="181" w:lineRule="exact"/>
        <w:rPr>
          <w:sz w:val="20"/>
          <w:szCs w:val="20"/>
          <w:color w:val="auto"/>
        </w:rPr>
      </w:pPr>
    </w:p>
    <w:p>
      <w:pPr>
        <w:ind w:right="340" w:firstLine="318"/>
        <w:spacing w:after="0" w:line="286" w:lineRule="auto"/>
        <w:rPr>
          <w:sz w:val="20"/>
          <w:szCs w:val="20"/>
          <w:color w:val="auto"/>
        </w:rPr>
      </w:pPr>
      <w:r>
        <w:rPr>
          <w:rFonts w:ascii="Arial" w:cs="Arial" w:eastAsia="Arial" w:hAnsi="Arial"/>
          <w:sz w:val="18"/>
          <w:szCs w:val="18"/>
          <w:b w:val="1"/>
          <w:bCs w:val="1"/>
          <w:i w:val="1"/>
          <w:iCs w:val="1"/>
          <w:color w:val="auto"/>
        </w:rPr>
        <w:t>Unstable market and economic conditions may have material adverse consequences on our business, financial condition and share price.</w:t>
      </w:r>
    </w:p>
    <w:p>
      <w:pPr>
        <w:spacing w:after="0" w:line="14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global economy, including credit and financial markets, recently experienced extreme volatility and disruptions, including severely diminished liquidity and credit availability, declines in consumer confidence, declines in economic growth, increases in unemployment rates, inflation, interest rate fluctuations and uncertainty about economic stability. For example, in recent years the high rates of inflation, high interest rates and concerns about an economic recession in the United States or other major markets resulted in widespread unemployment, economic slowdown and extreme volatility in the capital markets. In 2022 and 2023, the Federal Reserve raised interest rates multiple times in response to concerns about inflation. While the Federal Reserve decreased interest rates in 2024, interest rates remain high and the Federal Reserve is not expected to significantly decrease interest rates in the immediate future. Higher interest rates, coupled with reduced government spending and volatility in financial markets, including with respect to foreign exchange, may increase economic uncertainty and affect consumer spending. For example, during periods with a relatively strong U.S. dollar, our products are more expensive for existing and prospective international customers, which has impacted, and could in the future impact, the budgets and purchasing decisions of certain of our existing and prospective international customers.</w:t>
      </w:r>
    </w:p>
    <w:p>
      <w:pPr>
        <w:spacing w:after="0" w:line="191"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budgets for our customers, longer sales cycles and potentially less demand for our products. Any significant increases in inflation and related increase in interest rates could have a material adverse effect on our business, results of operations and financial condition.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17"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w:t>
      </w:r>
    </w:p>
    <w:p>
      <w:pPr>
        <w:spacing w:after="0" w:line="17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have both hybrid remote and in-person work policies, however, substantially all of our employees have continued to work in a hybrid environment, which may pose additional security risks. Our business operations are subject to interruption by natural disasters, including those related to the long-term effects of climate change, and other catastrophic events such as fire, floods, power loss, telecommunications failure, cyberattack, war or terrorist attack, or epidemic or pandemic. To the extent such events impact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7" w:lineRule="exact"/>
        <w:rPr>
          <w:sz w:val="20"/>
          <w:szCs w:val="20"/>
          <w:color w:val="auto"/>
        </w:rPr>
      </w:pPr>
    </w:p>
    <w:p>
      <w:pPr>
        <w:ind w:right="140" w:firstLine="318"/>
        <w:spacing w:after="0" w:line="26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could be materially adversely affected by the recent conflict in the Middle East and subsequent hostilities in the region, as well as any negative impact on the regional or global economies and capital markets resulting therefrom or from the ongoing conflict between Ukraine and Russia and any other geopolitical 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U.S. and global markets have experienced volatility and disruption following the escalation of geopolitical tensions, including the conflict in the Middle East, the ongoing conflict between Ukraine and Russia and increasing tensions between China and Taiwan. The length, scale and impact of these military conflicts are highly unpredictable and could continue to result in market disruptions, including significant volatility in commodity prices, credit and capital markets, disruption in the energy market as well as supply chain interruptions.</w:t>
      </w:r>
    </w:p>
    <w:p>
      <w:pPr>
        <w:spacing w:after="0" w:line="180"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Furthermore, our research and development teams for Tenable OT Security and for Tenable Cloud Security are primarily located in Tel Aviv, Israel. Recent and ongoing hostilities in the region may have a material impact on our ability to deliver on our product roadmaps for these solutions.</w:t>
      </w:r>
    </w:p>
    <w:p>
      <w:pPr>
        <w:spacing w:after="0" w:line="175" w:lineRule="exact"/>
        <w:rPr>
          <w:sz w:val="20"/>
          <w:szCs w:val="20"/>
          <w:color w:val="auto"/>
        </w:rPr>
      </w:pPr>
    </w:p>
    <w:p>
      <w:pPr>
        <w:ind w:right="260" w:firstLine="318"/>
        <w:spacing w:after="0" w:line="260" w:lineRule="auto"/>
        <w:rPr>
          <w:sz w:val="20"/>
          <w:szCs w:val="20"/>
          <w:color w:val="auto"/>
        </w:rPr>
      </w:pPr>
      <w:r>
        <w:rPr>
          <w:rFonts w:ascii="Arial" w:cs="Arial" w:eastAsia="Arial" w:hAnsi="Arial"/>
          <w:sz w:val="18"/>
          <w:szCs w:val="18"/>
          <w:color w:val="auto"/>
        </w:rPr>
        <w:t>It is impossible to predict the extent to which our operations, or those of our partners or customers, will be impacted in the short and long term, or the ways in which these conflicts may impact our business. The extent and duration of the military action, sanctions and resulting market disruptions are impossible to predict, but could be substantial.</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19" w:lineRule="exact"/>
        <w:rPr>
          <w:sz w:val="20"/>
          <w:szCs w:val="20"/>
          <w:color w:val="auto"/>
        </w:rPr>
      </w:pPr>
    </w:p>
    <w:p>
      <w:pPr>
        <w:ind w:right="20" w:firstLine="318"/>
        <w:spacing w:after="0" w:line="286"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43"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7" w:lineRule="exact"/>
        <w:rPr>
          <w:sz w:val="20"/>
          <w:szCs w:val="20"/>
          <w:color w:val="auto"/>
        </w:rPr>
      </w:pPr>
    </w:p>
    <w:p>
      <w:pPr>
        <w:ind w:right="540" w:firstLine="318"/>
        <w:spacing w:after="0" w:line="286"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43" w:lineRule="exact"/>
        <w:rPr>
          <w:sz w:val="20"/>
          <w:szCs w:val="20"/>
          <w:color w:val="auto"/>
        </w:rPr>
      </w:pPr>
    </w:p>
    <w:p>
      <w:pPr>
        <w:ind w:firstLine="318"/>
        <w:spacing w:after="0" w:line="282" w:lineRule="auto"/>
        <w:rPr>
          <w:sz w:val="20"/>
          <w:szCs w:val="20"/>
          <w:color w:val="auto"/>
        </w:rPr>
      </w:pPr>
      <w:r>
        <w:rPr>
          <w:rFonts w:ascii="Arial" w:cs="Arial" w:eastAsia="Arial" w:hAnsi="Arial"/>
          <w:sz w:val="17"/>
          <w:szCs w:val="17"/>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59" w:lineRule="exact"/>
        <w:rPr>
          <w:sz w:val="20"/>
          <w:szCs w:val="20"/>
          <w:color w:val="auto"/>
        </w:rPr>
      </w:pPr>
    </w:p>
    <w:p>
      <w:pPr>
        <w:ind w:right="280" w:firstLine="318"/>
        <w:spacing w:after="0" w:line="264" w:lineRule="auto"/>
        <w:rPr>
          <w:sz w:val="20"/>
          <w:szCs w:val="20"/>
          <w:color w:val="auto"/>
        </w:rPr>
      </w:pPr>
      <w:r>
        <w:rPr>
          <w:rFonts w:ascii="Arial" w:cs="Arial" w:eastAsia="Arial" w:hAnsi="Arial"/>
          <w:sz w:val="17"/>
          <w:szCs w:val="17"/>
          <w:color w:val="auto"/>
        </w:rPr>
        <w:t>At December 31, 2024, we had 47 issued patents and 22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and “Nessus,” and our Tenable logo in the United States and certain other countries. We have registrations and/or pending applications for additional trademarks;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173" w:lineRule="exact"/>
        <w:rPr>
          <w:sz w:val="20"/>
          <w:szCs w:val="20"/>
          <w:color w:val="auto"/>
        </w:rPr>
      </w:pPr>
    </w:p>
    <w:p>
      <w:pPr>
        <w:ind w:right="280" w:firstLine="318"/>
        <w:spacing w:after="0" w:line="274"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191"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185"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68" w:lineRule="exact"/>
        <w:rPr>
          <w:sz w:val="20"/>
          <w:szCs w:val="20"/>
          <w:color w:val="auto"/>
        </w:rPr>
      </w:pPr>
    </w:p>
    <w:p>
      <w:pPr>
        <w:ind w:right="20" w:firstLine="318"/>
        <w:spacing w:after="0" w:line="286"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4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and as we acquire more companies,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186"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including those relating to companies we acquire.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5" w:lineRule="exact"/>
        <w:rPr>
          <w:sz w:val="20"/>
          <w:szCs w:val="20"/>
          <w:color w:val="auto"/>
        </w:rPr>
      </w:pPr>
    </w:p>
    <w:p>
      <w:pPr>
        <w:ind w:right="420" w:firstLine="318"/>
        <w:spacing w:after="0" w:line="286"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43"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191"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17" w:lineRule="exact"/>
        <w:rPr>
          <w:sz w:val="20"/>
          <w:szCs w:val="20"/>
          <w:color w:val="auto"/>
        </w:rPr>
      </w:pPr>
    </w:p>
    <w:p>
      <w:pPr>
        <w:jc w:val="both"/>
        <w:ind w:right="260" w:firstLine="318"/>
        <w:spacing w:after="0" w:line="260"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69"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right="20" w:hanging="316"/>
        <w:spacing w:after="0" w:line="27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58" w:lineRule="exact"/>
        <w:rPr>
          <w:rFonts w:ascii="Arial" w:cs="Arial" w:eastAsia="Arial" w:hAnsi="Arial"/>
          <w:sz w:val="18"/>
          <w:szCs w:val="18"/>
          <w:color w:val="auto"/>
        </w:rPr>
      </w:pPr>
    </w:p>
    <w:p>
      <w:pPr>
        <w:ind w:left="640" w:right="380" w:hanging="316"/>
        <w:spacing w:after="0" w:line="27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the terms of the Credit Agreement;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58" w:lineRule="exact"/>
        <w:rPr>
          <w:rFonts w:ascii="Arial" w:cs="Arial" w:eastAsia="Arial" w:hAnsi="Arial"/>
          <w:sz w:val="18"/>
          <w:szCs w:val="18"/>
          <w:color w:val="auto"/>
        </w:rPr>
      </w:pPr>
    </w:p>
    <w:p>
      <w:pPr>
        <w:ind w:left="640" w:right="620" w:hanging="316"/>
        <w:spacing w:after="0" w:line="27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58"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or proposed laws or regulations or new interpretations of existing laws or regulations applicable to our business, including changes to the U.S. corporate income tax rate and capital gains tax rates;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58" w:lineRule="exact"/>
        <w:rPr>
          <w:rFonts w:ascii="Arial" w:cs="Arial" w:eastAsia="Arial" w:hAnsi="Arial"/>
          <w:sz w:val="18"/>
          <w:szCs w:val="18"/>
          <w:color w:val="auto"/>
        </w:rPr>
      </w:pPr>
    </w:p>
    <w:p>
      <w:pPr>
        <w:ind w:left="640" w:right="360" w:hanging="316"/>
        <w:spacing w:after="0" w:line="27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public health crises such as pandemics or similar outbreaks, war, incidents of terrorism or responses to these events.</w:t>
      </w:r>
    </w:p>
    <w:p>
      <w:pPr>
        <w:spacing w:after="0" w:line="163"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high rates of inflation and interest rates, disruptions in access to bank deposits or lending commitments due to bank failures and uncertainty about economic stability and concerns about an economic recession in the United States or other major markets, the ongoing military conflict between Ukraine and Russia, the ongoing conflict in the Middle East, increasing tensions between China and Taiwan and macroeconomic conditions.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7" w:lineRule="exact"/>
        <w:rPr>
          <w:sz w:val="20"/>
          <w:szCs w:val="20"/>
          <w:color w:val="auto"/>
        </w:rPr>
      </w:pPr>
    </w:p>
    <w:p>
      <w:pPr>
        <w:ind w:right="340" w:firstLine="318"/>
        <w:spacing w:after="0" w:line="28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43"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firstLine="318"/>
        <w:spacing w:after="0" w:line="286"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by us or our stockholders, or the perception such sales might occur, could reduce the price that our common stock might otherwise attain.</w:t>
      </w:r>
    </w:p>
    <w:p>
      <w:pPr>
        <w:spacing w:after="0" w:line="143" w:lineRule="exact"/>
        <w:rPr>
          <w:sz w:val="20"/>
          <w:szCs w:val="20"/>
          <w:color w:val="auto"/>
        </w:rPr>
      </w:pPr>
    </w:p>
    <w:p>
      <w:pPr>
        <w:ind w:right="260" w:firstLine="318"/>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spacing w:after="0" w:line="18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5" w:lineRule="exact"/>
        <w:rPr>
          <w:sz w:val="20"/>
          <w:szCs w:val="20"/>
          <w:color w:val="auto"/>
        </w:rPr>
      </w:pPr>
    </w:p>
    <w:p>
      <w:pPr>
        <w:ind w:right="200" w:firstLine="318"/>
        <w:spacing w:after="0" w:line="286"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4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contains restrictive covenants that prohibit us, subject to certain exceptions, from paying dividends on our common stock.</w:t>
      </w:r>
    </w:p>
    <w:p>
      <w:pPr>
        <w:spacing w:after="0" w:line="185" w:lineRule="exact"/>
        <w:rPr>
          <w:sz w:val="20"/>
          <w:szCs w:val="20"/>
          <w:color w:val="auto"/>
        </w:rPr>
      </w:pPr>
    </w:p>
    <w:p>
      <w:pPr>
        <w:ind w:right="80" w:firstLine="318"/>
        <w:spacing w:after="0" w:line="286"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stockholder value, and any share repurchases we make could affect the price of our common stock.</w:t>
      </w:r>
    </w:p>
    <w:p>
      <w:pPr>
        <w:spacing w:after="0" w:line="14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On November 27, 2023, we announced that our Board of Directors authorized a share repurchase program of up to $100 million of shares of our outstanding common stock. In October 2024, our Board of Directors increased the repurchase authorization by $200 million.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and amount of repurchases, if any, will be subject to liquidity, stock price, market and economic conditions, compliance with applicable legal requirements such as Delaware surplus and solvency tests, compliance with our credit agreement, and other relevant factors.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 and we may fail to realize the anticipated long-term stockholder value. Additionally, the Inflation Reduction Act of 2022, enacted on August 16, 2022, imposes a one-percent non-deductible excise tax on repurchases of stock that are made by U.S. publicly traded corporations.</w:t>
      </w:r>
    </w:p>
    <w:p>
      <w:pPr>
        <w:spacing w:after="0" w:line="189" w:lineRule="exact"/>
        <w:rPr>
          <w:sz w:val="20"/>
          <w:szCs w:val="20"/>
          <w:color w:val="auto"/>
        </w:rPr>
      </w:pPr>
    </w:p>
    <w:p>
      <w:pPr>
        <w:ind w:right="260" w:firstLine="318"/>
        <w:spacing w:after="0" w:line="266"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60"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right="40" w:hanging="316"/>
        <w:spacing w:after="0" w:line="27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4" w:lineRule="exact"/>
        <w:rPr>
          <w:rFonts w:ascii="Arial" w:cs="Arial" w:eastAsia="Arial" w:hAnsi="Arial"/>
          <w:sz w:val="18"/>
          <w:szCs w:val="18"/>
          <w:color w:val="auto"/>
        </w:rPr>
      </w:pPr>
    </w:p>
    <w:p>
      <w:pPr>
        <w:ind w:left="640" w:right="400" w:hanging="316"/>
        <w:spacing w:after="0" w:line="26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6" w:lineRule="exact"/>
        <w:rPr>
          <w:rFonts w:ascii="Arial" w:cs="Arial" w:eastAsia="Arial" w:hAnsi="Arial"/>
          <w:sz w:val="18"/>
          <w:szCs w:val="18"/>
          <w:color w:val="auto"/>
        </w:rPr>
      </w:pPr>
    </w:p>
    <w:p>
      <w:pPr>
        <w:ind w:left="640" w:right="40" w:hanging="316"/>
        <w:spacing w:after="0" w:line="292"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7"/>
          <w:szCs w:val="17"/>
          <w:color w:val="auto"/>
        </w:rPr>
      </w:pPr>
    </w:p>
    <w:p>
      <w:pPr>
        <w:ind w:left="640" w:right="260" w:hanging="316"/>
        <w:spacing w:after="0" w:line="27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 w:lineRule="exact"/>
        <w:rPr>
          <w:rFonts w:ascii="Arial" w:cs="Arial" w:eastAsia="Arial" w:hAnsi="Arial"/>
          <w:sz w:val="18"/>
          <w:szCs w:val="18"/>
          <w:color w:val="auto"/>
        </w:rPr>
      </w:pPr>
    </w:p>
    <w:p>
      <w:pPr>
        <w:jc w:val="both"/>
        <w:ind w:left="640" w:right="20" w:hanging="316"/>
        <w:spacing w:after="0" w:line="26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6" w:lineRule="exact"/>
        <w:rPr>
          <w:rFonts w:ascii="Arial" w:cs="Arial" w:eastAsia="Arial" w:hAnsi="Arial"/>
          <w:sz w:val="18"/>
          <w:szCs w:val="18"/>
          <w:color w:val="auto"/>
        </w:rPr>
      </w:pPr>
    </w:p>
    <w:p>
      <w:pPr>
        <w:ind w:left="640" w:right="40" w:hanging="316"/>
        <w:spacing w:after="0" w:line="25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21" w:lineRule="exact"/>
        <w:rPr>
          <w:rFonts w:ascii="Arial" w:cs="Arial" w:eastAsia="Arial" w:hAnsi="Arial"/>
          <w:sz w:val="18"/>
          <w:szCs w:val="18"/>
          <w:color w:val="auto"/>
        </w:rPr>
      </w:pPr>
    </w:p>
    <w:p>
      <w:pPr>
        <w:ind w:left="640" w:right="200" w:hanging="316"/>
        <w:spacing w:after="0" w:line="26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6" w:lineRule="exact"/>
        <w:rPr>
          <w:rFonts w:ascii="Arial" w:cs="Arial" w:eastAsia="Arial" w:hAnsi="Arial"/>
          <w:sz w:val="18"/>
          <w:szCs w:val="18"/>
          <w:color w:val="auto"/>
        </w:rPr>
      </w:pPr>
    </w:p>
    <w:p>
      <w:pPr>
        <w:ind w:left="640" w:right="140" w:hanging="316"/>
        <w:spacing w:after="0" w:line="26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5"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63" w:lineRule="exact"/>
        <w:rPr>
          <w:sz w:val="20"/>
          <w:szCs w:val="20"/>
          <w:color w:val="auto"/>
        </w:rPr>
      </w:pPr>
    </w:p>
    <w:p>
      <w:pPr>
        <w:ind w:right="200" w:firstLine="318"/>
        <w:spacing w:after="0" w:line="288"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44" w:lineRule="exact"/>
        <w:rPr>
          <w:sz w:val="20"/>
          <w:szCs w:val="20"/>
          <w:color w:val="auto"/>
        </w:rPr>
      </w:pPr>
    </w:p>
    <w:p>
      <w:pPr>
        <w:ind w:right="740" w:firstLine="318"/>
        <w:spacing w:after="0" w:line="274"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57"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58" w:lineRule="exact"/>
        <w:rPr>
          <w:rFonts w:ascii="Arial" w:cs="Arial" w:eastAsia="Arial" w:hAnsi="Arial"/>
          <w:sz w:val="18"/>
          <w:szCs w:val="18"/>
          <w:color w:val="auto"/>
        </w:rPr>
      </w:pPr>
    </w:p>
    <w:p>
      <w:pPr>
        <w:ind w:left="640" w:right="80" w:hanging="316"/>
        <w:spacing w:after="0" w:line="27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5"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Risks</w:t>
      </w:r>
    </w:p>
    <w:p>
      <w:pPr>
        <w:spacing w:after="0" w:line="219" w:lineRule="exact"/>
        <w:rPr>
          <w:sz w:val="20"/>
          <w:szCs w:val="20"/>
          <w:color w:val="auto"/>
        </w:rPr>
      </w:pPr>
    </w:p>
    <w:p>
      <w:pPr>
        <w:ind w:right="160" w:firstLine="318"/>
        <w:spacing w:after="0" w:line="317" w:lineRule="auto"/>
        <w:rPr>
          <w:sz w:val="20"/>
          <w:szCs w:val="20"/>
          <w:color w:val="auto"/>
        </w:rPr>
      </w:pPr>
      <w:r>
        <w:rPr>
          <w:rFonts w:ascii="Arial" w:cs="Arial" w:eastAsia="Arial" w:hAnsi="Arial"/>
          <w:sz w:val="17"/>
          <w:szCs w:val="17"/>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20"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We are subject to the anti -bribery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7" w:lineRule="exact"/>
        <w:rPr>
          <w:sz w:val="20"/>
          <w:szCs w:val="20"/>
          <w:color w:val="auto"/>
        </w:rPr>
      </w:pPr>
    </w:p>
    <w:p>
      <w:pPr>
        <w:jc w:val="center"/>
        <w:ind w:right="40"/>
        <w:spacing w:after="0" w:line="317"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20"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181"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187" w:lineRule="exact"/>
        <w:rPr>
          <w:sz w:val="20"/>
          <w:szCs w:val="20"/>
          <w:color w:val="auto"/>
        </w:rPr>
      </w:pPr>
    </w:p>
    <w:p>
      <w:pPr>
        <w:ind w:right="140" w:firstLine="318"/>
        <w:spacing w:after="0" w:line="282" w:lineRule="auto"/>
        <w:rPr>
          <w:sz w:val="20"/>
          <w:szCs w:val="20"/>
          <w:color w:val="auto"/>
        </w:rPr>
      </w:pPr>
      <w:r>
        <w:rPr>
          <w:rFonts w:ascii="Arial" w:cs="Arial" w:eastAsia="Arial" w:hAnsi="Arial"/>
          <w:sz w:val="17"/>
          <w:szCs w:val="17"/>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59" w:lineRule="exact"/>
        <w:rPr>
          <w:sz w:val="20"/>
          <w:szCs w:val="20"/>
          <w:color w:val="auto"/>
        </w:rPr>
      </w:pPr>
    </w:p>
    <w:p>
      <w:pPr>
        <w:ind w:right="520" w:firstLine="318"/>
        <w:spacing w:after="0" w:line="286" w:lineRule="auto"/>
        <w:rPr>
          <w:sz w:val="20"/>
          <w:szCs w:val="20"/>
          <w:color w:val="auto"/>
        </w:rPr>
      </w:pPr>
      <w:r>
        <w:rPr>
          <w:rFonts w:ascii="Arial" w:cs="Arial" w:eastAsia="Arial" w:hAnsi="Arial"/>
          <w:sz w:val="18"/>
          <w:szCs w:val="18"/>
          <w:b w:val="1"/>
          <w:bCs w:val="1"/>
          <w:i w:val="1"/>
          <w:iCs w:val="1"/>
          <w:color w:val="auto"/>
        </w:rPr>
        <w:t>Changes to and uncertainties in the interpretation and application of tax laws and regulations could materially affect our tax obligations and effective tax rate.</w:t>
      </w:r>
    </w:p>
    <w:p>
      <w:pPr>
        <w:spacing w:after="0" w:line="143"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and may be subject to significant change. The issuance of additional regulatory or accounting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Furthermore, the Organization for Economic Co-operation and Development, or OECD, is leading work on proposals, commonly referred to as “BEPS 2.0”, which, to the extent enacted, will make changes to the international tax system. These proposals are based on two “pillars”, involving the allocation of taxing rights in respect of certain multinational enterprises above a fixed profit margin to the jurisdictions in which they carry on business (subject to certain revenue threshold rules which we do not currently meet but may meet in the future), referred to as Pillar One, and imposing a minimum effective tax rate on certain multinational enterprises, referred to as Pillar Two. A number of countries in which we operate have enacted, or are planning to enact, core elements of the Pillar Two rules. The OECD has issued administrative guidance providing transition and safe harbor rules in relation to the implementation of Pillar Two. We are monitoring minimum revenue threshold requirements and developments and evaluating the potential impacts of these rules, including on our effective tax rates and considering our eligibility to qualify for the available safe harbor rules. Any of the foregoing could increase our tax obligations and require us to incur additional material costs to ensure compliance with any such rules in the countries where we do business.</w:t>
      </w:r>
    </w:p>
    <w:p>
      <w:pPr>
        <w:spacing w:after="0" w:line="186"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In addition, forecasts of our income tax position and effective tax rate for financial accounting purposes are complex and subject to significant judgment and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tax laws (and changes to these rules and tax laws), the results of examinations by various tax authorities, and the impact of any acquisition, business combination or other reorganization or financing transaction. To forecast our global tax rate, we estimate our pre-tax profits and losses and tax expense by jurisdiction. If the mix of profits and losses, our ability to use tax assets and attributes, our assessment of the need for valuation allowances, effective tax rates by jurisdiction or other factors are different than those estimated, our actual tax rate could be materially different than forecasted, which could have a material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20" w:firstLine="318"/>
        <w:spacing w:after="0" w:line="317" w:lineRule="auto"/>
        <w:rPr>
          <w:sz w:val="20"/>
          <w:szCs w:val="20"/>
          <w:color w:val="auto"/>
        </w:rPr>
      </w:pPr>
      <w:r>
        <w:rPr>
          <w:rFonts w:ascii="Arial" w:cs="Arial" w:eastAsia="Arial" w:hAnsi="Arial"/>
          <w:sz w:val="17"/>
          <w:szCs w:val="17"/>
          <w:b w:val="1"/>
          <w:bCs w:val="1"/>
          <w:i w:val="1"/>
          <w:iCs w:val="1"/>
          <w:color w:val="auto"/>
        </w:rPr>
        <w:t>Our operating results may be negatively affected if we are required to pay additional taxes, including sales and use tax, value added tax, or other transaction taxes, and we could be subject to liability with respect to all or a portion of past or future sales.</w:t>
      </w:r>
    </w:p>
    <w:p>
      <w:pPr>
        <w:spacing w:after="0" w:line="120"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or the interpretation of existing laws and regulations requiring the payment of additional taxes, would result in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or future sales or otherwise harm our business and operating results.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17" w:lineRule="exact"/>
        <w:rPr>
          <w:sz w:val="20"/>
          <w:szCs w:val="20"/>
          <w:color w:val="auto"/>
        </w:rPr>
      </w:pPr>
    </w:p>
    <w:p>
      <w:pPr>
        <w:ind w:right="160" w:firstLine="318"/>
        <w:spacing w:after="0" w:line="253" w:lineRule="auto"/>
        <w:rPr>
          <w:sz w:val="20"/>
          <w:szCs w:val="20"/>
          <w:color w:val="auto"/>
        </w:rPr>
      </w:pPr>
      <w:r>
        <w:rPr>
          <w:rFonts w:ascii="Arial" w:cs="Arial" w:eastAsia="Arial" w:hAnsi="Arial"/>
          <w:sz w:val="18"/>
          <w:szCs w:val="18"/>
          <w:color w:val="auto"/>
        </w:rPr>
        <w:t>At December 31, 2024 we had U.S. federal, state and foreign net operating loss carryforwards, or NOLs, of $353.9 million, $239.3 million, and $468.6 million, respectively, available to offset future taxable income, some of which will begin to expire in 2030. A lack of future taxable income would adversely affect our ability to utilize certain of our NOLs before they expire. Under current law, Federal NOLs incurred in taxable years beginning after December 31, 2017 can be carried forward indefinitely, but the deductibility of such federal NOLs in a taxable year is limited to 80% of taxable income in such year. Certain foreign jurisdictions have annual limitations on the use of NOLs.</w:t>
      </w:r>
    </w:p>
    <w:p>
      <w:pPr>
        <w:spacing w:after="0" w:line="18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under the provisions of the Internal Revenue Code of 1986, as amended, or the Internal Revenue Code, changes in our ownership may limit the amount of pre-change NOLs that can be utilized annually in the future to offset taxable income. Section 382 and 383 of the Internal Revenue Code impose limitations on a company’s ability to use its NOLs and other tax assets to offset its taxable income if one or more stockholders or groups of stockholders that each own at least 5% of the company’s stock increase their aggregate ownership (by value) by more than 50 percentage points over their lowest ownership percentages within a rolling three-year period. Similar rules may apply under state and foreign tax laws. Based upon an analysis at December 31, 2024, we do not expect these limitations to materially impair our ability to use our NOLs and other tax assets prior to expiration. However, if changes in our ownership occurred after such date, or occur in the future, our ability to use our NOLs and other tax assets may be limited. Subsequent statutory or regulatory changes in respect of the utilization of NOLs and other tax assets for federal, state or foreign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our NOLs and other tax assets, even if we achieve profitability.</w:t>
      </w:r>
    </w:p>
    <w:p>
      <w:pPr>
        <w:spacing w:after="0" w:line="179" w:lineRule="exact"/>
        <w:rPr>
          <w:sz w:val="20"/>
          <w:szCs w:val="20"/>
          <w:color w:val="auto"/>
        </w:rPr>
      </w:pPr>
    </w:p>
    <w:p>
      <w:pPr>
        <w:jc w:val="both"/>
        <w:ind w:right="640" w:firstLine="318"/>
        <w:spacing w:after="0" w:line="266"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180" w:lineRule="exact"/>
        <w:rPr>
          <w:sz w:val="20"/>
          <w:szCs w:val="20"/>
          <w:color w:val="auto"/>
        </w:rPr>
      </w:pPr>
    </w:p>
    <w:p>
      <w:pPr>
        <w:ind w:right="20" w:firstLine="318"/>
        <w:spacing w:after="0" w:line="269"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219"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Tenable recognizes the critical importance of developing, implementing, and maintaining robust cybersecurity measures to safeguard our information systems and protect the confidentiality, integrity, and availability of our data and our exposure management solutions. We have implemented and maintain various information security processes designed to identify, assess and manage material risks from cybersecurity threats to our critical computer networks, third-party hosted services, communications systems, hardware and software, critical data (including without limitation intellectual property, confidential information that is proprietary, strategic or competitive, customer vulnerability data, and information systems data), and exposure management solutions.</w:t>
      </w:r>
    </w:p>
    <w:p>
      <w:pPr>
        <w:spacing w:after="0" w:line="18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Information Security function is overseen by our Chief Security Officer, or CSO, and is supported by our Chief Information Officer, Chief Product Officer and Product Engineering Team Leads, Chief Legal Officer, or CLO, and Head of Global Privacy. Our Information Security function is responsible for identifying, assessing and managing cybersecurity threats and risks and works to monitor and evaluate our threat environment and risk profile using various methods. These methods include conducting vulnerability assessments and threat assessments in certain environments for internal and external threats, scanning certain threat environments, analyzing certain reports of threats and actors, conducting internal audits for certain systems, evaluating our and our industry’s risk profile, coordinating with law enforcement concerning select threats, and engaging with third-party service providers to conduct external audits, threat assessments for certain systems, provide intelligence feeds, and conduct red/blue team testing and tabletop incident response exercises.</w:t>
      </w:r>
    </w:p>
    <w:p>
      <w:pPr>
        <w:spacing w:after="0" w:line="190"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We implement and maintain various technical, physical, and organizational measures, processes, standards and policies designed to manage and mitigate material risks from cybersecurity threats to our information systems and data depending on the environment. This includes maintaining an incident response plan, vulnerability management policy, and disaster recovery and business continuity plans, conducting risk assessments for certain environments, implementing certain security standards and certifications for certain products and systems, encrypting certain data in transit and at rest, controlling data access in certain environments, using multiple security controls in certain environments, segregating certain data, monitoring certain systems, performing regular security assessments for certain systems, training employees, maintaining cybersecurity insurance, maintaining dedicated cybersecurity staff, and conducting internal and external penetration tests.</w:t>
      </w:r>
    </w:p>
    <w:p>
      <w:pPr>
        <w:spacing w:after="0" w:line="19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Our assessment and management of material risks from cybersecurity threats are integrated into our overall risk management processes. This integration is designed to ensure that cybersecurity considerations are part of our decision-making processes. Our senior management evaluates material risks from cybersecurity threats against our overall business objectives and reports to the Cybersecurity Risk Management Committee, or Cybersecurity Committee, of the Board of Directors, or Board.</w:t>
      </w:r>
    </w:p>
    <w:p>
      <w:pPr>
        <w:spacing w:after="0" w:line="180"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We use third-party service providers to assist us from time to time in identifying, assessing, and managing material risks from cybersecurity threats, including for example cybersecurity consultants and software providers, managed cybersecurity service providers, threat intelligence service providers, forensic investigators, penetration testing firms, dark web monitoring services, and professional services firms, including legal counsel and auditors. By partnering with these specialized providers, we can leverage their insights and expertise to continue to refine our cybersecurity strategies and processes.</w:t>
      </w:r>
    </w:p>
    <w:p>
      <w:pPr>
        <w:spacing w:after="0" w:line="181"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We have established processes designed to manage the cybersecurity risks associated with working with third-party service providers. We evaluate the risks associated with third parties before engagement and maintain ongoing monitoring of such third parties designed to ensure compliance with our security standards. This includes security questionnaires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assessments, as well as external attack surface management.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80"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See Risk Factors in this Annual Report on Form 10-K for a description of the risks from cybersecurity threats that may materially affect us and how they may do so.</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Governance</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Our Board addresses cybersecurity risk management as part of its general oversight function. The Cybersecurity Committee is tasked with assisting the Board in fulfilling its oversight responsibility for our cybersecurity risk management processes, including oversight and mitigation of risks from cybersecurity threats.</w:t>
      </w:r>
    </w:p>
    <w:p>
      <w:pPr>
        <w:spacing w:after="0" w:line="175" w:lineRule="exact"/>
        <w:rPr>
          <w:sz w:val="20"/>
          <w:szCs w:val="20"/>
          <w:color w:val="auto"/>
        </w:rPr>
      </w:pPr>
    </w:p>
    <w:p>
      <w:pPr>
        <w:ind w:right="700" w:firstLine="318"/>
        <w:spacing w:after="0" w:line="275" w:lineRule="auto"/>
        <w:rPr>
          <w:sz w:val="20"/>
          <w:szCs w:val="20"/>
          <w:color w:val="auto"/>
        </w:rPr>
      </w:pPr>
      <w:r>
        <w:rPr>
          <w:rFonts w:ascii="Arial" w:cs="Arial" w:eastAsia="Arial" w:hAnsi="Arial"/>
          <w:sz w:val="17"/>
          <w:szCs w:val="17"/>
          <w:color w:val="auto"/>
        </w:rPr>
        <w:t>The Cybersecurity Committee bears the primary responsibility for oversight of the management of risks related to the Company’s information technology use and protection, cybersecurity, and product security. The Cybersecurity Committee consists of directors with cybersecurity and other expertise including risk management, technology and finance. The Cybersecurity Committee assists the Audit Committee and the Board in overseeing Tenable’s overall process of risk assessment and enterprise risk management.</w:t>
      </w:r>
    </w:p>
    <w:p>
      <w:pPr>
        <w:spacing w:after="0" w:line="164"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Our CSO is responsible for implementing and maintaining our cybersecurity risk assessment and management processes. Our CSO has over 25 years of experience in cybersecurity, including serving as a chief security and strategy officer at another company as well as serving over 20 years conducting offensive and defensive cyber operations within the intelligence community and US Cyber Command. Our CSO oversees and maintains our information security management framework and is responsible for defining and implementing our information security strategy, hiring appropriate personnel, communicating key cybersecurity priorities to relevant personnel, and managing cybersecurity budgets and cybersecurity processes.</w:t>
      </w:r>
    </w:p>
    <w:p>
      <w:pPr>
        <w:spacing w:after="0" w:line="185"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Our CSO seeks to regularly obtain information about relevant developments in cybersecurity, including potential threats and risk management techniques to help shape our approach to preventing, detecting, mitigating, and remediating cybersecurity threats. Our CSO is also responsible for implementing and overseeing processes for regularly monitoring our information systems and data, including the conducting of periodic audits of certain systems to identify potential vulnerabilities. The CSO reports directly to our Co-Chief Executive Officer and Chief Operating Officer and provides regular updates to our Co-Chief Executive Officer and Chief Financial Officer and CLO on certain cybersecurity risks and incidents.</w:t>
      </w:r>
    </w:p>
    <w:p>
      <w:pPr>
        <w:spacing w:after="0" w:line="185"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In the event of a cybersecurity incident, the CSO initiates our incident response plan that includes actions designed to mitigate the impact and long-term strategies for remediation and prevention of future incidents. Our incident response plan is designed to escalate certain cybersecurity incidents to members of management depending on the circumstances, including reporting to the Cybersecurity Committee and the Board for certain cybersecurity incidents.</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19"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Our corporate headquarters in Columbia, Maryland consist of approximately 160,000 square feet under a lease that expires in February 2032. We maintain additional offices in multiple locations internationally in Europe and the Middle East, Asia Pacific and South America. We believe that our current facilities are adequate to meet our ongoing needs and that suitable additional alternative spaces will be available in the future on commercially reasonable terms.</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19" w:lineRule="exact"/>
        <w:rPr>
          <w:sz w:val="20"/>
          <w:szCs w:val="20"/>
          <w:color w:val="auto"/>
        </w:rPr>
      </w:pPr>
    </w:p>
    <w:p>
      <w:pPr>
        <w:ind w:right="160" w:firstLine="318"/>
        <w:spacing w:after="0" w:line="25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trades on the Nasdaq Global Select Market under the ticker symbol "TENB."</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17" w:lineRule="exact"/>
        <w:rPr>
          <w:sz w:val="20"/>
          <w:szCs w:val="20"/>
          <w:color w:val="auto"/>
        </w:rPr>
      </w:pPr>
    </w:p>
    <w:p>
      <w:pPr>
        <w:jc w:val="both"/>
        <w:ind w:right="760" w:firstLine="318"/>
        <w:spacing w:after="0" w:line="304" w:lineRule="auto"/>
        <w:rPr>
          <w:sz w:val="20"/>
          <w:szCs w:val="20"/>
          <w:color w:val="auto"/>
        </w:rPr>
      </w:pPr>
      <w:r>
        <w:rPr>
          <w:rFonts w:ascii="Arial" w:cs="Arial" w:eastAsia="Arial" w:hAnsi="Arial"/>
          <w:sz w:val="17"/>
          <w:szCs w:val="17"/>
          <w:color w:val="auto"/>
        </w:rPr>
        <w:t>At December 31, 2024, we had 19 holders of record. Because many of our shares of common stock are held by brokers and other institutions on behalf of stockholders, we are unable to estimate the total number of stockholders represented by these record holders.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17"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We have never declared or paid any dividends on our common stock. In addition, our credit agreement with JPMorgan Chase Bank, N.A., as administrative agent and collateral agent, contains restrictive covenants that limit our ability to pay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repurchases during the three months ended December 31, 2024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7"/>
              </w:rPr>
              <w:t>Total Number of</w:t>
            </w:r>
          </w:p>
        </w:tc>
        <w:tc>
          <w:tcPr>
            <w:tcW w:w="3180" w:type="dxa"/>
            <w:vAlign w:val="bottom"/>
            <w:vMerge w:val="restart"/>
          </w:tcPr>
          <w:p>
            <w:pPr>
              <w:jc w:val="center"/>
              <w:ind w:right="56"/>
              <w:spacing w:after="0"/>
              <w:rPr>
                <w:sz w:val="20"/>
                <w:szCs w:val="20"/>
                <w:color w:val="auto"/>
              </w:rPr>
            </w:pPr>
            <w:r>
              <w:rPr>
                <w:rFonts w:ascii="Arial" w:cs="Arial" w:eastAsia="Arial" w:hAnsi="Arial"/>
                <w:sz w:val="18"/>
                <w:szCs w:val="18"/>
                <w:b w:val="1"/>
                <w:bCs w:val="1"/>
                <w:color w:val="auto"/>
                <w:w w:val="97"/>
              </w:rPr>
              <w:t>Approximate Dollar Value of Shares</w:t>
            </w:r>
          </w:p>
        </w:tc>
        <w:tc>
          <w:tcPr>
            <w:tcW w:w="0" w:type="dxa"/>
            <w:vAlign w:val="bottom"/>
          </w:tcPr>
          <w:p>
            <w:pPr>
              <w:spacing w:after="0"/>
              <w:rPr>
                <w:sz w:val="1"/>
                <w:szCs w:val="1"/>
                <w:color w:val="auto"/>
              </w:rPr>
            </w:pPr>
          </w:p>
        </w:tc>
      </w:tr>
      <w:tr>
        <w:trPr>
          <w:trHeight w:val="172"/>
        </w:trPr>
        <w:tc>
          <w:tcPr>
            <w:tcW w:w="3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thousands, except for per share</w:t>
            </w:r>
          </w:p>
        </w:tc>
        <w:tc>
          <w:tcPr>
            <w:tcW w:w="138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Average Price</w:t>
            </w:r>
          </w:p>
        </w:tc>
        <w:tc>
          <w:tcPr>
            <w:tcW w:w="2020" w:type="dxa"/>
            <w:vAlign w:val="bottom"/>
            <w:gridSpan w:val="3"/>
          </w:tcPr>
          <w:p>
            <w:pPr>
              <w:jc w:val="center"/>
              <w:ind w:right="240"/>
              <w:spacing w:after="0" w:line="172" w:lineRule="exact"/>
              <w:rPr>
                <w:sz w:val="20"/>
                <w:szCs w:val="20"/>
                <w:color w:val="auto"/>
              </w:rPr>
            </w:pPr>
            <w:r>
              <w:rPr>
                <w:rFonts w:ascii="Arial" w:cs="Arial" w:eastAsia="Arial" w:hAnsi="Arial"/>
                <w:sz w:val="18"/>
                <w:szCs w:val="18"/>
                <w:b w:val="1"/>
                <w:bCs w:val="1"/>
                <w:color w:val="auto"/>
                <w:w w:val="98"/>
              </w:rPr>
              <w:t>Shares Purchased</w:t>
            </w: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020" w:type="dxa"/>
            <w:vAlign w:val="bottom"/>
            <w:gridSpan w:val="3"/>
          </w:tcPr>
          <w:p>
            <w:pPr>
              <w:jc w:val="center"/>
              <w:ind w:right="240"/>
              <w:spacing w:after="0" w:line="172" w:lineRule="exact"/>
              <w:rPr>
                <w:sz w:val="20"/>
                <w:szCs w:val="20"/>
                <w:color w:val="auto"/>
              </w:rPr>
            </w:pPr>
            <w:r>
              <w:rPr>
                <w:rFonts w:ascii="Arial" w:cs="Arial" w:eastAsia="Arial" w:hAnsi="Arial"/>
                <w:sz w:val="18"/>
                <w:szCs w:val="18"/>
                <w:b w:val="1"/>
                <w:bCs w:val="1"/>
                <w:color w:val="auto"/>
                <w:w w:val="98"/>
              </w:rPr>
              <w:t>as Part of Publicly</w:t>
            </w:r>
          </w:p>
        </w:tc>
        <w:tc>
          <w:tcPr>
            <w:tcW w:w="3180" w:type="dxa"/>
            <w:vAlign w:val="bottom"/>
          </w:tcPr>
          <w:p>
            <w:pPr>
              <w:jc w:val="center"/>
              <w:ind w:right="36"/>
              <w:spacing w:after="0" w:line="172" w:lineRule="exact"/>
              <w:rPr>
                <w:sz w:val="20"/>
                <w:szCs w:val="20"/>
                <w:color w:val="auto"/>
              </w:rPr>
            </w:pPr>
            <w:r>
              <w:rPr>
                <w:rFonts w:ascii="Arial" w:cs="Arial" w:eastAsia="Arial" w:hAnsi="Arial"/>
                <w:sz w:val="18"/>
                <w:szCs w:val="18"/>
                <w:b w:val="1"/>
                <w:bCs w:val="1"/>
                <w:color w:val="auto"/>
                <w:w w:val="97"/>
              </w:rPr>
              <w:t>that May Yet Be Purchased Under</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data)</w:t>
            </w:r>
          </w:p>
        </w:tc>
        <w:tc>
          <w:tcPr>
            <w:tcW w:w="100" w:type="dxa"/>
            <w:vAlign w:val="bottom"/>
            <w:tcBorders>
              <w:bottom w:val="single" w:sz="8" w:color="BFE4FF"/>
            </w:tcBorders>
          </w:tcPr>
          <w:p>
            <w:pPr>
              <w:spacing w:after="0"/>
              <w:rPr>
                <w:sz w:val="20"/>
                <w:szCs w:val="20"/>
                <w:color w:val="auto"/>
              </w:rPr>
            </w:pPr>
          </w:p>
        </w:tc>
        <w:tc>
          <w:tcPr>
            <w:tcW w:w="138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Purchased</w:t>
            </w:r>
          </w:p>
        </w:tc>
        <w:tc>
          <w:tcPr>
            <w:tcW w:w="100" w:type="dxa"/>
            <w:vAlign w:val="bottom"/>
            <w:tcBorders>
              <w:bottom w:val="single" w:sz="8" w:color="BFE4FF"/>
            </w:tcBorders>
          </w:tcPr>
          <w:p>
            <w:pPr>
              <w:spacing w:after="0"/>
              <w:rPr>
                <w:sz w:val="20"/>
                <w:szCs w:val="20"/>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Paid Per Share</w:t>
            </w:r>
          </w:p>
        </w:tc>
        <w:tc>
          <w:tcPr>
            <w:tcW w:w="120" w:type="dxa"/>
            <w:vAlign w:val="bottom"/>
            <w:tcBorders>
              <w:bottom w:val="single" w:sz="8" w:color="BFE4FF"/>
            </w:tcBorders>
          </w:tcPr>
          <w:p>
            <w:pPr>
              <w:spacing w:after="0"/>
              <w:rPr>
                <w:sz w:val="20"/>
                <w:szCs w:val="20"/>
                <w:color w:val="auto"/>
              </w:rPr>
            </w:pPr>
          </w:p>
        </w:tc>
        <w:tc>
          <w:tcPr>
            <w:tcW w:w="178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8"/>
                <w:szCs w:val="18"/>
                <w:b w:val="1"/>
                <w:bCs w:val="1"/>
                <w:color w:val="auto"/>
                <w:w w:val="96"/>
              </w:rPr>
              <w:t>Announced Plan</w:t>
            </w:r>
            <w:r>
              <w:rPr>
                <w:rFonts w:ascii="Arial" w:cs="Arial" w:eastAsia="Arial" w:hAnsi="Arial"/>
                <w:sz w:val="22"/>
                <w:szCs w:val="22"/>
                <w:b w:val="1"/>
                <w:bCs w:val="1"/>
                <w:color w:val="auto"/>
                <w:w w:val="96"/>
                <w:vertAlign w:val="superscript"/>
              </w:rPr>
              <w:t>(1)</w:t>
            </w:r>
          </w:p>
        </w:tc>
        <w:tc>
          <w:tcPr>
            <w:tcW w:w="100" w:type="dxa"/>
            <w:vAlign w:val="bottom"/>
            <w:tcBorders>
              <w:bottom w:val="single" w:sz="8" w:color="BFE4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center"/>
              <w:ind w:right="56"/>
              <w:spacing w:after="0" w:line="239" w:lineRule="exact"/>
              <w:rPr>
                <w:sz w:val="20"/>
                <w:szCs w:val="20"/>
                <w:color w:val="auto"/>
              </w:rPr>
            </w:pPr>
            <w:r>
              <w:rPr>
                <w:rFonts w:ascii="Arial" w:cs="Arial" w:eastAsia="Arial" w:hAnsi="Arial"/>
                <w:sz w:val="18"/>
                <w:szCs w:val="18"/>
                <w:b w:val="1"/>
                <w:bCs w:val="1"/>
                <w:color w:val="auto"/>
                <w:w w:val="92"/>
              </w:rPr>
              <w:t>Plan</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152"/>
        </w:trPr>
        <w:tc>
          <w:tcPr>
            <w:tcW w:w="3040" w:type="dxa"/>
            <w:vAlign w:val="bottom"/>
            <w:shd w:val="clear" w:color="auto" w:fill="BFE4FF"/>
          </w:tcPr>
          <w:p>
            <w:pPr>
              <w:ind w:left="20"/>
              <w:spacing w:after="0" w:line="152" w:lineRule="exact"/>
              <w:rPr>
                <w:sz w:val="20"/>
                <w:szCs w:val="20"/>
                <w:color w:val="auto"/>
              </w:rPr>
            </w:pPr>
            <w:r>
              <w:rPr>
                <w:rFonts w:ascii="Arial" w:cs="Arial" w:eastAsia="Arial" w:hAnsi="Arial"/>
                <w:sz w:val="16"/>
                <w:szCs w:val="16"/>
                <w:color w:val="auto"/>
              </w:rPr>
              <w:t>Shares purchased October 1, 2024 to</w:t>
            </w:r>
          </w:p>
        </w:tc>
        <w:tc>
          <w:tcPr>
            <w:tcW w:w="100" w:type="dxa"/>
            <w:vAlign w:val="bottom"/>
            <w:shd w:val="clear" w:color="auto" w:fill="BFE4FF"/>
          </w:tcPr>
          <w:p>
            <w:pPr>
              <w:spacing w:after="0"/>
              <w:rPr>
                <w:sz w:val="13"/>
                <w:szCs w:val="13"/>
                <w:color w:val="auto"/>
              </w:rPr>
            </w:pPr>
          </w:p>
        </w:tc>
        <w:tc>
          <w:tcPr>
            <w:tcW w:w="13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020" w:type="dxa"/>
            <w:vAlign w:val="bottom"/>
            <w:gridSpan w:val="3"/>
            <w:vMerge w:val="restart"/>
            <w:shd w:val="clear" w:color="auto" w:fill="BFE4FF"/>
          </w:tcPr>
          <w:p>
            <w:pPr>
              <w:ind w:left="1560"/>
              <w:spacing w:after="0"/>
              <w:rPr>
                <w:sz w:val="20"/>
                <w:szCs w:val="20"/>
                <w:color w:val="auto"/>
              </w:rPr>
            </w:pPr>
            <w:r>
              <w:rPr>
                <w:rFonts w:ascii="Arial" w:cs="Arial" w:eastAsia="Arial" w:hAnsi="Arial"/>
                <w:sz w:val="16"/>
                <w:szCs w:val="16"/>
                <w:color w:val="auto"/>
              </w:rPr>
              <w:t>—   $</w:t>
            </w:r>
          </w:p>
        </w:tc>
        <w:tc>
          <w:tcPr>
            <w:tcW w:w="31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235,075</w:t>
            </w:r>
          </w:p>
        </w:tc>
        <w:tc>
          <w:tcPr>
            <w:tcW w:w="0" w:type="dxa"/>
            <w:vAlign w:val="bottom"/>
          </w:tcPr>
          <w:p>
            <w:pPr>
              <w:spacing w:after="0"/>
              <w:rPr>
                <w:sz w:val="1"/>
                <w:szCs w:val="1"/>
                <w:color w:val="auto"/>
              </w:rPr>
            </w:pPr>
          </w:p>
        </w:tc>
      </w:tr>
      <w:tr>
        <w:trPr>
          <w:trHeight w:val="212"/>
        </w:trPr>
        <w:tc>
          <w:tcPr>
            <w:tcW w:w="314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October 31, 2024</w:t>
            </w:r>
          </w:p>
        </w:tc>
        <w:tc>
          <w:tcPr>
            <w:tcW w:w="1380" w:type="dxa"/>
            <w:vAlign w:val="bottom"/>
            <w:vMerge w:val="continue"/>
            <w:shd w:val="clear" w:color="auto" w:fill="BFE4FF"/>
          </w:tcPr>
          <w:p>
            <w:pPr>
              <w:spacing w:after="0"/>
              <w:rPr>
                <w:sz w:val="18"/>
                <w:szCs w:val="18"/>
                <w:color w:val="auto"/>
              </w:rPr>
            </w:pPr>
          </w:p>
        </w:tc>
        <w:tc>
          <w:tcPr>
            <w:tcW w:w="580" w:type="dxa"/>
            <w:vAlign w:val="bottom"/>
            <w:gridSpan w:val="2"/>
            <w:vMerge w:val="continue"/>
            <w:shd w:val="clear" w:color="auto" w:fill="BFE4FF"/>
          </w:tcPr>
          <w:p>
            <w:pPr>
              <w:spacing w:after="0"/>
              <w:rPr>
                <w:sz w:val="18"/>
                <w:szCs w:val="18"/>
                <w:color w:val="auto"/>
              </w:rPr>
            </w:pPr>
          </w:p>
        </w:tc>
        <w:tc>
          <w:tcPr>
            <w:tcW w:w="940" w:type="dxa"/>
            <w:vAlign w:val="bottom"/>
            <w:gridSpan w:val="2"/>
            <w:vMerge w:val="continue"/>
            <w:shd w:val="clear" w:color="auto" w:fill="BFE4FF"/>
          </w:tcPr>
          <w:p>
            <w:pPr>
              <w:spacing w:after="0"/>
              <w:rPr>
                <w:sz w:val="18"/>
                <w:szCs w:val="18"/>
                <w:color w:val="auto"/>
              </w:rPr>
            </w:pPr>
          </w:p>
        </w:tc>
        <w:tc>
          <w:tcPr>
            <w:tcW w:w="2020" w:type="dxa"/>
            <w:vAlign w:val="bottom"/>
            <w:gridSpan w:val="3"/>
            <w:vMerge w:val="continue"/>
            <w:shd w:val="clear" w:color="auto" w:fill="BFE4FF"/>
          </w:tcPr>
          <w:p>
            <w:pPr>
              <w:spacing w:after="0"/>
              <w:rPr>
                <w:sz w:val="18"/>
                <w:szCs w:val="18"/>
                <w:color w:val="auto"/>
              </w:rPr>
            </w:pPr>
          </w:p>
        </w:tc>
        <w:tc>
          <w:tcPr>
            <w:tcW w:w="318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4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Shares purchased November 1, 2024 to</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41.19</w:t>
            </w:r>
          </w:p>
        </w:tc>
        <w:tc>
          <w:tcPr>
            <w:tcW w:w="120" w:type="dxa"/>
            <w:vAlign w:val="bottom"/>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80" w:type="dxa"/>
            <w:vAlign w:val="bottom"/>
            <w:vMerge w:val="restart"/>
          </w:tcPr>
          <w:p>
            <w:pPr>
              <w:jc w:val="right"/>
              <w:spacing w:after="0"/>
              <w:rPr>
                <w:sz w:val="20"/>
                <w:szCs w:val="20"/>
                <w:color w:val="auto"/>
              </w:rPr>
            </w:pPr>
            <w:r>
              <w:rPr>
                <w:rFonts w:ascii="Arial" w:cs="Arial" w:eastAsia="Arial" w:hAnsi="Arial"/>
                <w:sz w:val="16"/>
                <w:szCs w:val="16"/>
                <w:color w:val="auto"/>
              </w:rPr>
              <w:t>205,088</w:t>
            </w:r>
          </w:p>
        </w:tc>
        <w:tc>
          <w:tcPr>
            <w:tcW w:w="0" w:type="dxa"/>
            <w:vAlign w:val="bottom"/>
          </w:tcPr>
          <w:p>
            <w:pPr>
              <w:spacing w:after="0"/>
              <w:rPr>
                <w:sz w:val="1"/>
                <w:szCs w:val="1"/>
                <w:color w:val="auto"/>
              </w:rPr>
            </w:pPr>
          </w:p>
        </w:tc>
      </w:tr>
      <w:tr>
        <w:trPr>
          <w:trHeight w:val="211"/>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November 30, 2024</w:t>
            </w: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140" w:type="dxa"/>
            <w:vAlign w:val="bottom"/>
            <w:gridSpan w:val="2"/>
            <w:shd w:val="clear" w:color="auto" w:fill="BFE4FF"/>
          </w:tcPr>
          <w:p>
            <w:pPr>
              <w:ind w:left="20"/>
              <w:spacing w:after="0" w:line="160" w:lineRule="exact"/>
              <w:rPr>
                <w:sz w:val="20"/>
                <w:szCs w:val="20"/>
                <w:color w:val="auto"/>
              </w:rPr>
            </w:pPr>
            <w:r>
              <w:rPr>
                <w:rFonts w:ascii="Arial" w:cs="Arial" w:eastAsia="Arial" w:hAnsi="Arial"/>
                <w:sz w:val="16"/>
                <w:szCs w:val="16"/>
                <w:color w:val="auto"/>
              </w:rPr>
              <w:t>Shares purchased December 1, 2024 to</w:t>
            </w:r>
          </w:p>
        </w:tc>
        <w:tc>
          <w:tcPr>
            <w:tcW w:w="13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8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42.19</w:t>
            </w:r>
          </w:p>
        </w:tc>
        <w:tc>
          <w:tcPr>
            <w:tcW w:w="120" w:type="dxa"/>
            <w:vAlign w:val="bottom"/>
            <w:shd w:val="clear" w:color="auto" w:fill="BFE4FF"/>
          </w:tcPr>
          <w:p>
            <w:pPr>
              <w:spacing w:after="0"/>
              <w:rPr>
                <w:sz w:val="13"/>
                <w:szCs w:val="13"/>
                <w:color w:val="auto"/>
              </w:rPr>
            </w:pPr>
          </w:p>
        </w:tc>
        <w:tc>
          <w:tcPr>
            <w:tcW w:w="17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31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185,089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December 31, 2024</w:t>
            </w:r>
          </w:p>
        </w:tc>
        <w:tc>
          <w:tcPr>
            <w:tcW w:w="1380" w:type="dxa"/>
            <w:vAlign w:val="bottom"/>
            <w:tcBorders>
              <w:bottom w:val="single" w:sz="8" w:color="auto"/>
            </w:tcBorders>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80" w:type="dxa"/>
            <w:vAlign w:val="bottom"/>
            <w:shd w:val="clear" w:color="auto" w:fill="BFE4FF"/>
          </w:tcPr>
          <w:p>
            <w:pPr>
              <w:spacing w:after="0"/>
              <w:rPr>
                <w:sz w:val="18"/>
                <w:szCs w:val="18"/>
                <w:color w:val="auto"/>
              </w:rPr>
            </w:pPr>
          </w:p>
        </w:tc>
        <w:tc>
          <w:tcPr>
            <w:tcW w:w="82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78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318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5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41.59</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right="120" w:firstLine="6"/>
        <w:spacing w:after="0" w:line="255" w:lineRule="auto"/>
        <w:tabs>
          <w:tab w:leader="none" w:pos="4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November 2023, our Board of Directors authorized the repurchase of up to $100 million of our common stock. In October 2024, our Board of Directors increased the repurchase authorization by $200 million. Repurchases under the share repurchase program may be made in the open market, in privately negotiated transactions, or in such other manner as determined by us, including through repurchase plans complying with the rules and regulations of the Securities and Exchange Commission. The authorization has no expiration date.</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or this Form 10-K. This Form 10-K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We are a leading provider of exposure management solutions. Exposure management </w:t>
      </w:r>
      <w:r>
        <w:rPr>
          <w:rFonts w:ascii="Calibri" w:cs="Calibri" w:eastAsia="Calibri" w:hAnsi="Calibri"/>
          <w:sz w:val="19"/>
          <w:szCs w:val="19"/>
          <w:color w:val="auto"/>
        </w:rPr>
        <w:t>i</w:t>
      </w:r>
      <w:r>
        <w:rPr>
          <w:rFonts w:ascii="Arial" w:cs="Arial" w:eastAsia="Arial" w:hAnsi="Arial"/>
          <w:sz w:val="18"/>
          <w:szCs w:val="18"/>
          <w:color w:val="auto"/>
        </w:rPr>
        <w:t>s the evolution of vulnerability management,</w:t>
      </w:r>
    </w:p>
    <w:p>
      <w:pPr>
        <w:spacing w:after="0" w:line="14"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advancing risk assessment and prioritization across the entire attack surface – from IT infrastructure to cloud environments to critical infrastructure. Tenable unifies security visibility, insight and action across this attack surface, equipping modern organizations to expose and close the cybersecurity gaps that erode business value, reputation and trust.</w:t>
      </w:r>
    </w:p>
    <w:p>
      <w:pPr>
        <w:spacing w:after="0" w:line="17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Tenable One is an AI-powered exposure management platform that gives enterprises a single, unified view of risk across all types of assets and attack pathways. The platform combines broad, industry-leading vulnerability coverage, spanning IT assets, cloud resources, containers, web apps and identity systems. Tenable One builds on the speed and breadth of vulnerability coverage from our research team of cybersecurity and data science experts, or Tenable Research, and adds aggregated exposure view analytics, guidance on mitigating attack pathways and a centralized asset inventory. It leverages AI, and machine learning, or ML, rapidly analyzing and interpreting vast data sets to pinpoint priority weaknesses and high-risk attack paths, deliver recommendations and automate routine tasks.</w:t>
      </w:r>
    </w:p>
    <w:p>
      <w:pPr>
        <w:spacing w:after="0" w:line="185" w:lineRule="exact"/>
        <w:rPr>
          <w:sz w:val="20"/>
          <w:szCs w:val="20"/>
          <w:color w:val="auto"/>
        </w:rPr>
      </w:pPr>
    </w:p>
    <w:p>
      <w:pPr>
        <w:ind w:right="640" w:firstLine="318"/>
        <w:spacing w:after="0" w:line="260" w:lineRule="auto"/>
        <w:rPr>
          <w:sz w:val="20"/>
          <w:szCs w:val="20"/>
          <w:color w:val="auto"/>
        </w:rPr>
      </w:pPr>
      <w:r>
        <w:rPr>
          <w:rFonts w:ascii="Arial" w:cs="Arial" w:eastAsia="Arial" w:hAnsi="Arial"/>
          <w:sz w:val="18"/>
          <w:szCs w:val="18"/>
          <w:color w:val="auto"/>
        </w:rPr>
        <w:t>Tenable One integrates Tenable Vulnerability Management, Tenable Cloud Security, Tenable Identity Exposure, Tenable Web App Scanning, Tenable Lumin Exposure View, Tenable Attack Surface Management, Tenable Security Center and Tenable OT Security. Our products, including Nessus are also offered on a standalone basis.</w:t>
      </w:r>
    </w:p>
    <w:p>
      <w:pPr>
        <w:spacing w:after="0" w:line="175"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Our platform offerings are primarily sold on a subscription basis with a one-year term. Our subscription terms are generally not longer than three years. These offerings are typically prepaid in advance.</w:t>
      </w:r>
    </w:p>
    <w:p>
      <w:pPr>
        <w:spacing w:after="0" w:line="163" w:lineRule="exact"/>
        <w:rPr>
          <w:sz w:val="20"/>
          <w:szCs w:val="20"/>
          <w:color w:val="auto"/>
        </w:rPr>
      </w:pPr>
    </w:p>
    <w:p>
      <w:pPr>
        <w:jc w:val="both"/>
        <w:ind w:right="320" w:firstLine="318"/>
        <w:spacing w:after="0" w:line="255"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network of distributors, resellers and managed security service providers (MSSPs), in developing sales opportunities. We typically use a two-tiered channel model whereby we sell our enterprise platform offerings to our distributors, who in turn sell to our resellers, who then sell to end users, who we call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our key financial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(67,815)</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(9,359)</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r>
    </w:tbl>
    <w:p>
      <w:pPr>
        <w:spacing w:after="0" w:line="275"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Recurring revenue, which includes revenue from subscription arrangements for software (both recognized ratably over the subscription term and upon delivery) and cloud-based solutions and maintenance associated with perpetual licenses, represented 96% of revenue in 2024 and 95% of revenue in 2023 and 2022.</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19"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17" w:lineRule="exact"/>
        <w:rPr>
          <w:sz w:val="20"/>
          <w:szCs w:val="20"/>
          <w:color w:val="auto"/>
        </w:rPr>
      </w:pPr>
    </w:p>
    <w:p>
      <w:pPr>
        <w:jc w:val="both"/>
        <w:ind w:right="20" w:firstLine="318"/>
        <w:spacing w:after="0" w:line="282" w:lineRule="auto"/>
        <w:rPr>
          <w:sz w:val="20"/>
          <w:szCs w:val="20"/>
          <w:color w:val="auto"/>
        </w:rPr>
      </w:pPr>
      <w:r>
        <w:rPr>
          <w:rFonts w:ascii="Arial" w:cs="Arial" w:eastAsia="Arial" w:hAnsi="Arial"/>
          <w:sz w:val="17"/>
          <w:szCs w:val="17"/>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159" w:lineRule="exact"/>
        <w:rPr>
          <w:sz w:val="20"/>
          <w:szCs w:val="20"/>
          <w:color w:val="auto"/>
        </w:rPr>
      </w:pPr>
    </w:p>
    <w:p>
      <w:pPr>
        <w:ind w:right="420" w:firstLine="318"/>
        <w:spacing w:after="0" w:line="275" w:lineRule="auto"/>
        <w:rPr>
          <w:sz w:val="20"/>
          <w:szCs w:val="20"/>
          <w:color w:val="auto"/>
        </w:rPr>
      </w:pPr>
      <w:r>
        <w:rPr>
          <w:rFonts w:ascii="Arial" w:cs="Arial" w:eastAsia="Arial" w:hAnsi="Arial"/>
          <w:sz w:val="17"/>
          <w:szCs w:val="17"/>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164"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Calculated current billings may vary from period-to-period for a number of reasons, and therefore has a number of limitations as a quarter-to-quarter or year-over-year comparative measure. Calculated current billings in any one period may be impacted by the timing and amount of new sales transactions, the timing and amount of renewal transactions, including early renewals, the mix of the amount of subscriptions and perpetual licenses and the timing of billing professional services,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8"/>
              </w:rPr>
              <w:t>900,021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8"/>
              </w:rPr>
              <w:t>798,710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320" w:type="dxa"/>
            <w:vAlign w:val="bottom"/>
          </w:tcPr>
          <w:p>
            <w:pPr>
              <w:spacing w:after="0"/>
              <w:rPr>
                <w:sz w:val="19"/>
                <w:szCs w:val="19"/>
                <w:color w:val="auto"/>
              </w:rPr>
            </w:pPr>
          </w:p>
        </w:tc>
        <w:tc>
          <w:tcPr>
            <w:tcW w:w="1060" w:type="dxa"/>
            <w:vAlign w:val="bottom"/>
          </w:tcPr>
          <w:p>
            <w:pPr>
              <w:jc w:val="center"/>
              <w:ind w:left="175"/>
              <w:spacing w:after="0"/>
              <w:rPr>
                <w:sz w:val="20"/>
                <w:szCs w:val="20"/>
                <w:color w:val="auto"/>
              </w:rPr>
            </w:pPr>
            <w:r>
              <w:rPr>
                <w:rFonts w:ascii="Arial" w:cs="Arial" w:eastAsia="Arial" w:hAnsi="Arial"/>
                <w:sz w:val="18"/>
                <w:szCs w:val="18"/>
                <w:color w:val="auto"/>
                <w:w w:val="98"/>
              </w:rPr>
              <w:t>650,372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173"/>
              <w:spacing w:after="0"/>
              <w:rPr>
                <w:sz w:val="20"/>
                <w:szCs w:val="20"/>
                <w:color w:val="auto"/>
              </w:rPr>
            </w:pPr>
            <w:r>
              <w:rPr>
                <w:rFonts w:ascii="Arial" w:cs="Arial" w:eastAsia="Arial" w:hAnsi="Arial"/>
                <w:sz w:val="18"/>
                <w:szCs w:val="18"/>
                <w:color w:val="auto"/>
                <w:w w:val="98"/>
              </w:rPr>
              <w:t>580,779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502,115</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55"/>
              <w:spacing w:after="0"/>
              <w:rPr>
                <w:sz w:val="20"/>
                <w:szCs w:val="20"/>
                <w:color w:val="auto"/>
              </w:rPr>
            </w:pPr>
            <w:r>
              <w:rPr>
                <w:rFonts w:ascii="Arial" w:cs="Arial" w:eastAsia="Arial" w:hAnsi="Arial"/>
                <w:sz w:val="18"/>
                <w:szCs w:val="18"/>
                <w:color w:val="auto"/>
                <w:w w:val="95"/>
              </w:rPr>
              <w:t>(580,887)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8"/>
              </w:rPr>
              <w:t>(506,192)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(408,443)</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color w:val="auto"/>
                <w:w w:val="98"/>
              </w:rPr>
              <w:t>969,506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98"/>
              </w:rPr>
              <w:t>873,297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776,863</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3" w:lineRule="exact"/>
        <w:rPr>
          <w:sz w:val="20"/>
          <w:szCs w:val="20"/>
          <w:color w:val="auto"/>
        </w:rPr>
      </w:pPr>
    </w:p>
    <w:p>
      <w:pPr>
        <w:ind w:right="560" w:firstLine="6"/>
        <w:spacing w:after="0" w:line="264" w:lineRule="auto"/>
        <w:tabs>
          <w:tab w:leader="none" w:pos="3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Deferred revenue (current), beginning of period for 2024, 2023 and 2022 includes $0.1 million, $4.1 million and $0.9 million, respectively, related to acquired deferred revenue.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Free Cash Flow</w:t>
      </w:r>
    </w:p>
    <w:p>
      <w:pPr>
        <w:spacing w:after="0" w:line="217" w:lineRule="exact"/>
        <w:rPr>
          <w:sz w:val="20"/>
          <w:szCs w:val="20"/>
          <w:color w:val="auto"/>
        </w:rPr>
      </w:pPr>
    </w:p>
    <w:p>
      <w:pPr>
        <w:jc w:val="both"/>
        <w:ind w:right="80" w:firstLine="318"/>
        <w:spacing w:after="0" w:line="275" w:lineRule="auto"/>
        <w:rPr>
          <w:sz w:val="20"/>
          <w:szCs w:val="20"/>
          <w:color w:val="auto"/>
        </w:rPr>
      </w:pPr>
      <w:r>
        <w:rPr>
          <w:rFonts w:ascii="Arial" w:cs="Arial" w:eastAsia="Arial" w:hAnsi="Arial"/>
          <w:sz w:val="17"/>
          <w:szCs w:val="17"/>
          <w:color w:val="auto"/>
        </w:rPr>
        <w:t>We use the non-GAAP measure of free cash flow, which we define as GAAP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cash.</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spacing w:after="0" w:line="187"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The following table presents a reconciliation of net cash provided by operating activities, the most directly comparable financial measure calculated in accordance with GAAP, to free cash flow: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jc w:val="center"/>
              <w:ind w:left="614"/>
              <w:spacing w:after="0"/>
              <w:rPr>
                <w:sz w:val="20"/>
                <w:szCs w:val="20"/>
                <w:color w:val="auto"/>
              </w:rPr>
            </w:pPr>
            <w:r>
              <w:rPr>
                <w:rFonts w:ascii="Arial" w:cs="Arial" w:eastAsia="Arial" w:hAnsi="Arial"/>
                <w:sz w:val="16"/>
                <w:szCs w:val="16"/>
                <w:b w:val="1"/>
                <w:bCs w:val="1"/>
                <w:color w:val="auto"/>
                <w:w w:val="98"/>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131,151</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(9,359)</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19"/>
        </w:trPr>
        <w:tc>
          <w:tcPr>
            <w:tcW w:w="6900" w:type="dxa"/>
            <w:vAlign w:val="bottom"/>
          </w:tcPr>
          <w:p>
            <w:pPr>
              <w:ind w:left="2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112,003</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320"/>
              <w:spacing w:after="0"/>
              <w:rPr>
                <w:sz w:val="20"/>
                <w:szCs w:val="20"/>
                <w:color w:val="auto"/>
              </w:rPr>
            </w:pPr>
            <w:r>
              <w:rPr>
                <w:rFonts w:ascii="Arial" w:cs="Arial" w:eastAsia="Arial" w:hAnsi="Arial"/>
                <w:sz w:val="18"/>
                <w:szCs w:val="18"/>
                <w:color w:val="auto"/>
              </w:rPr>
              <w:t>Free cash flow for the periods presented was impacted by:</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6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center"/>
              <w:ind w:left="654"/>
              <w:spacing w:after="0"/>
              <w:rPr>
                <w:sz w:val="20"/>
                <w:szCs w:val="20"/>
                <w:color w:val="auto"/>
              </w:rPr>
            </w:pPr>
            <w:r>
              <w:rPr>
                <w:rFonts w:ascii="Arial" w:cs="Arial" w:eastAsia="Arial" w:hAnsi="Arial"/>
                <w:sz w:val="16"/>
                <w:szCs w:val="16"/>
                <w:b w:val="1"/>
                <w:bCs w:val="1"/>
                <w:color w:val="auto"/>
                <w:w w:val="98"/>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Cash paid for interest and other financing costs</w:t>
            </w:r>
            <w:r>
              <w:rPr>
                <w:rFonts w:ascii="Arial" w:cs="Arial" w:eastAsia="Arial" w:hAnsi="Arial"/>
                <w:sz w:val="22"/>
                <w:szCs w:val="22"/>
                <w:color w:val="auto"/>
                <w:vertAlign w:val="superscript"/>
              </w:rPr>
              <w:t>(1)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Employee stock purchase plan activity</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intra-entity asset transfers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311"/>
        </w:trPr>
        <w:tc>
          <w:tcPr>
            <w:tcW w:w="6900" w:type="dxa"/>
            <w:vAlign w:val="bottom"/>
          </w:tcPr>
          <w:p>
            <w:pPr>
              <w:ind w:left="20"/>
              <w:spacing w:after="0"/>
              <w:rPr>
                <w:sz w:val="20"/>
                <w:szCs w:val="20"/>
                <w:color w:val="auto"/>
              </w:rPr>
            </w:pPr>
            <w:r>
              <w:rPr>
                <w:rFonts w:ascii="Arial" w:cs="Arial" w:eastAsia="Arial" w:hAnsi="Arial"/>
                <w:sz w:val="18"/>
                <w:szCs w:val="18"/>
                <w:color w:val="auto"/>
              </w:rPr>
              <w:t>Tax payment on intra-entity asset transfers</w:t>
            </w:r>
            <w:r>
              <w:rPr>
                <w:rFonts w:ascii="Arial" w:cs="Arial" w:eastAsia="Arial" w:hAnsi="Arial"/>
                <w:sz w:val="22"/>
                <w:szCs w:val="22"/>
                <w:color w:val="auto"/>
                <w:vertAlign w:val="superscript"/>
              </w:rPr>
              <w:t>(1)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24" w:lineRule="exact"/>
        <w:rPr>
          <w:sz w:val="20"/>
          <w:szCs w:val="20"/>
          <w:color w:val="auto"/>
        </w:rPr>
      </w:pPr>
    </w:p>
    <w:p>
      <w:pPr>
        <w:ind w:left="380" w:hanging="374"/>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tax payment on intra-entity asset transfer in 2024 includes $0.3 million of interest that is included in cash paid for interest and other financing costs.</w:t>
      </w:r>
    </w:p>
    <w:p>
      <w:pPr>
        <w:spacing w:after="0" w:line="211" w:lineRule="exact"/>
        <w:rPr>
          <w:sz w:val="20"/>
          <w:szCs w:val="20"/>
          <w:color w:val="auto"/>
        </w:rPr>
      </w:pPr>
    </w:p>
    <w:p>
      <w:pPr>
        <w:ind w:right="420" w:firstLine="318"/>
        <w:spacing w:after="0" w:line="274" w:lineRule="auto"/>
        <w:rPr>
          <w:sz w:val="20"/>
          <w:szCs w:val="20"/>
          <w:color w:val="auto"/>
        </w:rPr>
      </w:pPr>
      <w:r>
        <w:rPr>
          <w:rFonts w:ascii="Arial" w:cs="Arial" w:eastAsia="Arial" w:hAnsi="Arial"/>
          <w:sz w:val="18"/>
          <w:szCs w:val="18"/>
          <w:color w:val="auto"/>
        </w:rPr>
        <w:t>Free cash flow in 2022 was benefited by approximately $8 million from prepayments of software subscription costs, insurance and rent made in prior quarters.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Metrics</w:t>
      </w:r>
    </w:p>
    <w:p>
      <w:pPr>
        <w:spacing w:after="0" w:line="217"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We define an enterprise platform customer as a customer that has licensed Tenable One, Tenable Vulnerability Management, Tenable Cloud Security, Tenable Identity Exposure, Tenable OT Security or Tenable Security Center for an annual amount of $5,000 or greater. New enterprise platform customers represent new customer logos during the periods presented and do not include customer conversions from Tenable Nessus Expert to enterprise platforms. The following tables summarize key components of our customer base: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40" w:type="dxa"/>
            <w:vAlign w:val="bottom"/>
          </w:tcPr>
          <w:p>
            <w:pPr>
              <w:spacing w:after="0"/>
              <w:rPr>
                <w:sz w:val="17"/>
                <w:szCs w:val="17"/>
                <w:color w:val="auto"/>
              </w:rPr>
            </w:pPr>
          </w:p>
        </w:tc>
        <w:tc>
          <w:tcPr>
            <w:tcW w:w="1040" w:type="dxa"/>
            <w:vAlign w:val="bottom"/>
          </w:tcPr>
          <w:p>
            <w:pPr>
              <w:jc w:val="right"/>
              <w:ind w:right="96"/>
              <w:spacing w:after="0"/>
              <w:rPr>
                <w:sz w:val="20"/>
                <w:szCs w:val="20"/>
                <w:color w:val="auto"/>
              </w:rPr>
            </w:pPr>
            <w:r>
              <w:rPr>
                <w:rFonts w:ascii="Arial" w:cs="Arial" w:eastAsia="Arial" w:hAnsi="Arial"/>
                <w:sz w:val="16"/>
                <w:szCs w:val="16"/>
                <w:b w:val="1"/>
                <w:bCs w:val="1"/>
                <w:color w:val="auto"/>
              </w:rPr>
              <w:t>2024</w:t>
            </w:r>
          </w:p>
        </w:tc>
        <w:tc>
          <w:tcPr>
            <w:tcW w:w="1800" w:type="dxa"/>
            <w:vAlign w:val="bottom"/>
            <w:gridSpan w:val="3"/>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16"/>
              <w:spacing w:after="0"/>
              <w:rPr>
                <w:sz w:val="20"/>
                <w:szCs w:val="20"/>
                <w:color w:val="auto"/>
              </w:rPr>
            </w:pPr>
            <w:r>
              <w:rPr>
                <w:rFonts w:ascii="Arial" w:cs="Arial" w:eastAsia="Arial" w:hAnsi="Arial"/>
                <w:sz w:val="16"/>
                <w:szCs w:val="16"/>
                <w:b w:val="1"/>
                <w:bCs w:val="1"/>
                <w:color w:val="auto"/>
              </w:rPr>
              <w:t>2022</w:t>
            </w:r>
          </w:p>
        </w:tc>
      </w:tr>
      <w:tr>
        <w:trPr>
          <w:trHeight w:val="218"/>
        </w:trPr>
        <w:tc>
          <w:tcPr>
            <w:tcW w:w="6940" w:type="dxa"/>
            <w:vAlign w:val="bottom"/>
            <w:tcBorders>
              <w:top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2"/>
                <w:szCs w:val="22"/>
                <w:color w:val="auto"/>
                <w:vertAlign w:val="superscript"/>
              </w:rPr>
              <w:t>(1)</w:t>
            </w:r>
          </w:p>
        </w:tc>
        <w:tc>
          <w:tcPr>
            <w:tcW w:w="10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1,689</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1,788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2,078</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8" w:lineRule="exact"/>
        <w:rPr>
          <w:sz w:val="20"/>
          <w:szCs w:val="20"/>
          <w:color w:val="auto"/>
        </w:rPr>
      </w:pPr>
    </w:p>
    <w:p>
      <w:pPr>
        <w:ind w:left="380" w:hanging="374"/>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number of new enterprise platform customers added in 2023 includes 104 legacy customers of Ermetic, Ltd. ("Ermetic").</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205"/>
        </w:trPr>
        <w:tc>
          <w:tcPr>
            <w:tcW w:w="69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r>
      <w:tr>
        <w:trPr>
          <w:trHeight w:val="152"/>
        </w:trPr>
        <w:tc>
          <w:tcPr>
            <w:tcW w:w="6940" w:type="dxa"/>
            <w:vAlign w:val="bottom"/>
            <w:shd w:val="clear" w:color="auto" w:fill="CCEEFF"/>
          </w:tcPr>
          <w:p>
            <w:pPr>
              <w:ind w:left="20"/>
              <w:spacing w:after="0" w:line="152" w:lineRule="exact"/>
              <w:rPr>
                <w:sz w:val="20"/>
                <w:szCs w:val="20"/>
                <w:color w:val="auto"/>
              </w:rPr>
            </w:pPr>
            <w:r>
              <w:rPr>
                <w:rFonts w:ascii="Arial" w:cs="Arial" w:eastAsia="Arial" w:hAnsi="Arial"/>
                <w:sz w:val="17"/>
                <w:szCs w:val="17"/>
                <w:color w:val="auto"/>
              </w:rPr>
              <w:t>Number of customers with $100,000 and greater in annual contract value at end of</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38"/>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1,420</w:t>
            </w: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Dollar-Based Net Expansion Rate</w:t>
      </w:r>
    </w:p>
    <w:p>
      <w:pPr>
        <w:spacing w:after="0" w:line="217"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dollar-based net expansion rate is evaluated on a last twelve months, or LTM, basis, and is calculated as follows:</w:t>
      </w:r>
    </w:p>
    <w:p>
      <w:pPr>
        <w:spacing w:after="0" w:line="217" w:lineRule="exact"/>
        <w:rPr>
          <w:sz w:val="20"/>
          <w:szCs w:val="20"/>
          <w:color w:val="auto"/>
        </w:rPr>
      </w:pPr>
    </w:p>
    <w:p>
      <w:pPr>
        <w:ind w:left="640" w:right="60" w:hanging="316"/>
        <w:spacing w:after="0" w:line="253"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81" w:lineRule="exact"/>
        <w:rPr>
          <w:rFonts w:ascii="Arial" w:cs="Arial" w:eastAsia="Arial" w:hAnsi="Arial"/>
          <w:sz w:val="18"/>
          <w:szCs w:val="18"/>
          <w:color w:val="auto"/>
        </w:rPr>
      </w:pPr>
    </w:p>
    <w:p>
      <w:pPr>
        <w:ind w:left="640" w:right="340" w:hanging="316"/>
        <w:spacing w:after="0" w:line="27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dollar-based net expansion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7"/>
              </w:rPr>
              <w:t>December 31,</w:t>
            </w:r>
          </w:p>
        </w:tc>
        <w:tc>
          <w:tcPr>
            <w:tcW w:w="1460" w:type="dxa"/>
            <w:vAlign w:val="bottom"/>
            <w:tcBorders>
              <w:bottom w:val="single" w:sz="8" w:color="auto"/>
            </w:tcBorders>
          </w:tcPr>
          <w:p>
            <w:pPr>
              <w:spacing w:after="0"/>
              <w:rPr>
                <w:sz w:val="18"/>
                <w:szCs w:val="18"/>
                <w:color w:val="auto"/>
              </w:rPr>
            </w:pPr>
          </w:p>
        </w:tc>
      </w:tr>
      <w:tr>
        <w:trPr>
          <w:trHeight w:val="205"/>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2022</w:t>
            </w:r>
          </w:p>
        </w:tc>
      </w:tr>
      <w:tr>
        <w:trPr>
          <w:trHeight w:val="218"/>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net expansion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Non-GAAP Income from Operations and Non-GAAP Operating Margin</w:t>
      </w:r>
    </w:p>
    <w:p>
      <w:pPr>
        <w:spacing w:after="0" w:line="217"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We use non-GAAP income from operations along with non -GAAP operating margin as key indicators of our financial performance. We define these non-GAAP financial measures as their respective GAAP measures, excluding the effects of 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w:t>
      </w:r>
    </w:p>
    <w:p>
      <w:pPr>
        <w:spacing w:after="0" w:line="185" w:lineRule="exact"/>
        <w:rPr>
          <w:sz w:val="20"/>
          <w:szCs w:val="20"/>
          <w:color w:val="auto"/>
        </w:rPr>
      </w:pPr>
    </w:p>
    <w:p>
      <w:pPr>
        <w:ind w:right="280" w:firstLine="318"/>
        <w:spacing w:after="0" w:line="253"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from operations and non-GAAP operating margin exclude stock-based compensation expense, which has been, and will continue to be, a significant recurring expense in our business and an important part of our compensation strategy.</w:t>
      </w:r>
    </w:p>
    <w:p>
      <w:pPr>
        <w:spacing w:after="0" w:line="181"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from operations, and operating margin, the most directly comparable financial measure calculated in accordance with GAAP, to non-GAAP operating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05"/>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(67,815)</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163,515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145,327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120,633</w:t>
            </w:r>
          </w:p>
        </w:tc>
      </w:tr>
      <w:tr>
        <w:trPr>
          <w:trHeight w:val="22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2,642</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25"/>
        </w:trPr>
        <w:tc>
          <w:tcPr>
            <w:tcW w:w="65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Costs related to intra-entity asset transfer</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838</w:t>
            </w:r>
          </w:p>
        </w:tc>
      </w:tr>
      <w:tr>
        <w:trPr>
          <w:trHeight w:val="225"/>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19,457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13,859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11,372</w:t>
            </w:r>
          </w:p>
        </w:tc>
      </w:tr>
      <w:tr>
        <w:trPr>
          <w:trHeight w:val="244"/>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income from operations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184,118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120,997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67,670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2"/>
        </w:trPr>
        <w:tc>
          <w:tcPr>
            <w:tcW w:w="654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3" w:lineRule="exact"/>
        <w:rPr>
          <w:sz w:val="20"/>
          <w:szCs w:val="20"/>
          <w:color w:val="auto"/>
        </w:rPr>
      </w:pPr>
    </w:p>
    <w:p>
      <w:pPr>
        <w:ind w:left="380" w:hanging="374"/>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costs related to the intra-entity asset transfer resulted from our internal restructuring of Cymptom.</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Non-GAAP Net Income and Non-GAAP Earnings Per Share</w:t>
      </w:r>
    </w:p>
    <w:p>
      <w:pPr>
        <w:spacing w:after="0" w:line="217"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We use non-GAAP net income, which excludes stock-based compensation, acquisition-related expenses, restructuring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 -GAAP earnings per share. We believe that these non-GAAP measures provide important information because they facilitate comparisons of our core operating results over multiple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540" w:firstLine="318"/>
        <w:spacing w:after="0" w:line="274"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income and non-GAAP earnings per share: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163,515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120,633</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2,642</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Restructuring</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Costs related to intra-entity asset transfer</w:t>
            </w:r>
            <w:r>
              <w:rPr>
                <w:rFonts w:ascii="Arial" w:cs="Arial" w:eastAsia="Arial" w:hAnsi="Arial"/>
                <w:sz w:val="22"/>
                <w:szCs w:val="22"/>
                <w:color w:val="auto"/>
                <w:vertAlign w:val="superscript"/>
              </w:rPr>
              <w:t>(3)</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(4)</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Tax impact of acquisitions</w:t>
            </w:r>
            <w:r>
              <w:rPr>
                <w:rFonts w:ascii="Arial" w:cs="Arial" w:eastAsia="Arial" w:hAnsi="Arial"/>
                <w:sz w:val="22"/>
                <w:szCs w:val="22"/>
                <w:color w:val="auto"/>
                <w:vertAlign w:val="superscript"/>
              </w:rPr>
              <w:t>(5)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(3,703)</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intra-entity asset transfers</w:t>
            </w:r>
            <w:r>
              <w:rPr>
                <w:rFonts w:ascii="Arial" w:cs="Arial" w:eastAsia="Arial" w:hAnsi="Arial"/>
                <w:sz w:val="22"/>
                <w:szCs w:val="22"/>
                <w:color w:val="auto"/>
                <w:vertAlign w:val="superscript"/>
              </w:rPr>
              <w:t>(6)</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Non-GAAP net income</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158,589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97,155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44,315</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6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diluted</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Restructuring</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Costs related to intra-entity asset transfer</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acquisitions</w:t>
            </w:r>
            <w:r>
              <w:rPr>
                <w:rFonts w:ascii="Arial" w:cs="Arial" w:eastAsia="Arial" w:hAnsi="Arial"/>
                <w:sz w:val="22"/>
                <w:szCs w:val="22"/>
                <w:color w:val="auto"/>
                <w:vertAlign w:val="superscript"/>
              </w:rPr>
              <w:t>(5)</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Tax impact of intra-entity asset transfers</w:t>
            </w:r>
            <w:r>
              <w:rPr>
                <w:rFonts w:ascii="Arial" w:cs="Arial" w:eastAsia="Arial" w:hAnsi="Arial"/>
                <w:sz w:val="22"/>
                <w:szCs w:val="22"/>
                <w:color w:val="auto"/>
                <w:vertAlign w:val="superscript"/>
              </w:rPr>
              <w:t>(6)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2"/>
                <w:szCs w:val="22"/>
                <w:color w:val="auto"/>
                <w:vertAlign w:val="superscript"/>
              </w:rPr>
              <w:t>(7)</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Non-GAAP earnings per share, diluted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6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Weighted-average shares used to compute GAAP net loss per share,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118,789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111,321</w:t>
            </w:r>
          </w:p>
        </w:tc>
      </w:tr>
      <w:tr>
        <w:trPr>
          <w:trHeight w:val="265"/>
        </w:trPr>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2"/>
        </w:trPr>
        <w:tc>
          <w:tcPr>
            <w:tcW w:w="6900" w:type="dxa"/>
            <w:vAlign w:val="bottom"/>
          </w:tcPr>
          <w:p>
            <w:pPr>
              <w:ind w:left="20"/>
              <w:spacing w:after="0"/>
              <w:rPr>
                <w:sz w:val="20"/>
                <w:szCs w:val="20"/>
                <w:color w:val="auto"/>
              </w:rPr>
            </w:pPr>
            <w:r>
              <w:rPr>
                <w:rFonts w:ascii="Arial" w:cs="Arial" w:eastAsia="Arial" w:hAnsi="Arial"/>
                <w:sz w:val="18"/>
                <w:szCs w:val="18"/>
                <w:color w:val="auto"/>
              </w:rPr>
              <w:t>Weighted-average shares used to compute non-GAAP earnings per share, diluted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123,370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120,714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117,534</w:t>
            </w:r>
          </w:p>
        </w:tc>
      </w:tr>
      <w:tr>
        <w:trPr>
          <w:trHeight w:val="200"/>
        </w:trPr>
        <w:tc>
          <w:tcPr>
            <w:tcW w:w="6900" w:type="dxa"/>
            <w:vAlign w:val="bottom"/>
          </w:tcPr>
          <w:p>
            <w:pPr>
              <w:spacing w:after="0"/>
              <w:rPr>
                <w:sz w:val="20"/>
                <w:szCs w:val="20"/>
                <w:color w:val="auto"/>
              </w:rPr>
            </w:pPr>
            <w:r>
              <w:rPr>
                <w:rFonts w:ascii="Arial" w:cs="Arial" w:eastAsia="Arial" w:hAnsi="Arial"/>
                <w:sz w:val="11"/>
                <w:szCs w:val="11"/>
                <w:color w:val="auto"/>
              </w:rPr>
              <w:t>________________</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ind w:left="320" w:hanging="314"/>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46" w:lineRule="exact"/>
        <w:rPr>
          <w:rFonts w:ascii="Arial" w:cs="Arial" w:eastAsia="Arial" w:hAnsi="Arial"/>
          <w:sz w:val="16"/>
          <w:szCs w:val="16"/>
          <w:color w:val="auto"/>
        </w:rPr>
      </w:pPr>
    </w:p>
    <w:p>
      <w:pPr>
        <w:ind w:left="380" w:hanging="374"/>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tax impact of acquisition-related expenses and restructuring expenses are not material.</w:t>
      </w:r>
    </w:p>
    <w:p>
      <w:pPr>
        <w:spacing w:after="0" w:line="67" w:lineRule="exact"/>
        <w:rPr>
          <w:rFonts w:ascii="Arial" w:cs="Arial" w:eastAsia="Arial" w:hAnsi="Arial"/>
          <w:sz w:val="16"/>
          <w:szCs w:val="16"/>
          <w:color w:val="auto"/>
        </w:rPr>
      </w:pPr>
    </w:p>
    <w:p>
      <w:pPr>
        <w:ind w:left="380" w:hanging="374"/>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costs related to the intra-entity asset transfers resulted from our internal restructuring of Cymptom.</w:t>
      </w:r>
    </w:p>
    <w:p>
      <w:pPr>
        <w:spacing w:after="0" w:line="54" w:lineRule="exact"/>
        <w:rPr>
          <w:rFonts w:ascii="Arial" w:cs="Arial" w:eastAsia="Arial" w:hAnsi="Arial"/>
          <w:sz w:val="16"/>
          <w:szCs w:val="16"/>
          <w:color w:val="auto"/>
        </w:rPr>
      </w:pPr>
    </w:p>
    <w:p>
      <w:pPr>
        <w:ind w:left="380" w:hanging="374"/>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tax impact of the amortization of acquired intangible assets is included in the tax impact of acquisitions.</w:t>
      </w:r>
    </w:p>
    <w:p>
      <w:pPr>
        <w:spacing w:after="0" w:line="54" w:lineRule="exact"/>
        <w:rPr>
          <w:rFonts w:ascii="Arial" w:cs="Arial" w:eastAsia="Arial" w:hAnsi="Arial"/>
          <w:sz w:val="16"/>
          <w:szCs w:val="16"/>
          <w:color w:val="auto"/>
        </w:rPr>
      </w:pPr>
    </w:p>
    <w:p>
      <w:pPr>
        <w:ind w:right="40" w:firstLine="6"/>
        <w:spacing w:after="0" w:line="264" w:lineRule="auto"/>
        <w:tabs>
          <w:tab w:leader="none" w:pos="36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tax impact of acquisitions in 2024 includes the deferred tax benefits of the 2021 Alsid acquisition. The tax impact of acquisitions in 2023 includes the deferred tax benefits of the Alsid acquisition and a reversal of deferred tax expense related to indefinite-lived intangible assets. The tax impact of acquisitions in 2022 includes a deferred tax benefit of $1.2 million related to Alsid and reversal of the $2.5 million income tax benefit recognized for GAAP purposes related to the partial release of our valuation allowance associated with the Bit Discovery acquisition.</w:t>
      </w:r>
    </w:p>
    <w:p>
      <w:pPr>
        <w:spacing w:after="0" w:line="11" w:lineRule="exact"/>
        <w:rPr>
          <w:rFonts w:ascii="Arial" w:cs="Arial" w:eastAsia="Arial" w:hAnsi="Arial"/>
          <w:sz w:val="16"/>
          <w:szCs w:val="16"/>
          <w:color w:val="auto"/>
        </w:rPr>
      </w:pPr>
    </w:p>
    <w:p>
      <w:pPr>
        <w:ind w:right="160" w:firstLine="6"/>
        <w:spacing w:after="0" w:line="275" w:lineRule="auto"/>
        <w:tabs>
          <w:tab w:leader="none" w:pos="37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tax impact of the intra-entity transfer in 2024 is additional tax incurred related to the 2021 internal restructuring of Indegy. The tax impact of the intra-entity transfer in 2022 is related to current tax expense based on the applicable Israeli tax rates resulting from our internal restructuring of Cymptom.</w:t>
      </w:r>
    </w:p>
    <w:p>
      <w:pPr>
        <w:spacing w:after="0" w:line="15" w:lineRule="exact"/>
        <w:rPr>
          <w:rFonts w:ascii="Arial" w:cs="Arial" w:eastAsia="Arial" w:hAnsi="Arial"/>
          <w:sz w:val="16"/>
          <w:szCs w:val="16"/>
          <w:color w:val="auto"/>
        </w:rPr>
      </w:pPr>
    </w:p>
    <w:p>
      <w:pPr>
        <w:ind w:right="700" w:firstLine="6"/>
        <w:spacing w:after="0" w:line="275" w:lineRule="auto"/>
        <w:tabs>
          <w:tab w:leader="none" w:pos="3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adjustment to reconcile GAAP net loss per share, which excludes potentially dilutive shares, to non-GAAP earnings per share, which includes potentially dilutive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p>
      <w:pPr>
        <w:jc w:val="both"/>
        <w:ind w:right="620" w:firstLine="318"/>
        <w:spacing w:after="0" w:line="282" w:lineRule="auto"/>
        <w:rPr>
          <w:sz w:val="20"/>
          <w:szCs w:val="20"/>
          <w:color w:val="auto"/>
        </w:rPr>
      </w:pPr>
      <w:r>
        <w:rPr>
          <w:rFonts w:ascii="Arial" w:cs="Arial" w:eastAsia="Arial" w:hAnsi="Arial"/>
          <w:sz w:val="17"/>
          <w:szCs w:val="17"/>
          <w:color w:val="auto"/>
        </w:rPr>
        <w:t>We generate revenue from subscription arrangements for our software and cloud-based solutions, perpetual licenses, maintenance associated with perpetual licenses and professional services. We begin to recognize revenue when control of our software or services is transferred to the customer, which for sales made through our channel network is typically concurrent with the transfer to the end user.</w:t>
      </w:r>
    </w:p>
    <w:p>
      <w:pPr>
        <w:spacing w:after="0" w:line="159"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85"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w:t>
      </w:r>
    </w:p>
    <w:p>
      <w:pPr>
        <w:spacing w:after="0" w:line="175" w:lineRule="exact"/>
        <w:rPr>
          <w:sz w:val="20"/>
          <w:szCs w:val="20"/>
          <w:color w:val="auto"/>
        </w:rPr>
      </w:pPr>
    </w:p>
    <w:p>
      <w:pPr>
        <w:jc w:val="both"/>
        <w:ind w:right="40" w:firstLine="318"/>
        <w:spacing w:after="0" w:line="260"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7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 We expect longer purchasing and approval phases of our sales cycle to continue in 2025.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17"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ordinary course severance. Cost of revenue also includes cloud infrastructure costs, the costs related to professional services and training, depreciation, amortization of acquired and developed technology, hardware costs and allocated overhead costs, which consist of information technology, facilities and insurance.</w:t>
      </w:r>
    </w:p>
    <w:p>
      <w:pPr>
        <w:spacing w:after="0" w:line="180"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 The level and timing of investment in these areas could affect our cost of revenue in the future.</w:t>
      </w:r>
    </w:p>
    <w:p>
      <w:pPr>
        <w:spacing w:after="0" w:line="163"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180"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We expect our gross profit to increase in absolute dollars but our gross margin may fluctuate from period to period depending on the interplay of all of these factors, particularly as it relates to cloud infrastructure costs, as we expect revenue from our cloud-based subscriptions to increase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and restructuring expenses. Personnel costs are the most significant component of operating expenses and consist of salaries, benefits, bonuses, payroll taxes, stock-based compensation and ordinary course severance. Operating expenses also include depreciation and amortization as well as allocated overhead costs, including IT and facilities costs.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217"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meetings and events and allocated overhead costs. We capitalize sales commissions, including related fringe benefit costs, and recognize the expense over an estimated period of benefit, which ranges between three and four years for subscription arrangements</w:t>
      </w:r>
    </w:p>
    <w:p>
      <w:pPr>
        <w:ind w:right="100"/>
        <w:spacing w:after="0" w:line="249" w:lineRule="auto"/>
        <w:rPr>
          <w:sz w:val="20"/>
          <w:szCs w:val="20"/>
          <w:color w:val="auto"/>
        </w:rPr>
      </w:pPr>
      <w:r>
        <w:rPr>
          <w:rFonts w:ascii="Arial" w:cs="Arial" w:eastAsia="Arial" w:hAnsi="Arial"/>
          <w:sz w:val="18"/>
          <w:szCs w:val="18"/>
          <w:color w:val="auto"/>
        </w:rPr>
        <w:t>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185"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We intend to continue to make investments in our sales and marketing teams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in 2025 and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p>
      <w:pPr>
        <w:ind w:right="100" w:firstLine="318"/>
        <w:spacing w:after="0" w:line="282" w:lineRule="auto"/>
        <w:rPr>
          <w:sz w:val="20"/>
          <w:szCs w:val="20"/>
          <w:color w:val="auto"/>
        </w:rPr>
      </w:pPr>
      <w:r>
        <w:rPr>
          <w:rFonts w:ascii="Arial" w:cs="Arial" w:eastAsia="Arial" w:hAnsi="Arial"/>
          <w:sz w:val="17"/>
          <w:szCs w:val="17"/>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159"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217" w:lineRule="exact"/>
        <w:rPr>
          <w:sz w:val="20"/>
          <w:szCs w:val="20"/>
          <w:color w:val="auto"/>
        </w:rPr>
      </w:pPr>
    </w:p>
    <w:p>
      <w:pPr>
        <w:ind w:right="280" w:firstLine="318"/>
        <w:spacing w:after="0" w:line="260"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expenses.</w:t>
      </w:r>
    </w:p>
    <w:p>
      <w:pPr>
        <w:spacing w:after="0" w:line="175"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We expect our general and administrative expense to continue to increase in absolute dollars and decrease as a percentage of our revenue over the long term, although our general and administrative expense may fluctuate from period to period due to the timing and extent of these expenses. We expect general and administrative expenses in Q1 2025 to increase sequentially, primarily due to termination benefits, including cash compensation and accelerated equity award vesting, related to the passing of our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w:t>
      </w:r>
    </w:p>
    <w:p>
      <w:pPr>
        <w:spacing w:after="0" w:line="217"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Restructuring expenses consist of non-ordinary course severance, employee related benefits and other charges to reorganize business operations.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Income, Interest Expense and Other Expense, Net</w:t>
      </w:r>
    </w:p>
    <w:p>
      <w:pPr>
        <w:spacing w:after="0" w:line="217"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Interest income consists of income earned on cash and cash equivalents and short-term investments. Interest expense consists primarily of interest expense in connection with our Term Loan, unused commitment fees on our senior secured revolving credit facility, or Revolving Credit Facility, and letter of credit fees. Other expense, net consists primarily of foreign currency remeasurement and transaction gains and losses and any realized and unrealized gains and losses, including impairment losses and gains related to our non-marketable investments.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Provision for income taxes consists of income taxes in all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jc w:val="center"/>
              <w:ind w:left="733"/>
              <w:spacing w:after="0"/>
              <w:rPr>
                <w:sz w:val="20"/>
                <w:szCs w:val="20"/>
                <w:color w:val="auto"/>
              </w:rPr>
            </w:pPr>
            <w:r>
              <w:rPr>
                <w:rFonts w:ascii="Arial" w:cs="Arial" w:eastAsia="Arial" w:hAnsi="Arial"/>
                <w:sz w:val="16"/>
                <w:szCs w:val="16"/>
                <w:b w:val="1"/>
                <w:bCs w:val="1"/>
                <w:color w:val="auto"/>
                <w:w w:val="98"/>
              </w:rPr>
              <w:t>Year Ended December 31,</w:t>
            </w: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798,710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199,668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183,577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154,789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700,353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615,133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395,385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393,450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181,624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153,163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w:t>
            </w: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4,499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707,209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667,293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596,217</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ind w:left="420"/>
              <w:spacing w:after="0"/>
              <w:rPr>
                <w:sz w:val="20"/>
                <w:szCs w:val="20"/>
                <w:color w:val="auto"/>
              </w:rPr>
            </w:pPr>
            <w:r>
              <w:rPr>
                <w:rFonts w:ascii="Arial" w:cs="Arial" w:eastAsia="Arial" w:hAnsi="Arial"/>
                <w:sz w:val="18"/>
                <w:szCs w:val="18"/>
                <w:color w:val="auto"/>
                <w:w w:val="98"/>
              </w:rPr>
              <w:t>(52,160)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(67,815)</w:t>
            </w: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ind w:left="420"/>
              <w:spacing w:after="0"/>
              <w:rPr>
                <w:sz w:val="20"/>
                <w:szCs w:val="20"/>
                <w:color w:val="auto"/>
              </w:rPr>
            </w:pPr>
            <w:r>
              <w:rPr>
                <w:rFonts w:ascii="Arial" w:cs="Arial" w:eastAsia="Arial" w:hAnsi="Arial"/>
                <w:sz w:val="18"/>
                <w:szCs w:val="18"/>
                <w:color w:val="auto"/>
                <w:w w:val="98"/>
              </w:rPr>
              <w:t>(31,339)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(19,001)</w:t>
            </w: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ind w:left="520"/>
              <w:spacing w:after="0"/>
              <w:rPr>
                <w:sz w:val="20"/>
                <w:szCs w:val="20"/>
                <w:color w:val="auto"/>
              </w:rPr>
            </w:pPr>
            <w:r>
              <w:rPr>
                <w:rFonts w:ascii="Arial" w:cs="Arial" w:eastAsia="Arial" w:hAnsi="Arial"/>
                <w:sz w:val="18"/>
                <w:szCs w:val="18"/>
                <w:color w:val="auto"/>
                <w:w w:val="98"/>
              </w:rPr>
              <w:t>(8,602)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8"/>
        </w:trPr>
        <w:tc>
          <w:tcPr>
            <w:tcW w:w="53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ind w:left="420"/>
              <w:spacing w:after="0"/>
              <w:rPr>
                <w:sz w:val="20"/>
                <w:szCs w:val="20"/>
                <w:color w:val="auto"/>
              </w:rPr>
            </w:pPr>
            <w:r>
              <w:rPr>
                <w:rFonts w:ascii="Arial" w:cs="Arial" w:eastAsia="Arial" w:hAnsi="Arial"/>
                <w:sz w:val="18"/>
                <w:szCs w:val="18"/>
                <w:color w:val="auto"/>
                <w:w w:val="98"/>
              </w:rPr>
              <w:t>(67,401)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(85,289)</w:t>
            </w: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w w:val="98"/>
              </w:rPr>
              <w:t>(78,284)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(92,222)</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00" w:type="dxa"/>
            <w:vAlign w:val="bottom"/>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left="733"/>
              <w:spacing w:after="0"/>
              <w:rPr>
                <w:sz w:val="20"/>
                <w:szCs w:val="20"/>
                <w:color w:val="auto"/>
              </w:rPr>
            </w:pPr>
            <w:r>
              <w:rPr>
                <w:rFonts w:ascii="Arial" w:cs="Arial" w:eastAsia="Arial" w:hAnsi="Arial"/>
                <w:sz w:val="16"/>
                <w:szCs w:val="16"/>
                <w:b w:val="1"/>
                <w:bCs w:val="1"/>
                <w:color w:val="auto"/>
                <w:w w:val="98"/>
              </w:rPr>
              <w:t>Year Ended December 31,</w:t>
            </w: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62,727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61,322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49,383</w:t>
            </w: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31,499</w:t>
            </w:r>
          </w:p>
        </w:tc>
        <w:tc>
          <w:tcPr>
            <w:tcW w:w="0" w:type="dxa"/>
            <w:vAlign w:val="bottom"/>
          </w:tcPr>
          <w:p>
            <w:pPr>
              <w:spacing w:after="0"/>
              <w:rPr>
                <w:sz w:val="1"/>
                <w:szCs w:val="1"/>
                <w:color w:val="auto"/>
              </w:rPr>
            </w:pPr>
          </w:p>
        </w:tc>
      </w:tr>
      <w:tr>
        <w:trPr>
          <w:trHeight w:val="22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40,455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35,533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31,382</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163,515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shd w:val="clear" w:color="auto" w:fill="CCEEFF"/>
          </w:tcPr>
          <w:p>
            <w:pPr>
              <w:ind w:left="400"/>
              <w:spacing w:after="0"/>
              <w:rPr>
                <w:sz w:val="20"/>
                <w:szCs w:val="20"/>
                <w:color w:val="auto"/>
              </w:rPr>
            </w:pPr>
            <w:r>
              <w:rPr>
                <w:rFonts w:ascii="Arial" w:cs="Arial" w:eastAsia="Arial" w:hAnsi="Arial"/>
                <w:sz w:val="18"/>
                <w:szCs w:val="18"/>
                <w:color w:val="auto"/>
              </w:rPr>
              <w:t>145,327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120,633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b w:val="1"/>
                <w:bCs w:val="1"/>
                <w:color w:val="auto"/>
              </w:rPr>
              <w:t>Comparison of 2024 and 2023</w:t>
            </w: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3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5"/>
          </w:tcPr>
          <w:p>
            <w:pPr>
              <w:ind w:left="74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725,013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Arial" w:cs="Arial" w:eastAsia="Arial" w:hAnsi="Arial"/>
                <w:sz w:val="18"/>
                <w:szCs w:val="18"/>
                <w:color w:val="auto"/>
                <w:w w:val="99"/>
              </w:rPr>
              <w:t>(955)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24,968</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2,620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2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798,710</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The increase in revenue of $101.3 million included $101.1 million from existing customers as of January 1, 2024 and $0.2 million from new customers. U.S. revenue increased $44.0 million, or 10%. International revenue increased $57.3 million, or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4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0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w:t>
            </w:r>
          </w:p>
        </w:tc>
      </w:tr>
      <w:tr>
        <w:trPr>
          <w:trHeight w:val="21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199,668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183,577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700,353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615,133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85,220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cost of revenue of $16.1 million was primarily due to:</w:t>
      </w:r>
    </w:p>
    <w:p>
      <w:pPr>
        <w:spacing w:after="0" w:line="111"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$5.6 million increase in amortization of acquired intangible assets;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$3.5 million increase in third-party cloud infrastructure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$2.2 million increase in professional fees;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$1.7 million increase in personnel costs, including a $1.4 million increase in stock-based compensation;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$1.1 million increase in depreciation and amortization;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$0.8 million increase in allocated overhead expenses;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$0.8 million increase in subscription costs.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sales and marketing expense of $1.9 million was primarily due to:</w:t>
      </w:r>
    </w:p>
    <w:p>
      <w:pPr>
        <w:spacing w:after="0" w:line="111"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$4.7 million increase in sales commissions;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$2.8 million increase in allocated overhead expenses;</w:t>
      </w:r>
    </w:p>
    <w:p>
      <w:pPr>
        <w:spacing w:after="0" w:line="58"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$2.2 million increase in expenses for demand generation programs, including advertising, sponsorships, and brand awareness efforts;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$0.2 million increase in selling expenses, including travel and meeting costs and software subscription costs;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$7.6 million decrease in personnel costs, net of a $1.4 million increase in stock-based compensation;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$0.4 million decrease in depreciation expense.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research and development expense of $28.5 million was primarily due to:</w:t>
      </w:r>
    </w:p>
    <w:p>
      <w:pPr>
        <w:spacing w:after="0" w:line="111" w:lineRule="exact"/>
        <w:rPr>
          <w:sz w:val="20"/>
          <w:szCs w:val="20"/>
          <w:color w:val="auto"/>
        </w:rPr>
      </w:pPr>
    </w:p>
    <w:p>
      <w:pPr>
        <w:ind w:left="640" w:right="500" w:hanging="316"/>
        <w:spacing w:after="0" w:line="27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$21.3 million increase in personnel costs, largely associated with an increase in headcount, including a $10.4 million increase in stock-based compensation;</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$2.9 million increase in allocated overhead expenses;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$1.7 million increase in third-party cloud infrastructure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$0.8 million decrease in tax credits;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$0.6 million increase in travel and meeting costs; and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$0.5 million increase in software subscriptions.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general and administrative expense of $7.9 million was primarily due to:</w:t>
      </w:r>
    </w:p>
    <w:p>
      <w:pPr>
        <w:spacing w:after="0" w:line="111" w:lineRule="exact"/>
        <w:rPr>
          <w:sz w:val="20"/>
          <w:szCs w:val="20"/>
          <w:color w:val="auto"/>
        </w:rPr>
      </w:pPr>
    </w:p>
    <w:p>
      <w:pPr>
        <w:ind w:left="640" w:right="60" w:hanging="316"/>
        <w:spacing w:after="0" w:line="27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$8.6 million increase in personnel costs, largely associated with an increase in headcount, including a $4.9 million increase in stock-based compensation;</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$5.1 million increase in professional fees;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$0.9 million increase in software subscriptions;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$4.2 million decrease in acquisition-related expenses;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$2.6 million decrease in allocated overhead expenses.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bl>
    <w:p>
      <w:pPr>
        <w:spacing w:after="0" w:line="288" w:lineRule="exact"/>
        <w:rPr>
          <w:sz w:val="20"/>
          <w:szCs w:val="20"/>
          <w:color w:val="auto"/>
        </w:rPr>
      </w:pPr>
    </w:p>
    <w:p>
      <w:pPr>
        <w:jc w:val="both"/>
        <w:ind w:right="300" w:firstLine="318"/>
        <w:spacing w:after="0" w:line="260" w:lineRule="auto"/>
        <w:rPr>
          <w:sz w:val="20"/>
          <w:szCs w:val="20"/>
          <w:color w:val="auto"/>
        </w:rPr>
      </w:pPr>
      <w:r>
        <w:rPr>
          <w:rFonts w:ascii="Arial" w:cs="Arial" w:eastAsia="Arial" w:hAnsi="Arial"/>
          <w:sz w:val="18"/>
          <w:szCs w:val="18"/>
          <w:color w:val="auto"/>
        </w:rPr>
        <w:t>The increase in restructuring of $1.6 million was due to a $ 4.5 million non-cash impairment of leasehold improvements and furniture and fixtures that was recorded in connection with the sublease of a portion of our headquarters in 2024, net of a decrease of $2.9 million in non-ordinary course severance and employee-related benefits.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Income, Interest Expense and Other Expense, Net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w:t>
            </w:r>
          </w:p>
        </w:tc>
      </w:tr>
      <w:tr>
        <w:trPr>
          <w:trHeight w:val="21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88" w:lineRule="exact"/>
        <w:rPr>
          <w:sz w:val="20"/>
          <w:szCs w:val="20"/>
          <w:color w:val="auto"/>
        </w:rPr>
      </w:pPr>
    </w:p>
    <w:p>
      <w:pPr>
        <w:ind w:right="420" w:firstLine="318"/>
        <w:spacing w:after="0" w:line="253" w:lineRule="auto"/>
        <w:rPr>
          <w:sz w:val="20"/>
          <w:szCs w:val="20"/>
          <w:color w:val="auto"/>
        </w:rPr>
      </w:pPr>
      <w:r>
        <w:rPr>
          <w:rFonts w:ascii="Arial" w:cs="Arial" w:eastAsia="Arial" w:hAnsi="Arial"/>
          <w:sz w:val="18"/>
          <w:szCs w:val="18"/>
          <w:color w:val="auto"/>
        </w:rPr>
        <w:t>The $1.4 million decrease in interest income was primarily due to lower interest rates on our cash and cash equivalents and short-term investments. The $ 0.6 million increase in interest expense was primarily due to an increase in the variable rate of our Term Loan. The $5.2 million decrease in other expense, net was primarily due to $5.6 million of impairment losses on our simple agreements for future equity, or SAFE, investments in 2023 and a $1.5 million gain on the conversion of a SAFE investment to an investment in preferred stock in 2024, partially offset by a $1.9 million increase in foreign exchange losses.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2024, the provision for income taxes included:</w:t>
      </w:r>
    </w:p>
    <w:p>
      <w:pPr>
        <w:spacing w:after="0" w:line="58"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$6.9 million of discrete expenses primarily related to withholding taxes on sales to customers;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$6.2 million of income taxes in foreign jurisdictions in which we conduct business;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$3.3 million related to Base Erosion and Anti-Abuse Tax, or BEAT;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 million of additional tax incurred related to the 2021 restructuring of Indegy;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$0.2 million of deferred tax benefits related to the Alsid acquisition.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2023, the provision for income taxes included:</w:t>
      </w:r>
    </w:p>
    <w:p>
      <w:pPr>
        <w:spacing w:after="0" w:line="58"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$5.8 million of income taxes in foreign jurisdictions in which we conduct business;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$5.3 million of discrete expenses primarily related to withholding taxes on sales to customers;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$0.2 million of deferred tax benefits related to the Alsid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2023 and 2022</w:t>
      </w:r>
    </w:p>
    <w:p>
      <w:pPr>
        <w:spacing w:after="0" w:line="219" w:lineRule="exact"/>
        <w:rPr>
          <w:sz w:val="20"/>
          <w:szCs w:val="20"/>
          <w:color w:val="auto"/>
        </w:rPr>
      </w:pPr>
    </w:p>
    <w:p>
      <w:pPr>
        <w:ind w:right="620" w:firstLine="318"/>
        <w:spacing w:after="0" w:line="274" w:lineRule="auto"/>
        <w:rPr>
          <w:sz w:val="20"/>
          <w:szCs w:val="20"/>
          <w:color w:val="auto"/>
        </w:rPr>
      </w:pPr>
      <w:r>
        <w:rPr>
          <w:rFonts w:ascii="Arial" w:cs="Arial" w:eastAsia="Arial" w:hAnsi="Arial"/>
          <w:sz w:val="18"/>
          <w:szCs w:val="18"/>
          <w:color w:val="auto"/>
        </w:rPr>
        <w:t>For a discussion of our consolidated results for 2023 compared to 2022, see our Annual Report on Form 10-K filed with the SEC on February 28, 2024.</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219" w:lineRule="exact"/>
        <w:rPr>
          <w:sz w:val="20"/>
          <w:szCs w:val="20"/>
          <w:color w:val="auto"/>
        </w:rPr>
      </w:pPr>
    </w:p>
    <w:p>
      <w:pPr>
        <w:ind w:right="260" w:firstLine="318"/>
        <w:spacing w:after="0" w:line="260" w:lineRule="auto"/>
        <w:rPr>
          <w:sz w:val="20"/>
          <w:szCs w:val="20"/>
          <w:color w:val="auto"/>
        </w:rPr>
      </w:pPr>
      <w:r>
        <w:rPr>
          <w:rFonts w:ascii="Arial" w:cs="Arial" w:eastAsia="Arial" w:hAnsi="Arial"/>
          <w:sz w:val="18"/>
          <w:szCs w:val="18"/>
          <w:color w:val="auto"/>
        </w:rPr>
        <w:t>At December 31, 2024, we had $328.6 million of cash and cash equivalents, which consisted of bank deposits and money market funds, and $248.5 million of short-term investments, which consisted of commercial paper, asset backed securities, U.S. Treasury and agency obligations and corporate and Yankee bonds.</w:t>
      </w:r>
    </w:p>
    <w:p>
      <w:pPr>
        <w:spacing w:after="0" w:line="175" w:lineRule="exact"/>
        <w:rPr>
          <w:sz w:val="20"/>
          <w:szCs w:val="20"/>
          <w:color w:val="auto"/>
        </w:rPr>
      </w:pPr>
    </w:p>
    <w:p>
      <w:pPr>
        <w:ind w:right="40" w:firstLine="318"/>
        <w:spacing w:after="0" w:line="275" w:lineRule="auto"/>
        <w:rPr>
          <w:sz w:val="20"/>
          <w:szCs w:val="20"/>
          <w:color w:val="auto"/>
        </w:rPr>
      </w:pPr>
      <w:r>
        <w:rPr>
          <w:rFonts w:ascii="Arial" w:cs="Arial" w:eastAsia="Arial" w:hAnsi="Arial"/>
          <w:sz w:val="17"/>
          <w:szCs w:val="17"/>
          <w:color w:val="auto"/>
        </w:rPr>
        <w:t>Since our inception, we have primarily financed our operations through cash provided by operations, including payments received from customers using our software products and services. Prior to our IPO, we did not raise any primary institutional capital, and the proceeds of our Series A and Series B redeemable convertible preferred stock financings were used to repurchase shares of capital stock from former stockholders. We have generated significant operating losses as reflected by our accumulated deficit of $861.3 million at December 31, 2024.</w:t>
      </w:r>
    </w:p>
    <w:p>
      <w:pPr>
        <w:spacing w:after="0" w:line="16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typically invoice our customers annually in advance and, to a lesser extent, multi-years in advance. Therefore, a substantial source of our cash is from such prepayments, which are included in deferred revenue on our consolidated balance sheets. Deferred revenue consists primarily of the unearned portion of billed fees for our subscriptions and perpetual licenses, which is subsequently recognized as revenue in accordance with our revenue recognition policy. At December 31, 2024, we had deferred revenue of $833.2 million, of which $650.4 million was recorded as a current liability and is expected to be recognized as revenue in the next 12 months, provided all other revenue recognition criteria are met.</w:t>
      </w:r>
    </w:p>
    <w:p>
      <w:pPr>
        <w:spacing w:after="0" w:line="185"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acquiring complementary businesses and technology and repurchasing shares of our common stock. We paid $ 29.2 million, $243.3 million and $66.8 million to acquire businesses in 2024, 2023 and 2022, respectively. In February 2025, we acquired Vulcan Cyber Ltd., or Vulcan Cyber, for approximately $148 million in cash and $2 million of restricted stock units (RSUs) that vest over a future period. We expect to enter into arrangements to acquire or invest in other complementary businesses, services and technologies, including intellectual property rights, in the future.</w:t>
      </w:r>
    </w:p>
    <w:p>
      <w:pPr>
        <w:spacing w:after="0" w:line="185" w:lineRule="exact"/>
        <w:rPr>
          <w:sz w:val="20"/>
          <w:szCs w:val="20"/>
          <w:color w:val="auto"/>
        </w:rPr>
      </w:pPr>
    </w:p>
    <w:p>
      <w:pPr>
        <w:jc w:val="both"/>
        <w:ind w:right="20" w:firstLine="318"/>
        <w:spacing w:after="0" w:line="266" w:lineRule="auto"/>
        <w:rPr>
          <w:sz w:val="20"/>
          <w:szCs w:val="20"/>
          <w:color w:val="auto"/>
        </w:rPr>
      </w:pPr>
      <w:r>
        <w:rPr>
          <w:rFonts w:ascii="Arial" w:cs="Arial" w:eastAsia="Arial" w:hAnsi="Arial"/>
          <w:sz w:val="17"/>
          <w:szCs w:val="17"/>
          <w:color w:val="auto"/>
        </w:rPr>
        <w:t>We expect to continue incurring operating losses in the near term. Even though we generated positive cash flows from operations and free cash flow in 2024, 2023 and 2022, we may not be able to sustain these cash flows. We believe that our existing cash and cash equivalents and short-term investments will be sufficient to fund our operating and capital needs for at least the next 12 months and for the foreseeable future.</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color w:val="auto"/>
        </w:rPr>
        <w:t>capital when desired, or if we cannot expand our operations or otherwise capitalize on our business opportunities because we lack sufficient capital, our business, operating results and financial condition would be adversely affected.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Repurchase Plan</w:t>
      </w:r>
    </w:p>
    <w:p>
      <w:pPr>
        <w:spacing w:after="0" w:line="217" w:lineRule="exact"/>
        <w:rPr>
          <w:sz w:val="20"/>
          <w:szCs w:val="20"/>
          <w:color w:val="auto"/>
        </w:rPr>
      </w:pPr>
    </w:p>
    <w:p>
      <w:pPr>
        <w:ind w:right="500" w:firstLine="318"/>
        <w:spacing w:after="0" w:line="260" w:lineRule="auto"/>
        <w:rPr>
          <w:sz w:val="20"/>
          <w:szCs w:val="20"/>
          <w:color w:val="auto"/>
        </w:rPr>
      </w:pPr>
      <w:r>
        <w:rPr>
          <w:rFonts w:ascii="Arial" w:cs="Arial" w:eastAsia="Arial" w:hAnsi="Arial"/>
          <w:sz w:val="18"/>
          <w:szCs w:val="18"/>
          <w:color w:val="auto"/>
        </w:rPr>
        <w:t>In November 2023, our Board of Directors authorized the repurchase of up to $100 million of our common stock. In October 2024, our Board of Directors increased the repurchase authorization by $200 million. Since the inception of the repurchase program and through December 31, 2024, we have purchased a total of 2.7 million shares for $114.9 million.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July 2021, we entered into a credit agreement, or the Credit Agreement, which is comprised of a $375.0 million Term Loan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 million Revolving Credit Facility, with a $15.0 million letter of credit sublimit. The Term Loan bears interest at a rate of 2.75% per annum</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over SOFR, subject to a 0.50% floor, plus a credit spread adjustment depending on the interest period.</w:t>
      </w:r>
    </w:p>
    <w:p>
      <w:pPr>
        <w:spacing w:after="0" w:line="201"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From January to December 2024, interest rates on our Term Loan have been between 7.44% and 8.22%. The Term Loan is being amortized at 1% per annum in equal quarterly installments until the final payment of $350.6 million on the July 7, 2028 maturity date. We may be subject to mandatory Term Loan prepayments related to the excess cash provisions in the Credit Agreement if our first lien net leverage ratio (as defined in the Credit Agreement) exceeds 3.5. At December 31, 2024, our first lien net leverage ratio was 0.86.</w:t>
      </w:r>
    </w:p>
    <w:p>
      <w:pPr>
        <w:spacing w:after="0" w:line="180"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SOFR and matures on July 7, 2026. We pay a commitment fee during the term ranging from 0.25% to 0.375% per annum of the average daily undrawn portion of our Revolving Credit Facility. At December 31, 2024, we were in compliance with the covenants and had $0.2 million of standby letters of credit outstanding under the Revolving Credit Facility.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131,151</w:t>
            </w:r>
          </w:p>
        </w:tc>
      </w:tr>
      <w:tr>
        <w:trPr>
          <w:trHeight w:val="225"/>
        </w:trPr>
        <w:tc>
          <w:tcPr>
            <w:tcW w:w="69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(128,039)</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23,318</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217" w:lineRule="exact"/>
        <w:rPr>
          <w:sz w:val="20"/>
          <w:szCs w:val="20"/>
          <w:color w:val="auto"/>
        </w:rPr>
      </w:pPr>
    </w:p>
    <w:p>
      <w:pPr>
        <w:jc w:val="both"/>
        <w:ind w:right="540" w:firstLine="318"/>
        <w:spacing w:after="0" w:line="260" w:lineRule="auto"/>
        <w:rPr>
          <w:sz w:val="20"/>
          <w:szCs w:val="20"/>
          <w:color w:val="auto"/>
        </w:rPr>
      </w:pPr>
      <w:r>
        <w:rPr>
          <w:rFonts w:ascii="Arial" w:cs="Arial" w:eastAsia="Arial" w:hAnsi="Arial"/>
          <w:sz w:val="18"/>
          <w:szCs w:val="18"/>
          <w:color w:val="auto"/>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217"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From 2023 to 2024, net cash used in investing activities decreased by $171.2 million, primarily due to a decrease in cash paid for acquisitions of $214.1 million, a $3.5 million increase in proceeds from our investments in private companies and a $0.6 million decrease in capitalized software development costs, partially offset by a $ 43.3 million net decrease in sales of short-term investments, a $2.5 million increase in purchases of property and equipment, and a $1.3 million increase in cash paid for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From 2022 to 2023, net cash used in investing activities increased by $84.6 million, primarily due to an increase in cash paid for acquisitions of $176.5 million, partially offset by a $ 71.6 million net increase in sales of short-term investments, $10.0 million in cash paid for other investments in 2022, a $7.7 million decrease in purchases of property and equipment and a $2.7 million decrease in capitalized software development costs.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217" w:lineRule="exact"/>
        <w:rPr>
          <w:sz w:val="20"/>
          <w:szCs w:val="20"/>
          <w:color w:val="auto"/>
        </w:rPr>
      </w:pPr>
    </w:p>
    <w:p>
      <w:pPr>
        <w:ind w:right="320" w:firstLine="318"/>
        <w:spacing w:after="0" w:line="260" w:lineRule="auto"/>
        <w:rPr>
          <w:sz w:val="20"/>
          <w:szCs w:val="20"/>
          <w:color w:val="auto"/>
        </w:rPr>
      </w:pPr>
      <w:r>
        <w:rPr>
          <w:rFonts w:ascii="Arial" w:cs="Arial" w:eastAsia="Arial" w:hAnsi="Arial"/>
          <w:sz w:val="18"/>
          <w:szCs w:val="18"/>
          <w:color w:val="auto"/>
        </w:rPr>
        <w:t>From 2023 to 2024, net cash used in financing activities increased by $ 80.7 million, primarily due to an $85.0 million increase in the repurchase of common stock under our stock repurchase program partially offset by a $4.6 million increase in proceeds from the exercise of stock options.</w:t>
      </w:r>
    </w:p>
    <w:p>
      <w:pPr>
        <w:spacing w:after="0" w:line="175"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From 2022 to 2023, net cash provided by financing activities decreased by $22.1 million, primarily due to the repurchase of common stock under our stock repurchase program of $14.9 million and an $8.2 million decrease in proceeds from the exercise of stock options, partially offset by a $1.4 million increase in proceeds from stock issued in connection with our employee stock purchase program.</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219"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 xml:space="preserve">We have certain contractual obligations for future payments.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to our consolidated financial statements for our required operating lease payments and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our required payments to Microsoft and AWS for cloud services.</w:t>
      </w:r>
    </w:p>
    <w:p>
      <w:pPr>
        <w:spacing w:after="0" w:line="163"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At December 31, 2024, we had other non-cancellable purchase obligations of $24.5 million due in the next twelve months and $10.5 million due thereafter. Additionally, we had $8.5 million of unrecognized tax benefits and $1.4 million of asset retirement obligations, the timing of payments for which is uncertain.</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9"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ind w:right="680" w:firstLine="318"/>
        <w:spacing w:after="0" w:line="274"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ind w:right="400" w:firstLine="318"/>
        <w:spacing w:after="0" w:line="274" w:lineRule="auto"/>
        <w:rPr>
          <w:sz w:val="20"/>
          <w:szCs w:val="20"/>
          <w:color w:val="auto"/>
        </w:rPr>
      </w:pPr>
      <w:r>
        <w:rPr>
          <w:rFonts w:ascii="Arial" w:cs="Arial" w:eastAsia="Arial" w:hAnsi="Arial"/>
          <w:sz w:val="18"/>
          <w:szCs w:val="18"/>
          <w:color w:val="auto"/>
        </w:rPr>
        <w:t>We recognize revenue to depict the transfer of promised goods or services to customers in an amount that reflects the consideration to which we expect to be entitled to in exchange for those goods or services. In recognizing revenue, we apply the following steps:</w:t>
      </w:r>
    </w:p>
    <w:p>
      <w:pPr>
        <w:spacing w:after="0" w:line="57"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7" w:lineRule="exact"/>
        <w:rPr>
          <w:sz w:val="20"/>
          <w:szCs w:val="20"/>
          <w:color w:val="auto"/>
        </w:rPr>
      </w:pPr>
    </w:p>
    <w:p>
      <w:pPr>
        <w:ind w:right="360" w:firstLine="318"/>
        <w:spacing w:after="0" w:line="260" w:lineRule="auto"/>
        <w:rPr>
          <w:sz w:val="20"/>
          <w:szCs w:val="20"/>
          <w:color w:val="auto"/>
        </w:rPr>
      </w:pPr>
      <w:r>
        <w:rPr>
          <w:rFonts w:ascii="Arial" w:cs="Arial" w:eastAsia="Arial" w:hAnsi="Arial"/>
          <w:sz w:val="18"/>
          <w:szCs w:val="18"/>
          <w:color w:val="auto"/>
        </w:rPr>
        <w:t>In situations where we enter into a contractual arrangement that includes non-standard terms and conditions, such as acceptance provisions and options to purchase additional products and services, as well as contract modifications, we apply judgment in identifying and assessing the impact on revenue recognition.</w:t>
      </w:r>
    </w:p>
    <w:p>
      <w:pPr>
        <w:spacing w:after="0" w:line="175" w:lineRule="exact"/>
        <w:rPr>
          <w:sz w:val="20"/>
          <w:szCs w:val="20"/>
          <w:color w:val="auto"/>
        </w:rPr>
      </w:pPr>
    </w:p>
    <w:p>
      <w:pPr>
        <w:ind w:right="680" w:firstLine="318"/>
        <w:spacing w:after="0" w:line="274"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and other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17"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Our 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w:t>
      </w:r>
    </w:p>
    <w:p>
      <w:pPr>
        <w:spacing w:after="0" w:line="175" w:lineRule="exact"/>
        <w:rPr>
          <w:sz w:val="20"/>
          <w:szCs w:val="20"/>
          <w:color w:val="auto"/>
        </w:rPr>
      </w:pPr>
    </w:p>
    <w:p>
      <w:pPr>
        <w:ind w:right="660" w:firstLine="318"/>
        <w:spacing w:after="0" w:line="260" w:lineRule="auto"/>
        <w:rPr>
          <w:sz w:val="20"/>
          <w:szCs w:val="20"/>
          <w:color w:val="auto"/>
        </w:rPr>
      </w:pPr>
      <w:r>
        <w:rPr>
          <w:rFonts w:ascii="Arial" w:cs="Arial" w:eastAsia="Arial" w:hAnsi="Arial"/>
          <w:sz w:val="18"/>
          <w:szCs w:val="18"/>
          <w:color w:val="auto"/>
        </w:rPr>
        <w:t>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impact our financial results.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17" w:lineRule="exact"/>
        <w:rPr>
          <w:sz w:val="20"/>
          <w:szCs w:val="20"/>
          <w:color w:val="auto"/>
        </w:rPr>
      </w:pPr>
    </w:p>
    <w:p>
      <w:pPr>
        <w:jc w:val="both"/>
        <w:ind w:right="40" w:firstLine="318"/>
        <w:spacing w:after="0" w:line="260"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17"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217"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180"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1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Stock-based compensation expense related to stock options, restricted stock, restricted stock units, or RSUs, and purchase rights issued under our 2018 Employee Stock Purchase Plan, or the 2018 ESPP, is calculated based on the fair value of the awards granted and is recognized on a straight-line basis over the requisite service period, which is generally two to four years. Our performance stock units, or PSUs, vest over a period of 4 years and are subject to defined performance and service conditions. Our PSUs and RSUs that include performance-based vesting conditions are expensed using the accelerated attribution method. We account for forfeitures as they occur.</w:t>
      </w:r>
    </w:p>
    <w:p>
      <w:pPr>
        <w:spacing w:after="0" w:line="181"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The fair value of our RSUs, PSUs and restricted stock is based on the market price of our common stock on the date of grant. Estimating the fair value of purchase rights under the 2018 ESPP using the Black-Scholes option-pricing model requires assumptions as to the fair value of our underlying common stock, the estimated term of the option, the risk free interest rates, the expected volatility of the price of our common stock and the expected dividend yield. The assumptions used to estimate the fair value of the option awards reflect our best estimates. If any of the assumptions change significantly, stock-based compensation for future awards may differ significantly compared with the awards granted previously.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assumptions and estimates are as follows:</w:t>
      </w:r>
    </w:p>
    <w:p>
      <w:pPr>
        <w:spacing w:after="0" w:line="111"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Valuations below.</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use the actual purchase periods as the expected term in the 2018 ESPP.</w:t>
      </w:r>
    </w:p>
    <w:p>
      <w:pPr>
        <w:spacing w:after="0" w:line="58" w:lineRule="exact"/>
        <w:rPr>
          <w:rFonts w:ascii="Arial" w:cs="Arial" w:eastAsia="Arial" w:hAnsi="Arial"/>
          <w:sz w:val="18"/>
          <w:szCs w:val="18"/>
          <w:color w:val="auto"/>
        </w:rPr>
      </w:pPr>
    </w:p>
    <w:p>
      <w:pPr>
        <w:jc w:val="both"/>
        <w:ind w:left="640" w:right="180" w:hanging="316"/>
        <w:spacing w:after="0" w:line="260" w:lineRule="auto"/>
        <w:tabs>
          <w:tab w:leader="none" w:pos="63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This is a measure of the amount by which a financial variable, such as a share price, has fluctuated (historical volatility) or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fluctuate (expected volatility) during a period. We use the volatility of our common stock to calculate expected volatility for the 2018 ESPP.</w:t>
      </w:r>
    </w:p>
    <w:p>
      <w:pPr>
        <w:spacing w:after="0" w:line="16" w:lineRule="exact"/>
        <w:rPr>
          <w:rFonts w:ascii="Arial" w:cs="Arial" w:eastAsia="Arial" w:hAnsi="Arial"/>
          <w:sz w:val="18"/>
          <w:szCs w:val="18"/>
          <w:i w:val="1"/>
          <w:iCs w:val="1"/>
          <w:color w:val="auto"/>
        </w:rPr>
      </w:pPr>
    </w:p>
    <w:p>
      <w:pPr>
        <w:ind w:left="640" w:right="80" w:hanging="316"/>
        <w:spacing w:after="0" w:line="27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remaining term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of the 2018 ESPP.</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and do not expect to pay dividends on our common stock.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Valuations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use the market price of our common stock at the date of grant as the fair value.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2018 ESPP purchase rights were estimated on the offering or modification dates based on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9"/>
              </w:rPr>
              <w:t>Year Ended December 31,</w:t>
            </w: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5"/>
        </w:trPr>
        <w:tc>
          <w:tcPr>
            <w:tcW w:w="5760" w:type="dxa"/>
            <w:vAlign w:val="bottom"/>
          </w:tcPr>
          <w:p>
            <w:pPr>
              <w:spacing w:after="0"/>
              <w:rPr>
                <w:sz w:val="17"/>
                <w:szCs w:val="17"/>
                <w:color w:val="auto"/>
              </w:rPr>
            </w:pPr>
          </w:p>
        </w:tc>
        <w:tc>
          <w:tcPr>
            <w:tcW w:w="1760" w:type="dxa"/>
            <w:vAlign w:val="bottom"/>
            <w:gridSpan w:val="3"/>
          </w:tcPr>
          <w:p>
            <w:pPr>
              <w:jc w:val="center"/>
              <w:spacing w:after="0"/>
              <w:rPr>
                <w:sz w:val="20"/>
                <w:szCs w:val="20"/>
                <w:color w:val="auto"/>
              </w:rPr>
            </w:pPr>
            <w:r>
              <w:rPr>
                <w:rFonts w:ascii="Arial" w:cs="Arial" w:eastAsia="Arial" w:hAnsi="Arial"/>
                <w:sz w:val="16"/>
                <w:szCs w:val="16"/>
                <w:b w:val="1"/>
                <w:bCs w:val="1"/>
                <w:color w:val="auto"/>
              </w:rPr>
              <w:t>2024</w:t>
            </w:r>
          </w:p>
        </w:tc>
        <w:tc>
          <w:tcPr>
            <w:tcW w:w="1860" w:type="dxa"/>
            <w:vAlign w:val="bottom"/>
            <w:gridSpan w:val="4"/>
          </w:tcPr>
          <w:p>
            <w:pPr>
              <w:jc w:val="center"/>
              <w:ind w:left="18"/>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760" w:type="dxa"/>
            <w:vAlign w:val="bottom"/>
            <w:gridSpan w:val="2"/>
          </w:tcPr>
          <w:p>
            <w:pPr>
              <w:jc w:val="right"/>
              <w:ind w:right="612"/>
              <w:spacing w:after="0"/>
              <w:rPr>
                <w:sz w:val="20"/>
                <w:szCs w:val="20"/>
                <w:color w:val="auto"/>
              </w:rPr>
            </w:pPr>
            <w:r>
              <w:rPr>
                <w:rFonts w:ascii="Arial" w:cs="Arial" w:eastAsia="Arial" w:hAnsi="Arial"/>
                <w:sz w:val="16"/>
                <w:szCs w:val="16"/>
                <w:b w:val="1"/>
                <w:bCs w:val="1"/>
                <w:color w:val="auto"/>
              </w:rPr>
              <w:t>2022</w:t>
            </w:r>
          </w:p>
        </w:tc>
      </w:tr>
      <w:tr>
        <w:trPr>
          <w:trHeight w:val="219"/>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2.0</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51.4%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42.8%</w:t>
            </w:r>
          </w:p>
        </w:tc>
        <w:tc>
          <w:tcPr>
            <w:tcW w:w="1000" w:type="dxa"/>
            <w:vAlign w:val="bottom"/>
          </w:tcPr>
          <w:p>
            <w:pPr>
              <w:ind w:left="40"/>
              <w:spacing w:after="0"/>
              <w:rPr>
                <w:sz w:val="20"/>
                <w:szCs w:val="20"/>
                <w:color w:val="auto"/>
              </w:rPr>
            </w:pPr>
            <w:r>
              <w:rPr>
                <w:rFonts w:ascii="Arial" w:cs="Arial" w:eastAsia="Arial" w:hAnsi="Arial"/>
                <w:sz w:val="18"/>
                <w:szCs w:val="18"/>
                <w:color w:val="auto"/>
              </w:rPr>
              <w:t>— 61.0%</w:t>
            </w:r>
          </w:p>
        </w:tc>
      </w:tr>
      <w:tr>
        <w:trPr>
          <w:trHeight w:val="22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8"/>
              </w:rPr>
              <w:t>4.8% — 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3.4%</w:t>
            </w:r>
          </w:p>
        </w:tc>
      </w:tr>
      <w:tr>
        <w:trPr>
          <w:trHeight w:val="232"/>
        </w:trPr>
        <w:tc>
          <w:tcPr>
            <w:tcW w:w="5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760" w:type="dxa"/>
            <w:vAlign w:val="bottom"/>
          </w:tcPr>
          <w:p>
            <w:pPr>
              <w:spacing w:after="0"/>
              <w:rPr>
                <w:sz w:val="20"/>
                <w:szCs w:val="20"/>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generally determine the fair value of acquired technology using the multi-period excess earnings method, a form of the income approach. However, in certain situations we may use the cost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Any adjustments made after the measurement period will be reflected in the consolidated statements of operations. Acquisition-related costs are expensed as incurred.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17"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ind w:right="380" w:firstLine="318"/>
        <w:spacing w:after="0" w:line="260" w:lineRule="auto"/>
        <w:rPr>
          <w:sz w:val="20"/>
          <w:szCs w:val="20"/>
          <w:color w:val="auto"/>
        </w:rPr>
      </w:pPr>
      <w:r>
        <w:rPr>
          <w:rFonts w:ascii="Arial" w:cs="Arial" w:eastAsia="Arial" w:hAnsi="Arial"/>
          <w:sz w:val="18"/>
          <w:szCs w:val="18"/>
          <w:color w:val="auto"/>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spacing w:after="0" w:line="175"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We have elected to treat taxes related to Global Intangible Low Taxed Income, or GILTI, as a period cost.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reverse and provide a source of taxable income. Our evaluation of valuation allowances could change in the future and the impact could have a material impact on our financial statements.</w:t>
      </w:r>
    </w:p>
    <w:p>
      <w:pPr>
        <w:spacing w:after="0" w:line="175" w:lineRule="exact"/>
        <w:rPr>
          <w:sz w:val="20"/>
          <w:szCs w:val="20"/>
          <w:color w:val="auto"/>
        </w:rPr>
      </w:pPr>
    </w:p>
    <w:p>
      <w:pPr>
        <w:ind w:right="620" w:firstLine="318"/>
        <w:spacing w:after="0" w:line="304" w:lineRule="auto"/>
        <w:rPr>
          <w:sz w:val="20"/>
          <w:szCs w:val="20"/>
          <w:color w:val="auto"/>
        </w:rPr>
      </w:pPr>
      <w:r>
        <w:rPr>
          <w:rFonts w:ascii="Arial" w:cs="Arial" w:eastAsia="Arial" w:hAnsi="Arial"/>
          <w:sz w:val="17"/>
          <w:szCs w:val="17"/>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41" w:lineRule="exact"/>
        <w:rPr>
          <w:sz w:val="20"/>
          <w:szCs w:val="20"/>
          <w:color w:val="auto"/>
        </w:rPr>
      </w:pPr>
    </w:p>
    <w:p>
      <w:pPr>
        <w:ind w:right="360" w:firstLine="318"/>
        <w:spacing w:after="0" w:line="260"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to our consolidated financial statements for more information regarding recently issued accounting pronouncements.</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exposed to market risks in the ordinary course of our business, including interest rate, foreign currency exchange and inflation risks.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7"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At December 31, 2024, we had $328.6 million of cash and cash equivalents, which consisted of cash deposits and money market funds. We also had $ 248.5 million of short-term investments, which consisted of commercial paper, asset backed securities, U.S. treasury and agency securities and corporate and Yankee bonds. Our investments are carried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their fair market values with cumulative unrealized gains or losses recorded as a component of accumulated other comprehensive (loss)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181" w:lineRule="exact"/>
        <w:rPr>
          <w:sz w:val="20"/>
          <w:szCs w:val="20"/>
          <w:color w:val="auto"/>
        </w:rPr>
      </w:pPr>
    </w:p>
    <w:p>
      <w:pPr>
        <w:ind w:right="40" w:firstLine="318"/>
        <w:spacing w:after="0" w:line="282" w:lineRule="auto"/>
        <w:rPr>
          <w:sz w:val="20"/>
          <w:szCs w:val="20"/>
          <w:color w:val="auto"/>
        </w:rPr>
      </w:pPr>
      <w:r>
        <w:rPr>
          <w:rFonts w:ascii="Arial" w:cs="Arial" w:eastAsia="Arial" w:hAnsi="Arial"/>
          <w:sz w:val="17"/>
          <w:szCs w:val="17"/>
          <w:color w:val="auto"/>
        </w:rPr>
        <w:t>In July 2021, we entered into the Credit Agreement comprised of a $375.0 million Term Loan and a $50.0 million Revolving Credit Facility. From January to December 2024, interest rates on our Term Loan have been between 7.44% and 8.22%. In February 2025, our Term Loan had an interest rate of 7.18%. A one percentage point increase in the rate would not have had a material impact on our financial statements.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7"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Indian Rupee and Brazilian Real. Strengthening of the U.S. dollar compared to other currencies could result in lower international sales as our products would seem more expensive and could result in lower international operating costs as the U.S. dollar is the functional currency for all of our international subsidiaries.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currencies becomes more significant.</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7"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While we do not believe that inflation has had a material effect on our business, results of operations, or financial condition through December 31, 2024, our costs, specifically employee-related and third-party cloud infrastructure costs, may become subject to significant inflationary pressures, and our inability or failure to fully offset such higher costs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22"/>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424"/>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2"/>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Page</w:t>
            </w:r>
          </w:p>
        </w:tc>
      </w:tr>
      <w:tr>
        <w:trPr>
          <w:trHeight w:val="470"/>
        </w:trPr>
        <w:tc>
          <w:tcPr>
            <w:tcW w:w="340" w:type="dxa"/>
            <w:vAlign w:val="bottom"/>
          </w:tcPr>
          <w:p>
            <w:pPr>
              <w:spacing w:after="0"/>
              <w:rPr>
                <w:sz w:val="24"/>
                <w:szCs w:val="24"/>
                <w:color w:val="auto"/>
              </w:rPr>
            </w:pPr>
          </w:p>
        </w:tc>
        <w:tc>
          <w:tcPr>
            <w:tcW w:w="10600" w:type="dxa"/>
            <w:vAlign w:val="bottom"/>
            <w:gridSpan w:val="24"/>
          </w:tcPr>
          <w:p>
            <w:pPr>
              <w:spacing w:after="0"/>
              <w:rPr>
                <w:sz w:val="20"/>
                <w:szCs w:val="20"/>
                <w:color w:val="auto"/>
              </w:rPr>
            </w:pPr>
            <w:r>
              <w:rPr>
                <w:rFonts w:ascii="Arial" w:cs="Arial" w:eastAsia="Arial" w:hAnsi="Arial"/>
                <w:sz w:val="18"/>
                <w:szCs w:val="18"/>
                <w:color w:val="0000FF"/>
              </w:rPr>
              <w:t>Reports of Independent Registered Public Accounting Firm</w:t>
            </w:r>
          </w:p>
        </w:tc>
        <w:tc>
          <w:tcPr>
            <w:tcW w:w="400" w:type="dxa"/>
            <w:vAlign w:val="bottom"/>
            <w:gridSpan w:val="2"/>
          </w:tcPr>
          <w:p>
            <w:pPr>
              <w:spacing w:after="0"/>
              <w:rPr>
                <w:sz w:val="20"/>
                <w:szCs w:val="20"/>
                <w:color w:val="auto"/>
              </w:rPr>
            </w:pPr>
            <w:r>
              <w:rPr>
                <w:rFonts w:ascii="Arial" w:cs="Arial" w:eastAsia="Arial" w:hAnsi="Arial"/>
                <w:sz w:val="18"/>
                <w:szCs w:val="18"/>
                <w:color w:val="0000FF"/>
              </w:rPr>
              <w:t>69</w:t>
            </w:r>
          </w:p>
        </w:tc>
      </w:tr>
      <w:tr>
        <w:trPr>
          <w:trHeight w:val="205"/>
        </w:trPr>
        <w:tc>
          <w:tcPr>
            <w:tcW w:w="340" w:type="dxa"/>
            <w:vAlign w:val="bottom"/>
          </w:tcPr>
          <w:p>
            <w:pPr>
              <w:spacing w:after="0"/>
              <w:rPr>
                <w:sz w:val="17"/>
                <w:szCs w:val="17"/>
                <w:color w:val="auto"/>
              </w:rPr>
            </w:pPr>
          </w:p>
        </w:tc>
        <w:tc>
          <w:tcPr>
            <w:tcW w:w="1660" w:type="dxa"/>
            <w:vAlign w:val="bottom"/>
            <w:tcBorders>
              <w:top w:val="single" w:sz="8" w:color="0000FF"/>
              <w:bottom w:val="single" w:sz="8" w:color="0000FF"/>
            </w:tcBorders>
            <w:gridSpan w:val="8"/>
          </w:tcPr>
          <w:p>
            <w:pPr>
              <w:spacing w:after="0" w:line="205" w:lineRule="exact"/>
              <w:rPr>
                <w:sz w:val="20"/>
                <w:szCs w:val="20"/>
                <w:color w:val="auto"/>
              </w:rPr>
            </w:pPr>
            <w:r>
              <w:rPr>
                <w:rFonts w:ascii="Arial" w:cs="Arial" w:eastAsia="Arial" w:hAnsi="Arial"/>
                <w:sz w:val="18"/>
                <w:szCs w:val="18"/>
                <w:color w:val="0000FF"/>
                <w:w w:val="97"/>
              </w:rPr>
              <w:t>Financial Statements</w:t>
            </w:r>
          </w:p>
        </w:tc>
        <w:tc>
          <w:tcPr>
            <w:tcW w:w="2940" w:type="dxa"/>
            <w:vAlign w:val="bottom"/>
            <w:tcBorders>
              <w:top w:val="single" w:sz="8" w:color="0000FF"/>
            </w:tcBorders>
            <w:gridSpan w:val="14"/>
          </w:tcPr>
          <w:p>
            <w:pPr>
              <w:spacing w:after="0"/>
              <w:rPr>
                <w:sz w:val="17"/>
                <w:szCs w:val="17"/>
                <w:color w:val="auto"/>
              </w:rPr>
            </w:pPr>
          </w:p>
        </w:tc>
        <w:tc>
          <w:tcPr>
            <w:tcW w:w="6000" w:type="dxa"/>
            <w:vAlign w:val="bottom"/>
            <w:gridSpan w:val="2"/>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320" w:type="dxa"/>
            <w:vAlign w:val="bottom"/>
            <w:tcBorders>
              <w:bottom w:val="single" w:sz="8" w:color="0000FF"/>
            </w:tcBorders>
            <w:gridSpan w:val="11"/>
          </w:tcPr>
          <w:p>
            <w:pPr>
              <w:spacing w:after="0" w:line="205" w:lineRule="exact"/>
              <w:rPr>
                <w:sz w:val="20"/>
                <w:szCs w:val="20"/>
                <w:color w:val="auto"/>
              </w:rPr>
            </w:pPr>
            <w:r>
              <w:rPr>
                <w:rFonts w:ascii="Arial" w:cs="Arial" w:eastAsia="Arial" w:hAnsi="Arial"/>
                <w:sz w:val="18"/>
                <w:szCs w:val="18"/>
                <w:color w:val="0000FF"/>
                <w:w w:val="97"/>
              </w:rPr>
              <w:t>Consolidated Balance Sheets</w:t>
            </w:r>
          </w:p>
        </w:tc>
        <w:tc>
          <w:tcPr>
            <w:tcW w:w="8280" w:type="dxa"/>
            <w:vAlign w:val="bottom"/>
            <w:gridSpan w:val="13"/>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72</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10600" w:type="dxa"/>
            <w:vAlign w:val="bottom"/>
            <w:gridSpan w:val="24"/>
          </w:tcPr>
          <w:p>
            <w:pPr>
              <w:spacing w:after="0" w:line="205" w:lineRule="exact"/>
              <w:rPr>
                <w:sz w:val="20"/>
                <w:szCs w:val="20"/>
                <w:color w:val="auto"/>
              </w:rPr>
            </w:pPr>
            <w:r>
              <w:rPr>
                <w:rFonts w:ascii="Arial" w:cs="Arial" w:eastAsia="Arial" w:hAnsi="Arial"/>
                <w:sz w:val="18"/>
                <w:szCs w:val="18"/>
                <w:color w:val="0000FF"/>
              </w:rPr>
              <w:t>Consolidated Statements of Operations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73</w:t>
            </w: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3880" w:type="dxa"/>
            <w:vAlign w:val="bottom"/>
            <w:tcBorders>
              <w:bottom w:val="single" w:sz="8" w:color="0000FF"/>
            </w:tcBorders>
            <w:gridSpan w:val="20"/>
          </w:tcPr>
          <w:p>
            <w:pPr>
              <w:spacing w:after="0" w:line="205" w:lineRule="exact"/>
              <w:rPr>
                <w:sz w:val="20"/>
                <w:szCs w:val="20"/>
                <w:color w:val="auto"/>
              </w:rPr>
            </w:pPr>
            <w:r>
              <w:rPr>
                <w:rFonts w:ascii="Arial" w:cs="Arial" w:eastAsia="Arial" w:hAnsi="Arial"/>
                <w:sz w:val="18"/>
                <w:szCs w:val="18"/>
                <w:color w:val="0000FF"/>
                <w:w w:val="97"/>
              </w:rPr>
              <w:t>Consolidated Statements of Comprehensive Loss</w:t>
            </w:r>
          </w:p>
        </w:tc>
        <w:tc>
          <w:tcPr>
            <w:tcW w:w="6720" w:type="dxa"/>
            <w:vAlign w:val="bottom"/>
            <w:gridSpan w:val="4"/>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74</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3820" w:type="dxa"/>
            <w:vAlign w:val="bottom"/>
            <w:tcBorders>
              <w:bottom w:val="single" w:sz="8" w:color="0000FF"/>
            </w:tcBorders>
            <w:gridSpan w:val="18"/>
          </w:tcPr>
          <w:p>
            <w:pPr>
              <w:spacing w:after="0" w:line="205" w:lineRule="exact"/>
              <w:rPr>
                <w:sz w:val="20"/>
                <w:szCs w:val="20"/>
                <w:color w:val="auto"/>
              </w:rPr>
            </w:pPr>
            <w:r>
              <w:rPr>
                <w:rFonts w:ascii="Arial" w:cs="Arial" w:eastAsia="Arial" w:hAnsi="Arial"/>
                <w:sz w:val="18"/>
                <w:szCs w:val="18"/>
                <w:color w:val="0000FF"/>
                <w:w w:val="97"/>
              </w:rPr>
              <w:t>Consolidated Statements of Stockholders' Equity</w:t>
            </w:r>
          </w:p>
        </w:tc>
        <w:tc>
          <w:tcPr>
            <w:tcW w:w="6780" w:type="dxa"/>
            <w:vAlign w:val="bottom"/>
            <w:gridSpan w:val="6"/>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75</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10600" w:type="dxa"/>
            <w:vAlign w:val="bottom"/>
            <w:gridSpan w:val="24"/>
          </w:tcPr>
          <w:p>
            <w:pPr>
              <w:spacing w:after="0" w:line="205" w:lineRule="exact"/>
              <w:rPr>
                <w:sz w:val="20"/>
                <w:szCs w:val="20"/>
                <w:color w:val="auto"/>
              </w:rPr>
            </w:pPr>
            <w:r>
              <w:rPr>
                <w:rFonts w:ascii="Arial" w:cs="Arial" w:eastAsia="Arial" w:hAnsi="Arial"/>
                <w:sz w:val="18"/>
                <w:szCs w:val="18"/>
                <w:color w:val="0000FF"/>
              </w:rPr>
              <w:t>Consolidated Statements of Cash Flows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76</w:t>
            </w: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3440" w:type="dxa"/>
            <w:vAlign w:val="bottom"/>
            <w:tcBorders>
              <w:bottom w:val="single" w:sz="8" w:color="0000FF"/>
            </w:tcBorders>
            <w:gridSpan w:val="17"/>
          </w:tcPr>
          <w:p>
            <w:pPr>
              <w:spacing w:after="0" w:line="205" w:lineRule="exact"/>
              <w:rPr>
                <w:sz w:val="20"/>
                <w:szCs w:val="20"/>
                <w:color w:val="auto"/>
              </w:rPr>
            </w:pPr>
            <w:r>
              <w:rPr>
                <w:rFonts w:ascii="Arial" w:cs="Arial" w:eastAsia="Arial" w:hAnsi="Arial"/>
                <w:sz w:val="18"/>
                <w:szCs w:val="18"/>
                <w:color w:val="0000FF"/>
                <w:w w:val="97"/>
              </w:rPr>
              <w:t>Notes to Consolidated Financial Statements</w:t>
            </w:r>
          </w:p>
        </w:tc>
        <w:tc>
          <w:tcPr>
            <w:tcW w:w="7160" w:type="dxa"/>
            <w:vAlign w:val="bottom"/>
            <w:gridSpan w:val="7"/>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77</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1.</w:t>
            </w:r>
          </w:p>
        </w:tc>
        <w:tc>
          <w:tcPr>
            <w:tcW w:w="10220" w:type="dxa"/>
            <w:vAlign w:val="bottom"/>
            <w:gridSpan w:val="22"/>
          </w:tcPr>
          <w:p>
            <w:pPr>
              <w:ind w:left="20"/>
              <w:spacing w:after="0" w:line="205" w:lineRule="exact"/>
              <w:rPr>
                <w:sz w:val="20"/>
                <w:szCs w:val="20"/>
                <w:color w:val="auto"/>
              </w:rPr>
            </w:pPr>
            <w:r>
              <w:rPr>
                <w:rFonts w:ascii="Arial" w:cs="Arial" w:eastAsia="Arial" w:hAnsi="Arial"/>
                <w:sz w:val="18"/>
                <w:szCs w:val="18"/>
                <w:color w:val="0000FF"/>
              </w:rPr>
              <w:t>Business and Summary of Significant Accounting Policies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77</w:t>
            </w:r>
          </w:p>
        </w:tc>
      </w:tr>
      <w:tr>
        <w:trPr>
          <w:trHeight w:val="205"/>
        </w:trPr>
        <w:tc>
          <w:tcPr>
            <w:tcW w:w="560" w:type="dxa"/>
            <w:vAlign w:val="bottom"/>
            <w:gridSpan w:val="2"/>
          </w:tcPr>
          <w:p>
            <w:pPr>
              <w:spacing w:after="0"/>
              <w:rPr>
                <w:sz w:val="17"/>
                <w:szCs w:val="17"/>
                <w:color w:val="auto"/>
              </w:rPr>
            </w:pPr>
          </w:p>
        </w:tc>
        <w:tc>
          <w:tcPr>
            <w:tcW w:w="16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92"/>
              </w:rPr>
              <w:t>2.</w:t>
            </w:r>
          </w:p>
        </w:tc>
        <w:tc>
          <w:tcPr>
            <w:tcW w:w="4520" w:type="dxa"/>
            <w:vAlign w:val="bottom"/>
            <w:tcBorders>
              <w:top w:val="single" w:sz="8" w:color="0000FF"/>
            </w:tcBorders>
            <w:gridSpan w:val="21"/>
          </w:tcPr>
          <w:p>
            <w:pPr>
              <w:ind w:left="20"/>
              <w:spacing w:after="0" w:line="205" w:lineRule="exact"/>
              <w:rPr>
                <w:sz w:val="20"/>
                <w:szCs w:val="20"/>
                <w:color w:val="auto"/>
              </w:rPr>
            </w:pPr>
            <w:r>
              <w:rPr>
                <w:rFonts w:ascii="Arial" w:cs="Arial" w:eastAsia="Arial" w:hAnsi="Arial"/>
                <w:sz w:val="18"/>
                <w:szCs w:val="18"/>
                <w:color w:val="0000FF"/>
              </w:rPr>
              <w:t>Revenue</w:t>
            </w:r>
          </w:p>
        </w:tc>
        <w:tc>
          <w:tcPr>
            <w:tcW w:w="5700" w:type="dxa"/>
            <w:vAlign w:val="bottom"/>
          </w:tcPr>
          <w:p>
            <w:pPr>
              <w:spacing w:after="0"/>
              <w:rPr>
                <w:sz w:val="17"/>
                <w:szCs w:val="17"/>
                <w:color w:val="auto"/>
              </w:rPr>
            </w:pPr>
          </w:p>
        </w:tc>
        <w:tc>
          <w:tcPr>
            <w:tcW w:w="20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89"/>
              </w:rPr>
              <w:t>83</w:t>
            </w:r>
          </w:p>
        </w:tc>
        <w:tc>
          <w:tcPr>
            <w:tcW w:w="2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FF"/>
            </w:tcBorders>
            <w:gridSpan w:val="20"/>
          </w:tcPr>
          <w:p>
            <w:pPr>
              <w:spacing w:after="0" w:line="205" w:lineRule="exact"/>
              <w:rPr>
                <w:sz w:val="20"/>
                <w:szCs w:val="20"/>
                <w:color w:val="auto"/>
              </w:rPr>
            </w:pPr>
            <w:r>
              <w:rPr>
                <w:rFonts w:ascii="Arial" w:cs="Arial" w:eastAsia="Arial" w:hAnsi="Arial"/>
                <w:sz w:val="18"/>
                <w:szCs w:val="18"/>
                <w:color w:val="0000FF"/>
                <w:w w:val="97"/>
              </w:rPr>
              <w:t>3. Cash Equivalents and Short-Term Investments</w:t>
            </w:r>
          </w:p>
        </w:tc>
        <w:tc>
          <w:tcPr>
            <w:tcW w:w="6540" w:type="dxa"/>
            <w:vAlign w:val="bottom"/>
            <w:gridSpan w:val="3"/>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84</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4.</w:t>
            </w:r>
          </w:p>
        </w:tc>
        <w:tc>
          <w:tcPr>
            <w:tcW w:w="10220" w:type="dxa"/>
            <w:vAlign w:val="bottom"/>
            <w:gridSpan w:val="22"/>
          </w:tcPr>
          <w:p>
            <w:pPr>
              <w:ind w:left="20"/>
              <w:spacing w:after="0" w:line="205" w:lineRule="exact"/>
              <w:rPr>
                <w:sz w:val="20"/>
                <w:szCs w:val="20"/>
                <w:color w:val="auto"/>
              </w:rPr>
            </w:pPr>
            <w:r>
              <w:rPr>
                <w:rFonts w:ascii="Arial" w:cs="Arial" w:eastAsia="Arial" w:hAnsi="Arial"/>
                <w:sz w:val="18"/>
                <w:szCs w:val="18"/>
                <w:color w:val="0000FF"/>
              </w:rPr>
              <w:t>Fair Value Measurements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85</w:t>
            </w:r>
          </w:p>
        </w:tc>
      </w:tr>
      <w:tr>
        <w:trPr>
          <w:trHeight w:val="20"/>
        </w:trPr>
        <w:tc>
          <w:tcPr>
            <w:tcW w:w="56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5.</w:t>
            </w:r>
          </w:p>
        </w:tc>
        <w:tc>
          <w:tcPr>
            <w:tcW w:w="2300" w:type="dxa"/>
            <w:vAlign w:val="bottom"/>
            <w:tcBorders>
              <w:bottom w:val="single" w:sz="8" w:color="0000FF"/>
            </w:tcBorders>
            <w:gridSpan w:val="11"/>
          </w:tcPr>
          <w:p>
            <w:pPr>
              <w:ind w:left="20"/>
              <w:spacing w:after="0" w:line="205" w:lineRule="exact"/>
              <w:rPr>
                <w:sz w:val="20"/>
                <w:szCs w:val="20"/>
                <w:color w:val="auto"/>
              </w:rPr>
            </w:pPr>
            <w:r>
              <w:rPr>
                <w:rFonts w:ascii="Arial" w:cs="Arial" w:eastAsia="Arial" w:hAnsi="Arial"/>
                <w:sz w:val="18"/>
                <w:szCs w:val="18"/>
                <w:color w:val="0000FF"/>
                <w:w w:val="97"/>
              </w:rPr>
              <w:t>Property and Equipment, Net</w:t>
            </w:r>
          </w:p>
        </w:tc>
        <w:tc>
          <w:tcPr>
            <w:tcW w:w="7920" w:type="dxa"/>
            <w:vAlign w:val="bottom"/>
            <w:gridSpan w:val="11"/>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87</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6.</w:t>
            </w:r>
          </w:p>
        </w:tc>
        <w:tc>
          <w:tcPr>
            <w:tcW w:w="3480" w:type="dxa"/>
            <w:vAlign w:val="bottom"/>
            <w:tcBorders>
              <w:bottom w:val="single" w:sz="8" w:color="0000FF"/>
            </w:tcBorders>
            <w:gridSpan w:val="17"/>
          </w:tcPr>
          <w:p>
            <w:pPr>
              <w:ind w:left="20"/>
              <w:spacing w:after="0" w:line="205" w:lineRule="exact"/>
              <w:rPr>
                <w:sz w:val="20"/>
                <w:szCs w:val="20"/>
                <w:color w:val="auto"/>
              </w:rPr>
            </w:pPr>
            <w:r>
              <w:rPr>
                <w:rFonts w:ascii="Arial" w:cs="Arial" w:eastAsia="Arial" w:hAnsi="Arial"/>
                <w:sz w:val="18"/>
                <w:szCs w:val="18"/>
                <w:color w:val="0000FF"/>
                <w:w w:val="97"/>
              </w:rPr>
              <w:t>Acquisitions, Goodwill and Intangible Assets</w:t>
            </w:r>
          </w:p>
        </w:tc>
        <w:tc>
          <w:tcPr>
            <w:tcW w:w="6740" w:type="dxa"/>
            <w:vAlign w:val="bottom"/>
            <w:gridSpan w:val="5"/>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87</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7.</w:t>
            </w:r>
          </w:p>
        </w:tc>
        <w:tc>
          <w:tcPr>
            <w:tcW w:w="10220" w:type="dxa"/>
            <w:vAlign w:val="bottom"/>
            <w:gridSpan w:val="22"/>
          </w:tcPr>
          <w:p>
            <w:pPr>
              <w:ind w:left="20"/>
              <w:spacing w:after="0" w:line="205" w:lineRule="exact"/>
              <w:rPr>
                <w:sz w:val="20"/>
                <w:szCs w:val="20"/>
                <w:color w:val="auto"/>
              </w:rPr>
            </w:pPr>
            <w:r>
              <w:rPr>
                <w:rFonts w:ascii="Arial" w:cs="Arial" w:eastAsia="Arial" w:hAnsi="Arial"/>
                <w:sz w:val="18"/>
                <w:szCs w:val="18"/>
                <w:color w:val="0000FF"/>
              </w:rPr>
              <w:t>Leases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89</w:t>
            </w:r>
          </w:p>
        </w:tc>
      </w:tr>
      <w:tr>
        <w:trPr>
          <w:trHeight w:val="205"/>
        </w:trPr>
        <w:tc>
          <w:tcPr>
            <w:tcW w:w="560" w:type="dxa"/>
            <w:vAlign w:val="bottom"/>
            <w:gridSpan w:val="2"/>
          </w:tcPr>
          <w:p>
            <w:pPr>
              <w:spacing w:after="0"/>
              <w:rPr>
                <w:sz w:val="17"/>
                <w:szCs w:val="17"/>
                <w:color w:val="auto"/>
              </w:rPr>
            </w:pPr>
          </w:p>
        </w:tc>
        <w:tc>
          <w:tcPr>
            <w:tcW w:w="16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92"/>
              </w:rPr>
              <w:t>8.</w:t>
            </w:r>
          </w:p>
        </w:tc>
        <w:tc>
          <w:tcPr>
            <w:tcW w:w="580" w:type="dxa"/>
            <w:vAlign w:val="bottom"/>
            <w:tcBorders>
              <w:top w:val="single" w:sz="8" w:color="0000FF"/>
            </w:tcBorders>
            <w:gridSpan w:val="2"/>
          </w:tcPr>
          <w:p>
            <w:pPr>
              <w:ind w:left="20"/>
              <w:spacing w:after="0" w:line="205" w:lineRule="exact"/>
              <w:rPr>
                <w:sz w:val="20"/>
                <w:szCs w:val="20"/>
                <w:color w:val="auto"/>
              </w:rPr>
            </w:pPr>
            <w:r>
              <w:rPr>
                <w:rFonts w:ascii="Arial" w:cs="Arial" w:eastAsia="Arial" w:hAnsi="Arial"/>
                <w:sz w:val="18"/>
                <w:szCs w:val="18"/>
                <w:color w:val="0000FF"/>
              </w:rPr>
              <w:t>Debt</w:t>
            </w:r>
          </w:p>
        </w:tc>
        <w:tc>
          <w:tcPr>
            <w:tcW w:w="9640" w:type="dxa"/>
            <w:vAlign w:val="bottom"/>
            <w:gridSpan w:val="20"/>
          </w:tcPr>
          <w:p>
            <w:pPr>
              <w:spacing w:after="0"/>
              <w:rPr>
                <w:sz w:val="17"/>
                <w:szCs w:val="17"/>
                <w:color w:val="auto"/>
              </w:rPr>
            </w:pPr>
          </w:p>
        </w:tc>
        <w:tc>
          <w:tcPr>
            <w:tcW w:w="20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89"/>
              </w:rPr>
              <w:t>90</w:t>
            </w:r>
          </w:p>
        </w:tc>
        <w:tc>
          <w:tcPr>
            <w:tcW w:w="200" w:type="dxa"/>
            <w:vAlign w:val="bottom"/>
          </w:tcPr>
          <w:p>
            <w:pPr>
              <w:spacing w:after="0"/>
              <w:rPr>
                <w:sz w:val="17"/>
                <w:szCs w:val="17"/>
                <w:color w:val="auto"/>
              </w:rPr>
            </w:pPr>
          </w:p>
        </w:tc>
      </w:tr>
      <w:tr>
        <w:trPr>
          <w:trHeight w:val="20"/>
        </w:trPr>
        <w:tc>
          <w:tcPr>
            <w:tcW w:w="56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9.</w:t>
            </w:r>
          </w:p>
        </w:tc>
        <w:tc>
          <w:tcPr>
            <w:tcW w:w="2620" w:type="dxa"/>
            <w:vAlign w:val="bottom"/>
            <w:tcBorders>
              <w:bottom w:val="single" w:sz="8" w:color="0000FF"/>
            </w:tcBorders>
            <w:gridSpan w:val="12"/>
          </w:tcPr>
          <w:p>
            <w:pPr>
              <w:ind w:left="20"/>
              <w:spacing w:after="0" w:line="205" w:lineRule="exact"/>
              <w:rPr>
                <w:sz w:val="20"/>
                <w:szCs w:val="20"/>
                <w:color w:val="auto"/>
              </w:rPr>
            </w:pPr>
            <w:r>
              <w:rPr>
                <w:rFonts w:ascii="Arial" w:cs="Arial" w:eastAsia="Arial" w:hAnsi="Arial"/>
                <w:sz w:val="18"/>
                <w:szCs w:val="18"/>
                <w:color w:val="0000FF"/>
                <w:w w:val="97"/>
              </w:rPr>
              <w:t>Commitments and Contingencies</w:t>
            </w:r>
          </w:p>
        </w:tc>
        <w:tc>
          <w:tcPr>
            <w:tcW w:w="7600" w:type="dxa"/>
            <w:vAlign w:val="bottom"/>
            <w:gridSpan w:val="10"/>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91</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205" w:lineRule="exact"/>
              <w:rPr>
                <w:sz w:val="20"/>
                <w:szCs w:val="20"/>
                <w:color w:val="auto"/>
              </w:rPr>
            </w:pPr>
            <w:r>
              <w:rPr>
                <w:rFonts w:ascii="Arial" w:cs="Arial" w:eastAsia="Arial" w:hAnsi="Arial"/>
                <w:sz w:val="18"/>
                <w:szCs w:val="18"/>
                <w:color w:val="0000FF"/>
              </w:rPr>
              <w:t>10. Stock-Based Compensation</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92</w:t>
            </w: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0000FF"/>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3"/>
              </w:rPr>
              <w:t>11. Income Taxes</w:t>
            </w:r>
          </w:p>
        </w:tc>
        <w:tc>
          <w:tcPr>
            <w:tcW w:w="1100" w:type="dxa"/>
            <w:vAlign w:val="bottom"/>
            <w:tcBorders>
              <w:top w:val="single" w:sz="8" w:color="0000FF"/>
            </w:tcBorders>
            <w:gridSpan w:val="6"/>
          </w:tcPr>
          <w:p>
            <w:pPr>
              <w:spacing w:after="0"/>
              <w:rPr>
                <w:sz w:val="17"/>
                <w:szCs w:val="17"/>
                <w:color w:val="auto"/>
              </w:rPr>
            </w:pPr>
          </w:p>
        </w:tc>
        <w:tc>
          <w:tcPr>
            <w:tcW w:w="7920" w:type="dxa"/>
            <w:vAlign w:val="bottom"/>
            <w:gridSpan w:val="11"/>
          </w:tcPr>
          <w:p>
            <w:pPr>
              <w:spacing w:after="0"/>
              <w:rPr>
                <w:sz w:val="17"/>
                <w:szCs w:val="17"/>
                <w:color w:val="auto"/>
              </w:rPr>
            </w:pPr>
          </w:p>
        </w:tc>
        <w:tc>
          <w:tcPr>
            <w:tcW w:w="200" w:type="dxa"/>
            <w:vAlign w:val="bottom"/>
            <w:tcBorders>
              <w:top w:val="single" w:sz="8" w:color="0000FF"/>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95</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6"/>
              </w:rPr>
              <w:t>12. Net Loss Per Share</w:t>
            </w:r>
          </w:p>
        </w:tc>
        <w:tc>
          <w:tcPr>
            <w:tcW w:w="8560" w:type="dxa"/>
            <w:vAlign w:val="bottom"/>
            <w:gridSpan w:val="14"/>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98</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tcBorders>
              <w:bottom w:val="single" w:sz="8" w:color="0000FF"/>
            </w:tcBorders>
            <w:gridSpan w:val="23"/>
          </w:tcPr>
          <w:p>
            <w:pPr>
              <w:spacing w:after="0" w:line="205" w:lineRule="exact"/>
              <w:rPr>
                <w:sz w:val="20"/>
                <w:szCs w:val="20"/>
                <w:color w:val="auto"/>
              </w:rPr>
            </w:pPr>
            <w:r>
              <w:rPr>
                <w:rFonts w:ascii="Arial" w:cs="Arial" w:eastAsia="Arial" w:hAnsi="Arial"/>
                <w:sz w:val="18"/>
                <w:szCs w:val="18"/>
                <w:color w:val="0000FF"/>
              </w:rPr>
              <w:t>13. Segment and Geographic Information</w:t>
            </w: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99</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5"/>
              </w:rPr>
              <w:t>14. Benefit Plans</w:t>
            </w:r>
          </w:p>
        </w:tc>
        <w:tc>
          <w:tcPr>
            <w:tcW w:w="9060" w:type="dxa"/>
            <w:vAlign w:val="bottom"/>
            <w:gridSpan w:val="18"/>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99</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3"/>
          </w:tcPr>
          <w:p>
            <w:pPr>
              <w:spacing w:after="0" w:line="205" w:lineRule="exact"/>
              <w:rPr>
                <w:sz w:val="20"/>
                <w:szCs w:val="20"/>
                <w:color w:val="auto"/>
              </w:rPr>
            </w:pPr>
            <w:r>
              <w:rPr>
                <w:rFonts w:ascii="Arial" w:cs="Arial" w:eastAsia="Arial" w:hAnsi="Arial"/>
                <w:sz w:val="18"/>
                <w:szCs w:val="18"/>
                <w:color w:val="0000FF"/>
              </w:rPr>
              <w:t>15. Subsequent Events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99</w:t>
            </w: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Tenable Holdings,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audited the accompanying consolidated balance sheets of Tenable Holdings, Inc. (the Company) as of December 31, 2024 and 2023, the related consolidated statements of operations, comprehensive loss, stockholders' equity and cash flows for each of the three years in the period ended December 31, 2024,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69"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1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3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right="60"/>
        <w:spacing w:after="0" w:line="234"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 Identification and Evaluation of Contracts with Non-Standard Terms and Conditions</w:t>
      </w:r>
    </w:p>
    <w:p>
      <w:pPr>
        <w:spacing w:after="0" w:line="56" w:lineRule="exact"/>
        <w:rPr>
          <w:sz w:val="20"/>
          <w:szCs w:val="20"/>
          <w:color w:val="auto"/>
        </w:rPr>
      </w:pPr>
    </w:p>
    <w:p>
      <w:pPr>
        <w:ind w:right="500"/>
        <w:spacing w:after="0" w:line="274" w:lineRule="auto"/>
        <w:rPr>
          <w:sz w:val="20"/>
          <w:szCs w:val="20"/>
          <w:color w:val="auto"/>
        </w:rPr>
      </w:pPr>
      <w:r>
        <w:rPr>
          <w:rFonts w:ascii="Arial" w:cs="Arial" w:eastAsia="Arial" w:hAnsi="Arial"/>
          <w:sz w:val="18"/>
          <w:szCs w:val="18"/>
          <w:color w:val="auto"/>
        </w:rPr>
        <w:t>As described in Note 1 to the consolidated financial statements, management enters into certain contracts with customers with non-standard terms and conditions.</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Performing procedures relating to the identification and evaluation of non-standard terms and conditions in contracts is a critical audit matter because there is a significant amount of judgment required by management in identifying and evaluating non-standard terms and conditions and determining the impact of such terms and conditions on the amount and timing of revenue recognition. Accordingly, there is significant auditor judgment and significant audit effort in performing our audit procedures to evaluate whether non-standard terms and conditions in contracts were appropriately identified and evaluated by management.</w:t>
      </w:r>
    </w:p>
    <w:p>
      <w:pPr>
        <w:spacing w:after="0" w:line="2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for identifying and evaluating contracts with non-standard terms and conditions. These procedures also included, among others, on a sample basis (i) testing the completeness and accuracy of management’s identification of contracts with non-standard terms and conditions and (ii) testing management’s determination of the impact of non-standard terms and conditions on the amount and timing of revenue recognition.</w:t>
      </w:r>
    </w:p>
    <w:p>
      <w:pPr>
        <w:spacing w:after="0" w:line="764" w:lineRule="exact"/>
        <w:rPr>
          <w:sz w:val="20"/>
          <w:szCs w:val="20"/>
          <w:color w:val="auto"/>
        </w:rPr>
      </w:pPr>
    </w:p>
    <w:p>
      <w:pPr>
        <w:sectPr>
          <w:pgSz w:w="11900" w:h="16838" w:orient="portrait"/>
          <w:cols w:equalWidth="0" w:num="2">
            <w:col w:w="1940" w:space="160"/>
            <w:col w:w="9120"/>
          </w:cols>
          <w:pgMar w:left="320" w:top="122" w:right="359" w:bottom="1440" w:gutter="0" w:footer="0" w:header="0"/>
        </w:sectPr>
      </w:pPr>
    </w:p>
    <w:p>
      <w:pPr>
        <w:spacing w:after="0"/>
        <w:rPr>
          <w:sz w:val="20"/>
          <w:szCs w:val="20"/>
          <w:color w:val="auto"/>
        </w:rPr>
      </w:pPr>
      <w:r>
        <w:rPr>
          <w:rFonts w:ascii="Arial" w:cs="Arial" w:eastAsia="Arial" w:hAnsi="Arial"/>
          <w:sz w:val="18"/>
          <w:szCs w:val="18"/>
          <w:i w:val="1"/>
          <w:iCs w:val="1"/>
          <w:color w:val="auto"/>
        </w:rPr>
        <w:t>We have served as the Company’s auditor since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2025</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212529"/>
        </w:rPr>
        <w:t>To the Stockholders and the Board of Directors of Tenable Holdings,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Tenable Holdings, Inc.’s internal control over financial reporting as of December 31, 2024, based on criteria established in Internal Control—Integrated Framework issued by the Committee of Sponsoring Organizations of the Treadway Commission (2013 framework) (the COSO criteria). In our opinion, Tenable Holdings, Inc. (the Company) maintained, in all material respects, effective internal control over financial reporting as of December 31, 2024, based on the COSO criteria.</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and cash flows for each of the three years in the period ended December 31, 2024, and the related notes and the financial statement schedule listed in the Index at Item 15(a)(2) and our report dated February 21, 2025 expressed an unqualified opinion thereon.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2025</w:t>
      </w:r>
    </w:p>
    <w:p>
      <w:pPr>
        <w:spacing w:after="0" w:line="200" w:lineRule="exact"/>
        <w:rPr>
          <w:sz w:val="20"/>
          <w:szCs w:val="20"/>
          <w:color w:val="auto"/>
        </w:rPr>
      </w:pPr>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237,132</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248,547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236,840</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rPr>
              <w:t>Accounts receivable (net of allowance for doubtful accounts of $525 and $470 at December 31, 2024</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2023, respectively)</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258,734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220,060</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49,559</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61,882</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940,745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805,473</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45,436</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72,394</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34,835</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94,461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107,017</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518,539</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23,177</w:t>
            </w: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1,742,119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1,606,871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19,981</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66,492</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650,372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580,779</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675,838</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182,815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169,718</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359,281</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48,058</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19"/>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1,342,165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1,260,527</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rPr>
              <w:t>Common stock (par value: $0.01; 500,000 shares authorized, 122,371 and 117,504 shares issued at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December 31, 2024 and 2023, respectively)</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1,374,659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1,185,100</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2,673 and 356 shares at December 31, 2024 and 2023,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(861,336)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(825,035)</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346,344</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1,742,119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1,606,871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683,191</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154,789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528,402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349,430</w:t>
            </w:r>
          </w:p>
        </w:tc>
      </w:tr>
      <w:tr>
        <w:trPr>
          <w:trHeight w:val="225"/>
        </w:trPr>
        <w:tc>
          <w:tcPr>
            <w:tcW w:w="69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143,560</w:t>
            </w: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103,227</w:t>
            </w:r>
          </w:p>
        </w:tc>
      </w:tr>
      <w:tr>
        <w:trPr>
          <w:trHeight w:val="225"/>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596,217</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(67,815)</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(19,001)</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w:t>
            </w:r>
          </w:p>
        </w:tc>
      </w:tr>
      <w:tr>
        <w:trPr>
          <w:trHeight w:val="218"/>
        </w:trPr>
        <w:tc>
          <w:tcPr>
            <w:tcW w:w="69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(85,289)</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r>
      <w:tr>
        <w:trPr>
          <w:trHeight w:val="218"/>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(92,222)</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6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(losses) on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9"/>
        </w:trPr>
        <w:tc>
          <w:tcPr>
            <w:tcW w:w="2220" w:type="dxa"/>
            <w:vAlign w:val="bottom"/>
          </w:tcPr>
          <w:p>
            <w:pPr>
              <w:spacing w:after="0"/>
              <w:rPr>
                <w:sz w:val="17"/>
                <w:szCs w:val="17"/>
                <w:color w:val="auto"/>
              </w:rPr>
            </w:pPr>
          </w:p>
        </w:tc>
        <w:tc>
          <w:tcPr>
            <w:tcW w:w="194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7"/>
                <w:szCs w:val="17"/>
                <w:color w:val="auto"/>
              </w:rPr>
            </w:pPr>
          </w:p>
        </w:tc>
        <w:tc>
          <w:tcPr>
            <w:tcW w:w="120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92"/>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20" w:type="dxa"/>
            <w:vAlign w:val="bottom"/>
          </w:tcPr>
          <w:p>
            <w:pPr>
              <w:jc w:val="right"/>
              <w:spacing w:after="0"/>
              <w:rPr>
                <w:sz w:val="20"/>
                <w:szCs w:val="20"/>
                <w:color w:val="auto"/>
              </w:rPr>
            </w:pPr>
            <w:r>
              <w:rPr>
                <w:rFonts w:ascii="Arial" w:cs="Arial" w:eastAsia="Arial" w:hAnsi="Arial"/>
                <w:sz w:val="14"/>
                <w:szCs w:val="14"/>
                <w:color w:val="auto"/>
              </w:rPr>
              <w:t>108,929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869,059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(654,529)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215,313</w:t>
            </w:r>
          </w:p>
        </w:tc>
        <w:tc>
          <w:tcPr>
            <w:tcW w:w="0" w:type="dxa"/>
            <w:vAlign w:val="bottom"/>
          </w:tcPr>
          <w:p>
            <w:pPr>
              <w:spacing w:after="0"/>
              <w:rPr>
                <w:sz w:val="1"/>
                <w:szCs w:val="1"/>
                <w:color w:val="auto"/>
              </w:rPr>
            </w:pPr>
          </w:p>
        </w:tc>
      </w:tr>
      <w:tr>
        <w:trPr>
          <w:trHeight w:val="199"/>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11,709</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11,721</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2,510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2220" w:type="dxa"/>
            <w:vAlign w:val="bottom"/>
            <w:shd w:val="clear" w:color="auto" w:fill="BFE4FF"/>
          </w:tcPr>
          <w:p>
            <w:pPr>
              <w:ind w:left="20"/>
              <w:spacing w:after="0" w:line="150" w:lineRule="exact"/>
              <w:rPr>
                <w:sz w:val="20"/>
                <w:szCs w:val="20"/>
                <w:color w:val="auto"/>
              </w:rPr>
            </w:pPr>
            <w:r>
              <w:rPr>
                <w:rFonts w:ascii="Arial" w:cs="Arial" w:eastAsia="Arial" w:hAnsi="Arial"/>
                <w:sz w:val="14"/>
                <w:szCs w:val="14"/>
                <w:color w:val="auto"/>
              </w:rPr>
              <w:t>Issuance of common stock under</w:t>
            </w: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BFE4FF"/>
          </w:tcPr>
          <w:p>
            <w:pPr>
              <w:spacing w:after="0"/>
              <w:rPr>
                <w:sz w:val="13"/>
                <w:szCs w:val="13"/>
                <w:color w:val="auto"/>
              </w:rPr>
            </w:pPr>
          </w:p>
        </w:tc>
        <w:tc>
          <w:tcPr>
            <w:tcW w:w="180" w:type="dxa"/>
            <w:vAlign w:val="bottom"/>
            <w:shd w:val="clear" w:color="auto" w:fill="BFE4FF"/>
          </w:tcPr>
          <w:p>
            <w:pPr>
              <w:spacing w:after="0"/>
              <w:rPr>
                <w:sz w:val="13"/>
                <w:szCs w:val="13"/>
                <w:color w:val="auto"/>
              </w:rPr>
            </w:pPr>
          </w:p>
        </w:tc>
        <w:tc>
          <w:tcPr>
            <w:tcW w:w="10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14,786</w:t>
            </w: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960" w:type="dxa"/>
            <w:vAlign w:val="bottom"/>
            <w:gridSpan w:val="2"/>
            <w:vMerge w:val="restart"/>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3"/>
                <w:szCs w:val="13"/>
                <w:color w:val="auto"/>
              </w:rPr>
            </w:pPr>
          </w:p>
        </w:tc>
        <w:tc>
          <w:tcPr>
            <w:tcW w:w="15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3"/>
                <w:szCs w:val="13"/>
                <w:color w:val="auto"/>
              </w:rPr>
            </w:pPr>
          </w:p>
        </w:tc>
        <w:tc>
          <w:tcPr>
            <w:tcW w:w="1300" w:type="dxa"/>
            <w:vAlign w:val="bottom"/>
            <w:gridSpan w:val="2"/>
            <w:vMerge w:val="restart"/>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12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14,791</w:t>
            </w:r>
          </w:p>
        </w:tc>
        <w:tc>
          <w:tcPr>
            <w:tcW w:w="0" w:type="dxa"/>
            <w:vAlign w:val="bottom"/>
          </w:tcPr>
          <w:p>
            <w:pPr>
              <w:spacing w:after="0"/>
              <w:rPr>
                <w:sz w:val="1"/>
                <w:szCs w:val="1"/>
                <w:color w:val="auto"/>
              </w:rPr>
            </w:pPr>
          </w:p>
        </w:tc>
      </w:tr>
      <w:tr>
        <w:trPr>
          <w:trHeight w:val="186"/>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employee stock purchase plan</w:t>
            </w:r>
          </w:p>
        </w:tc>
        <w:tc>
          <w:tcPr>
            <w:tcW w:w="920" w:type="dxa"/>
            <w:vAlign w:val="bottom"/>
            <w:vMerge w:val="continue"/>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780" w:type="dxa"/>
            <w:vAlign w:val="bottom"/>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1040" w:type="dxa"/>
            <w:vAlign w:val="bottom"/>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960" w:type="dxa"/>
            <w:vAlign w:val="bottom"/>
            <w:gridSpan w:val="2"/>
            <w:vMerge w:val="continue"/>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1500" w:type="dxa"/>
            <w:vAlign w:val="bottom"/>
            <w:gridSpan w:val="2"/>
            <w:vMerge w:val="continue"/>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130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20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122,308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122,308</w:t>
            </w:r>
          </w:p>
        </w:tc>
        <w:tc>
          <w:tcPr>
            <w:tcW w:w="0" w:type="dxa"/>
            <w:vAlign w:val="bottom"/>
          </w:tcPr>
          <w:p>
            <w:pPr>
              <w:spacing w:after="0"/>
              <w:rPr>
                <w:sz w:val="1"/>
                <w:szCs w:val="1"/>
                <w:color w:val="auto"/>
              </w:rPr>
            </w:pPr>
          </w:p>
        </w:tc>
      </w:tr>
      <w:tr>
        <w:trPr>
          <w:trHeight w:val="203"/>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0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16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94"/>
        </w:trPr>
        <w:tc>
          <w:tcPr>
            <w:tcW w:w="222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(92,222)</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(92,222)</w:t>
            </w:r>
          </w:p>
        </w:tc>
        <w:tc>
          <w:tcPr>
            <w:tcW w:w="0" w:type="dxa"/>
            <w:vAlign w:val="bottom"/>
          </w:tcPr>
          <w:p>
            <w:pPr>
              <w:spacing w:after="0"/>
              <w:rPr>
                <w:sz w:val="1"/>
                <w:szCs w:val="1"/>
                <w:color w:val="auto"/>
              </w:rPr>
            </w:pPr>
          </w:p>
        </w:tc>
      </w:tr>
      <w:tr>
        <w:trPr>
          <w:trHeight w:val="197"/>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113,056</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1,131</w:t>
            </w:r>
          </w:p>
        </w:tc>
        <w:tc>
          <w:tcPr>
            <w:tcW w:w="12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1,017,837</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(1,351)</w:t>
            </w:r>
          </w:p>
        </w:tc>
        <w:tc>
          <w:tcPr>
            <w:tcW w:w="10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(746,751)</w:t>
            </w:r>
          </w:p>
        </w:tc>
        <w:tc>
          <w:tcPr>
            <w:tcW w:w="10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270,866</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03"/>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Vesting of restricted stock units</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3,153</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4"/>
                <w:szCs w:val="14"/>
                <w:color w:val="auto"/>
              </w:rPr>
              <w:t>Vesting of performance stock units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2220" w:type="dxa"/>
            <w:vAlign w:val="bottom"/>
            <w:shd w:val="clear" w:color="auto" w:fill="BFE4FF"/>
          </w:tcPr>
          <w:p>
            <w:pPr>
              <w:ind w:left="20"/>
              <w:spacing w:after="0" w:line="150" w:lineRule="exact"/>
              <w:rPr>
                <w:sz w:val="20"/>
                <w:szCs w:val="20"/>
                <w:color w:val="auto"/>
              </w:rPr>
            </w:pPr>
            <w:r>
              <w:rPr>
                <w:rFonts w:ascii="Arial" w:cs="Arial" w:eastAsia="Arial" w:hAnsi="Arial"/>
                <w:sz w:val="14"/>
                <w:szCs w:val="14"/>
                <w:color w:val="auto"/>
              </w:rPr>
              <w:t>Issuance of restricted stock</w:t>
            </w: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BFE4FF"/>
          </w:tcPr>
          <w:p>
            <w:pPr>
              <w:spacing w:after="0"/>
              <w:rPr>
                <w:sz w:val="13"/>
                <w:szCs w:val="13"/>
                <w:color w:val="auto"/>
              </w:rPr>
            </w:pPr>
          </w:p>
        </w:tc>
        <w:tc>
          <w:tcPr>
            <w:tcW w:w="180" w:type="dxa"/>
            <w:vAlign w:val="bottom"/>
            <w:shd w:val="clear" w:color="auto" w:fill="BFE4FF"/>
          </w:tcPr>
          <w:p>
            <w:pPr>
              <w:spacing w:after="0"/>
              <w:rPr>
                <w:sz w:val="13"/>
                <w:szCs w:val="13"/>
                <w:color w:val="auto"/>
              </w:rPr>
            </w:pPr>
          </w:p>
        </w:tc>
        <w:tc>
          <w:tcPr>
            <w:tcW w:w="10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960" w:type="dxa"/>
            <w:vAlign w:val="bottom"/>
            <w:gridSpan w:val="2"/>
            <w:vMerge w:val="restart"/>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3"/>
                <w:szCs w:val="13"/>
                <w:color w:val="auto"/>
              </w:rPr>
            </w:pPr>
          </w:p>
        </w:tc>
        <w:tc>
          <w:tcPr>
            <w:tcW w:w="15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3"/>
                <w:szCs w:val="13"/>
                <w:color w:val="auto"/>
              </w:rPr>
            </w:pPr>
          </w:p>
        </w:tc>
        <w:tc>
          <w:tcPr>
            <w:tcW w:w="1300" w:type="dxa"/>
            <w:vAlign w:val="bottom"/>
            <w:gridSpan w:val="2"/>
            <w:vMerge w:val="restart"/>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12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awards</w:t>
            </w:r>
          </w:p>
        </w:tc>
        <w:tc>
          <w:tcPr>
            <w:tcW w:w="920" w:type="dxa"/>
            <w:vAlign w:val="bottom"/>
            <w:vMerge w:val="continue"/>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780" w:type="dxa"/>
            <w:vAlign w:val="bottom"/>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1040" w:type="dxa"/>
            <w:vAlign w:val="bottom"/>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960" w:type="dxa"/>
            <w:vAlign w:val="bottom"/>
            <w:gridSpan w:val="2"/>
            <w:vMerge w:val="continue"/>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1500" w:type="dxa"/>
            <w:vAlign w:val="bottom"/>
            <w:gridSpan w:val="2"/>
            <w:vMerge w:val="continue"/>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130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20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20" w:type="dxa"/>
            <w:vAlign w:val="bottom"/>
          </w:tcPr>
          <w:p>
            <w:pPr>
              <w:ind w:left="20"/>
              <w:spacing w:after="0" w:line="146" w:lineRule="exact"/>
              <w:rPr>
                <w:sz w:val="20"/>
                <w:szCs w:val="20"/>
                <w:color w:val="auto"/>
              </w:rPr>
            </w:pPr>
            <w:r>
              <w:rPr>
                <w:rFonts w:ascii="Arial" w:cs="Arial" w:eastAsia="Arial" w:hAnsi="Arial"/>
                <w:sz w:val="14"/>
                <w:szCs w:val="14"/>
                <w:color w:val="auto"/>
              </w:rPr>
              <w:t>Issuance of common stock under</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16,219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16,224</w:t>
            </w:r>
          </w:p>
        </w:tc>
        <w:tc>
          <w:tcPr>
            <w:tcW w:w="0" w:type="dxa"/>
            <w:vAlign w:val="bottom"/>
          </w:tcPr>
          <w:p>
            <w:pPr>
              <w:spacing w:after="0"/>
              <w:rPr>
                <w:sz w:val="1"/>
                <w:szCs w:val="1"/>
                <w:color w:val="auto"/>
              </w:rPr>
            </w:pPr>
          </w:p>
        </w:tc>
      </w:tr>
      <w:tr>
        <w:trPr>
          <w:trHeight w:val="186"/>
        </w:trPr>
        <w:tc>
          <w:tcPr>
            <w:tcW w:w="22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Purchase of treasury stock</w:t>
            </w:r>
          </w:p>
        </w:tc>
        <w:tc>
          <w:tcPr>
            <w:tcW w:w="102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0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16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(14,934)</w:t>
            </w:r>
          </w:p>
        </w:tc>
        <w:tc>
          <w:tcPr>
            <w:tcW w:w="10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(14,934)</w:t>
            </w:r>
          </w:p>
        </w:tc>
        <w:tc>
          <w:tcPr>
            <w:tcW w:w="0" w:type="dxa"/>
            <w:vAlign w:val="bottom"/>
          </w:tcPr>
          <w:p>
            <w:pPr>
              <w:spacing w:after="0"/>
              <w:rPr>
                <w:sz w:val="1"/>
                <w:szCs w:val="1"/>
                <w:color w:val="auto"/>
              </w:rPr>
            </w:pPr>
          </w:p>
        </w:tc>
      </w:tr>
      <w:tr>
        <w:trPr>
          <w:trHeight w:val="146"/>
        </w:trPr>
        <w:tc>
          <w:tcPr>
            <w:tcW w:w="2220" w:type="dxa"/>
            <w:vAlign w:val="bottom"/>
          </w:tcPr>
          <w:p>
            <w:pPr>
              <w:ind w:left="20"/>
              <w:spacing w:after="0" w:line="146" w:lineRule="exact"/>
              <w:rPr>
                <w:sz w:val="20"/>
                <w:szCs w:val="20"/>
                <w:color w:val="auto"/>
              </w:rPr>
            </w:pPr>
            <w:r>
              <w:rPr>
                <w:rFonts w:ascii="Arial" w:cs="Arial" w:eastAsia="Arial" w:hAnsi="Arial"/>
                <w:sz w:val="14"/>
                <w:szCs w:val="14"/>
                <w:color w:val="auto"/>
              </w:rPr>
              <w:t>Fair value of replacement equity</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20" w:type="dxa"/>
            <w:vAlign w:val="bottom"/>
          </w:tcPr>
          <w:p>
            <w:pPr>
              <w:ind w:left="20"/>
              <w:spacing w:after="0" w:line="137" w:lineRule="exact"/>
              <w:rPr>
                <w:sz w:val="20"/>
                <w:szCs w:val="20"/>
                <w:color w:val="auto"/>
              </w:rPr>
            </w:pPr>
            <w:r>
              <w:rPr>
                <w:rFonts w:ascii="Arial" w:cs="Arial" w:eastAsia="Arial" w:hAnsi="Arial"/>
                <w:sz w:val="14"/>
                <w:szCs w:val="14"/>
                <w:color w:val="auto"/>
              </w:rPr>
              <w:t>attributable to pre-acquisition</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90"/>
        </w:trPr>
        <w:tc>
          <w:tcPr>
            <w:tcW w:w="2220" w:type="dxa"/>
            <w:vAlign w:val="bottom"/>
          </w:tcPr>
          <w:p>
            <w:pPr>
              <w:ind w:left="20"/>
              <w:spacing w:after="0"/>
              <w:rPr>
                <w:sz w:val="20"/>
                <w:szCs w:val="20"/>
                <w:color w:val="auto"/>
              </w:rPr>
            </w:pPr>
            <w:r>
              <w:rPr>
                <w:rFonts w:ascii="Arial" w:cs="Arial" w:eastAsia="Arial" w:hAnsi="Arial"/>
                <w:sz w:val="14"/>
                <w:szCs w:val="14"/>
                <w:color w:val="auto"/>
              </w:rPr>
              <w:t>service</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0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147,056</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147,056</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03"/>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0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16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(78,284)</w:t>
            </w:r>
          </w:p>
        </w:tc>
        <w:tc>
          <w:tcPr>
            <w:tcW w:w="10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(78,284)</w:t>
            </w:r>
          </w:p>
        </w:tc>
        <w:tc>
          <w:tcPr>
            <w:tcW w:w="0" w:type="dxa"/>
            <w:vAlign w:val="bottom"/>
          </w:tcPr>
          <w:p>
            <w:pPr>
              <w:spacing w:after="0"/>
              <w:rPr>
                <w:sz w:val="1"/>
                <w:szCs w:val="1"/>
                <w:color w:val="auto"/>
              </w:rPr>
            </w:pPr>
          </w:p>
        </w:tc>
      </w:tr>
      <w:tr>
        <w:trPr>
          <w:trHeight w:val="191"/>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117,504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1,185,100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(14,934)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(825,035)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346,344</w:t>
            </w:r>
          </w:p>
        </w:tc>
        <w:tc>
          <w:tcPr>
            <w:tcW w:w="0" w:type="dxa"/>
            <w:vAlign w:val="bottom"/>
          </w:tcPr>
          <w:p>
            <w:pPr>
              <w:spacing w:after="0"/>
              <w:rPr>
                <w:sz w:val="1"/>
                <w:szCs w:val="1"/>
                <w:color w:val="auto"/>
              </w:rPr>
            </w:pPr>
          </w:p>
        </w:tc>
      </w:tr>
      <w:tr>
        <w:trPr>
          <w:trHeight w:val="199"/>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1,044</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8,053</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8,064</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3,217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Vesting of performance stock units</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20" w:type="dxa"/>
            <w:vAlign w:val="bottom"/>
          </w:tcPr>
          <w:p>
            <w:pPr>
              <w:ind w:left="20"/>
              <w:spacing w:after="0" w:line="146" w:lineRule="exact"/>
              <w:rPr>
                <w:sz w:val="20"/>
                <w:szCs w:val="20"/>
                <w:color w:val="auto"/>
              </w:rPr>
            </w:pPr>
            <w:r>
              <w:rPr>
                <w:rFonts w:ascii="Arial" w:cs="Arial" w:eastAsia="Arial" w:hAnsi="Arial"/>
                <w:sz w:val="14"/>
                <w:szCs w:val="14"/>
                <w:color w:val="auto"/>
              </w:rPr>
              <w:t>Issuance of common stock under</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16,257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16,262</w:t>
            </w:r>
          </w:p>
        </w:tc>
        <w:tc>
          <w:tcPr>
            <w:tcW w:w="0" w:type="dxa"/>
            <w:vAlign w:val="bottom"/>
          </w:tcPr>
          <w:p>
            <w:pPr>
              <w:spacing w:after="0"/>
              <w:rPr>
                <w:sz w:val="1"/>
                <w:szCs w:val="1"/>
                <w:color w:val="auto"/>
              </w:rPr>
            </w:pPr>
          </w:p>
        </w:tc>
      </w:tr>
      <w:tr>
        <w:trPr>
          <w:trHeight w:val="185"/>
        </w:trPr>
        <w:tc>
          <w:tcPr>
            <w:tcW w:w="22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Purchase of treasury stock</w:t>
            </w:r>
          </w:p>
        </w:tc>
        <w:tc>
          <w:tcPr>
            <w:tcW w:w="102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0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16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(99,977)</w:t>
            </w:r>
          </w:p>
        </w:tc>
        <w:tc>
          <w:tcPr>
            <w:tcW w:w="10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(99,977)</w:t>
            </w:r>
          </w:p>
        </w:tc>
        <w:tc>
          <w:tcPr>
            <w:tcW w:w="0" w:type="dxa"/>
            <w:vAlign w:val="bottom"/>
          </w:tcPr>
          <w:p>
            <w:pPr>
              <w:spacing w:after="0"/>
              <w:rPr>
                <w:sz w:val="1"/>
                <w:szCs w:val="1"/>
                <w:color w:val="auto"/>
              </w:rPr>
            </w:pPr>
          </w:p>
        </w:tc>
      </w:tr>
      <w:tr>
        <w:trPr>
          <w:trHeight w:val="146"/>
        </w:trPr>
        <w:tc>
          <w:tcPr>
            <w:tcW w:w="2220" w:type="dxa"/>
            <w:vAlign w:val="bottom"/>
          </w:tcPr>
          <w:p>
            <w:pPr>
              <w:ind w:left="20"/>
              <w:spacing w:after="0" w:line="146" w:lineRule="exact"/>
              <w:rPr>
                <w:sz w:val="20"/>
                <w:szCs w:val="20"/>
                <w:color w:val="auto"/>
              </w:rPr>
            </w:pPr>
            <w:r>
              <w:rPr>
                <w:rFonts w:ascii="Arial" w:cs="Arial" w:eastAsia="Arial" w:hAnsi="Arial"/>
                <w:sz w:val="14"/>
                <w:szCs w:val="14"/>
                <w:color w:val="auto"/>
              </w:rPr>
              <w:t>Fair value of replacement equity</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20" w:type="dxa"/>
            <w:vAlign w:val="bottom"/>
          </w:tcPr>
          <w:p>
            <w:pPr>
              <w:ind w:left="20"/>
              <w:spacing w:after="0" w:line="137" w:lineRule="exact"/>
              <w:rPr>
                <w:sz w:val="20"/>
                <w:szCs w:val="20"/>
                <w:color w:val="auto"/>
              </w:rPr>
            </w:pPr>
            <w:r>
              <w:rPr>
                <w:rFonts w:ascii="Arial" w:cs="Arial" w:eastAsia="Arial" w:hAnsi="Arial"/>
                <w:sz w:val="14"/>
                <w:szCs w:val="14"/>
                <w:color w:val="auto"/>
              </w:rPr>
              <w:t>attributable to pre-acquisition</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0"/>
        </w:trPr>
        <w:tc>
          <w:tcPr>
            <w:tcW w:w="2220" w:type="dxa"/>
            <w:vAlign w:val="bottom"/>
          </w:tcPr>
          <w:p>
            <w:pPr>
              <w:ind w:left="20"/>
              <w:spacing w:after="0"/>
              <w:rPr>
                <w:sz w:val="20"/>
                <w:szCs w:val="20"/>
                <w:color w:val="auto"/>
              </w:rPr>
            </w:pPr>
            <w:r>
              <w:rPr>
                <w:rFonts w:ascii="Arial" w:cs="Arial" w:eastAsia="Arial" w:hAnsi="Arial"/>
                <w:sz w:val="14"/>
                <w:szCs w:val="14"/>
                <w:color w:val="auto"/>
              </w:rPr>
              <w:t>service</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0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165,240</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300" w:type="dxa"/>
            <w:vAlign w:val="bottom"/>
            <w:gridSpan w:val="2"/>
            <w:shd w:val="clear" w:color="auto" w:fill="BFE4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165,240</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99"/>
        </w:trPr>
        <w:tc>
          <w:tcPr>
            <w:tcW w:w="2220" w:type="dxa"/>
            <w:vAlign w:val="bottom"/>
            <w:shd w:val="clear" w:color="auto" w:fill="BFE4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0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16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96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5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(36,301)</w:t>
            </w:r>
          </w:p>
        </w:tc>
        <w:tc>
          <w:tcPr>
            <w:tcW w:w="10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(36,301)</w:t>
            </w:r>
          </w:p>
        </w:tc>
        <w:tc>
          <w:tcPr>
            <w:tcW w:w="0" w:type="dxa"/>
            <w:vAlign w:val="bottom"/>
          </w:tcPr>
          <w:p>
            <w:pPr>
              <w:spacing w:after="0"/>
              <w:rPr>
                <w:sz w:val="1"/>
                <w:szCs w:val="1"/>
                <w:color w:val="auto"/>
              </w:rPr>
            </w:pPr>
          </w:p>
        </w:tc>
      </w:tr>
      <w:tr>
        <w:trPr>
          <w:trHeight w:val="196"/>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122,371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1,374,659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(114,911)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(861,336)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399,954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r>
      <w:tr>
        <w:trPr>
          <w:trHeight w:val="19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(36,301)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(78,284)</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(92,222)</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33,209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27,108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22,194</w:t>
            </w: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163,515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145,327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120,633</w:t>
            </w: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Net accretion of discounts and amortization of premiums on short-term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(1,199)</w:t>
            </w: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(Gain) loss on other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6,507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2,623</w:t>
            </w: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(38,730)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(51,256)</w:t>
            </w:r>
          </w:p>
        </w:tc>
      </w:tr>
      <w:tr>
        <w:trPr>
          <w:trHeight w:val="213"/>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r>
      <w:tr>
        <w:trPr>
          <w:trHeight w:val="211"/>
        </w:trPr>
        <w:tc>
          <w:tcPr>
            <w:tcW w:w="6900" w:type="dxa"/>
            <w:vAlign w:val="bottom"/>
          </w:tcPr>
          <w:p>
            <w:pPr>
              <w:ind w:left="220"/>
              <w:spacing w:after="0"/>
              <w:rPr>
                <w:sz w:val="20"/>
                <w:szCs w:val="20"/>
                <w:color w:val="auto"/>
              </w:rPr>
            </w:pPr>
            <w:r>
              <w:rPr>
                <w:rFonts w:ascii="Arial" w:cs="Arial" w:eastAsia="Arial" w:hAnsi="Arial"/>
                <w:sz w:val="16"/>
                <w:szCs w:val="16"/>
                <w:color w:val="auto"/>
              </w:rPr>
              <w:t>Accounts payable, accrued expenses and accrued compensation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7,071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13"/>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82,581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81,755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132,622</w:t>
            </w:r>
          </w:p>
        </w:tc>
      </w:tr>
      <w:tr>
        <w:trPr>
          <w:trHeight w:val="211"/>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r>
      <w:tr>
        <w:trPr>
          <w:trHeight w:val="206"/>
        </w:trPr>
        <w:tc>
          <w:tcPr>
            <w:tcW w:w="6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217,476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149,855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131,151</w:t>
            </w:r>
          </w:p>
        </w:tc>
      </w:tr>
      <w:tr>
        <w:trPr>
          <w:trHeight w:val="212"/>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(9,359)</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(9,789)</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(278,209)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(266,693)</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maturities of short-term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283,964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317,651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234,569</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Purchases of other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other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Business combinations, net of cash acquired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(66,767)</w:t>
            </w:r>
          </w:p>
        </w:tc>
      </w:tr>
      <w:tr>
        <w:trPr>
          <w:trHeight w:val="206"/>
        </w:trPr>
        <w:tc>
          <w:tcPr>
            <w:tcW w:w="6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(128,039)</w:t>
            </w:r>
          </w:p>
        </w:tc>
      </w:tr>
      <w:tr>
        <w:trPr>
          <w:trHeight w:val="212"/>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Payments on term loan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issued in connection with the employee stock purchase plan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14,791</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8,064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11,721</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06"/>
        </w:trPr>
        <w:tc>
          <w:tcPr>
            <w:tcW w:w="6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(79,401)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23,318</w:t>
            </w:r>
          </w:p>
        </w:tc>
      </w:tr>
      <w:tr>
        <w:trPr>
          <w:trHeight w:val="211"/>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w:t>
            </w:r>
          </w:p>
        </w:tc>
      </w:tr>
      <w:tr>
        <w:trPr>
          <w:trHeight w:val="20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91,515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22,595</w:t>
            </w:r>
          </w:p>
        </w:tc>
      </w:tr>
      <w:tr>
        <w:trPr>
          <w:trHeight w:val="211"/>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237,132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300,866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278,271</w:t>
            </w:r>
          </w:p>
        </w:tc>
      </w:tr>
      <w:tr>
        <w:trPr>
          <w:trHeight w:val="231"/>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year</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328,647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237,132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300,866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30,977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34,323</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16,047</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10,582</w:t>
            </w:r>
          </w:p>
        </w:tc>
      </w:tr>
      <w:tr>
        <w:trPr>
          <w:trHeight w:val="212"/>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 operating leases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w:t>
            </w: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Tenable Holdings, Inc. (the “Company,” “we,” "us," or “our”) is a provider of exposure management solutions. Exposure management </w:t>
      </w:r>
      <w:r>
        <w:rPr>
          <w:rFonts w:ascii="Calibri" w:cs="Calibri" w:eastAsia="Calibri" w:hAnsi="Calibri"/>
          <w:sz w:val="18"/>
          <w:szCs w:val="18"/>
          <w:color w:val="auto"/>
        </w:rPr>
        <w:t>i</w:t>
      </w:r>
      <w:r>
        <w:rPr>
          <w:rFonts w:ascii="Arial" w:cs="Arial" w:eastAsia="Arial" w:hAnsi="Arial"/>
          <w:sz w:val="17"/>
          <w:szCs w:val="17"/>
          <w:color w:val="auto"/>
        </w:rPr>
        <w:t>s the</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evolution of vulnerability management, advancing risk assessment and prioritization across the entire attack surface – from IT infrastructure to cloud environments to critical infrastructure. We unify security visibility, insight and action across this attack surface, equipping modern organizations to expose and close the cybersecurity gaps that erode business value, reputation and trust.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17"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$5.0 million, $3.1 million and $4.8 million in 2024, 2023 and 2022, respectively, and are included as a component of other expense, net in the consolidated statements of operations.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ind w:right="1020" w:firstLine="318"/>
        <w:spacing w:after="0" w:line="292" w:lineRule="auto"/>
        <w:rPr>
          <w:sz w:val="20"/>
          <w:szCs w:val="20"/>
          <w:color w:val="auto"/>
        </w:rPr>
      </w:pPr>
      <w:r>
        <w:rPr>
          <w:rFonts w:ascii="Arial" w:cs="Arial" w:eastAsia="Arial" w:hAnsi="Arial"/>
          <w:sz w:val="17"/>
          <w:szCs w:val="17"/>
          <w:color w:val="auto"/>
        </w:rPr>
        <w:t>We recognize revenue in order to depict the transfer of promised goods or services to customers in an amount that reflects the consideration we expect to be entitled to in exchange for those goods or services. To achieve this, we apply the following steps:</w:t>
      </w:r>
    </w:p>
    <w:p>
      <w:pPr>
        <w:spacing w:after="0" w:line="1"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7" w:lineRule="exact"/>
        <w:rPr>
          <w:sz w:val="20"/>
          <w:szCs w:val="20"/>
          <w:color w:val="auto"/>
        </w:rPr>
      </w:pPr>
    </w:p>
    <w:p>
      <w:pPr>
        <w:ind w:right="460" w:firstLine="318"/>
        <w:spacing w:after="0" w:line="260" w:lineRule="auto"/>
        <w:rPr>
          <w:sz w:val="20"/>
          <w:szCs w:val="20"/>
          <w:color w:val="auto"/>
        </w:rPr>
      </w:pPr>
      <w:r>
        <w:rPr>
          <w:rFonts w:ascii="Arial" w:cs="Arial" w:eastAsia="Arial" w:hAnsi="Arial"/>
          <w:sz w:val="18"/>
          <w:szCs w:val="18"/>
          <w:color w:val="auto"/>
        </w:rPr>
        <w:t>In situations where we enter into a contractual arrangement that includes non-standard terms and conditions, such as acceptance provisions or options to purchase additional products and services, as well as contract modifications, we apply judgment in identifying and assessing the impact on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17"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17" w:lineRule="exact"/>
        <w:rPr>
          <w:sz w:val="20"/>
          <w:szCs w:val="20"/>
          <w:color w:val="auto"/>
        </w:rPr>
      </w:pPr>
    </w:p>
    <w:p>
      <w:pPr>
        <w:jc w:val="both"/>
        <w:ind w:right="40" w:firstLine="318"/>
        <w:spacing w:after="0" w:line="260"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17"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217"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limited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180" w:lineRule="exact"/>
        <w:rPr>
          <w:sz w:val="20"/>
          <w:szCs w:val="20"/>
          <w:color w:val="auto"/>
        </w:rPr>
      </w:pPr>
    </w:p>
    <w:p>
      <w:pPr>
        <w:ind w:right="160" w:firstLine="318"/>
        <w:spacing w:after="0" w:line="274"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consider all highly liquid financial instruments with an original maturity of three months or less when purchased to be cash equivalents.</w:t>
      </w:r>
    </w:p>
    <w:p>
      <w:pPr>
        <w:spacing w:after="0" w:line="22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At December 31, 2024 and 2023, cash and cash equivalents included $8.2 million and $5.8 million, respectively, of restricted cash related to collateral for outstanding letters of credit and an operating lease.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Short-term Investments</w:t>
      </w:r>
    </w:p>
    <w:p>
      <w:pPr>
        <w:spacing w:after="0" w:line="217"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Our short-term investments include asset backed securities, certificates of deposit, commercial paper, corporate and Yankee bonds, and U.S. treasury and agency obligations. Our investments are classified as available-for-sale and recorded at fair value, with unrealized gains and losses reported in accumulated other comprehensive income (loss) within stockholders’ equity.</w:t>
      </w:r>
    </w:p>
    <w:p>
      <w:pPr>
        <w:spacing w:after="0" w:line="175" w:lineRule="exact"/>
        <w:rPr>
          <w:sz w:val="20"/>
          <w:szCs w:val="20"/>
          <w:color w:val="auto"/>
        </w:rPr>
      </w:pPr>
    </w:p>
    <w:p>
      <w:pPr>
        <w:ind w:right="400" w:firstLine="318"/>
        <w:spacing w:after="0" w:line="260" w:lineRule="auto"/>
        <w:rPr>
          <w:sz w:val="20"/>
          <w:szCs w:val="20"/>
          <w:color w:val="auto"/>
        </w:rPr>
      </w:pPr>
      <w:r>
        <w:rPr>
          <w:rFonts w:ascii="Arial" w:cs="Arial" w:eastAsia="Arial" w:hAnsi="Arial"/>
          <w:sz w:val="18"/>
          <w:szCs w:val="18"/>
          <w:color w:val="auto"/>
        </w:rPr>
        <w:t>We classify investments with original maturities of less than 90 days as cash and cash equivalents. Investments with original maturities greater than 90 days, including those we do not currently intend on selling within the next twelve months, are classified as short-term investments as they are available for use in our operations.</w:t>
      </w:r>
    </w:p>
    <w:p>
      <w:pPr>
        <w:spacing w:after="0" w:line="175"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We evaluate potential impairments of available-for-sale debt securities due to credit-related and non-credit-related factors, including market risk, and if it is more-likely-than-not that we would have to sell the security before the recovery of the amortized cost basis. Identified credit-related impairments would be recognized as a charge in the statement of operations.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Investments</w:t>
      </w:r>
    </w:p>
    <w:p>
      <w:pPr>
        <w:spacing w:after="0" w:line="217"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Our investments in privately held companies consist of preferred stock, convertible notes and non-marketable simple agreements for future equity ("SAFE") investments. We have elected to apply the measurement alternative and record these other investments at cost, less any impairment, plus or minus observable price changes for similar investments of the same issuer. Gains or losses on other investments are recognized in other expense, net on our consolidated statements of operations. Other investments are included in other assets on our consolidated balance sheets.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7"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spacing w:after="0" w:line="180"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Our allowance for doubtful accounts reflects our best estimate of expected future credit losses. We consider various factors that may impact our ability to collect on accounts receivable, including our historical collection experience, age of accounts receivable balances, current conditions, reasonable and supportable forecasts of future economic conditions, as well as other factors, however, these estimates may change and future credit losses may differ from our estimates. Expected credit losses from accounts receivable are recognized as expense in our statement of operations.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17"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Sales commissions, including related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 the period of benefit based on the expected contract term including renewal periods, the lifecycle of our technology and other factors. Sales commissions on contract renewals are capitalized and amortized ratably over the contract term as part of sales and marketing expense, with the exception of contracts with renewal periods that are one year or less, in which case the incremental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Repairs and maintenance costs are expensed as incurred.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21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determine if an arrangement contains a lease and the classification of that lease, if applicable, at inception. We have elected to not recognize a lease liability or right-of-use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w:t>
      </w:r>
    </w:p>
    <w:p>
      <w:pPr>
        <w:spacing w:after="0" w:line="18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177"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Lease expense for lease payments is recognized on a straight-line basis over the term of the lease. Any sublease income is recorded as a reduction of lease expense.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evaluate our long-lived assets for impairment whenever events or changes in circumstance indicate that the 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In 2024 we executed a sublease of our headquarters and recorded a $4.5 million impairment for furniture and fixtures and leasehold improvements. There was no impairment of long-lived assets in 2023 or 2022.</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7"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generally determine the fair value of acquired technology using the multi-period excess earnings method, a form of the income approach. However in certain situations we may use the cost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adjustments made after the measurement period will be reflected in the consolidated statements of operations. Acquisition-related costs are expensed as incurred.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17"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excess of the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w:t>
      </w:r>
    </w:p>
    <w:p>
      <w:pPr>
        <w:spacing w:after="0" w:line="21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Amended and Restated Certificate of Incorporation authorized 500,000,000 shares of common stock and 10,000,000 shares of preferred stock. There were no shares of preferred stock issued or outstanding at December 31, 2024 or 2023. 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Treasury Stock</w:t>
      </w:r>
    </w:p>
    <w:p>
      <w:pPr>
        <w:spacing w:after="0" w:line="217"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In November 2023, our Board of Directors authorized the repurchase of up to $100 million of our common stock. In October 2024, our Board of Directors increased the repurchase authorization by $200 million. We account for purchases of treasury stock under the cost method. Shares are held for future issuance and not retired. In 2024, we purchased 2.3 million shares for $100.0 million and in 2023 we purchased 0.4 million shares for $14.9 million. The remaining amount available under the stock repurchase program was $185.1 million at December 31, 2024.</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Stock-based compensation expense related to restricted stock units ("RSUs"), purchase rights issued under our 2018 Employee Stock Purchase Plan ("2018 ESPP"), stock options and restricted stock is calculated based on the fair value of the awards granted and is recognized on a straight-line basis over the requisite service period, which is generally two to four years. Our performance stock units ("PSUs") vest over a period of 4 years and are subject to defined performance and service conditions. Our PSUs are expensed using the accelerated attribution method. We account for forfeitures as they occur.</w:t>
      </w:r>
    </w:p>
    <w:p>
      <w:pPr>
        <w:spacing w:after="0" w:line="18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fair value of RSUs, PSUs and restricted stock is based on the market price of our common stock on the date of grant. The fair value of 2018 ESPP purchase rights is estimated on the grant date using the Black-Scholes option pricing model, which requires us to make assumptions and judgments, including the expected term, expected volatility, and risk-free interest rates. We use the market price of our common stock at the date of grant.</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Advertising</w:t>
      </w:r>
    </w:p>
    <w:p>
      <w:pPr>
        <w:spacing w:after="0" w:line="217"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Advertising costs are expensed as they are incurred. We incurred advertising costs of $13.8 million, $16.2 million and $13.6 million in 2024, 2023 and 2022, respectively, which are included in sales and marketing expense in the consolidated statements of operations.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Research and development costs to develop software to be sold, leased or marketed are expensed as incurred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w:t>
      </w:r>
    </w:p>
    <w:p>
      <w:pPr>
        <w:spacing w:after="0" w:line="180"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2024, 2023 and 2022, we capitalized $8.2 million, $8.8 million and $11.5 million of development costs related to internal use software, including capitalized stock-based compensation of $1.7 million, $1.7 million, and $1.7 million,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w:t>
      </w:r>
    </w:p>
    <w:p>
      <w:pPr>
        <w:spacing w:after="0" w:line="21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Restructuring expenses consist of non-ordinary course severance, employee related benefits and other charges to reorganize business operations. The $6.1 million of restructuring expense in 2024 consisted of $4.5 million non-cash impairment of leasehold improvements and furniture and fixtures that was recorded in connection with the sublease of a portion of our headquarters in 2024 and $1.5 million in non-ordinary course severance and employee related benefits. The $4.5 million of restructuring expense in 2023 related to the optimization of our go-to-market efforts, including reducing our reliance on sales specialists and streamlining layers of management. We completed our restructuring in the second quarter of 2024.</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17" w:lineRule="exact"/>
        <w:rPr>
          <w:sz w:val="20"/>
          <w:szCs w:val="20"/>
          <w:color w:val="auto"/>
        </w:rPr>
      </w:pPr>
    </w:p>
    <w:p>
      <w:pPr>
        <w:ind w:right="400" w:firstLine="318"/>
        <w:spacing w:after="0" w:line="274" w:lineRule="auto"/>
        <w:rPr>
          <w:sz w:val="20"/>
          <w:szCs w:val="20"/>
          <w:color w:val="auto"/>
        </w:rPr>
      </w:pPr>
      <w:r>
        <w:rPr>
          <w:rFonts w:ascii="Arial" w:cs="Arial" w:eastAsia="Arial" w:hAnsi="Arial"/>
          <w:sz w:val="18"/>
          <w:szCs w:val="18"/>
          <w:color w:val="auto"/>
        </w:rPr>
        <w:t>We calculate basic net loss per share by dividing the net loss by the weighted-average number of shares of common stock outstanding during the period.</w:t>
      </w:r>
    </w:p>
    <w:p>
      <w:pPr>
        <w:spacing w:after="0" w:line="16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Diluted earnings per share is computed by giving effect to all potentially dilutive common stock equivalents in the period, including unvested RSUs, PSUs, stock options, unvested restricted shares and shares to be issued under our 2018 ESPP. As we have reported losses for all periods presented, all potentially dilutive securities have been excluded from the calculation of diluted net loss per share as their effect would be antidilutive.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7" w:lineRule="exact"/>
        <w:rPr>
          <w:sz w:val="20"/>
          <w:szCs w:val="20"/>
          <w:color w:val="auto"/>
        </w:rPr>
      </w:pPr>
    </w:p>
    <w:p>
      <w:pPr>
        <w:jc w:val="both"/>
        <w:ind w:right="180" w:firstLine="318"/>
        <w:spacing w:after="0" w:line="260" w:lineRule="auto"/>
        <w:rPr>
          <w:sz w:val="20"/>
          <w:szCs w:val="20"/>
          <w:color w:val="auto"/>
        </w:rPr>
      </w:pPr>
      <w:r>
        <w:rPr>
          <w:rFonts w:ascii="Arial" w:cs="Arial" w:eastAsia="Arial" w:hAnsi="Arial"/>
          <w:sz w:val="18"/>
          <w:szCs w:val="18"/>
          <w:color w:val="auto"/>
        </w:rPr>
        <w:t>We operate as one operating segment as our interim co-chief executive officers, who are our chief operating decision makers ("CODMs"), review financial information on a consolidated basis for purposes of making operating decisions, allocating resources, and evaluating financial performance.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We have elected to treat taxes related to GILTI as a period cost. A valuation allowance is provided if it is more likely than not that some or all of the deferred tax assets will not be realized.</w:t>
      </w:r>
    </w:p>
    <w:p>
      <w:pPr>
        <w:spacing w:after="0" w:line="164" w:lineRule="exact"/>
        <w:rPr>
          <w:sz w:val="20"/>
          <w:szCs w:val="20"/>
          <w:color w:val="auto"/>
        </w:rPr>
      </w:pPr>
    </w:p>
    <w:p>
      <w:pPr>
        <w:ind w:right="640" w:firstLine="318"/>
        <w:spacing w:after="0" w:line="304" w:lineRule="auto"/>
        <w:rPr>
          <w:sz w:val="20"/>
          <w:szCs w:val="20"/>
          <w:color w:val="auto"/>
        </w:rPr>
      </w:pPr>
      <w:r>
        <w:rPr>
          <w:rFonts w:ascii="Arial" w:cs="Arial" w:eastAsia="Arial" w:hAnsi="Arial"/>
          <w:sz w:val="17"/>
          <w:szCs w:val="17"/>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7" w:lineRule="exact"/>
        <w:rPr>
          <w:sz w:val="20"/>
          <w:szCs w:val="20"/>
          <w:color w:val="auto"/>
        </w:rPr>
      </w:pPr>
    </w:p>
    <w:p>
      <w:pPr>
        <w:jc w:val="both"/>
        <w:ind w:right="440" w:firstLine="318"/>
        <w:spacing w:after="0" w:line="260" w:lineRule="auto"/>
        <w:rPr>
          <w:sz w:val="20"/>
          <w:szCs w:val="20"/>
          <w:color w:val="auto"/>
        </w:rPr>
      </w:pPr>
      <w:r>
        <w:rPr>
          <w:rFonts w:ascii="Arial" w:cs="Arial" w:eastAsia="Arial" w:hAnsi="Arial"/>
          <w:sz w:val="18"/>
          <w:szCs w:val="18"/>
          <w:color w:val="auto"/>
        </w:rPr>
        <w:t>In 2024, we adopted ASU 2023-07 - Segment Reporting (Topic 280): Improvements to Reportable Segment Disclosures. This requires public entities with a single reportable segment to disclose significant segment expenses that are regularly provided to the chief operating decision maker ("CODM") and included within the reported measure(s)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segment's profit or loss, the amount and composition of any other segment items, the title and position of the CODM, and how the CODM uses the reported measure(s) of a segment's profit or loss to assess performance and decide how to allocate resources. The adoption of ASU 2023-07 did not have a material impact on our consolidated financial statements as we operate as one operating segment and significant segment expenses are disclosed in our consolidated statements of operations. See Note 13 for our segment disclosures.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7"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In December 2023, the Financial Accounting Standards Board (“FASB”) issued ASU 2023-09 - Income Taxes (Topic 740): Improvements to Income Tax Disclosures, which requires public entities to provide greater disaggregation within their annual rate reconciliation, including new requirements to present reconciling items on a gross basis in specified categories, disclose both percentages and dollar amounts, and disaggregate individual reconciling items by jurisdiction and nature when the effect of the items meet a quantitative threshold. The guidance also requires disaggregating the annual disclosure of income taxes paid, net of refunds received, by federal (national), state, and foreign taxes, with separate presentation of individual jurisdictions that meet a quantitative threshold. The guidance is effective for our annual periods beginning January 1, 2025 on a prospective basis, with a retrospective option, and early adoption is permitted. Adopting this guidance will result in additional annual tax disclosures but will not impact our provision for income taxes, deferred tax assets or deferred tax liabilities.</w:t>
      </w:r>
    </w:p>
    <w:p>
      <w:pPr>
        <w:spacing w:after="0" w:line="175"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In November 2024, the FASB issued ASU 2024-03 - Income Statement - Reporting Comprehensive Income - Expense Disaggregation Disclosures (Subtopic 220-40): Disaggregation of Income Statement Expenses, which requires public entities to disclose, on an annual and interim basis, disaggregated information about certain income statement expense line items. The ASU also requires disclosure of the total amount of selling expenses recognized in continuing operations on an annual and interim basis and disclosure of a public business entity’s definition of selling expenses on an annual basis (or in interim reporting periods if the definition is changed). The guidance is effective for our annual periods beginning January 1, 2026 on a prospective basis, with a retrospective option, and early adoption is permitted. We are currently evaluating the impact of adopting this standard on our consolidated financial statements and disclosures.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Revenue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612,510</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50,699</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19,982</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683,191</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w:t>
      </w:r>
    </w:p>
    <w:p>
      <w:pPr>
        <w:spacing w:after="0" w:line="217"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94%, 93% and 92% of revenue in 2024, 2023 and 2022, respectively. One of our distributors accounted for 34%, 36% and 38% of revenue in 2024, 2023 and 2022, respectively. That same distributor accounted for 29% and 32% of accounts receivable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2024, 2023 and 2022, we recognized revenue of $581.8 million, $502.8 million and $407.5 million, respectively, that was included in the deferred revenue balance at the beginning of each of the respective periods.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future estimated revenue related to unsatisfied performance obligations: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8"/>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short-term</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660,647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595,053</w:t>
            </w:r>
          </w:p>
        </w:tc>
        <w:tc>
          <w:tcPr>
            <w:tcW w:w="0" w:type="dxa"/>
            <w:vAlign w:val="bottom"/>
          </w:tcPr>
          <w:p>
            <w:pPr>
              <w:spacing w:after="0"/>
              <w:rPr>
                <w:sz w:val="1"/>
                <w:szCs w:val="1"/>
                <w:color w:val="auto"/>
              </w:rPr>
            </w:pPr>
          </w:p>
        </w:tc>
      </w:tr>
      <w:tr>
        <w:trPr>
          <w:trHeight w:val="225"/>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Remaining performance obligations, long-term</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206,879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179,955</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Remaining performance obligations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867,526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b w:val="1"/>
                <w:bCs w:val="1"/>
                <w:i w:val="1"/>
                <w:iCs w:val="1"/>
                <w:color w:val="auto"/>
              </w:rPr>
              <w:t>Deferred Commissions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83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00" w:type="dxa"/>
            <w:vAlign w:val="bottom"/>
            <w:gridSpan w:val="2"/>
          </w:tcPr>
          <w:p>
            <w:pPr>
              <w:ind w:left="32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414"/>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111,508</w:t>
            </w:r>
          </w:p>
        </w:tc>
        <w:tc>
          <w:tcPr>
            <w:tcW w:w="0" w:type="dxa"/>
            <w:vAlign w:val="bottom"/>
          </w:tcPr>
          <w:p>
            <w:pPr>
              <w:spacing w:after="0"/>
              <w:rPr>
                <w:sz w:val="1"/>
                <w:szCs w:val="1"/>
                <w:color w:val="auto"/>
              </w:rPr>
            </w:pP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60,268</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(49,823)</w:t>
            </w:r>
          </w:p>
        </w:tc>
        <w:tc>
          <w:tcPr>
            <w:tcW w:w="0" w:type="dxa"/>
            <w:vAlign w:val="bottom"/>
          </w:tcPr>
          <w:p>
            <w:pPr>
              <w:spacing w:after="0"/>
              <w:rPr>
                <w:sz w:val="1"/>
                <w:szCs w:val="1"/>
                <w:color w:val="auto"/>
              </w:rPr>
            </w:pPr>
          </w:p>
        </w:tc>
      </w:tr>
      <w:tr>
        <w:trPr>
          <w:trHeight w:val="218"/>
        </w:trPr>
        <w:tc>
          <w:tcPr>
            <w:tcW w:w="8300" w:type="dxa"/>
            <w:vAlign w:val="bottom"/>
            <w:gridSpan w:val="2"/>
          </w:tcPr>
          <w:p>
            <w:pPr>
              <w:ind w:left="240"/>
              <w:spacing w:after="0"/>
              <w:rPr>
                <w:sz w:val="20"/>
                <w:szCs w:val="20"/>
                <w:color w:val="auto"/>
              </w:rPr>
            </w:pPr>
            <w:r>
              <w:rPr>
                <w:rFonts w:ascii="Arial" w:cs="Arial" w:eastAsia="Arial" w:hAnsi="Arial"/>
                <w:sz w:val="18"/>
                <w:szCs w:val="18"/>
                <w:color w:val="auto"/>
              </w:rPr>
              <w:t>Ending balance</w:t>
            </w:r>
          </w:p>
        </w:tc>
        <w:tc>
          <w:tcPr>
            <w:tcW w:w="300" w:type="dxa"/>
            <w:vAlign w:val="bottom"/>
          </w:tcPr>
          <w:p>
            <w:pPr>
              <w:jc w:val="right"/>
              <w:ind w:right="137"/>
              <w:spacing w:after="0"/>
              <w:rPr>
                <w:sz w:val="20"/>
                <w:szCs w:val="20"/>
                <w:color w:val="auto"/>
              </w:rPr>
            </w:pPr>
            <w:r>
              <w:rPr>
                <w:rFonts w:ascii="Arial" w:cs="Arial" w:eastAsia="Arial" w:hAnsi="Arial"/>
                <w:sz w:val="15"/>
                <w:szCs w:val="15"/>
                <w:color w:val="auto"/>
                <w:w w:val="71"/>
              </w:rPr>
              <w:t>$</w:t>
            </w:r>
          </w:p>
        </w:tc>
        <w:tc>
          <w:tcPr>
            <w:tcW w:w="1100" w:type="dxa"/>
            <w:vAlign w:val="bottom"/>
          </w:tcPr>
          <w:p>
            <w:pPr>
              <w:ind w:left="400"/>
              <w:spacing w:after="0"/>
              <w:rPr>
                <w:sz w:val="20"/>
                <w:szCs w:val="20"/>
                <w:color w:val="auto"/>
              </w:rPr>
            </w:pPr>
            <w:r>
              <w:rPr>
                <w:rFonts w:ascii="Arial" w:cs="Arial" w:eastAsia="Arial" w:hAnsi="Arial"/>
                <w:sz w:val="18"/>
                <w:szCs w:val="18"/>
                <w:color w:val="auto"/>
              </w:rPr>
              <w:t>119,705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121,953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Cash Equivalents and Short-Term Investments</w:t>
      </w:r>
    </w:p>
    <w:p>
      <w:pPr>
        <w:spacing w:after="0" w:line="219" w:lineRule="exact"/>
        <w:rPr>
          <w:sz w:val="20"/>
          <w:szCs w:val="20"/>
          <w:color w:val="auto"/>
        </w:rPr>
      </w:pPr>
    </w:p>
    <w:p>
      <w:pPr>
        <w:ind w:right="260" w:firstLine="318"/>
        <w:spacing w:after="0" w:line="274"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December 31, 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3"/>
                <w:szCs w:val="13"/>
                <w:color w:val="auto"/>
              </w:rPr>
            </w:pPr>
          </w:p>
        </w:tc>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20" w:type="dxa"/>
            <w:vAlign w:val="bottom"/>
          </w:tcPr>
          <w:p>
            <w:pPr>
              <w:spacing w:after="0"/>
              <w:rPr>
                <w:sz w:val="13"/>
                <w:szCs w:val="13"/>
                <w:color w:val="auto"/>
              </w:rPr>
            </w:pPr>
          </w:p>
        </w:tc>
        <w:tc>
          <w:tcPr>
            <w:tcW w:w="1280" w:type="dxa"/>
            <w:vAlign w:val="bottom"/>
          </w:tcPr>
          <w:p>
            <w:pPr>
              <w:jc w:val="right"/>
              <w:ind w:right="73"/>
              <w:spacing w:after="0" w:line="152"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0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413"/>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5"/>
        </w:trPr>
        <w:tc>
          <w:tcPr>
            <w:tcW w:w="5200" w:type="dxa"/>
            <w:vAlign w:val="bottom"/>
          </w:tcPr>
          <w:p>
            <w:pPr>
              <w:spacing w:after="0" w:line="205" w:lineRule="exact"/>
              <w:rPr>
                <w:sz w:val="20"/>
                <w:szCs w:val="20"/>
                <w:color w:val="auto"/>
              </w:rPr>
            </w:pPr>
            <w:r>
              <w:rPr>
                <w:rFonts w:ascii="Arial" w:cs="Arial" w:eastAsia="Arial" w:hAnsi="Arial"/>
                <w:sz w:val="18"/>
                <w:szCs w:val="18"/>
                <w:b w:val="1"/>
                <w:bCs w:val="1"/>
                <w:color w:val="auto"/>
              </w:rPr>
              <w:t>Cash equivalents</w:t>
            </w: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190,750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18"/>
        </w:trPr>
        <w:tc>
          <w:tcPr>
            <w:tcW w:w="5200" w:type="dxa"/>
            <w:vAlign w:val="bottom"/>
          </w:tcPr>
          <w:p>
            <w:pPr>
              <w:ind w:left="200"/>
              <w:spacing w:after="0"/>
              <w:rPr>
                <w:sz w:val="20"/>
                <w:szCs w:val="20"/>
                <w:color w:val="auto"/>
              </w:rPr>
            </w:pPr>
            <w:r>
              <w:rPr>
                <w:rFonts w:ascii="Arial" w:cs="Arial" w:eastAsia="Arial" w:hAnsi="Arial"/>
                <w:sz w:val="18"/>
                <w:szCs w:val="18"/>
                <w:color w:val="auto"/>
              </w:rPr>
              <w:t>Total cash equivalents</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190,750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95,267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95,410</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30,740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color w:val="auto"/>
              </w:rPr>
              <w:t>Yankee bonds</w:t>
            </w: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13,998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agency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66,614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19"/>
        </w:trPr>
        <w:tc>
          <w:tcPr>
            <w:tcW w:w="5200" w:type="dxa"/>
            <w:vAlign w:val="bottom"/>
          </w:tcPr>
          <w:p>
            <w:pPr>
              <w:ind w:left="200"/>
              <w:spacing w:after="0"/>
              <w:rPr>
                <w:sz w:val="20"/>
                <w:szCs w:val="20"/>
                <w:color w:val="auto"/>
              </w:rPr>
            </w:pPr>
            <w:r>
              <w:rPr>
                <w:rFonts w:ascii="Arial" w:cs="Arial" w:eastAsia="Arial" w:hAnsi="Arial"/>
                <w:sz w:val="18"/>
                <w:szCs w:val="18"/>
                <w:color w:val="auto"/>
              </w:rPr>
              <w:t>Total short-term investments</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248,229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December 31, 2023</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5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280" w:type="dxa"/>
            <w:vAlign w:val="bottom"/>
          </w:tcPr>
          <w:p>
            <w:pPr>
              <w:jc w:val="right"/>
              <w:ind w:right="73"/>
              <w:spacing w:after="0" w:line="152"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13"/>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5"/>
        </w:trPr>
        <w:tc>
          <w:tcPr>
            <w:tcW w:w="52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130,375</w:t>
            </w:r>
          </w:p>
        </w:tc>
        <w:tc>
          <w:tcPr>
            <w:tcW w:w="0" w:type="dxa"/>
            <w:vAlign w:val="bottom"/>
          </w:tcPr>
          <w:p>
            <w:pPr>
              <w:spacing w:after="0"/>
              <w:rPr>
                <w:sz w:val="1"/>
                <w:szCs w:val="1"/>
                <w:color w:val="auto"/>
              </w:rPr>
            </w:pPr>
          </w:p>
        </w:tc>
      </w:tr>
      <w:tr>
        <w:trPr>
          <w:trHeight w:val="218"/>
        </w:trPr>
        <w:tc>
          <w:tcPr>
            <w:tcW w:w="522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130,375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130,375</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61,149</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Yankee bonds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obligations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19"/>
        </w:trPr>
        <w:tc>
          <w:tcPr>
            <w:tcW w:w="5220" w:type="dxa"/>
            <w:vAlign w:val="bottom"/>
          </w:tcPr>
          <w:p>
            <w:pPr>
              <w:ind w:left="22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236,840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December 31, 2024 and 2023, our unrealized losses were due to rising market interest rates compared to when the investments were initiated. We do not believe any unrealized losses represent credit losses, and it is unlikely we would sell the investments before we would recover their amortized cost basis.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contractual maturities of our short-term investments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2024</w:t>
            </w:r>
          </w:p>
        </w:tc>
        <w:tc>
          <w:tcPr>
            <w:tcW w:w="120" w:type="dxa"/>
            <w:vAlign w:val="bottom"/>
          </w:tcPr>
          <w:p>
            <w:pPr>
              <w:spacing w:after="0"/>
              <w:rPr>
                <w:sz w:val="18"/>
                <w:szCs w:val="18"/>
                <w:color w:val="auto"/>
              </w:rPr>
            </w:pPr>
          </w:p>
        </w:tc>
        <w:tc>
          <w:tcPr>
            <w:tcW w:w="2840" w:type="dxa"/>
            <w:vAlign w:val="bottom"/>
            <w:gridSpan w:val="4"/>
          </w:tcPr>
          <w:p>
            <w:pPr>
              <w:jc w:val="right"/>
              <w:ind w:right="675"/>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2"/>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55"/>
              <w:spacing w:after="0" w:line="152" w:lineRule="exact"/>
              <w:rPr>
                <w:sz w:val="20"/>
                <w:szCs w:val="20"/>
                <w:color w:val="auto"/>
              </w:rPr>
            </w:pPr>
            <w:r>
              <w:rPr>
                <w:rFonts w:ascii="Arial" w:cs="Arial" w:eastAsia="Arial" w:hAnsi="Arial"/>
                <w:sz w:val="16"/>
                <w:szCs w:val="16"/>
                <w:b w:val="1"/>
                <w:bCs w:val="1"/>
                <w:color w:val="auto"/>
                <w:w w:val="99"/>
              </w:rPr>
              <w:t>Estimated Fair</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75"/>
              <w:spacing w:after="0" w:line="152"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219,414</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two years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17,426</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236,840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Fair Value Measurements</w:t>
      </w:r>
    </w:p>
    <w:p>
      <w:pPr>
        <w:spacing w:after="0" w:line="219" w:lineRule="exact"/>
        <w:rPr>
          <w:sz w:val="20"/>
          <w:szCs w:val="20"/>
          <w:color w:val="auto"/>
        </w:rPr>
      </w:pPr>
    </w:p>
    <w:p>
      <w:pPr>
        <w:ind w:right="520" w:firstLine="318"/>
        <w:spacing w:after="0" w:line="274"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57"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58" w:lineRule="exact"/>
        <w:rPr>
          <w:rFonts w:ascii="Arial" w:cs="Arial" w:eastAsia="Arial" w:hAnsi="Arial"/>
          <w:sz w:val="18"/>
          <w:szCs w:val="18"/>
          <w:color w:val="auto"/>
        </w:rPr>
      </w:pPr>
    </w:p>
    <w:p>
      <w:pPr>
        <w:ind w:left="640" w:right="660" w:hanging="316"/>
        <w:spacing w:after="0" w:line="27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140" w:type="dxa"/>
            <w:vAlign w:val="bottom"/>
          </w:tcPr>
          <w:p>
            <w:pPr>
              <w:jc w:val="right"/>
              <w:ind w:right="353"/>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line="205"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Yankee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248,547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140" w:type="dxa"/>
            <w:vAlign w:val="bottom"/>
          </w:tcPr>
          <w:p>
            <w:pPr>
              <w:jc w:val="right"/>
              <w:ind w:right="353"/>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line="205"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130,375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130,375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Yankee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236,840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Other Investments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Our investments in privately held securities were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6,701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and other securities</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1,871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8,572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investments are classified as Level 3 as they do not have readily determinable market values.</w:t>
      </w:r>
    </w:p>
    <w:p>
      <w:pPr>
        <w:spacing w:after="0" w:line="217" w:lineRule="exact"/>
        <w:rPr>
          <w:sz w:val="20"/>
          <w:szCs w:val="20"/>
          <w:color w:val="auto"/>
        </w:rPr>
      </w:pPr>
    </w:p>
    <w:p>
      <w:pPr>
        <w:ind w:right="20" w:firstLine="318"/>
        <w:spacing w:after="0" w:line="275" w:lineRule="auto"/>
        <w:rPr>
          <w:sz w:val="20"/>
          <w:szCs w:val="20"/>
          <w:color w:val="auto"/>
        </w:rPr>
      </w:pPr>
      <w:r>
        <w:rPr>
          <w:rFonts w:ascii="Arial" w:cs="Arial" w:eastAsia="Arial" w:hAnsi="Arial"/>
          <w:sz w:val="17"/>
          <w:szCs w:val="17"/>
          <w:color w:val="auto"/>
        </w:rPr>
        <w:t>In 2024, we received $3.5 million in proceeds from one of our SAFE investments and expect to collect the remaining $0.9 million once the escrow funds are released. Additionally in 2024, we recognized a $1.5 million gain on the conversion of our SAFE investment to an investment in preferred stock. In 2023, we identified impairment indicators for two of our SAFE investments and determined our investments were impaired, resulting in an impairment loss of $5.6 million that was recorded in other expense, net on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have any liabilities measured and recorded at fair value on a recurring basis at December 31, 2024 and 2023.</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 Property and Equipment, Net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05"/>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2023</w:t>
            </w:r>
          </w:p>
        </w:tc>
      </w:tr>
      <w:tr>
        <w:trPr>
          <w:trHeight w:val="218"/>
        </w:trPr>
        <w:tc>
          <w:tcPr>
            <w:tcW w:w="8280" w:type="dxa"/>
            <w:vAlign w:val="bottom"/>
          </w:tcPr>
          <w:p>
            <w:pPr>
              <w:ind w:left="20"/>
              <w:spacing w:after="0"/>
              <w:rPr>
                <w:sz w:val="20"/>
                <w:szCs w:val="20"/>
                <w:color w:val="auto"/>
              </w:rPr>
            </w:pPr>
            <w:r>
              <w:rPr>
                <w:rFonts w:ascii="Arial" w:cs="Arial" w:eastAsia="Arial" w:hAnsi="Arial"/>
                <w:sz w:val="18"/>
                <w:szCs w:val="18"/>
                <w:color w:val="auto"/>
              </w:rPr>
              <w:t>Computer software and equipment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21,051</w:t>
            </w:r>
          </w:p>
        </w:tc>
        <w:tc>
          <w:tcPr>
            <w:tcW w:w="12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21,845</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32,261</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6,513</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29,354</w:t>
            </w:r>
          </w:p>
        </w:tc>
      </w:tr>
      <w:tr>
        <w:trPr>
          <w:trHeight w:val="218"/>
        </w:trPr>
        <w:tc>
          <w:tcPr>
            <w:tcW w:w="828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89,973</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(44,537)</w:t>
            </w:r>
          </w:p>
        </w:tc>
      </w:tr>
      <w:tr>
        <w:trPr>
          <w:trHeight w:val="218"/>
        </w:trPr>
        <w:tc>
          <w:tcPr>
            <w:tcW w:w="828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45,436</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right="40" w:firstLine="318"/>
        <w:spacing w:after="0" w:line="274" w:lineRule="auto"/>
        <w:rPr>
          <w:sz w:val="20"/>
          <w:szCs w:val="20"/>
          <w:color w:val="auto"/>
        </w:rPr>
      </w:pPr>
      <w:r>
        <w:rPr>
          <w:rFonts w:ascii="Arial" w:cs="Arial" w:eastAsia="Arial" w:hAnsi="Arial"/>
          <w:sz w:val="18"/>
          <w:szCs w:val="18"/>
          <w:color w:val="auto"/>
        </w:rPr>
        <w:t>Depreciation and amortization related to property and equipment was $13.7 million, $13.2 million and $10.8 million in 2024, 2023 and 2022, respectively.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2024 we recorded a $4.5 million impairment for furniture and fixtures and leasehold improvements. See Note 7 for additional information.</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6. Acquisitions, Goodwill and Intangible Assets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7"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In June 2024, we acquired Eureka Security, Inc. ("Eureka"), a provider of data security posture management ("DSPM") for cloud environments. Adding Eureka's DSPM capabilities to our solutions provides customers a view into their organization's cloud data security footprint, fight policy drift and misconfigurations that put data at risk, and enables customers to continuously improve their security posture over time. We acquired 100% of Eureka's equity through a share purchase agreement for total cash consideration of $29.2 million, net of $0.4 million cash acquired.</w:t>
      </w:r>
    </w:p>
    <w:p>
      <w:pPr>
        <w:spacing w:after="0" w:line="181"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In October 2023, we acquired Ermetic, an innovative cloud-native application protection platform company and a leading provider of cloud infrastructure entitlement management. The addition of Ermetic enhances Tenable One and Tenable Cloud Security to deliver contextual risk visibility, prioritization and remediation across infrastructure and identities both on-premises and in the cloud. We acquired 100% of Ermetic's equity through a share purchase agreement for total consideration of $243.8 million, including $243.3 million in cash, net of $6.1 million cash acquired, and $0.5 million fair value of replacement equity.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consideration, net of cash acquired, was allocated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Eureka</w:t>
            </w:r>
          </w:p>
        </w:tc>
        <w:tc>
          <w:tcPr>
            <w:tcW w:w="260" w:type="dxa"/>
            <w:vAlign w:val="bottom"/>
          </w:tcPr>
          <w:p>
            <w:pPr>
              <w:spacing w:after="0"/>
              <w:rPr>
                <w:sz w:val="18"/>
                <w:szCs w:val="18"/>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Ermetic</w:t>
            </w:r>
          </w:p>
        </w:tc>
      </w:tr>
      <w:tr>
        <w:trPr>
          <w:trHeight w:val="219"/>
        </w:trPr>
        <w:tc>
          <w:tcPr>
            <w:tcW w:w="8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w:t>
            </w:r>
          </w:p>
        </w:tc>
      </w:tr>
      <w:tr>
        <w:trPr>
          <w:trHeight w:val="225"/>
        </w:trPr>
        <w:tc>
          <w:tcPr>
            <w:tcW w:w="8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202,019</w:t>
            </w:r>
          </w:p>
        </w:tc>
      </w:tr>
      <w:tr>
        <w:trPr>
          <w:trHeight w:val="225"/>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r>
      <w:tr>
        <w:trPr>
          <w:trHeight w:val="218"/>
        </w:trPr>
        <w:tc>
          <w:tcPr>
            <w:tcW w:w="8340" w:type="dxa"/>
            <w:vAlign w:val="bottom"/>
          </w:tcPr>
          <w:p>
            <w:pPr>
              <w:ind w:left="220"/>
              <w:spacing w:after="0"/>
              <w:rPr>
                <w:sz w:val="20"/>
                <w:szCs w:val="20"/>
                <w:color w:val="auto"/>
              </w:rPr>
            </w:pPr>
            <w:r>
              <w:rPr>
                <w:rFonts w:ascii="Arial" w:cs="Arial" w:eastAsia="Arial" w:hAnsi="Arial"/>
                <w:sz w:val="18"/>
                <w:szCs w:val="18"/>
                <w:color w:val="auto"/>
              </w:rPr>
              <w:t>Total purchase price allocation</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243,827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We are still finalizing the allocation of the purchase price for Eureka, which may change as additional information becomes available around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and their estimated useful lives at the date of acquisition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80" w:type="dxa"/>
            <w:vAlign w:val="bottom"/>
            <w:gridSpan w:val="4"/>
          </w:tcPr>
          <w:p>
            <w:pPr>
              <w:ind w:left="300"/>
              <w:spacing w:after="0"/>
              <w:rPr>
                <w:sz w:val="20"/>
                <w:szCs w:val="20"/>
                <w:color w:val="auto"/>
              </w:rPr>
            </w:pPr>
            <w:r>
              <w:rPr>
                <w:rFonts w:ascii="Arial" w:cs="Arial" w:eastAsia="Arial" w:hAnsi="Arial"/>
                <w:sz w:val="16"/>
                <w:szCs w:val="16"/>
                <w:b w:val="1"/>
                <w:bCs w:val="1"/>
                <w:color w:val="auto"/>
              </w:rPr>
              <w:t>Eureka</w:t>
            </w:r>
          </w:p>
        </w:tc>
        <w:tc>
          <w:tcPr>
            <w:tcW w:w="320" w:type="dxa"/>
            <w:vAlign w:val="bottom"/>
          </w:tcPr>
          <w:p>
            <w:pPr>
              <w:spacing w:after="0"/>
              <w:rPr>
                <w:sz w:val="18"/>
                <w:szCs w:val="18"/>
                <w:color w:val="auto"/>
              </w:rPr>
            </w:pPr>
          </w:p>
        </w:tc>
        <w:tc>
          <w:tcPr>
            <w:tcW w:w="2560" w:type="dxa"/>
            <w:vAlign w:val="bottom"/>
            <w:gridSpan w:val="3"/>
          </w:tcPr>
          <w:p>
            <w:pPr>
              <w:ind w:left="840"/>
              <w:spacing w:after="0"/>
              <w:rPr>
                <w:sz w:val="20"/>
                <w:szCs w:val="20"/>
                <w:color w:val="auto"/>
              </w:rPr>
            </w:pPr>
            <w:r>
              <w:rPr>
                <w:rFonts w:ascii="Arial" w:cs="Arial" w:eastAsia="Arial" w:hAnsi="Arial"/>
                <w:sz w:val="16"/>
                <w:szCs w:val="16"/>
                <w:b w:val="1"/>
                <w:bCs w:val="1"/>
                <w:color w:val="auto"/>
              </w:rPr>
              <w:t>Ermetic</w:t>
            </w:r>
          </w:p>
        </w:tc>
        <w:tc>
          <w:tcPr>
            <w:tcW w:w="0" w:type="dxa"/>
            <w:vAlign w:val="bottom"/>
          </w:tcPr>
          <w:p>
            <w:pPr>
              <w:spacing w:after="0"/>
              <w:rPr>
                <w:sz w:val="1"/>
                <w:szCs w:val="1"/>
                <w:color w:val="auto"/>
              </w:rPr>
            </w:pPr>
          </w:p>
        </w:tc>
      </w:tr>
      <w:tr>
        <w:trPr>
          <w:trHeight w:val="152"/>
        </w:trPr>
        <w:tc>
          <w:tcPr>
            <w:tcW w:w="5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Cost</w:t>
            </w: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b w:val="1"/>
                <w:bCs w:val="1"/>
                <w:color w:val="auto"/>
                <w:w w:val="98"/>
              </w:rPr>
              <w:t>Estimated Useful</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436"/>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b w:val="1"/>
                <w:bCs w:val="1"/>
                <w:color w:val="auto"/>
              </w:rPr>
              <w:t>Estimated Useful</w:t>
            </w:r>
          </w:p>
        </w:tc>
        <w:tc>
          <w:tcPr>
            <w:tcW w:w="0" w:type="dxa"/>
            <w:vAlign w:val="bottom"/>
          </w:tcPr>
          <w:p>
            <w:pPr>
              <w:spacing w:after="0"/>
              <w:rPr>
                <w:sz w:val="1"/>
                <w:szCs w:val="1"/>
                <w:color w:val="auto"/>
              </w:rPr>
            </w:pPr>
          </w:p>
        </w:tc>
      </w:tr>
      <w:tr>
        <w:trPr>
          <w:trHeight w:val="212"/>
        </w:trPr>
        <w:tc>
          <w:tcPr>
            <w:tcW w:w="54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Life</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18"/>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88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6,900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8"/>
              </w:rPr>
              <w:t>5 years</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7 years</w:t>
            </w:r>
          </w:p>
        </w:tc>
        <w:tc>
          <w:tcPr>
            <w:tcW w:w="0" w:type="dxa"/>
            <w:vAlign w:val="bottom"/>
          </w:tcPr>
          <w:p>
            <w:pPr>
              <w:spacing w:after="0"/>
              <w:rPr>
                <w:sz w:val="1"/>
                <w:szCs w:val="1"/>
                <w:color w:val="auto"/>
              </w:rPr>
            </w:pPr>
          </w:p>
        </w:tc>
      </w:tr>
      <w:tr>
        <w:trPr>
          <w:trHeight w:val="218"/>
        </w:trPr>
        <w:tc>
          <w:tcPr>
            <w:tcW w:w="5400" w:type="dxa"/>
            <w:vAlign w:val="bottom"/>
          </w:tcPr>
          <w:p>
            <w:pPr>
              <w:ind w:left="220"/>
              <w:spacing w:after="0"/>
              <w:rPr>
                <w:sz w:val="20"/>
                <w:szCs w:val="20"/>
                <w:color w:val="auto"/>
              </w:rPr>
            </w:pPr>
            <w:r>
              <w:rPr>
                <w:rFonts w:ascii="Arial" w:cs="Arial" w:eastAsia="Arial" w:hAnsi="Arial"/>
                <w:sz w:val="18"/>
                <w:szCs w:val="18"/>
                <w:color w:val="auto"/>
              </w:rPr>
              <w:t>Acquired intangible assets</w:t>
            </w: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6,900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The results of operations of Eureka and Ermetic are included in our consolidated statements of operations from the applicable acquisition dates and were not material. Pro forma results of operations are not presented as they are not material to the consolidated statements of operations.</w:t>
      </w:r>
    </w:p>
    <w:p>
      <w:pPr>
        <w:spacing w:after="0" w:line="175"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We recognized acquisition-related expenses, primarily in general and administrative expense, of $1.9 million, $9.5 million and $2.6 million in 2024, 2023 and 2022, respectively.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7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518,539</w:t>
            </w:r>
          </w:p>
        </w:tc>
      </w:tr>
      <w:tr>
        <w:trPr>
          <w:trHeight w:val="225"/>
        </w:trPr>
        <w:tc>
          <w:tcPr>
            <w:tcW w:w="9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Acquired goodwill</w:t>
            </w:r>
          </w:p>
        </w:tc>
        <w:tc>
          <w:tcPr>
            <w:tcW w:w="7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22,753</w:t>
            </w:r>
          </w:p>
        </w:tc>
      </w:tr>
      <w:tr>
        <w:trPr>
          <w:trHeight w:val="243"/>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7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541,292</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80" w:firstLine="318"/>
        <w:spacing w:after="0" w:line="260"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marketing and selling these new capabilities from Eureka and Ermetic to our customers. Acquired goodwill is generally not tax deductible.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2024</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2023</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52"/>
        </w:trPr>
        <w:tc>
          <w:tcPr>
            <w:tcW w:w="2360" w:type="dxa"/>
            <w:vAlign w:val="bottom"/>
          </w:tcPr>
          <w:p>
            <w:pPr>
              <w:spacing w:after="0"/>
              <w:rPr>
                <w:sz w:val="13"/>
                <w:szCs w:val="13"/>
                <w:color w:val="auto"/>
              </w:rPr>
            </w:pPr>
          </w:p>
        </w:tc>
        <w:tc>
          <w:tcPr>
            <w:tcW w:w="1360" w:type="dxa"/>
            <w:vAlign w:val="bottom"/>
            <w:gridSpan w:val="2"/>
          </w:tcPr>
          <w:p>
            <w:pPr>
              <w:jc w:val="right"/>
              <w:ind w:right="14"/>
              <w:spacing w:after="0" w:line="152"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2"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20" w:type="dxa"/>
            <w:vAlign w:val="bottom"/>
          </w:tcPr>
          <w:p>
            <w:pPr>
              <w:jc w:val="center"/>
              <w:ind w:right="95"/>
              <w:spacing w:after="0" w:line="152" w:lineRule="exact"/>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3"/>
                <w:szCs w:val="13"/>
                <w:color w:val="auto"/>
              </w:rPr>
            </w:pPr>
          </w:p>
        </w:tc>
        <w:tc>
          <w:tcPr>
            <w:tcW w:w="1380" w:type="dxa"/>
            <w:vAlign w:val="bottom"/>
            <w:gridSpan w:val="2"/>
          </w:tcPr>
          <w:p>
            <w:pPr>
              <w:jc w:val="right"/>
              <w:ind w:right="34"/>
              <w:spacing w:after="0" w:line="152"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2"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20" w:type="dxa"/>
            <w:vAlign w:val="bottom"/>
          </w:tcPr>
          <w:p>
            <w:pPr>
              <w:jc w:val="right"/>
              <w:ind w:right="135"/>
              <w:spacing w:after="0" w:line="152" w:lineRule="exact"/>
              <w:rPr>
                <w:sz w:val="20"/>
                <w:szCs w:val="20"/>
                <w:color w:val="auto"/>
              </w:rPr>
            </w:pPr>
            <w:r>
              <w:rPr>
                <w:rFonts w:ascii="Arial" w:cs="Arial" w:eastAsia="Arial" w:hAnsi="Arial"/>
                <w:sz w:val="16"/>
                <w:szCs w:val="16"/>
                <w:b w:val="1"/>
                <w:bCs w:val="1"/>
                <w:color w:val="auto"/>
              </w:rPr>
              <w:t>Net Carrying</w:t>
            </w:r>
          </w:p>
        </w:tc>
      </w:tr>
      <w:tr>
        <w:trPr>
          <w:trHeight w:val="212"/>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Amortization</w:t>
            </w:r>
          </w:p>
        </w:tc>
        <w:tc>
          <w:tcPr>
            <w:tcW w:w="16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6"/>
                <w:szCs w:val="16"/>
                <w:b w:val="1"/>
                <w:bCs w:val="1"/>
                <w:color w:val="auto"/>
              </w:rPr>
              <w:t>Amount</w:t>
            </w:r>
          </w:p>
        </w:tc>
      </w:tr>
      <w:tr>
        <w:trPr>
          <w:trHeight w:val="219"/>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107,017</w:t>
            </w: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3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107,017</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40" w:firstLine="318"/>
        <w:spacing w:after="0" w:line="304" w:lineRule="auto"/>
        <w:rPr>
          <w:sz w:val="20"/>
          <w:szCs w:val="20"/>
          <w:color w:val="auto"/>
        </w:rPr>
      </w:pPr>
      <w:r>
        <w:rPr>
          <w:rFonts w:ascii="Arial" w:cs="Arial" w:eastAsia="Arial" w:hAnsi="Arial"/>
          <w:sz w:val="17"/>
          <w:szCs w:val="17"/>
          <w:color w:val="auto"/>
        </w:rPr>
        <w:t>Amortization of acquired intangible assets was $19.5 million, $13.9 million and $11.4 million in 2024, 2023 and 2022, respectively. At December 31, 2024, our acquired intangible assets are expected to be amortized over an estimated weighted average period of 5.3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2024, estimated future amortization of intangible assets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2025</w:t>
            </w: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20,056</w:t>
            </w:r>
          </w:p>
        </w:tc>
      </w:tr>
      <w:tr>
        <w:trPr>
          <w:trHeight w:val="225"/>
        </w:trPr>
        <w:tc>
          <w:tcPr>
            <w:tcW w:w="9140" w:type="dxa"/>
            <w:vAlign w:val="bottom"/>
            <w:shd w:val="clear" w:color="auto" w:fill="CCEEFF"/>
          </w:tcPr>
          <w:p>
            <w:pPr>
              <w:jc w:val="right"/>
              <w:ind w:right="8473"/>
              <w:spacing w:after="0"/>
              <w:rPr>
                <w:sz w:val="20"/>
                <w:szCs w:val="20"/>
                <w:color w:val="auto"/>
              </w:rPr>
            </w:pPr>
            <w:r>
              <w:rPr>
                <w:rFonts w:ascii="Arial" w:cs="Arial" w:eastAsia="Arial" w:hAnsi="Arial"/>
                <w:sz w:val="18"/>
                <w:szCs w:val="18"/>
                <w:color w:val="auto"/>
              </w:rPr>
              <w:t>2026</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19,870</w:t>
            </w: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2027</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17,840</w:t>
            </w:r>
          </w:p>
        </w:tc>
      </w:tr>
      <w:tr>
        <w:trPr>
          <w:trHeight w:val="225"/>
        </w:trPr>
        <w:tc>
          <w:tcPr>
            <w:tcW w:w="9140" w:type="dxa"/>
            <w:vAlign w:val="bottom"/>
            <w:shd w:val="clear" w:color="auto" w:fill="CCEEFF"/>
          </w:tcPr>
          <w:p>
            <w:pPr>
              <w:jc w:val="right"/>
              <w:ind w:right="8473"/>
              <w:spacing w:after="0"/>
              <w:rPr>
                <w:sz w:val="20"/>
                <w:szCs w:val="20"/>
                <w:color w:val="auto"/>
              </w:rPr>
            </w:pPr>
            <w:r>
              <w:rPr>
                <w:rFonts w:ascii="Arial" w:cs="Arial" w:eastAsia="Arial" w:hAnsi="Arial"/>
                <w:sz w:val="18"/>
                <w:szCs w:val="18"/>
                <w:color w:val="auto"/>
              </w:rPr>
              <w:t>2028</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w:t>
            </w: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2029</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11,178</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w:t>
            </w:r>
          </w:p>
        </w:tc>
      </w:tr>
      <w:tr>
        <w:trPr>
          <w:trHeight w:val="218"/>
        </w:trPr>
        <w:tc>
          <w:tcPr>
            <w:tcW w:w="9140" w:type="dxa"/>
            <w:vAlign w:val="bottom"/>
          </w:tcPr>
          <w:p>
            <w:pPr>
              <w:jc w:val="right"/>
              <w:ind w:right="8453"/>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94,461</w:t>
            </w: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7. Leases</w:t>
      </w:r>
    </w:p>
    <w:p>
      <w:pPr>
        <w:spacing w:after="0" w:line="219" w:lineRule="exact"/>
        <w:rPr>
          <w:sz w:val="20"/>
          <w:szCs w:val="20"/>
          <w:color w:val="auto"/>
        </w:rPr>
      </w:pPr>
    </w:p>
    <w:p>
      <w:pPr>
        <w:jc w:val="both"/>
        <w:ind w:right="20" w:firstLine="318"/>
        <w:spacing w:after="0" w:line="260" w:lineRule="auto"/>
        <w:rPr>
          <w:sz w:val="20"/>
          <w:szCs w:val="20"/>
          <w:color w:val="auto"/>
        </w:rPr>
      </w:pPr>
      <w:r>
        <w:rPr>
          <w:rFonts w:ascii="Arial" w:cs="Arial" w:eastAsia="Arial" w:hAnsi="Arial"/>
          <w:sz w:val="18"/>
          <w:szCs w:val="18"/>
          <w:color w:val="auto"/>
        </w:rPr>
        <w:t>We have operating leases for office facilities. Our leases have remaining terms of one year to just over seven years, some of which include one or more options to renew, with renewal terms up to five years and one of which includes an option to terminate the lease within the next five years.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October 2024, we entered into a new lease in Tel Aviv, Israel. The lease term is 7 years, with future lease payments of $19.8 million.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expense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76"/>
              <w:spacing w:after="0"/>
              <w:rPr>
                <w:sz w:val="20"/>
                <w:szCs w:val="20"/>
                <w:color w:val="auto"/>
              </w:rPr>
            </w:pPr>
            <w:r>
              <w:rPr>
                <w:rFonts w:ascii="Arial" w:cs="Arial" w:eastAsia="Arial" w:hAnsi="Arial"/>
                <w:sz w:val="16"/>
                <w:szCs w:val="16"/>
                <w:b w:val="1"/>
                <w:bCs w:val="1"/>
                <w:color w:val="auto"/>
                <w:w w:val="98"/>
              </w:rPr>
              <w:t>Year Ended December 31,</w:t>
            </w:r>
          </w:p>
        </w:tc>
        <w:tc>
          <w:tcPr>
            <w:tcW w:w="1080" w:type="dxa"/>
            <w:vAlign w:val="bottom"/>
            <w:tcBorders>
              <w:bottom w:val="single" w:sz="8" w:color="auto"/>
            </w:tcBorders>
          </w:tcPr>
          <w:p>
            <w:pPr>
              <w:spacing w:after="0"/>
              <w:rPr>
                <w:sz w:val="18"/>
                <w:szCs w:val="18"/>
                <w:color w:val="auto"/>
              </w:rPr>
            </w:pPr>
          </w:p>
        </w:tc>
      </w:tr>
      <w:tr>
        <w:trPr>
          <w:trHeight w:val="20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2022</w:t>
            </w: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300" w:firstLine="318"/>
        <w:spacing w:after="0" w:line="260" w:lineRule="auto"/>
        <w:rPr>
          <w:sz w:val="20"/>
          <w:szCs w:val="20"/>
          <w:color w:val="auto"/>
        </w:rPr>
      </w:pPr>
      <w:r>
        <w:rPr>
          <w:rFonts w:ascii="Arial" w:cs="Arial" w:eastAsia="Arial" w:hAnsi="Arial"/>
          <w:sz w:val="18"/>
          <w:szCs w:val="18"/>
          <w:color w:val="auto"/>
        </w:rPr>
        <w:t>In June 2024, we executed a sublease of a portion of our corporate headquarters through February 2032 and recognized $4.5 million of restructuring expense related to the associated impairment of leasehold improvements and furniture and fixtures. Sublease income, which is recorded as a reduction of rent expense, was $0.8 million in 2024.</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Rent expense for short-term leases was not material in 2024, 2023 and 2022.</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835"/>
              <w:spacing w:after="0"/>
              <w:rPr>
                <w:sz w:val="20"/>
                <w:szCs w:val="20"/>
                <w:color w:val="auto"/>
              </w:rPr>
            </w:pPr>
            <w:r>
              <w:rPr>
                <w:rFonts w:ascii="Arial" w:cs="Arial" w:eastAsia="Arial" w:hAnsi="Arial"/>
                <w:sz w:val="16"/>
                <w:szCs w:val="16"/>
                <w:b w:val="1"/>
                <w:bCs w:val="1"/>
                <w:color w:val="auto"/>
              </w:rPr>
              <w:t>December 31,</w:t>
            </w:r>
          </w:p>
        </w:tc>
      </w:tr>
      <w:tr>
        <w:trPr>
          <w:trHeight w:val="205"/>
        </w:trPr>
        <w:tc>
          <w:tcPr>
            <w:tcW w:w="67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r>
      <w:tr>
        <w:trPr>
          <w:trHeight w:val="19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5"/>
        </w:trPr>
        <w:tc>
          <w:tcPr>
            <w:tcW w:w="676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6.5 years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5"/>
              <w:spacing w:after="0"/>
              <w:rPr>
                <w:sz w:val="20"/>
                <w:szCs w:val="20"/>
                <w:color w:val="auto"/>
              </w:rPr>
            </w:pPr>
            <w:r>
              <w:rPr>
                <w:rFonts w:ascii="Arial" w:cs="Arial" w:eastAsia="Arial" w:hAnsi="Arial"/>
                <w:sz w:val="18"/>
                <w:szCs w:val="18"/>
                <w:color w:val="auto"/>
                <w:w w:val="99"/>
              </w:rPr>
              <w:t>7.3 years</w:t>
            </w:r>
          </w:p>
        </w:tc>
      </w:tr>
      <w:tr>
        <w:trPr>
          <w:trHeight w:val="225"/>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5.6%</w:t>
            </w:r>
          </w:p>
        </w:tc>
      </w:tr>
      <w:tr>
        <w:trPr>
          <w:trHeight w:val="543"/>
        </w:trPr>
        <w:tc>
          <w:tcPr>
            <w:tcW w:w="6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left="738"/>
              <w:spacing w:after="0"/>
              <w:rPr>
                <w:sz w:val="20"/>
                <w:szCs w:val="20"/>
                <w:color w:val="auto"/>
              </w:rPr>
            </w:pPr>
            <w:r>
              <w:rPr>
                <w:rFonts w:ascii="Arial" w:cs="Arial" w:eastAsia="Arial" w:hAnsi="Arial"/>
                <w:sz w:val="16"/>
                <w:szCs w:val="16"/>
                <w:b w:val="1"/>
                <w:bCs w:val="1"/>
                <w:color w:val="auto"/>
                <w:w w:val="98"/>
              </w:rPr>
              <w:t>Year Ended December 31,</w:t>
            </w:r>
          </w:p>
        </w:tc>
        <w:tc>
          <w:tcPr>
            <w:tcW w:w="1160" w:type="dxa"/>
            <w:vAlign w:val="bottom"/>
            <w:tcBorders>
              <w:bottom w:val="single" w:sz="8" w:color="auto"/>
            </w:tcBorders>
          </w:tcPr>
          <w:p>
            <w:pPr>
              <w:spacing w:after="0"/>
              <w:rPr>
                <w:sz w:val="24"/>
                <w:szCs w:val="24"/>
                <w:color w:val="auto"/>
              </w:rPr>
            </w:pPr>
          </w:p>
        </w:tc>
      </w:tr>
      <w:tr>
        <w:trPr>
          <w:trHeight w:val="20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2022</w:t>
            </w:r>
          </w:p>
        </w:tc>
      </w:tr>
      <w:tr>
        <w:trPr>
          <w:trHeight w:val="19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2"/>
        </w:trPr>
        <w:tc>
          <w:tcPr>
            <w:tcW w:w="67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1,234</w:t>
            </w:r>
          </w:p>
        </w:tc>
        <w:tc>
          <w:tcPr>
            <w:tcW w:w="40" w:type="dxa"/>
            <w:vAlign w:val="bottom"/>
          </w:tcPr>
          <w:p>
            <w:pPr>
              <w:spacing w:after="0"/>
              <w:rPr>
                <w:sz w:val="20"/>
                <w:szCs w:val="20"/>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Maturities of operating lease liabilities at December 31, 2024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9820" w:type="dxa"/>
            <w:vAlign w:val="bottom"/>
          </w:tcPr>
          <w:p>
            <w:pPr>
              <w:jc w:val="right"/>
              <w:ind w:right="9152"/>
              <w:spacing w:after="0"/>
              <w:rPr>
                <w:sz w:val="20"/>
                <w:szCs w:val="20"/>
                <w:color w:val="auto"/>
              </w:rPr>
            </w:pPr>
            <w:r>
              <w:rPr>
                <w:rFonts w:ascii="Arial" w:cs="Arial" w:eastAsia="Arial" w:hAnsi="Arial"/>
                <w:sz w:val="18"/>
                <w:szCs w:val="18"/>
                <w:color w:val="auto"/>
              </w:rPr>
              <w:t>2025</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9,585</w:t>
            </w:r>
          </w:p>
        </w:tc>
      </w:tr>
      <w:tr>
        <w:trPr>
          <w:trHeight w:val="225"/>
        </w:trPr>
        <w:tc>
          <w:tcPr>
            <w:tcW w:w="9820" w:type="dxa"/>
            <w:vAlign w:val="bottom"/>
            <w:shd w:val="clear" w:color="auto" w:fill="CCEEFF"/>
          </w:tcPr>
          <w:p>
            <w:pPr>
              <w:jc w:val="right"/>
              <w:ind w:right="9152"/>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r>
      <w:tr>
        <w:trPr>
          <w:trHeight w:val="225"/>
        </w:trPr>
        <w:tc>
          <w:tcPr>
            <w:tcW w:w="9820" w:type="dxa"/>
            <w:vAlign w:val="bottom"/>
          </w:tcPr>
          <w:p>
            <w:pPr>
              <w:jc w:val="right"/>
              <w:ind w:right="9152"/>
              <w:spacing w:after="0"/>
              <w:rPr>
                <w:sz w:val="20"/>
                <w:szCs w:val="20"/>
                <w:color w:val="auto"/>
              </w:rPr>
            </w:pPr>
            <w:r>
              <w:rPr>
                <w:rFonts w:ascii="Arial" w:cs="Arial" w:eastAsia="Arial" w:hAnsi="Arial"/>
                <w:sz w:val="18"/>
                <w:szCs w:val="18"/>
                <w:color w:val="auto"/>
              </w:rPr>
              <w:t>2027</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11,767</w:t>
            </w:r>
          </w:p>
        </w:tc>
      </w:tr>
      <w:tr>
        <w:trPr>
          <w:trHeight w:val="225"/>
        </w:trPr>
        <w:tc>
          <w:tcPr>
            <w:tcW w:w="9820" w:type="dxa"/>
            <w:vAlign w:val="bottom"/>
            <w:shd w:val="clear" w:color="auto" w:fill="CCEEFF"/>
          </w:tcPr>
          <w:p>
            <w:pPr>
              <w:jc w:val="right"/>
              <w:ind w:right="9152"/>
              <w:spacing w:after="0"/>
              <w:rPr>
                <w:sz w:val="20"/>
                <w:szCs w:val="20"/>
                <w:color w:val="auto"/>
              </w:rPr>
            </w:pPr>
            <w:r>
              <w:rPr>
                <w:rFonts w:ascii="Arial" w:cs="Arial" w:eastAsia="Arial" w:hAnsi="Arial"/>
                <w:sz w:val="18"/>
                <w:szCs w:val="18"/>
                <w:color w:val="auto"/>
              </w:rPr>
              <w:t>2028</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w:t>
            </w:r>
          </w:p>
        </w:tc>
      </w:tr>
      <w:tr>
        <w:trPr>
          <w:trHeight w:val="225"/>
        </w:trPr>
        <w:tc>
          <w:tcPr>
            <w:tcW w:w="9820" w:type="dxa"/>
            <w:vAlign w:val="bottom"/>
          </w:tcPr>
          <w:p>
            <w:pPr>
              <w:jc w:val="right"/>
              <w:ind w:right="9152"/>
              <w:spacing w:after="0"/>
              <w:rPr>
                <w:sz w:val="20"/>
                <w:szCs w:val="20"/>
                <w:color w:val="auto"/>
              </w:rPr>
            </w:pPr>
            <w:r>
              <w:rPr>
                <w:rFonts w:ascii="Arial" w:cs="Arial" w:eastAsia="Arial" w:hAnsi="Arial"/>
                <w:sz w:val="18"/>
                <w:szCs w:val="18"/>
                <w:color w:val="auto"/>
              </w:rPr>
              <w:t>2029</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10,800</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22,079</w:t>
            </w:r>
          </w:p>
        </w:tc>
      </w:tr>
      <w:tr>
        <w:trPr>
          <w:trHeight w:val="218"/>
        </w:trPr>
        <w:tc>
          <w:tcPr>
            <w:tcW w:w="982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77,537</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(14,512)</w:t>
            </w:r>
          </w:p>
        </w:tc>
      </w:tr>
      <w:tr>
        <w:trPr>
          <w:trHeight w:val="218"/>
        </w:trPr>
        <w:tc>
          <w:tcPr>
            <w:tcW w:w="9820" w:type="dxa"/>
            <w:vAlign w:val="bottom"/>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63,025</w:t>
            </w:r>
          </w:p>
        </w:tc>
      </w:tr>
      <w:tr>
        <w:trPr>
          <w:trHeight w:val="20"/>
        </w:trPr>
        <w:tc>
          <w:tcPr>
            <w:tcW w:w="9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Operating lease payments in the table above do not include $0.9 million, $1.7 million, $1.8 million, $1.9 million, $1.9 million and $4.5 million of sublease payments we expect to receive in 2025, 2026, 2027, 2028, 2029 and thereafter, respectively.</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8. Debt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July 2021, we entered into a credit agreement ("Credit Agreement") which is comprised of:</w:t>
      </w:r>
    </w:p>
    <w:p>
      <w:pPr>
        <w:spacing w:after="0" w:line="5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w:t>
        <w:tab/>
        <w:t>a $375.0 million senior secured term loan facility ("Term Loan"); and</w:t>
      </w:r>
    </w:p>
    <w:p>
      <w:pPr>
        <w:spacing w:after="0" w:line="5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w:t>
        <w:tab/>
        <w:t>a $50.0 million senior secured revolving credit facility ("Revolving Credit Facility").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carrying value of the Term Loan: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98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363,750</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Unamortized debt discount and issuance costs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 xml:space="preserve">Less: Term loan, net, current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43"/>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356,705</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3" w:lineRule="exact"/>
        <w:rPr>
          <w:sz w:val="20"/>
          <w:szCs w:val="20"/>
          <w:color w:val="auto"/>
        </w:rPr>
      </w:pPr>
    </w:p>
    <w:p>
      <w:pPr>
        <w:ind w:left="380" w:hanging="374"/>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Term loan, net, current is included in other current liabilities on our consolidated balance sheets.</w:t>
      </w:r>
    </w:p>
    <w:p>
      <w:pPr>
        <w:spacing w:after="0" w:line="202"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The Term Loan bears interest at a rate of 2.75% per annum over the Secured Overnight Financing Rate ("SOFR"), subject to a 0.50% floor, plus a credit spread adjustment depending on the interest period. The Term Loan is being amortized at 1% per annum in equal quarterly installments until the final payment of $350.6 million on the July 7, 2028 maturity date.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Term Loan is recorded at its carrying value. At December 31, 2024, the fair value of our Term Loan was approximately $364.7 million.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In the fair value hierarchy, our Term Loan is classified as Level 2 as it is traded in less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maturities of our Term Loan at December 31, 2024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9820" w:type="dxa"/>
            <w:vAlign w:val="bottom"/>
          </w:tcPr>
          <w:p>
            <w:pPr>
              <w:ind w:left="240"/>
              <w:spacing w:after="0"/>
              <w:rPr>
                <w:sz w:val="20"/>
                <w:szCs w:val="20"/>
                <w:color w:val="auto"/>
              </w:rPr>
            </w:pPr>
            <w:r>
              <w:rPr>
                <w:rFonts w:ascii="Arial" w:cs="Arial" w:eastAsia="Arial" w:hAnsi="Arial"/>
                <w:sz w:val="18"/>
                <w:szCs w:val="18"/>
                <w:color w:val="auto"/>
              </w:rPr>
              <w:t>2025</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tcPr>
          <w:p>
            <w:pPr>
              <w:ind w:left="240"/>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2028</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352,500</w:t>
            </w:r>
          </w:p>
        </w:tc>
      </w:tr>
      <w:tr>
        <w:trPr>
          <w:trHeight w:val="218"/>
        </w:trPr>
        <w:tc>
          <w:tcPr>
            <w:tcW w:w="9820" w:type="dxa"/>
            <w:vAlign w:val="bottom"/>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363,750</w:t>
            </w:r>
          </w:p>
        </w:tc>
      </w:tr>
      <w:tr>
        <w:trPr>
          <w:trHeight w:val="20"/>
        </w:trPr>
        <w:tc>
          <w:tcPr>
            <w:tcW w:w="9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We may be subject to mandatory Term Loan prepayments related to the excess cash flow provisions. These prepayments would only be required if our first lien net leverage ratio (as defined in our Credit Agreement) exceeds 3.5 at the end of each year. At December 31, 2024, our first lien net leverage ratio was 0.86.</w:t>
      </w:r>
    </w:p>
    <w:p>
      <w:pPr>
        <w:spacing w:after="0" w:line="175"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SOFR and matures on July 7, 2026. Additionally, we pay a commitment fee during the term ranging from 0.25% to 0.375% per annum of the average daily undrawn portion of the revolving commitments based on the first lien net leverage ratio. The Revolving Credit Facility contains a $15.0 million letter of credit sublimit.</w:t>
      </w:r>
    </w:p>
    <w:p>
      <w:pPr>
        <w:spacing w:after="0" w:line="180"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color w:val="auto"/>
        </w:rPr>
        <w:t>The Credit Agreement contains certain customary events of default, which include failure to make payments when due, the material inaccuracy of representations or warranties, failure to observe or perform certain covenants, cross-defaults, bankruptcy and insolvency-related events, certain judgments, certain ERISA-related events, failure of any lien created under the Security Documents (as defined in the Credit Agreement) to be valid and perfected (subject to certain exceptions), failure of any material guarantee of the Loan Document Obligations (as defined in the Credit Agreement) to be in full force and effect and a Change of Control (as defined in the Credit Agreement).</w:t>
      </w:r>
    </w:p>
    <w:p>
      <w:pPr>
        <w:spacing w:after="0" w:line="181" w:lineRule="exact"/>
        <w:rPr>
          <w:sz w:val="20"/>
          <w:szCs w:val="20"/>
          <w:color w:val="auto"/>
        </w:rPr>
      </w:pPr>
    </w:p>
    <w:p>
      <w:pPr>
        <w:ind w:right="920" w:firstLine="318"/>
        <w:spacing w:after="0" w:line="274" w:lineRule="auto"/>
        <w:rPr>
          <w:sz w:val="20"/>
          <w:szCs w:val="20"/>
          <w:color w:val="auto"/>
        </w:rPr>
      </w:pPr>
      <w:r>
        <w:rPr>
          <w:rFonts w:ascii="Arial" w:cs="Arial" w:eastAsia="Arial" w:hAnsi="Arial"/>
          <w:sz w:val="18"/>
          <w:szCs w:val="18"/>
          <w:color w:val="auto"/>
        </w:rPr>
        <w:t>The Credit Agreement is guaranteed by the Company and Tenable Public Sector LLC, an indirect subsidiary of the Company, as guarantors, and is supported by a security interest in substantially all of the assets of Tenable, Inc. and the guarantors.</w:t>
      </w:r>
    </w:p>
    <w:p>
      <w:pPr>
        <w:spacing w:after="0" w:line="163" w:lineRule="exact"/>
        <w:rPr>
          <w:sz w:val="20"/>
          <w:szCs w:val="20"/>
          <w:color w:val="auto"/>
        </w:rPr>
      </w:pPr>
    </w:p>
    <w:p>
      <w:pPr>
        <w:jc w:val="both"/>
        <w:ind w:right="40" w:firstLine="318"/>
        <w:spacing w:after="0" w:line="250" w:lineRule="auto"/>
        <w:rPr>
          <w:sz w:val="20"/>
          <w:szCs w:val="20"/>
          <w:color w:val="auto"/>
        </w:rPr>
      </w:pPr>
      <w:r>
        <w:rPr>
          <w:rFonts w:ascii="Arial" w:cs="Arial" w:eastAsia="Arial" w:hAnsi="Arial"/>
          <w:sz w:val="18"/>
          <w:szCs w:val="18"/>
          <w:color w:val="auto"/>
        </w:rPr>
        <w:t>The Credit Agreement contains certain customary representations and warranties and affirmative and negative covenants, including certain restrictions on incurring additional indebtedness or guaranteeing indebtedness of others, creating liens on properties or assets, making certain investments, loans, advances and guarantees, selling assets, making certain restricted payments and entering into certain sale and leaseback transactions, affiliate transactions, restrictive agreements and asset and stock-based transactions. Additionally, if at least 35% of the Revolving Credit Facility is drawn on the last day of the quarter, the total net leverage ratio cannot be greater than 5.50 to 1.00. At December 31, 2024, we had $0.2 million of standby letters of credit outstanding under our Revolving Credit Facility related to one of our operating leases. At December 31, 2024, we were in compliance with the covenants under the Credit Agreement.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Commitments and Contingencies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Commitments</w:t>
      </w:r>
    </w:p>
    <w:p>
      <w:pPr>
        <w:spacing w:after="0" w:line="217"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In December 2023, we entered into a contract with Microsoft for cloud services from February 2024 through January 2027. Under the terms of the contract we committed to spend €28.5 million. If we do not meet our commitment by the end of the term, we will be required to pay the difference. As of December 31, 2024, we have spent €6.9 million of our commitment.</w:t>
      </w:r>
    </w:p>
    <w:p>
      <w:pPr>
        <w:spacing w:after="0" w:line="175" w:lineRule="exact"/>
        <w:rPr>
          <w:sz w:val="20"/>
          <w:szCs w:val="20"/>
          <w:color w:val="auto"/>
        </w:rPr>
      </w:pPr>
    </w:p>
    <w:p>
      <w:pPr>
        <w:jc w:val="both"/>
        <w:ind w:right="160" w:firstLine="318"/>
        <w:spacing w:after="0" w:line="260" w:lineRule="auto"/>
        <w:rPr>
          <w:sz w:val="20"/>
          <w:szCs w:val="20"/>
          <w:color w:val="auto"/>
        </w:rPr>
      </w:pPr>
      <w:r>
        <w:rPr>
          <w:rFonts w:ascii="Arial" w:cs="Arial" w:eastAsia="Arial" w:hAnsi="Arial"/>
          <w:sz w:val="18"/>
          <w:szCs w:val="18"/>
          <w:color w:val="auto"/>
        </w:rPr>
        <w:t>In July 2024, we entered into a new contract with AWS for cloud services, in which we committed to spend $59.7 million, $77.6 million and $93.0 million in contract years one, two and three, respectively, for a total commitment of $230.3 million from August 2024 to July 2027. As of December 31, 2024, we have spent $28.1 million of our first year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17" w:lineRule="exact"/>
        <w:rPr>
          <w:sz w:val="20"/>
          <w:szCs w:val="20"/>
          <w:color w:val="auto"/>
        </w:rPr>
      </w:pPr>
    </w:p>
    <w:p>
      <w:pPr>
        <w:ind w:right="200" w:firstLine="318"/>
        <w:spacing w:after="0" w:line="274" w:lineRule="auto"/>
        <w:rPr>
          <w:sz w:val="20"/>
          <w:szCs w:val="20"/>
          <w:color w:val="auto"/>
        </w:rPr>
      </w:pPr>
      <w:r>
        <w:rPr>
          <w:rFonts w:ascii="Arial" w:cs="Arial" w:eastAsia="Arial" w:hAnsi="Arial"/>
          <w:sz w:val="18"/>
          <w:szCs w:val="18"/>
          <w:color w:val="auto"/>
        </w:rPr>
        <w:t>At December 31, 2024, we had $5.7 million of standby letters of credit related to our grant agreements with the State of Maryland and our operating leases. Collateral for $5.5 million of our letters of credit was classified as restricted cash in cash and cash equivalents.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 Stock-Based Compensation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49,383</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31,499</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31,382</w:t>
            </w:r>
          </w:p>
        </w:tc>
      </w:tr>
      <w:tr>
        <w:trPr>
          <w:trHeight w:val="24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unrecognized stock-based compensation expense related to unvested awards at December 31, 2024 is presented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Unrecognized Stock-Based</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8"/>
              </w:rPr>
              <w:t>Estimated Weighted</w:t>
            </w:r>
          </w:p>
        </w:tc>
      </w:tr>
      <w:tr>
        <w:trPr>
          <w:trHeight w:val="159"/>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9"/>
              </w:rPr>
              <w:t>Compensation Expense</w:t>
            </w:r>
          </w:p>
        </w:tc>
        <w:tc>
          <w:tcPr>
            <w:tcW w:w="21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Average Period</w:t>
            </w:r>
          </w:p>
        </w:tc>
      </w:tr>
      <w:tr>
        <w:trPr>
          <w:trHeight w:val="212"/>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 thousands)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8"/>
              </w:rPr>
              <w:t>(in years)</w:t>
            </w:r>
          </w:p>
        </w:tc>
      </w:tr>
      <w:tr>
        <w:trPr>
          <w:trHeight w:val="218"/>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("RSUs")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273,367</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Performance stock units ("PSUs")</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2"/>
        </w:trPr>
        <w:tc>
          <w:tcPr>
            <w:tcW w:w="6920" w:type="dxa"/>
            <w:vAlign w:val="bottom"/>
          </w:tcPr>
          <w:p>
            <w:pPr>
              <w:ind w:left="20"/>
              <w:spacing w:after="0"/>
              <w:rPr>
                <w:sz w:val="20"/>
                <w:szCs w:val="20"/>
                <w:color w:val="auto"/>
              </w:rPr>
            </w:pPr>
            <w:r>
              <w:rPr>
                <w:rFonts w:ascii="Arial" w:cs="Arial" w:eastAsia="Arial" w:hAnsi="Arial"/>
                <w:sz w:val="18"/>
                <w:szCs w:val="18"/>
                <w:color w:val="auto"/>
              </w:rPr>
              <w:t>2018 Employee Stock Purchase Plan ("2018 ESPP")</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Restricted Stock, RSUs and PSUs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our restricted stock, RSU and PSU activity is presented below:</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660" w:type="dxa"/>
            <w:vAlign w:val="bottom"/>
            <w:gridSpan w:val="5"/>
          </w:tcPr>
          <w:p>
            <w:pPr>
              <w:ind w:left="620"/>
              <w:spacing w:after="0"/>
              <w:rPr>
                <w:sz w:val="20"/>
                <w:szCs w:val="20"/>
                <w:color w:val="auto"/>
              </w:rPr>
            </w:pPr>
            <w:r>
              <w:rPr>
                <w:rFonts w:ascii="Arial" w:cs="Arial" w:eastAsia="Arial" w:hAnsi="Arial"/>
                <w:sz w:val="16"/>
                <w:szCs w:val="16"/>
                <w:b w:val="1"/>
                <w:bCs w:val="1"/>
                <w:color w:val="auto"/>
              </w:rPr>
              <w:t>Restricted Stock</w:t>
            </w: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RSUs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PSUs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13"/>
              <w:spacing w:after="0" w:line="152" w:lineRule="exact"/>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33"/>
              <w:spacing w:after="0" w:line="152" w:lineRule="exact"/>
              <w:rPr>
                <w:sz w:val="20"/>
                <w:szCs w:val="20"/>
                <w:color w:val="auto"/>
              </w:rPr>
            </w:pPr>
            <w:r>
              <w:rPr>
                <w:rFonts w:ascii="Arial" w:cs="Arial" w:eastAsia="Arial" w:hAnsi="Arial"/>
                <w:sz w:val="16"/>
                <w:szCs w:val="16"/>
                <w:b w:val="1"/>
                <w:bCs w:val="1"/>
                <w:color w:val="auto"/>
                <w:w w:val="97"/>
              </w:rPr>
              <w:t>Weighted</w:t>
            </w: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13"/>
              <w:spacing w:after="0" w:line="152"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1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w w:val="98"/>
              </w:rPr>
              <w:t>Average</w:t>
            </w:r>
          </w:p>
        </w:tc>
        <w:tc>
          <w:tcPr>
            <w:tcW w:w="11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8"/>
              </w:rPr>
              <w:t>Average</w:t>
            </w:r>
          </w:p>
        </w:tc>
        <w:tc>
          <w:tcPr>
            <w:tcW w:w="120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3"/>
              <w:spacing w:after="0" w:line="159"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59"/>
        </w:trPr>
        <w:tc>
          <w:tcPr>
            <w:tcW w:w="32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for per share data)</w:t>
            </w:r>
          </w:p>
        </w:tc>
        <w:tc>
          <w:tcPr>
            <w:tcW w:w="1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160"/>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2"/>
        </w:trPr>
        <w:tc>
          <w:tcPr>
            <w:tcW w:w="3260" w:type="dxa"/>
            <w:vAlign w:val="bottom"/>
            <w:vMerge w:val="continue"/>
          </w:tcPr>
          <w:p>
            <w:pPr>
              <w:spacing w:after="0"/>
              <w:rPr>
                <w:sz w:val="18"/>
                <w:szCs w:val="18"/>
                <w:color w:val="auto"/>
              </w:rPr>
            </w:pPr>
          </w:p>
        </w:tc>
        <w:tc>
          <w:tcPr>
            <w:tcW w:w="1180" w:type="dxa"/>
            <w:vAlign w:val="bottom"/>
          </w:tcPr>
          <w:p>
            <w:pPr>
              <w:jc w:val="right"/>
              <w:ind w:right="133"/>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1180" w:type="dxa"/>
            <w:vAlign w:val="bottom"/>
          </w:tcPr>
          <w:p>
            <w:pPr>
              <w:jc w:val="right"/>
              <w:ind w:right="153"/>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8"/>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Unvested balance at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ind w:left="60"/>
              <w:spacing w:after="0" w:line="152" w:lineRule="exact"/>
              <w:rPr>
                <w:sz w:val="20"/>
                <w:szCs w:val="20"/>
                <w:color w:val="auto"/>
              </w:rPr>
            </w:pPr>
            <w:r>
              <w:rPr>
                <w:rFonts w:ascii="Arial" w:cs="Arial" w:eastAsia="Arial" w:hAnsi="Arial"/>
                <w:sz w:val="17"/>
                <w:szCs w:val="17"/>
                <w:color w:val="auto"/>
              </w:rPr>
              <w:t>Unvested balance at December 31,</w:t>
            </w: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line="225"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2"/>
                <w:szCs w:val="22"/>
                <w:color w:val="auto"/>
                <w:vertAlign w:val="superscript"/>
              </w:rPr>
              <w:t>(1)</w:t>
            </w:r>
          </w:p>
        </w:tc>
        <w:tc>
          <w:tcPr>
            <w:tcW w:w="118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tcPr>
          <w:p>
            <w:pPr>
              <w:jc w:val="center"/>
              <w:ind w:left="75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152"/>
        </w:trPr>
        <w:tc>
          <w:tcPr>
            <w:tcW w:w="3260" w:type="dxa"/>
            <w:vAlign w:val="bottom"/>
          </w:tcPr>
          <w:p>
            <w:pPr>
              <w:ind w:left="60"/>
              <w:spacing w:after="0" w:line="152" w:lineRule="exact"/>
              <w:rPr>
                <w:sz w:val="20"/>
                <w:szCs w:val="20"/>
                <w:color w:val="auto"/>
              </w:rPr>
            </w:pPr>
            <w:r>
              <w:rPr>
                <w:rFonts w:ascii="Arial" w:cs="Arial" w:eastAsia="Arial" w:hAnsi="Arial"/>
                <w:sz w:val="17"/>
                <w:szCs w:val="17"/>
                <w:color w:val="auto"/>
              </w:rPr>
              <w:t>Unvested balance at December 31,</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60"/>
              <w:spacing w:after="0"/>
              <w:rPr>
                <w:sz w:val="20"/>
                <w:szCs w:val="20"/>
                <w:color w:val="auto"/>
              </w:rPr>
            </w:pPr>
            <w:r>
              <w:rPr>
                <w:rFonts w:ascii="Arial" w:cs="Arial" w:eastAsia="Arial" w:hAnsi="Arial"/>
                <w:sz w:val="18"/>
                <w:szCs w:val="18"/>
                <w:color w:val="auto"/>
              </w:rPr>
              <w:t>2023</w:t>
            </w:r>
          </w:p>
        </w:tc>
        <w:tc>
          <w:tcPr>
            <w:tcW w:w="1180" w:type="dxa"/>
            <w:vAlign w:val="bottom"/>
          </w:tcPr>
          <w:p>
            <w:pPr>
              <w:jc w:val="center"/>
              <w:ind w:left="773"/>
              <w:spacing w:after="0"/>
              <w:rPr>
                <w:sz w:val="20"/>
                <w:szCs w:val="20"/>
                <w:color w:val="auto"/>
              </w:rPr>
            </w:pPr>
            <w:r>
              <w:rPr>
                <w:rFonts w:ascii="Arial" w:cs="Arial" w:eastAsia="Arial" w:hAnsi="Arial"/>
                <w:sz w:val="18"/>
                <w:szCs w:val="18"/>
                <w:color w:val="auto"/>
                <w:w w:val="93"/>
              </w:rPr>
              <w:t>311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line="225"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2"/>
                <w:szCs w:val="22"/>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ind w:left="60"/>
              <w:spacing w:after="0" w:line="152" w:lineRule="exact"/>
              <w:rPr>
                <w:sz w:val="20"/>
                <w:szCs w:val="20"/>
                <w:color w:val="auto"/>
              </w:rPr>
            </w:pPr>
            <w:r>
              <w:rPr>
                <w:rFonts w:ascii="Arial" w:cs="Arial" w:eastAsia="Arial" w:hAnsi="Arial"/>
                <w:sz w:val="17"/>
                <w:szCs w:val="17"/>
                <w:color w:val="auto"/>
              </w:rPr>
              <w:t>Unvested balance at December 31,</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2024</w:t>
            </w: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5" w:lineRule="exact"/>
        <w:rPr>
          <w:sz w:val="20"/>
          <w:szCs w:val="20"/>
          <w:color w:val="auto"/>
        </w:rPr>
      </w:pPr>
    </w:p>
    <w:p>
      <w:pPr>
        <w:ind w:left="820" w:hanging="41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adjustments due to the achievement of predefined financial performance targets.</w:t>
      </w:r>
    </w:p>
    <w:p>
      <w:pPr>
        <w:spacing w:after="0" w:line="217" w:lineRule="exact"/>
        <w:rPr>
          <w:sz w:val="20"/>
          <w:szCs w:val="20"/>
          <w:color w:val="auto"/>
        </w:rPr>
      </w:pPr>
    </w:p>
    <w:p>
      <w:pPr>
        <w:ind w:left="80" w:right="520" w:firstLine="318"/>
        <w:spacing w:after="0" w:line="274" w:lineRule="auto"/>
        <w:rPr>
          <w:sz w:val="20"/>
          <w:szCs w:val="20"/>
          <w:color w:val="auto"/>
        </w:rPr>
      </w:pPr>
      <w:r>
        <w:rPr>
          <w:rFonts w:ascii="Arial" w:cs="Arial" w:eastAsia="Arial" w:hAnsi="Arial"/>
          <w:sz w:val="18"/>
          <w:szCs w:val="18"/>
          <w:color w:val="auto"/>
        </w:rPr>
        <w:t>In January 2024, under the evergreen provision in our 2018 Equity Incentive Plan we reserved an additional 5.9 million shares of our common stock. At December 31, 2024, there were 26.1 million shares available for grant under the plan.</w:t>
      </w:r>
    </w:p>
    <w:p>
      <w:pPr>
        <w:spacing w:after="0" w:line="163" w:lineRule="exact"/>
        <w:rPr>
          <w:sz w:val="20"/>
          <w:szCs w:val="20"/>
          <w:color w:val="auto"/>
        </w:rPr>
      </w:pPr>
    </w:p>
    <w:p>
      <w:pPr>
        <w:ind w:left="80" w:firstLine="318"/>
        <w:spacing w:after="0" w:line="260" w:lineRule="auto"/>
        <w:rPr>
          <w:sz w:val="20"/>
          <w:szCs w:val="20"/>
          <w:color w:val="auto"/>
        </w:rPr>
      </w:pPr>
      <w:r>
        <w:rPr>
          <w:rFonts w:ascii="Arial" w:cs="Arial" w:eastAsia="Arial" w:hAnsi="Arial"/>
          <w:sz w:val="18"/>
          <w:szCs w:val="18"/>
          <w:color w:val="auto"/>
        </w:rPr>
        <w:t>In 2023, as part of the acquisition of Ermetic, we issued replacement equity awards, of which $ 0.5 million was attributable to services performed prior to the acquisition date and allocated to purchase consideration. The remaining fair value was allocated to future services and is being expensed over the remaining service periods as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203200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Weighted</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Weighted-Average</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exercise prices and</w:t>
            </w:r>
          </w:p>
        </w:tc>
        <w:tc>
          <w:tcPr>
            <w:tcW w:w="1740" w:type="dxa"/>
            <w:vAlign w:val="bottom"/>
            <w:vMerge w:val="restart"/>
          </w:tcPr>
          <w:p>
            <w:pPr>
              <w:jc w:val="right"/>
              <w:ind w:right="473"/>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8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3"/>
                <w:szCs w:val="13"/>
                <w:color w:val="auto"/>
              </w:rPr>
            </w:pPr>
          </w:p>
        </w:tc>
        <w:tc>
          <w:tcPr>
            <w:tcW w:w="162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w w:val="98"/>
              </w:rPr>
              <w:t>Aggregate Intrinsic</w:t>
            </w:r>
          </w:p>
        </w:tc>
        <w:tc>
          <w:tcPr>
            <w:tcW w:w="0" w:type="dxa"/>
            <w:vAlign w:val="bottom"/>
          </w:tcPr>
          <w:p>
            <w:pPr>
              <w:spacing w:after="0"/>
              <w:rPr>
                <w:sz w:val="1"/>
                <w:szCs w:val="1"/>
                <w:color w:val="auto"/>
              </w:rPr>
            </w:pPr>
          </w:p>
        </w:tc>
      </w:tr>
      <w:tr>
        <w:trPr>
          <w:trHeight w:val="159"/>
        </w:trPr>
        <w:tc>
          <w:tcPr>
            <w:tcW w:w="384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98"/>
              </w:rPr>
              <w:t>Average</w:t>
            </w:r>
          </w:p>
        </w:tc>
        <w:tc>
          <w:tcPr>
            <w:tcW w:w="18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Contractual Term</w:t>
            </w:r>
          </w:p>
        </w:tc>
        <w:tc>
          <w:tcPr>
            <w:tcW w:w="14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years)</w:t>
            </w:r>
          </w:p>
        </w:tc>
        <w:tc>
          <w:tcPr>
            <w:tcW w:w="1740" w:type="dxa"/>
            <w:vAlign w:val="bottom"/>
          </w:tcPr>
          <w:p>
            <w:pPr>
              <w:jc w:val="right"/>
              <w:ind w:right="413"/>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Exercise Price</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(in years)</w:t>
            </w:r>
          </w:p>
        </w:tc>
        <w:tc>
          <w:tcPr>
            <w:tcW w:w="140" w:type="dxa"/>
            <w:vAlign w:val="bottom"/>
          </w:tcPr>
          <w:p>
            <w:pPr>
              <w:spacing w:after="0"/>
              <w:rPr>
                <w:sz w:val="18"/>
                <w:szCs w:val="18"/>
                <w:color w:val="auto"/>
              </w:rPr>
            </w:pPr>
          </w:p>
        </w:tc>
        <w:tc>
          <w:tcPr>
            <w:tcW w:w="1620" w:type="dxa"/>
            <w:vAlign w:val="bottom"/>
          </w:tcPr>
          <w:p>
            <w:pPr>
              <w:jc w:val="right"/>
              <w:ind w:right="59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9"/>
        </w:trPr>
        <w:tc>
          <w:tcPr>
            <w:tcW w:w="3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2021</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308,677</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47,880</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180"/>
              <w:spacing w:after="0"/>
              <w:rPr>
                <w:sz w:val="20"/>
                <w:szCs w:val="20"/>
                <w:color w:val="auto"/>
              </w:rPr>
            </w:pPr>
            <w:r>
              <w:rPr>
                <w:rFonts w:ascii="Arial" w:cs="Arial" w:eastAsia="Arial" w:hAnsi="Arial"/>
                <w:sz w:val="18"/>
                <w:szCs w:val="18"/>
                <w:color w:val="auto"/>
              </w:rPr>
              <w:t>Outstanding at December 31, 2022</w:t>
            </w:r>
          </w:p>
        </w:tc>
        <w:tc>
          <w:tcPr>
            <w:tcW w:w="1740" w:type="dxa"/>
            <w:vAlign w:val="bottom"/>
          </w:tcPr>
          <w:p>
            <w:pPr>
              <w:jc w:val="right"/>
              <w:spacing w:after="0"/>
              <w:rPr>
                <w:sz w:val="20"/>
                <w:szCs w:val="20"/>
                <w:color w:val="auto"/>
              </w:rPr>
            </w:pPr>
            <w:r>
              <w:rPr>
                <w:rFonts w:ascii="Arial" w:cs="Arial" w:eastAsia="Arial" w:hAnsi="Arial"/>
                <w:sz w:val="18"/>
                <w:szCs w:val="18"/>
                <w:color w:val="auto"/>
              </w:rPr>
              <w:t>5,485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160,135</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10.97</w:t>
            </w:r>
          </w:p>
        </w:tc>
        <w:tc>
          <w:tcPr>
            <w:tcW w:w="1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189,108</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(1,044)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38,831</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840" w:type="dxa"/>
            <w:vAlign w:val="bottom"/>
          </w:tcPr>
          <w:p>
            <w:pPr>
              <w:ind w:left="180"/>
              <w:spacing w:after="0" w:line="152" w:lineRule="exact"/>
              <w:rPr>
                <w:sz w:val="20"/>
                <w:szCs w:val="20"/>
                <w:color w:val="auto"/>
              </w:rPr>
            </w:pPr>
            <w:r>
              <w:rPr>
                <w:rFonts w:ascii="Arial" w:cs="Arial" w:eastAsia="Arial" w:hAnsi="Arial"/>
                <w:sz w:val="17"/>
                <w:szCs w:val="17"/>
                <w:color w:val="auto"/>
              </w:rPr>
              <w:t>Outstanding and exercisable at December 31,</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4,051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180"/>
              <w:spacing w:after="0"/>
              <w:rPr>
                <w:sz w:val="20"/>
                <w:szCs w:val="20"/>
                <w:color w:val="auto"/>
              </w:rPr>
            </w:pPr>
            <w:r>
              <w:rPr>
                <w:rFonts w:ascii="Arial" w:cs="Arial" w:eastAsia="Arial" w:hAnsi="Arial"/>
                <w:sz w:val="18"/>
                <w:szCs w:val="18"/>
                <w:color w:val="auto"/>
              </w:rPr>
              <w:t>2024</w:t>
            </w:r>
          </w:p>
        </w:tc>
        <w:tc>
          <w:tcPr>
            <w:tcW w:w="17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122,024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right="700" w:firstLine="318"/>
        <w:spacing w:after="0" w:line="304" w:lineRule="auto"/>
        <w:rPr>
          <w:sz w:val="20"/>
          <w:szCs w:val="20"/>
          <w:color w:val="auto"/>
        </w:rPr>
      </w:pPr>
      <w:r>
        <w:rPr>
          <w:rFonts w:ascii="Arial" w:cs="Arial" w:eastAsia="Arial" w:hAnsi="Arial"/>
          <w:sz w:val="17"/>
          <w:szCs w:val="17"/>
          <w:color w:val="auto"/>
        </w:rPr>
        <w:t>Stock options were last granted in 2018. Stock options granted under our stock incentive plans have a maximum term of ten years, generally vest over a period of three to four years, and the exercise price cannot be less than the fair market value on the date of grant.</w:t>
      </w:r>
    </w:p>
    <w:p>
      <w:pPr>
        <w:spacing w:after="0" w:line="141"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Estimating the fair value of ESPP purchase rights using the Black-Scholes option-pricing model requires assumptions as to the fair value of common stock, expected term, expected volatility, the risk-free interest rate and the expected dividend yield.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We use the market price of our common stock at the date of grant.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use the actual purchase periods as the expected term in the 2018 ESPP.</w:t>
      </w:r>
    </w:p>
    <w:p>
      <w:pPr>
        <w:spacing w:after="0" w:line="217"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Volatility is a measure of the amount by which a financial variable, such as a share price, has fluctuated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or is expected to fluctuate (expected volatility) during a period. In 2021, we began using the volatility of our common stock to calculate expected volatility. Prior to 2021, we identified several public entities of similar size, complexity, and stage of development and estimated our volatility based on the volatility of the common stock of these companies.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dividends and have no plans to do so in the foreseeable future.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17" w:lineRule="exact"/>
        <w:rPr>
          <w:sz w:val="20"/>
          <w:szCs w:val="20"/>
          <w:color w:val="auto"/>
        </w:rPr>
      </w:pPr>
    </w:p>
    <w:p>
      <w:pPr>
        <w:jc w:val="both"/>
        <w:ind w:right="60" w:firstLine="318"/>
        <w:spacing w:after="0" w:line="266" w:lineRule="auto"/>
        <w:rPr>
          <w:sz w:val="20"/>
          <w:szCs w:val="20"/>
          <w:color w:val="auto"/>
        </w:rPr>
      </w:pPr>
      <w:r>
        <w:rPr>
          <w:rFonts w:ascii="Arial" w:cs="Arial" w:eastAsia="Arial" w:hAnsi="Arial"/>
          <w:sz w:val="17"/>
          <w:szCs w:val="17"/>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w:t>
      </w:r>
    </w:p>
    <w:p>
      <w:pPr>
        <w:spacing w:after="0" w:line="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24-month duration and purchase periods every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ESPP activity is presented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940" w:type="dxa"/>
            <w:vAlign w:val="bottom"/>
            <w:tcBorders>
              <w:bottom w:val="single" w:sz="8" w:color="auto"/>
            </w:tcBorders>
          </w:tcPr>
          <w:p>
            <w:pPr>
              <w:spacing w:after="0"/>
              <w:rPr>
                <w:sz w:val="18"/>
                <w:szCs w:val="18"/>
                <w:color w:val="auto"/>
              </w:rPr>
            </w:pPr>
          </w:p>
        </w:tc>
      </w:tr>
      <w:tr>
        <w:trPr>
          <w:trHeight w:val="205"/>
        </w:trPr>
        <w:tc>
          <w:tcPr>
            <w:tcW w:w="52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5"/>
              </w:rPr>
              <w:t>2024</w:t>
            </w:r>
          </w:p>
        </w:tc>
        <w:tc>
          <w:tcPr>
            <w:tcW w:w="2040" w:type="dxa"/>
            <w:vAlign w:val="bottom"/>
            <w:gridSpan w:val="2"/>
          </w:tcPr>
          <w:p>
            <w:pPr>
              <w:jc w:val="center"/>
              <w:ind w:left="16"/>
              <w:spacing w:after="0"/>
              <w:rPr>
                <w:sz w:val="20"/>
                <w:szCs w:val="20"/>
                <w:color w:val="auto"/>
              </w:rPr>
            </w:pPr>
            <w:r>
              <w:rPr>
                <w:rFonts w:ascii="Arial" w:cs="Arial" w:eastAsia="Arial" w:hAnsi="Arial"/>
                <w:sz w:val="16"/>
                <w:szCs w:val="16"/>
                <w:b w:val="1"/>
                <w:bCs w:val="1"/>
                <w:color w:val="auto"/>
                <w:w w:val="95"/>
              </w:rPr>
              <w:t>2023</w:t>
            </w:r>
          </w:p>
        </w:tc>
        <w:tc>
          <w:tcPr>
            <w:tcW w:w="8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2022</w:t>
            </w:r>
          </w:p>
        </w:tc>
      </w:tr>
      <w:tr>
        <w:trPr>
          <w:trHeight w:val="219"/>
        </w:trPr>
        <w:tc>
          <w:tcPr>
            <w:tcW w:w="5240" w:type="dxa"/>
            <w:vAlign w:val="bottom"/>
          </w:tcPr>
          <w:p>
            <w:pPr>
              <w:ind w:left="20"/>
              <w:spacing w:after="0"/>
              <w:rPr>
                <w:sz w:val="20"/>
                <w:szCs w:val="20"/>
                <w:color w:val="auto"/>
              </w:rPr>
            </w:pPr>
            <w:r>
              <w:rPr>
                <w:rFonts w:ascii="Arial" w:cs="Arial" w:eastAsia="Arial" w:hAnsi="Arial"/>
                <w:sz w:val="18"/>
                <w:szCs w:val="18"/>
                <w:color w:val="auto"/>
              </w:rPr>
              <w:t>Shares of common stock purchased</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498,890</w:t>
            </w:r>
          </w:p>
        </w:tc>
        <w:tc>
          <w:tcPr>
            <w:tcW w:w="10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506,390</w:t>
            </w:r>
          </w:p>
        </w:tc>
        <w:tc>
          <w:tcPr>
            <w:tcW w:w="8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442,629</w:t>
            </w: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$32.60</w:t>
            </w:r>
          </w:p>
        </w:tc>
        <w:tc>
          <w:tcPr>
            <w:tcW w:w="204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8"/>
              </w:rPr>
              <w:t>$32.04</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$33.42</w:t>
            </w:r>
          </w:p>
        </w:tc>
      </w:tr>
      <w:tr>
        <w:trPr>
          <w:trHeight w:val="232"/>
        </w:trPr>
        <w:tc>
          <w:tcPr>
            <w:tcW w:w="5240" w:type="dxa"/>
            <w:vAlign w:val="bottom"/>
          </w:tcPr>
          <w:p>
            <w:pPr>
              <w:ind w:left="20"/>
              <w:spacing w:after="0"/>
              <w:rPr>
                <w:sz w:val="20"/>
                <w:szCs w:val="20"/>
                <w:color w:val="auto"/>
              </w:rPr>
            </w:pPr>
            <w:r>
              <w:rPr>
                <w:rFonts w:ascii="Arial" w:cs="Arial" w:eastAsia="Arial" w:hAnsi="Arial"/>
                <w:sz w:val="18"/>
                <w:szCs w:val="18"/>
                <w:color w:val="auto"/>
              </w:rPr>
              <w:t>Cash proceeds (in thousands)</w:t>
            </w: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$16,262</w:t>
            </w: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98"/>
              </w:rPr>
              <w:t>$16,224</w:t>
            </w:r>
          </w:p>
        </w:tc>
        <w:tc>
          <w:tcPr>
            <w:tcW w:w="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$14,791</w:t>
            </w:r>
          </w:p>
        </w:tc>
      </w:tr>
    </w:tbl>
    <w:p>
      <w:pPr>
        <w:spacing w:after="0" w:line="281" w:lineRule="exact"/>
        <w:rPr>
          <w:sz w:val="20"/>
          <w:szCs w:val="20"/>
          <w:color w:val="auto"/>
        </w:rPr>
      </w:pPr>
    </w:p>
    <w:p>
      <w:pPr>
        <w:ind w:right="680" w:firstLine="318"/>
        <w:spacing w:after="0" w:line="274" w:lineRule="auto"/>
        <w:rPr>
          <w:sz w:val="20"/>
          <w:szCs w:val="20"/>
          <w:color w:val="auto"/>
        </w:rPr>
      </w:pPr>
      <w:r>
        <w:rPr>
          <w:rFonts w:ascii="Arial" w:cs="Arial" w:eastAsia="Arial" w:hAnsi="Arial"/>
          <w:sz w:val="18"/>
          <w:szCs w:val="18"/>
          <w:color w:val="auto"/>
        </w:rPr>
        <w:t>At December 31, 2024 and 2023 there were $6.9 million and $7.9 million, respectively, of employee contributions to the 2018 ESPP included in accrued compensation.</w:t>
      </w:r>
    </w:p>
    <w:p>
      <w:pPr>
        <w:spacing w:after="0" w:line="163" w:lineRule="exact"/>
        <w:rPr>
          <w:sz w:val="20"/>
          <w:szCs w:val="20"/>
          <w:color w:val="auto"/>
        </w:rPr>
      </w:pPr>
    </w:p>
    <w:p>
      <w:pPr>
        <w:ind w:right="200" w:firstLine="318"/>
        <w:spacing w:after="0" w:line="274"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Year Ended December 31,</w:t>
            </w: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5"/>
        </w:trPr>
        <w:tc>
          <w:tcPr>
            <w:tcW w:w="5240" w:type="dxa"/>
            <w:vAlign w:val="bottom"/>
          </w:tcPr>
          <w:p>
            <w:pPr>
              <w:spacing w:after="0"/>
              <w:rPr>
                <w:sz w:val="17"/>
                <w:szCs w:val="17"/>
                <w:color w:val="auto"/>
              </w:rPr>
            </w:pPr>
          </w:p>
        </w:tc>
        <w:tc>
          <w:tcPr>
            <w:tcW w:w="1940" w:type="dxa"/>
            <w:vAlign w:val="bottom"/>
            <w:gridSpan w:val="2"/>
          </w:tcPr>
          <w:p>
            <w:pPr>
              <w:jc w:val="right"/>
              <w:ind w:right="712"/>
              <w:spacing w:after="0"/>
              <w:rPr>
                <w:sz w:val="20"/>
                <w:szCs w:val="20"/>
                <w:color w:val="auto"/>
              </w:rPr>
            </w:pPr>
            <w:r>
              <w:rPr>
                <w:rFonts w:ascii="Arial" w:cs="Arial" w:eastAsia="Arial" w:hAnsi="Arial"/>
                <w:sz w:val="16"/>
                <w:szCs w:val="16"/>
                <w:b w:val="1"/>
                <w:bCs w:val="1"/>
                <w:color w:val="auto"/>
              </w:rPr>
              <w:t>2024</w:t>
            </w:r>
          </w:p>
        </w:tc>
        <w:tc>
          <w:tcPr>
            <w:tcW w:w="204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1940" w:type="dxa"/>
            <w:vAlign w:val="bottom"/>
            <w:gridSpan w:val="2"/>
          </w:tcPr>
          <w:p>
            <w:pPr>
              <w:jc w:val="right"/>
              <w:ind w:right="692"/>
              <w:spacing w:after="0"/>
              <w:rPr>
                <w:sz w:val="20"/>
                <w:szCs w:val="20"/>
                <w:color w:val="auto"/>
              </w:rPr>
            </w:pPr>
            <w:r>
              <w:rPr>
                <w:rFonts w:ascii="Arial" w:cs="Arial" w:eastAsia="Arial" w:hAnsi="Arial"/>
                <w:sz w:val="16"/>
                <w:szCs w:val="16"/>
                <w:b w:val="1"/>
                <w:bCs w:val="1"/>
                <w:color w:val="auto"/>
              </w:rPr>
              <w:t>2022</w:t>
            </w:r>
          </w:p>
        </w:tc>
      </w:tr>
      <w:tr>
        <w:trPr>
          <w:trHeight w:val="218"/>
        </w:trPr>
        <w:tc>
          <w:tcPr>
            <w:tcW w:w="52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2.0</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2.0</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2.0</w:t>
            </w: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58.1%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61.0%</w:t>
            </w: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80" w:type="dxa"/>
            <w:vAlign w:val="bottom"/>
          </w:tcPr>
          <w:p>
            <w:pPr>
              <w:ind w:left="20"/>
              <w:spacing w:after="0"/>
              <w:rPr>
                <w:sz w:val="20"/>
                <w:szCs w:val="20"/>
                <w:color w:val="auto"/>
              </w:rPr>
            </w:pPr>
            <w:r>
              <w:rPr>
                <w:rFonts w:ascii="Arial" w:cs="Arial" w:eastAsia="Arial" w:hAnsi="Arial"/>
                <w:sz w:val="18"/>
                <w:szCs w:val="18"/>
                <w:color w:val="auto"/>
              </w:rPr>
              <w:t>— 5.1%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5.4%</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ind w:left="20"/>
              <w:spacing w:after="0"/>
              <w:rPr>
                <w:sz w:val="20"/>
                <w:szCs w:val="20"/>
                <w:color w:val="auto"/>
              </w:rPr>
            </w:pPr>
            <w:r>
              <w:rPr>
                <w:rFonts w:ascii="Arial" w:cs="Arial" w:eastAsia="Arial" w:hAnsi="Arial"/>
                <w:sz w:val="18"/>
                <w:szCs w:val="18"/>
                <w:color w:val="auto"/>
              </w:rPr>
              <w:t>— 3.4%</w:t>
            </w: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88" w:lineRule="exact"/>
        <w:rPr>
          <w:sz w:val="20"/>
          <w:szCs w:val="20"/>
          <w:color w:val="auto"/>
        </w:rPr>
      </w:pPr>
    </w:p>
    <w:p>
      <w:pPr>
        <w:jc w:val="both"/>
        <w:ind w:right="320" w:firstLine="318"/>
        <w:spacing w:after="0" w:line="274" w:lineRule="auto"/>
        <w:rPr>
          <w:sz w:val="20"/>
          <w:szCs w:val="20"/>
          <w:color w:val="auto"/>
        </w:rPr>
      </w:pPr>
      <w:r>
        <w:rPr>
          <w:rFonts w:ascii="Arial" w:cs="Arial" w:eastAsia="Arial" w:hAnsi="Arial"/>
          <w:sz w:val="18"/>
          <w:szCs w:val="18"/>
          <w:color w:val="auto"/>
        </w:rPr>
        <w:t>Under the evergreen provision in our 2018 ESPP, in January 2024 we reserved an additional 1.8 million shares of our common stock. At December 31, 2024, there were 10.0 million shares reserved for issuance under the 2018 ESPP.</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11. Income Taxes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 and foreign components of the loss before income taxes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4"/>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income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(23,768)</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(61,521)</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loss before income taxes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(85,289)</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The components of the provision for income taxes were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34"/>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5"/>
        </w:trPr>
        <w:tc>
          <w:tcPr>
            <w:tcW w:w="6900" w:type="dxa"/>
            <w:vAlign w:val="bottom"/>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 (benefit)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In connection with the 2022 acquisition of Bit Discovery, Inc., we elected to first offset our existing deferred tax assets with acquired deferred tax liabilities. This resulted in releasing $2.5 million of the federal and state valuation allowance, which was recorded as a component of our deferred tax benefit.</w:t>
      </w:r>
    </w:p>
    <w:p>
      <w:pPr>
        <w:spacing w:after="0" w:line="175"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We restructured our operations in Israel through intercompany transactions, which resulted in $1.2 million and $2.7 million of current tax expense in 2024 and 2022, respectively.</w:t>
      </w:r>
    </w:p>
    <w:p>
      <w:pPr>
        <w:spacing w:after="0" w:line="163" w:lineRule="exact"/>
        <w:rPr>
          <w:sz w:val="20"/>
          <w:szCs w:val="20"/>
          <w:color w:val="auto"/>
        </w:rPr>
      </w:pPr>
    </w:p>
    <w:p>
      <w:pPr>
        <w:ind w:right="200" w:firstLine="318"/>
        <w:spacing w:after="0" w:line="274" w:lineRule="auto"/>
        <w:rPr>
          <w:sz w:val="20"/>
          <w:szCs w:val="20"/>
          <w:color w:val="auto"/>
        </w:rPr>
      </w:pPr>
      <w:r>
        <w:rPr>
          <w:rFonts w:ascii="Arial" w:cs="Arial" w:eastAsia="Arial" w:hAnsi="Arial"/>
          <w:sz w:val="18"/>
          <w:szCs w:val="18"/>
          <w:color w:val="auto"/>
        </w:rPr>
        <w:t>Beginning in 2024, we were an applicable taxpayer for the purposes of BEAT for the first time, which resulted in $3.3 million of current tax expense in 2024.</w:t>
      </w:r>
    </w:p>
    <w:p>
      <w:pPr>
        <w:spacing w:after="0" w:line="163" w:lineRule="exact"/>
        <w:rPr>
          <w:sz w:val="20"/>
          <w:szCs w:val="20"/>
          <w:color w:val="auto"/>
        </w:rPr>
      </w:pPr>
    </w:p>
    <w:p>
      <w:pPr>
        <w:ind w:right="420" w:firstLine="318"/>
        <w:spacing w:after="0" w:line="274"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our effective tax rate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350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05"/>
        </w:trPr>
        <w:tc>
          <w:tcPr>
            <w:tcW w:w="66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4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21.0 %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State and local taxes</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3.1</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7.0</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14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(28.3)</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intercompany sale, net of losses</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Foreign withholding tax</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(3.3)</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deferred FX remeasurement</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GILTI</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BEAT</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(0.6)</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25"/>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0.4</w:t>
            </w:r>
          </w:p>
        </w:tc>
      </w:tr>
      <w:tr>
        <w:trPr>
          <w:trHeight w:val="243"/>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Effective tax rate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We maintain a valuation allowance on certain U.S. federal, state and foreign deferred tax assets as the realization of our deferred tax assets is dependent upon future earnings, if any, the timing and amount of which are uncertain. In 2024, our valuation allowance increased by $16.0 million, primarily related to our 2024 loss before income taxes and U.S. R&amp;D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deferred tax assets and liabilities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5"/>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5"/>
              </w:rPr>
              <w:t>2023</w:t>
            </w:r>
          </w:p>
        </w:tc>
      </w:tr>
      <w:tr>
        <w:trPr>
          <w:trHeight w:val="19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153,781</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156,695</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22,194</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17,767</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24,174</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12,296</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r>
      <w:tr>
        <w:trPr>
          <w:trHeight w:val="21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263,896</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(203,773)</w:t>
            </w:r>
          </w:p>
        </w:tc>
      </w:tr>
      <w:tr>
        <w:trPr>
          <w:trHeight w:val="21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60,123</w:t>
            </w:r>
          </w:p>
        </w:tc>
      </w:tr>
      <w:tr>
        <w:trPr>
          <w:trHeight w:val="212"/>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(24,289)</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(11,923)</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(24,915)</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(61,727)</w:t>
            </w: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2024, we had net operating loss (“NOL”) carryforwards for federal, state and foreign tax purposes of $353.9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$239.3 million, and $468.6 million, respectively, which will begin to expire in 2030, as well as $32.1 million of federal, state and foreign research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tax credits, foreign tax credits, minimum tax credits and certain states’ job creation tax credits. The federal research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foreign tax credits will begin to expire in 2032 and the state job creation tax credits will begin to expire in 2025.</w:t>
      </w:r>
    </w:p>
    <w:p>
      <w:pPr>
        <w:spacing w:after="0" w:line="201" w:lineRule="exact"/>
        <w:rPr>
          <w:sz w:val="20"/>
          <w:szCs w:val="20"/>
          <w:color w:val="auto"/>
        </w:rPr>
      </w:pPr>
    </w:p>
    <w:p>
      <w:pPr>
        <w:ind w:right="60" w:firstLine="318"/>
        <w:spacing w:after="0" w:line="275" w:lineRule="auto"/>
        <w:rPr>
          <w:sz w:val="20"/>
          <w:szCs w:val="20"/>
          <w:color w:val="auto"/>
        </w:rPr>
      </w:pPr>
      <w:r>
        <w:rPr>
          <w:rFonts w:ascii="Arial" w:cs="Arial" w:eastAsia="Arial" w:hAnsi="Arial"/>
          <w:sz w:val="17"/>
          <w:szCs w:val="17"/>
          <w:color w:val="auto"/>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spacing w:after="0" w:line="164" w:lineRule="exact"/>
        <w:rPr>
          <w:sz w:val="20"/>
          <w:szCs w:val="20"/>
          <w:color w:val="auto"/>
        </w:rPr>
      </w:pPr>
    </w:p>
    <w:p>
      <w:pPr>
        <w:jc w:val="both"/>
        <w:ind w:right="20" w:firstLine="318"/>
        <w:spacing w:after="0" w:line="260" w:lineRule="auto"/>
        <w:rPr>
          <w:sz w:val="20"/>
          <w:szCs w:val="20"/>
          <w:color w:val="auto"/>
        </w:rPr>
      </w:pPr>
      <w:r>
        <w:rPr>
          <w:rFonts w:ascii="Arial" w:cs="Arial" w:eastAsia="Arial" w:hAnsi="Arial"/>
          <w:sz w:val="18"/>
          <w:szCs w:val="18"/>
          <w:color w:val="auto"/>
        </w:rPr>
        <w:t>At December 31, 2024 and 2023, the total amount of gross unrecognized tax benefits was $8.5 million and $8.3 million, respectively, which, if recognized, would impact our effective tax rate by approximately $0.2 million in each year. Interest and penalties associated with uncertain tax positions recognized as a component of income tax expense were immaterial in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gross unrecognized tax benefits, excluding accrued interest,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beginning of the period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Additions for tax positions in the current year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prior year positions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Decrease in prior year positions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900" w:type="dxa"/>
            <w:vAlign w:val="bottom"/>
          </w:tcPr>
          <w:p>
            <w:pPr>
              <w:ind w:left="120"/>
              <w:spacing w:after="0"/>
              <w:rPr>
                <w:sz w:val="20"/>
                <w:szCs w:val="20"/>
                <w:color w:val="auto"/>
              </w:rPr>
            </w:pPr>
            <w:r>
              <w:rPr>
                <w:rFonts w:ascii="Arial" w:cs="Arial" w:eastAsia="Arial" w:hAnsi="Arial"/>
                <w:sz w:val="18"/>
                <w:szCs w:val="18"/>
                <w:color w:val="auto"/>
              </w:rPr>
              <w:t>Unrecognized tax benefits at the end of the period</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7,820</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520" w:firstLine="318"/>
        <w:spacing w:after="0" w:line="255" w:lineRule="auto"/>
        <w:rPr>
          <w:sz w:val="20"/>
          <w:szCs w:val="20"/>
          <w:color w:val="auto"/>
        </w:rPr>
      </w:pPr>
      <w:r>
        <w:rPr>
          <w:rFonts w:ascii="Arial" w:cs="Arial" w:eastAsia="Arial" w:hAnsi="Arial"/>
          <w:sz w:val="18"/>
          <w:szCs w:val="18"/>
          <w:color w:val="auto"/>
        </w:rPr>
        <w:t>We file income tax returns in the United States, including various state jurisdictions. Our subsidiaries file income tax returns in various foreign jurisdictions. Tax years after 2014 remain open to examination by the major taxing jurisdictions in which we are subject to tax. At December 31, 2024, we were not under examination for income tax audits by the Internal Revenue Service. We are currently under tax examination in France for tax years 2019 through 2022.</w:t>
      </w:r>
    </w:p>
    <w:p>
      <w:pPr>
        <w:spacing w:after="0" w:line="180"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 It is not practicable for us to determine the amount of unrecognized tax expense on these reinvested foreign earnings.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12. Net Loss Per Share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90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(0.83)</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500" w:firstLine="318"/>
        <w:spacing w:after="0" w:line="274"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28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r>
      <w:tr>
        <w:trPr>
          <w:trHeight w:val="21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5,485</w:t>
            </w:r>
          </w:p>
        </w:tc>
      </w:tr>
      <w:tr>
        <w:trPr>
          <w:trHeight w:val="22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PSUs</w:t>
            </w: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940" w:type="dxa"/>
            <w:vAlign w:val="bottom"/>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w:t>
            </w:r>
          </w:p>
        </w:tc>
      </w:tr>
      <w:tr>
        <w:trPr>
          <w:trHeight w:val="20"/>
        </w:trPr>
        <w:tc>
          <w:tcPr>
            <w:tcW w:w="6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Segment Information</w:t>
      </w:r>
    </w:p>
    <w:p>
      <w:pPr>
        <w:spacing w:after="0" w:line="217"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We operate as one operating segment. Our Co-Chief Executive Officers, our CODMs, review financial information on a consolidated basis for purposes of making operating decisions, allocating resources and evaluating financial performance. Our CODMs review cost of sales expense, sales and marketing expense, research and development expense and general and administrative expense to assess our significant segment expenses, and review income (loss) from operations and net income (loss) to assess our operating performance. Our CODMs also review total assets, as reported on our consolidated balance sheets. See our consolidated statement of operations for our significant segment expenses, loss from operations and net loss in the periods presented.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Geographic Information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432,734</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239,741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175,767</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74,690</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683,191</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Customers located in the United States accounted for 54%, 55% and 56% of revenue in 2024, 2023 and 2022, respectively. No other country accounted for 10% or more of revenue in the periods presented.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0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2023</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39,497</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r>
      <w:tr>
        <w:trPr>
          <w:trHeight w:val="244"/>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14. Benefit Plans</w:t>
      </w:r>
    </w:p>
    <w:p>
      <w:pPr>
        <w:spacing w:after="0" w:line="219"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We maintain a defined contribution 401(k) plan for our U.S. employees, where company-matched contributions are fully vested. Additional contributory plans are in effect internationally, including in the U.K. and Ireland. Contribution expense for such plans was $9.8 million, $10.3 million and $9.7 million in 2024, 2023 and 2022, respectively.</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15. Subsequent Events</w:t>
      </w:r>
    </w:p>
    <w:p>
      <w:pPr>
        <w:spacing w:after="0" w:line="219"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In February 2025, we acquired Vulcan Cyber, an innovator in cyber risk management. This acquisition is expected to add enhanced visibility, extended third-party data flows, risk prioritization and optimized remediation to strengthen our Tenable One Exposure Management platform. We acquired Vulcan Cyber for a total purchase price of approximately $148 million in cash and $2 million in RSUs that vest over a future period, subject to certain customary purchase price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right="2700" w:hanging="317"/>
        <w:spacing w:after="0" w:line="491"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7"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Our management, with the participation of our Co-Chief Executive Officer and Chief Financial Officer, has evaluated the effectiveness of our disclosure controls and procedures (as defined in Rules 13a-15(e) and 15d-15(e) under the Exchange Act), as of the end of the period covered by this Annual Report on Form 10-K. Based on such evaluation, our Co-Chief Executive Officer and Chief Financial Officer has concluded that at December 31, 2024, our disclosure controls and procedures were effective to provide reasonable assurance that the information required to be disclosed by us in this Annual Report on Form 10-K was (a) reported within the time periods specified by SEC rules and regulations and (b) communicated to our management, including our Co-Chief Executive Officer and Chief Financial Officer, to allow timely decisions regarding any required disclosure.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17"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of the Exchange Act. Our management evaluated the effectiveness of our internal control over financial reporting based on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concluded that our internal control over financial reporting was effective at December 31, 2024.</w:t>
      </w:r>
    </w:p>
    <w:p>
      <w:pPr>
        <w:spacing w:after="0" w:line="180" w:lineRule="exact"/>
        <w:rPr>
          <w:sz w:val="20"/>
          <w:szCs w:val="20"/>
          <w:color w:val="auto"/>
        </w:rPr>
      </w:pPr>
    </w:p>
    <w:p>
      <w:pPr>
        <w:ind w:right="480" w:firstLine="318"/>
        <w:spacing w:after="0" w:line="304" w:lineRule="auto"/>
        <w:rPr>
          <w:sz w:val="20"/>
          <w:szCs w:val="20"/>
          <w:color w:val="auto"/>
        </w:rPr>
      </w:pPr>
      <w:r>
        <w:rPr>
          <w:rFonts w:ascii="Arial" w:cs="Arial" w:eastAsia="Arial" w:hAnsi="Arial"/>
          <w:sz w:val="17"/>
          <w:szCs w:val="17"/>
          <w:color w:val="auto"/>
        </w:rPr>
        <w:t>Our independent registered public accounting firm, Ernst &amp; Young LLP (PCAOB ID: 42), has issued an audit report with respect to our internal control over financial reporting as of December 31, 2024, which is included in Part II, Item 8 of this Annual Report on Form 10-K.</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7" w:lineRule="exact"/>
        <w:rPr>
          <w:sz w:val="20"/>
          <w:szCs w:val="20"/>
          <w:color w:val="auto"/>
        </w:rPr>
      </w:pPr>
    </w:p>
    <w:p>
      <w:pPr>
        <w:jc w:val="both"/>
        <w:ind w:right="20" w:firstLine="318"/>
        <w:spacing w:after="0" w:line="260"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three months ended December 31, 2024 that materially affected, or are reasonably likely to materially affect, our internal control over financial reporting.</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1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Co-Chief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Rule 10b5-1 Plan Elections</w:t>
      </w:r>
    </w:p>
    <w:p>
      <w:pPr>
        <w:spacing w:after="0" w:line="217"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Amit Yoran entered into a prearranged stock trading plan on November 20, 2024. Mr. Yoran's plan included the potential sale of 1,186,860 shares held by Mr. Yoran, 89,004 shares held by the Amit Yoran 2020 Family Trust, 109,704 shares held by the Amit Yoran Grantor Retained Annuity Trust B and 203,172 shares held by the Amit Yoran Grantor Retained Annuity Trust C between February 19, 2025 and February 19, 2026. This plan automatically terminated upon Mr. Yoran's death on January 3, 2025.</w:t>
      </w:r>
    </w:p>
    <w:p>
      <w:pPr>
        <w:spacing w:after="0" w:line="180"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All of the aforementioned trading plans were entered into during an open trading window and are intended to satisfy the affirmative defense of Rule 10b5-1(c) under the Exchange Act and our policies regarding insider transactions.</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III</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Executive Officers and Directors</w:t>
      </w:r>
    </w:p>
    <w:p>
      <w:pPr>
        <w:spacing w:after="0" w:line="21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2025 annual meeting of stockholders, or the Proxy Statement, which is expected to be filed not later than 120 days after the end of our fiscal year ended December 31, 2024, under the captions "Information Regarding the Board of Directors and Corporate Governance," "Election of Directors" and "Executive Officers" and is incorporated in this report by reference.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Code of Ethics</w:t>
      </w:r>
    </w:p>
    <w:p>
      <w:pPr>
        <w:spacing w:after="0" w:line="219" w:lineRule="exact"/>
        <w:rPr>
          <w:sz w:val="20"/>
          <w:szCs w:val="20"/>
          <w:color w:val="auto"/>
        </w:rPr>
      </w:pPr>
    </w:p>
    <w:p>
      <w:pPr>
        <w:ind w:right="20" w:firstLine="318"/>
        <w:spacing w:after="0" w:line="282" w:lineRule="auto"/>
        <w:rPr>
          <w:sz w:val="20"/>
          <w:szCs w:val="20"/>
          <w:color w:val="auto"/>
        </w:rPr>
      </w:pPr>
      <w:r>
        <w:rPr>
          <w:rFonts w:ascii="Arial" w:cs="Arial" w:eastAsia="Arial" w:hAnsi="Arial"/>
          <w:sz w:val="17"/>
          <w:szCs w:val="17"/>
          <w:color w:val="auto"/>
        </w:rPr>
        <w:t>Our Code of Business Conduct and Ethics applies to all officers, directors and employees, and is available on our website at https://investors.tenable.com. If we make any substantive amendments to the Code of Business Conduct and Ethics or grant any waiver from a provision of the Code to any executive officer or director, we will promptly disclose the nature of the amendment or waiver on our website.</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Insider Trading Policy</w:t>
      </w:r>
    </w:p>
    <w:p>
      <w:pPr>
        <w:spacing w:after="0" w:line="219"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The information required by this item will be set forth in the Proxy Statement under the caption "Insider Trading Policy" and is incorporated herein by reference. A copy of our Insider Trading Policy is filed with this Annual Report on Form 10-K as Exhibit 19.1.</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ind w:right="220" w:firstLine="318"/>
        <w:spacing w:after="0" w:line="274" w:lineRule="auto"/>
        <w:rPr>
          <w:sz w:val="20"/>
          <w:szCs w:val="20"/>
          <w:color w:val="auto"/>
        </w:rPr>
      </w:pPr>
      <w:r>
        <w:rPr>
          <w:rFonts w:ascii="Arial" w:cs="Arial" w:eastAsia="Arial" w:hAnsi="Arial"/>
          <w:sz w:val="18"/>
          <w:szCs w:val="18"/>
          <w:color w:val="auto"/>
        </w:rPr>
        <w:t>The information required by this item will be set forth in the Proxy Statement under the captions "Executive Compensation" and "Director Compensation" and is incorporated herein by reference.</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19" w:lineRule="exact"/>
        <w:rPr>
          <w:sz w:val="20"/>
          <w:szCs w:val="20"/>
          <w:color w:val="auto"/>
        </w:rPr>
      </w:pPr>
    </w:p>
    <w:p>
      <w:pPr>
        <w:ind w:firstLine="318"/>
        <w:spacing w:after="0" w:line="304" w:lineRule="auto"/>
        <w:rPr>
          <w:sz w:val="20"/>
          <w:szCs w:val="20"/>
          <w:color w:val="auto"/>
        </w:rPr>
      </w:pPr>
      <w:r>
        <w:rPr>
          <w:rFonts w:ascii="Arial" w:cs="Arial" w:eastAsia="Arial" w:hAnsi="Arial"/>
          <w:sz w:val="17"/>
          <w:szCs w:val="17"/>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1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19" w:lineRule="exact"/>
        <w:rPr>
          <w:sz w:val="20"/>
          <w:szCs w:val="20"/>
          <w:color w:val="auto"/>
        </w:rPr>
      </w:pPr>
    </w:p>
    <w:p>
      <w:pPr>
        <w:ind w:right="240" w:firstLine="318"/>
        <w:spacing w:after="0" w:line="274" w:lineRule="auto"/>
        <w:rPr>
          <w:sz w:val="20"/>
          <w:szCs w:val="20"/>
          <w:color w:val="auto"/>
        </w:rPr>
      </w:pPr>
      <w:r>
        <w:rPr>
          <w:rFonts w:ascii="Arial" w:cs="Arial" w:eastAsia="Arial" w:hAnsi="Arial"/>
          <w:sz w:val="18"/>
          <w:szCs w:val="18"/>
          <w:color w:val="auto"/>
        </w:rPr>
        <w:t>The information required by this item will be set forth in the Proxy Statement under the captions "Transactions with Related Persons and Indemnification" and "Independence of the Board of Directors" and is incorporated herein by reference.</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19"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(a)(1) Financial Statements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Index to our consolidated financial statements in Item 8 of this Annual Report on Form 10-K.</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(a)(2) Financial Statement Schedules</w:t>
      </w: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II</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SUPPLEMENTARY CONSOLIDATED FINANCIAL STATEMENT SCHEDULE</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VALUATION AND QUALIFYING ACCOUNTS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96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at Beginning of</w:t>
            </w:r>
          </w:p>
        </w:tc>
        <w:tc>
          <w:tcPr>
            <w:tcW w:w="12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Additions Charged to</w:t>
            </w:r>
          </w:p>
        </w:tc>
        <w:tc>
          <w:tcPr>
            <w:tcW w:w="280" w:type="dxa"/>
            <w:vAlign w:val="bottom"/>
          </w:tcPr>
          <w:p>
            <w:pPr>
              <w:spacing w:after="0"/>
              <w:rPr>
                <w:sz w:val="16"/>
                <w:szCs w:val="16"/>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0"/>
                <w:szCs w:val="20"/>
                <w:b w:val="1"/>
                <w:bCs w:val="1"/>
                <w:color w:val="auto"/>
                <w:vertAlign w:val="superscript"/>
              </w:rPr>
              <w:t>(1)</w:t>
            </w:r>
          </w:p>
        </w:tc>
        <w:tc>
          <w:tcPr>
            <w:tcW w:w="300" w:type="dxa"/>
            <w:vAlign w:val="bottom"/>
          </w:tcPr>
          <w:p>
            <w:pPr>
              <w:spacing w:after="0"/>
              <w:rPr>
                <w:sz w:val="16"/>
                <w:szCs w:val="16"/>
                <w:color w:val="auto"/>
              </w:rPr>
            </w:pPr>
          </w:p>
        </w:tc>
        <w:tc>
          <w:tcPr>
            <w:tcW w:w="1560" w:type="dxa"/>
            <w:vAlign w:val="bottom"/>
          </w:tcPr>
          <w:p>
            <w:pPr>
              <w:jc w:val="right"/>
              <w:ind w:right="435"/>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Costs and Expenses</w:t>
            </w:r>
          </w:p>
        </w:tc>
        <w:tc>
          <w:tcPr>
            <w:tcW w:w="2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ind w:right="395"/>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Allowance for Doubtful Accounts</w:t>
            </w: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8"/>
                <w:szCs w:val="18"/>
                <w:color w:val="auto"/>
              </w:rPr>
              <w:t>Year Ended December 31, 2023</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3" w:lineRule="exact"/>
        <w:rPr>
          <w:sz w:val="20"/>
          <w:szCs w:val="20"/>
          <w:color w:val="auto"/>
        </w:rPr>
      </w:pPr>
    </w:p>
    <w:p>
      <w:pPr>
        <w:ind w:left="380" w:hanging="374"/>
        <w:spacing w:after="0"/>
        <w:tabs>
          <w:tab w:leader="none" w:pos="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recoveries and write-offs of uncollectible accounts.</w:t>
      </w:r>
    </w:p>
    <w:p>
      <w:pPr>
        <w:spacing w:after="0" w:line="229"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included in the financial statements or the notes to the financial statements.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(a)(3) Exhibits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list of Exhibits filed as part of this Annual Report on Form 10-K:</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960" w:type="dxa"/>
            <w:vAlign w:val="bottom"/>
          </w:tcPr>
          <w:p>
            <w:pPr>
              <w:jc w:val="center"/>
              <w:ind w:right="1261"/>
              <w:spacing w:after="0"/>
              <w:rPr>
                <w:sz w:val="20"/>
                <w:szCs w:val="20"/>
                <w:color w:val="auto"/>
              </w:rPr>
            </w:pPr>
            <w:r>
              <w:rPr>
                <w:rFonts w:ascii="Arial" w:cs="Arial" w:eastAsia="Arial" w:hAnsi="Arial"/>
                <w:sz w:val="16"/>
                <w:szCs w:val="16"/>
                <w:b w:val="1"/>
                <w:bCs w:val="1"/>
                <w:color w:val="auto"/>
              </w:rPr>
              <w:t>Exhibit</w:t>
            </w:r>
          </w:p>
        </w:tc>
        <w:tc>
          <w:tcPr>
            <w:tcW w:w="2200" w:type="dxa"/>
            <w:vAlign w:val="bottom"/>
            <w:vMerge w:val="restart"/>
          </w:tcPr>
          <w:p>
            <w:pPr>
              <w:ind w:left="1340"/>
              <w:spacing w:after="0"/>
              <w:rPr>
                <w:sz w:val="20"/>
                <w:szCs w:val="20"/>
                <w:color w:val="auto"/>
              </w:rPr>
            </w:pPr>
            <w:r>
              <w:rPr>
                <w:rFonts w:ascii="Arial" w:cs="Arial" w:eastAsia="Arial" w:hAnsi="Arial"/>
                <w:sz w:val="16"/>
                <w:szCs w:val="16"/>
                <w:b w:val="1"/>
                <w:bCs w:val="1"/>
                <w:color w:val="auto"/>
                <w:w w:val="95"/>
              </w:rPr>
              <w:t>Description</w:t>
            </w:r>
          </w:p>
        </w:tc>
        <w:tc>
          <w:tcPr>
            <w:tcW w:w="0" w:type="dxa"/>
            <w:vAlign w:val="bottom"/>
          </w:tcPr>
          <w:p>
            <w:pPr>
              <w:spacing w:after="0"/>
              <w:rPr>
                <w:sz w:val="1"/>
                <w:szCs w:val="1"/>
                <w:color w:val="auto"/>
              </w:rPr>
            </w:pPr>
          </w:p>
        </w:tc>
      </w:tr>
      <w:tr>
        <w:trPr>
          <w:trHeight w:val="218"/>
        </w:trPr>
        <w:tc>
          <w:tcPr>
            <w:tcW w:w="1960" w:type="dxa"/>
            <w:vAlign w:val="bottom"/>
          </w:tcPr>
          <w:p>
            <w:pPr>
              <w:jc w:val="center"/>
              <w:ind w:right="1261"/>
              <w:spacing w:after="0"/>
              <w:rPr>
                <w:sz w:val="20"/>
                <w:szCs w:val="20"/>
                <w:color w:val="auto"/>
              </w:rPr>
            </w:pPr>
            <w:r>
              <w:rPr>
                <w:rFonts w:ascii="Arial" w:cs="Arial" w:eastAsia="Arial" w:hAnsi="Arial"/>
                <w:sz w:val="16"/>
                <w:szCs w:val="16"/>
                <w:b w:val="1"/>
                <w:bCs w:val="1"/>
                <w:color w:val="auto"/>
              </w:rPr>
              <w:t>Number</w:t>
            </w: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42741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74185" cy="8255"/>
                    </a:xfrm>
                    <a:prstGeom prst="rect">
                      <a:avLst/>
                    </a:prstGeom>
                    <a:noFill/>
                  </pic:spPr>
                </pic:pic>
              </a:graphicData>
            </a:graphic>
          </wp:anchor>
        </w:drawing>
      </w:r>
    </w:p>
    <w:p>
      <w:pPr>
        <w:spacing w:after="0" w:line="26" w:lineRule="exact"/>
        <w:rPr>
          <w:sz w:val="20"/>
          <w:szCs w:val="20"/>
          <w:color w:val="auto"/>
        </w:rPr>
      </w:pPr>
    </w:p>
    <w:p>
      <w:pPr>
        <w:ind w:left="6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3.1</w:t>
      </w:r>
      <w:r>
        <w:rPr>
          <w:sz w:val="20"/>
          <w:szCs w:val="20"/>
          <w:color w:val="auto"/>
        </w:rPr>
        <w:tab/>
      </w:r>
      <w:hyperlink r:id="rId111">
        <w:r>
          <w:rPr>
            <w:rFonts w:ascii="Arial" w:cs="Arial" w:eastAsia="Arial" w:hAnsi="Arial"/>
            <w:sz w:val="15"/>
            <w:szCs w:val="15"/>
            <w:u w:val="single" w:color="auto"/>
            <w:color w:val="0000FF"/>
          </w:rPr>
          <w:t>Amended and Restated Certificate of Incorporation of Tenable Holdings, Inc.</w:t>
        </w:r>
      </w:hyperlink>
    </w:p>
    <w:p>
      <w:pPr>
        <w:spacing w:after="0" w:line="346" w:lineRule="exact"/>
        <w:rPr>
          <w:sz w:val="20"/>
          <w:szCs w:val="20"/>
          <w:color w:val="auto"/>
        </w:rPr>
      </w:pPr>
    </w:p>
    <w:p>
      <w:pPr>
        <w:ind w:left="6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3.2</w:t>
      </w:r>
      <w:r>
        <w:rPr>
          <w:sz w:val="20"/>
          <w:szCs w:val="20"/>
          <w:color w:val="auto"/>
        </w:rPr>
        <w:tab/>
      </w:r>
      <w:hyperlink r:id="rId112">
        <w:r>
          <w:rPr>
            <w:rFonts w:ascii="Arial" w:cs="Arial" w:eastAsia="Arial" w:hAnsi="Arial"/>
            <w:sz w:val="15"/>
            <w:szCs w:val="15"/>
            <w:u w:val="single" w:color="auto"/>
            <w:color w:val="0000FF"/>
          </w:rPr>
          <w:t>Second Amended and Restated Bylaws of Tenable Holdings, Inc.</w:t>
        </w:r>
      </w:hyperlink>
    </w:p>
    <w:p>
      <w:pPr>
        <w:spacing w:after="0" w:line="346" w:lineRule="exact"/>
        <w:rPr>
          <w:sz w:val="20"/>
          <w:szCs w:val="20"/>
          <w:color w:val="auto"/>
        </w:rPr>
      </w:pPr>
    </w:p>
    <w:p>
      <w:pPr>
        <w:ind w:left="6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4.1</w:t>
      </w:r>
      <w:r>
        <w:rPr>
          <w:sz w:val="20"/>
          <w:szCs w:val="20"/>
          <w:color w:val="auto"/>
        </w:rPr>
        <w:tab/>
      </w:r>
      <w:hyperlink r:id="rId113">
        <w:r>
          <w:rPr>
            <w:rFonts w:ascii="Arial" w:cs="Arial" w:eastAsia="Arial" w:hAnsi="Arial"/>
            <w:sz w:val="15"/>
            <w:szCs w:val="15"/>
            <w:u w:val="single" w:color="auto"/>
            <w:color w:val="0000FF"/>
          </w:rPr>
          <w:t>Common Stock Certificate of Tenable Holdings, Inc.</w:t>
        </w:r>
      </w:hyperlink>
    </w:p>
    <w:p>
      <w:pPr>
        <w:spacing w:after="0" w:line="346" w:lineRule="exact"/>
        <w:rPr>
          <w:sz w:val="20"/>
          <w:szCs w:val="20"/>
          <w:color w:val="auto"/>
        </w:rPr>
      </w:pPr>
    </w:p>
    <w:p>
      <w:pPr>
        <w:ind w:left="6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4.2</w:t>
      </w:r>
      <w:r>
        <w:rPr>
          <w:sz w:val="20"/>
          <w:szCs w:val="20"/>
          <w:color w:val="auto"/>
        </w:rPr>
        <w:tab/>
      </w:r>
      <w:hyperlink r:id="rId114">
        <w:r>
          <w:rPr>
            <w:rFonts w:ascii="Arial" w:cs="Arial" w:eastAsia="Arial" w:hAnsi="Arial"/>
            <w:sz w:val="15"/>
            <w:szCs w:val="15"/>
            <w:u w:val="single" w:color="auto"/>
            <w:color w:val="0000FF"/>
          </w:rPr>
          <w:t>Description of Common Stock of Tenable Holdings, Inc.</w:t>
        </w:r>
      </w:hyperlink>
    </w:p>
    <w:p>
      <w:pPr>
        <w:spacing w:after="0" w:line="346" w:lineRule="exact"/>
        <w:rPr>
          <w:sz w:val="20"/>
          <w:szCs w:val="20"/>
          <w:color w:val="auto"/>
        </w:rPr>
      </w:pPr>
    </w:p>
    <w:p>
      <w:pPr>
        <w:ind w:left="1020" w:right="120" w:hanging="543"/>
        <w:spacing w:after="0" w:line="22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15">
        <w:r>
          <w:rPr>
            <w:rFonts w:ascii="Arial" w:cs="Arial" w:eastAsia="Arial" w:hAnsi="Arial"/>
            <w:sz w:val="16"/>
            <w:szCs w:val="16"/>
            <w:u w:val="single" w:color="auto"/>
            <w:color w:val="0000FF"/>
          </w:rPr>
          <w:t>2016 Stock Incentive Plan and Irish Supplement and Forms of Option Grant</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Notice and Agreement and Exercise Notice and Form of Restricted Stock Grant</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Notice and Agreement thereunder, as amended to date</w:t>
        </w:r>
      </w:hyperlink>
    </w:p>
    <w:p>
      <w:pPr>
        <w:spacing w:after="0" w:line="3" w:lineRule="exact"/>
        <w:rPr>
          <w:rFonts w:ascii="Arial" w:cs="Arial" w:eastAsia="Arial" w:hAnsi="Arial"/>
          <w:sz w:val="16"/>
          <w:szCs w:val="16"/>
          <w:u w:val="single" w:color="auto"/>
          <w:color w:val="0000FF"/>
        </w:rPr>
      </w:pPr>
    </w:p>
    <w:p>
      <w:pPr>
        <w:ind w:left="1020" w:hanging="543"/>
        <w:spacing w:after="0" w:line="22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16">
        <w:r>
          <w:rPr>
            <w:rFonts w:ascii="Arial" w:cs="Arial" w:eastAsia="Arial" w:hAnsi="Arial"/>
            <w:sz w:val="16"/>
            <w:szCs w:val="16"/>
            <w:u w:val="single" w:color="auto"/>
            <w:color w:val="0000FF"/>
          </w:rPr>
          <w:t>2012 Stock Incentive Plan and Form of Notice of Stock Option Grant and Form</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of Stock Option Agreement and Notice of Exercise and Common Stock Purchase</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Agreement thereunder, as amended to date</w:t>
        </w:r>
      </w:hyperlink>
    </w:p>
    <w:p>
      <w:pPr>
        <w:spacing w:after="0" w:line="3" w:lineRule="exact"/>
        <w:rPr>
          <w:rFonts w:ascii="Arial" w:cs="Arial" w:eastAsia="Arial" w:hAnsi="Arial"/>
          <w:sz w:val="16"/>
          <w:szCs w:val="16"/>
          <w:u w:val="single" w:color="auto"/>
          <w:color w:val="0000FF"/>
        </w:rPr>
      </w:pPr>
    </w:p>
    <w:p>
      <w:pPr>
        <w:ind w:left="1020" w:right="200" w:hanging="543"/>
        <w:spacing w:after="0" w:line="273" w:lineRule="auto"/>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10.3+</w:t>
      </w:r>
      <w:r>
        <w:rPr>
          <w:sz w:val="20"/>
          <w:szCs w:val="20"/>
          <w:color w:val="auto"/>
        </w:rPr>
        <w:tab/>
      </w:r>
      <w:hyperlink r:id="rId117">
        <w:r>
          <w:rPr>
            <w:rFonts w:ascii="Arial" w:cs="Arial" w:eastAsia="Arial" w:hAnsi="Arial"/>
            <w:sz w:val="15"/>
            <w:szCs w:val="15"/>
            <w:u w:val="single" w:color="auto"/>
            <w:color w:val="0000FF"/>
          </w:rPr>
          <w:t>2018 Equity Incentive Plan and Forms of Stock Option Grant Notice and</w:t>
        </w:r>
      </w:hyperlink>
      <w:r>
        <w:rPr>
          <w:rFonts w:ascii="Arial" w:cs="Arial" w:eastAsia="Arial" w:hAnsi="Arial"/>
          <w:sz w:val="15"/>
          <w:szCs w:val="15"/>
          <w:u w:val="single" w:color="auto"/>
          <w:color w:val="0000FF"/>
        </w:rPr>
        <w:t xml:space="preserve"> </w:t>
      </w:r>
      <w:hyperlink r:id="rId117">
        <w:r>
          <w:rPr>
            <w:rFonts w:ascii="Arial" w:cs="Arial" w:eastAsia="Arial" w:hAnsi="Arial"/>
            <w:sz w:val="15"/>
            <w:szCs w:val="15"/>
            <w:u w:val="single" w:color="auto"/>
            <w:color w:val="0000FF"/>
          </w:rPr>
          <w:t>Agreement and Restricted Stock Unit Grant Notice and Agreement thereunder</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549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61" w:lineRule="exact"/>
        <w:rPr>
          <w:sz w:val="20"/>
          <w:szCs w:val="20"/>
          <w:color w:val="auto"/>
        </w:rPr>
      </w:pPr>
    </w:p>
    <w:p>
      <w:pPr>
        <w:ind w:right="460"/>
        <w:spacing w:after="0" w:line="229"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3" w:lineRule="exact"/>
        <w:rPr>
          <w:sz w:val="20"/>
          <w:szCs w:val="20"/>
          <w:color w:val="auto"/>
        </w:rPr>
      </w:pPr>
    </w:p>
    <w:p>
      <w:pPr>
        <w:jc w:val="both"/>
        <w:ind w:right="460"/>
        <w:spacing w:after="0" w:line="229" w:lineRule="auto"/>
        <w:rPr>
          <w:sz w:val="20"/>
          <w:szCs w:val="20"/>
          <w:color w:val="auto"/>
        </w:rPr>
      </w:pPr>
      <w:r>
        <w:rPr>
          <w:rFonts w:ascii="Arial" w:cs="Arial" w:eastAsia="Arial" w:hAnsi="Arial"/>
          <w:sz w:val="16"/>
          <w:szCs w:val="16"/>
          <w:color w:val="auto"/>
        </w:rPr>
        <w:t>Previously filed as Exhibit 3.1 to the Company's Current Report on Form 8-K (File No. 001-38600) on November 15, 2023</w:t>
      </w:r>
    </w:p>
    <w:p>
      <w:pPr>
        <w:spacing w:after="0" w:line="3" w:lineRule="exact"/>
        <w:rPr>
          <w:sz w:val="20"/>
          <w:szCs w:val="20"/>
          <w:color w:val="auto"/>
        </w:rPr>
      </w:pPr>
    </w:p>
    <w:p>
      <w:pPr>
        <w:ind w:right="820"/>
        <w:spacing w:after="0" w:line="229"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 w:lineRule="exact"/>
        <w:rPr>
          <w:sz w:val="20"/>
          <w:szCs w:val="20"/>
          <w:color w:val="auto"/>
        </w:rPr>
      </w:pPr>
    </w:p>
    <w:p>
      <w:pPr>
        <w:jc w:val="both"/>
        <w:ind w:right="480"/>
        <w:spacing w:after="0" w:line="229" w:lineRule="auto"/>
        <w:rPr>
          <w:sz w:val="20"/>
          <w:szCs w:val="20"/>
          <w:color w:val="auto"/>
        </w:rPr>
      </w:pPr>
      <w:r>
        <w:rPr>
          <w:rFonts w:ascii="Arial" w:cs="Arial" w:eastAsia="Arial" w:hAnsi="Arial"/>
          <w:sz w:val="16"/>
          <w:szCs w:val="16"/>
          <w:color w:val="auto"/>
        </w:rPr>
        <w:t>Previously filed as Exhibit 4.3 to the Company's Annual Report on Form 10-K (File No. 001-38600) on February 28, 2020</w:t>
      </w:r>
    </w:p>
    <w:p>
      <w:pPr>
        <w:spacing w:after="0" w:line="3" w:lineRule="exact"/>
        <w:rPr>
          <w:sz w:val="20"/>
          <w:szCs w:val="20"/>
          <w:color w:val="auto"/>
        </w:rPr>
      </w:pPr>
    </w:p>
    <w:p>
      <w:pPr>
        <w:ind w:right="820"/>
        <w:spacing w:after="0" w:line="229" w:lineRule="auto"/>
        <w:rPr>
          <w:sz w:val="20"/>
          <w:szCs w:val="20"/>
          <w:color w:val="auto"/>
        </w:rPr>
      </w:pPr>
      <w:r>
        <w:rPr>
          <w:rFonts w:ascii="Arial" w:cs="Arial" w:eastAsia="Arial" w:hAnsi="Arial"/>
          <w:sz w:val="16"/>
          <w:szCs w:val="16"/>
          <w:color w:val="auto"/>
        </w:rPr>
        <w:t>Previously filed as Exhibit 10.1 to the Company's Registration Statement on Form S-8 (File No. 333-226347) on July 26, 2018</w:t>
      </w:r>
    </w:p>
    <w:p>
      <w:pPr>
        <w:spacing w:after="0" w:line="3" w:lineRule="exact"/>
        <w:rPr>
          <w:sz w:val="20"/>
          <w:szCs w:val="20"/>
          <w:color w:val="auto"/>
        </w:rPr>
      </w:pPr>
    </w:p>
    <w:p>
      <w:pPr>
        <w:ind w:right="820"/>
        <w:spacing w:after="0" w:line="229" w:lineRule="auto"/>
        <w:rPr>
          <w:sz w:val="20"/>
          <w:szCs w:val="20"/>
          <w:color w:val="auto"/>
        </w:rPr>
      </w:pPr>
      <w:r>
        <w:rPr>
          <w:rFonts w:ascii="Arial" w:cs="Arial" w:eastAsia="Arial" w:hAnsi="Arial"/>
          <w:sz w:val="16"/>
          <w:szCs w:val="16"/>
          <w:color w:val="auto"/>
        </w:rPr>
        <w:t>Previously filed as Exhibit 10.2 to the Company's Registration Statement on Form S-8 (File No. 333-226347) on July 26, 2018</w:t>
      </w:r>
    </w:p>
    <w:p>
      <w:pPr>
        <w:spacing w:after="0" w:line="3" w:lineRule="exact"/>
        <w:rPr>
          <w:sz w:val="20"/>
          <w:szCs w:val="20"/>
          <w:color w:val="auto"/>
        </w:rPr>
      </w:pPr>
    </w:p>
    <w:p>
      <w:pPr>
        <w:ind w:right="820"/>
        <w:spacing w:after="0" w:line="229" w:lineRule="auto"/>
        <w:rPr>
          <w:sz w:val="20"/>
          <w:szCs w:val="20"/>
          <w:color w:val="auto"/>
        </w:rPr>
      </w:pPr>
      <w:r>
        <w:rPr>
          <w:rFonts w:ascii="Arial" w:cs="Arial" w:eastAsia="Arial" w:hAnsi="Arial"/>
          <w:sz w:val="16"/>
          <w:szCs w:val="16"/>
          <w:color w:val="auto"/>
        </w:rPr>
        <w:t>Previously filed as Exhibit 10.4 to the Company's Registration Statement on Form S-8 (File No. 333-226347) on July 26, 2018</w:t>
      </w:r>
    </w:p>
    <w:p>
      <w:pPr>
        <w:spacing w:after="0" w:line="200" w:lineRule="exact"/>
        <w:rPr>
          <w:sz w:val="20"/>
          <w:szCs w:val="20"/>
          <w:color w:val="auto"/>
        </w:rPr>
      </w:pPr>
    </w:p>
    <w:p>
      <w:pPr>
        <w:sectPr>
          <w:pgSz w:w="11900" w:h="16838" w:orient="portrait"/>
          <w:cols w:equalWidth="0" w:num="2">
            <w:col w:w="6720" w:space="140"/>
            <w:col w:w="43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10.4</w:t>
      </w:r>
      <w:r>
        <w:rPr>
          <w:sz w:val="20"/>
          <w:szCs w:val="20"/>
          <w:color w:val="auto"/>
        </w:rPr>
        <w:tab/>
      </w:r>
      <w:hyperlink r:id="rId120">
        <w:r>
          <w:rPr>
            <w:rFonts w:ascii="Arial" w:cs="Arial" w:eastAsia="Arial" w:hAnsi="Arial"/>
            <w:sz w:val="15"/>
            <w:szCs w:val="15"/>
            <w:u w:val="single" w:color="auto"/>
            <w:color w:val="0000FF"/>
          </w:rPr>
          <w:t>Form of Performance Restricted Stock Unit Grant Notice and Agreement</w:t>
        </w:r>
      </w:hyperlink>
    </w:p>
    <w:p>
      <w:pPr>
        <w:spacing w:after="0" w:line="346" w:lineRule="exact"/>
        <w:rPr>
          <w:sz w:val="20"/>
          <w:szCs w:val="20"/>
          <w:color w:val="auto"/>
        </w:rPr>
      </w:pPr>
    </w:p>
    <w:p>
      <w:pPr>
        <w:ind w:left="48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10.5+</w:t>
      </w:r>
      <w:r>
        <w:rPr>
          <w:sz w:val="20"/>
          <w:szCs w:val="20"/>
          <w:color w:val="auto"/>
        </w:rPr>
        <w:tab/>
      </w:r>
      <w:hyperlink r:id="rId121">
        <w:r>
          <w:rPr>
            <w:rFonts w:ascii="Arial" w:cs="Arial" w:eastAsia="Arial" w:hAnsi="Arial"/>
            <w:sz w:val="15"/>
            <w:szCs w:val="15"/>
            <w:u w:val="single" w:color="auto"/>
            <w:color w:val="0000FF"/>
          </w:rPr>
          <w:t>2018 Employee Stock Purchase Plan</w:t>
        </w:r>
      </w:hyperlink>
    </w:p>
    <w:p>
      <w:pPr>
        <w:spacing w:after="0" w:line="346" w:lineRule="exact"/>
        <w:rPr>
          <w:sz w:val="20"/>
          <w:szCs w:val="20"/>
          <w:color w:val="auto"/>
        </w:rPr>
      </w:pPr>
    </w:p>
    <w:p>
      <w:pPr>
        <w:ind w:left="1020" w:right="120" w:hanging="543"/>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22">
        <w:r>
          <w:rPr>
            <w:rFonts w:ascii="Arial" w:cs="Arial" w:eastAsia="Arial" w:hAnsi="Arial"/>
            <w:sz w:val="16"/>
            <w:szCs w:val="16"/>
            <w:u w:val="single" w:color="auto"/>
            <w:color w:val="0000FF"/>
          </w:rPr>
          <w:t>Form of Indemnification Agreement by and between Tenable Holdings, Inc. and</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each of its directors and executive officers</w:t>
        </w:r>
      </w:hyperlink>
    </w:p>
    <w:p>
      <w:pPr>
        <w:spacing w:after="0" w:line="160" w:lineRule="exact"/>
        <w:rPr>
          <w:sz w:val="20"/>
          <w:szCs w:val="20"/>
          <w:color w:val="auto"/>
        </w:rPr>
      </w:pPr>
    </w:p>
    <w:p>
      <w:pPr>
        <w:ind w:left="1020" w:hanging="543"/>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123">
        <w:r>
          <w:rPr>
            <w:rFonts w:ascii="Arial" w:cs="Arial" w:eastAsia="Arial" w:hAnsi="Arial"/>
            <w:sz w:val="16"/>
            <w:szCs w:val="16"/>
            <w:u w:val="single" w:color="auto"/>
            <w:color w:val="0000FF"/>
          </w:rPr>
          <w:t>Amended and Restated Employment Agreement, dated as of February 20, 2019,</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by and between Tenable, Inc. and Amit Yoran</w:t>
        </w:r>
      </w:hyperlink>
    </w:p>
    <w:p>
      <w:pPr>
        <w:spacing w:after="0" w:line="160" w:lineRule="exact"/>
        <w:rPr>
          <w:sz w:val="20"/>
          <w:szCs w:val="20"/>
          <w:color w:val="auto"/>
        </w:rPr>
      </w:pPr>
    </w:p>
    <w:p>
      <w:pPr>
        <w:ind w:left="1020" w:hanging="543"/>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10.8+</w:t>
      </w:r>
      <w:r>
        <w:rPr>
          <w:sz w:val="20"/>
          <w:szCs w:val="20"/>
          <w:color w:val="auto"/>
        </w:rPr>
        <w:tab/>
      </w:r>
      <w:hyperlink r:id="rId124">
        <w:r>
          <w:rPr>
            <w:rFonts w:ascii="Arial" w:cs="Arial" w:eastAsia="Arial" w:hAnsi="Arial"/>
            <w:sz w:val="16"/>
            <w:szCs w:val="16"/>
            <w:u w:val="single" w:color="auto"/>
            <w:color w:val="0000FF"/>
          </w:rPr>
          <w:t>Amended and Restated Employment Agreement, dated as of February 20, 2019,</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by and between Tenable, Inc. and Stephen A. Vintz</w:t>
        </w:r>
      </w:hyperlink>
    </w:p>
    <w:p>
      <w:pPr>
        <w:spacing w:after="0" w:line="160" w:lineRule="exact"/>
        <w:rPr>
          <w:sz w:val="20"/>
          <w:szCs w:val="20"/>
          <w:color w:val="auto"/>
        </w:rPr>
      </w:pPr>
    </w:p>
    <w:p>
      <w:pPr>
        <w:ind w:left="1020" w:right="60" w:hanging="450"/>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10.9</w:t>
      </w:r>
      <w:r>
        <w:rPr>
          <w:sz w:val="20"/>
          <w:szCs w:val="20"/>
          <w:color w:val="auto"/>
        </w:rPr>
        <w:tab/>
      </w:r>
      <w:hyperlink r:id="rId125">
        <w:r>
          <w:rPr>
            <w:rFonts w:ascii="Arial" w:cs="Arial" w:eastAsia="Arial" w:hAnsi="Arial"/>
            <w:sz w:val="16"/>
            <w:szCs w:val="16"/>
            <w:u w:val="single" w:color="auto"/>
            <w:color w:val="0000FF"/>
          </w:rPr>
          <w:t>Employment Agreement, dated as of January 1, 2020, by and between Tenable,</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Inc. and Mark Thurmond</w:t>
        </w:r>
      </w:hyperlink>
    </w:p>
    <w:p>
      <w:pPr>
        <w:spacing w:after="0" w:line="160" w:lineRule="exact"/>
        <w:rPr>
          <w:sz w:val="20"/>
          <w:szCs w:val="20"/>
          <w:color w:val="auto"/>
        </w:rPr>
      </w:pPr>
    </w:p>
    <w:p>
      <w:pPr>
        <w:ind w:left="1020" w:right="500" w:hanging="627"/>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126">
        <w:r>
          <w:rPr>
            <w:rFonts w:ascii="Arial" w:cs="Arial" w:eastAsia="Arial" w:hAnsi="Arial"/>
            <w:sz w:val="16"/>
            <w:szCs w:val="16"/>
            <w:u w:val="single" w:color="auto"/>
            <w:color w:val="0000FF"/>
          </w:rPr>
          <w:t>Distribution Agreement, dated as of September 10, 2012, by and between</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Tenable Network Security, Inc. and Ingram Micro, Inc.</w:t>
        </w:r>
      </w:hyperlink>
    </w:p>
    <w:p>
      <w:pPr>
        <w:spacing w:after="0" w:line="160" w:lineRule="exact"/>
        <w:rPr>
          <w:sz w:val="20"/>
          <w:szCs w:val="20"/>
          <w:color w:val="auto"/>
        </w:rPr>
      </w:pPr>
    </w:p>
    <w:p>
      <w:pPr>
        <w:ind w:left="1020" w:right="120" w:hanging="526"/>
        <w:spacing w:after="0" w:line="250"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127">
        <w:r>
          <w:rPr>
            <w:rFonts w:ascii="Arial" w:cs="Arial" w:eastAsia="Arial" w:hAnsi="Arial"/>
            <w:sz w:val="16"/>
            <w:szCs w:val="16"/>
            <w:u w:val="single" w:color="auto"/>
            <w:color w:val="0000FF"/>
          </w:rPr>
          <w:t>Credit Agreement, dated as of July 7, 2021, by and among Tenable, Inc., the</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lenders party thereto and JPMorgan Chase Bank, N.A., as administrative agent</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and collateral agent.</w:t>
        </w:r>
      </w:hyperlink>
    </w:p>
    <w:p>
      <w:pPr>
        <w:spacing w:after="0" w:line="8" w:lineRule="exact"/>
        <w:rPr>
          <w:rFonts w:ascii="Arial" w:cs="Arial" w:eastAsia="Arial" w:hAnsi="Arial"/>
          <w:sz w:val="16"/>
          <w:szCs w:val="16"/>
          <w:u w:val="single" w:color="auto"/>
          <w:color w:val="0000FF"/>
        </w:rPr>
      </w:pPr>
    </w:p>
    <w:p>
      <w:pPr>
        <w:ind w:left="1020" w:right="360" w:hanging="538"/>
        <w:spacing w:after="0" w:line="245" w:lineRule="auto"/>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10.12</w:t>
      </w:r>
      <w:r>
        <w:rPr>
          <w:sz w:val="20"/>
          <w:szCs w:val="20"/>
          <w:color w:val="auto"/>
        </w:rPr>
        <w:tab/>
      </w:r>
      <w:hyperlink r:id="rId128">
        <w:r>
          <w:rPr>
            <w:rFonts w:ascii="Arial" w:cs="Arial" w:eastAsia="Arial" w:hAnsi="Arial"/>
            <w:sz w:val="15"/>
            <w:szCs w:val="15"/>
            <w:u w:val="single" w:color="auto"/>
            <w:color w:val="0000FF"/>
          </w:rPr>
          <w:t>Share Purchase Agreement, dated as of September 7, 2023, by and among</w:t>
        </w:r>
      </w:hyperlink>
      <w:r>
        <w:rPr>
          <w:rFonts w:ascii="Arial" w:cs="Arial" w:eastAsia="Arial" w:hAnsi="Arial"/>
          <w:sz w:val="15"/>
          <w:szCs w:val="15"/>
          <w:u w:val="single" w:color="auto"/>
          <w:color w:val="0000FF"/>
        </w:rPr>
        <w:t xml:space="preserve"> </w:t>
      </w:r>
      <w:hyperlink r:id="rId128">
        <w:r>
          <w:rPr>
            <w:rFonts w:ascii="Arial" w:cs="Arial" w:eastAsia="Arial" w:hAnsi="Arial"/>
            <w:sz w:val="15"/>
            <w:szCs w:val="15"/>
            <w:u w:val="single" w:color="auto"/>
            <w:color w:val="0000FF"/>
          </w:rPr>
          <w:t>Tenable, Inc., Ermetic Ltd., the shareholders of Ermetic identified on the</w:t>
        </w:r>
      </w:hyperlink>
      <w:r>
        <w:rPr>
          <w:rFonts w:ascii="Arial" w:cs="Arial" w:eastAsia="Arial" w:hAnsi="Arial"/>
          <w:sz w:val="15"/>
          <w:szCs w:val="15"/>
          <w:u w:val="single" w:color="auto"/>
          <w:color w:val="0000FF"/>
        </w:rPr>
        <w:t xml:space="preserve"> </w:t>
      </w:r>
      <w:hyperlink r:id="rId128">
        <w:r>
          <w:rPr>
            <w:rFonts w:ascii="Arial" w:cs="Arial" w:eastAsia="Arial" w:hAnsi="Arial"/>
            <w:sz w:val="15"/>
            <w:szCs w:val="15"/>
            <w:u w:val="single" w:color="auto"/>
            <w:color w:val="0000FF"/>
          </w:rPr>
          <w:t>signature pages thereto and Shareholder Representative Services LLC.</w:t>
        </w:r>
      </w:hyperlink>
    </w:p>
    <w:p>
      <w:pPr>
        <w:spacing w:after="0" w:line="2" w:lineRule="exact"/>
        <w:rPr>
          <w:rFonts w:ascii="Arial" w:cs="Arial" w:eastAsia="Arial" w:hAnsi="Arial"/>
          <w:sz w:val="15"/>
          <w:szCs w:val="15"/>
          <w:u w:val="single" w:color="auto"/>
          <w:color w:val="0000FF"/>
        </w:rPr>
      </w:pPr>
    </w:p>
    <w:p>
      <w:pPr>
        <w:ind w:left="1020" w:right="140" w:hanging="627"/>
        <w:spacing w:after="0" w:line="224"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129">
        <w:r>
          <w:rPr>
            <w:rFonts w:ascii="Arial" w:cs="Arial" w:eastAsia="Arial" w:hAnsi="Arial"/>
            <w:sz w:val="16"/>
            <w:szCs w:val="16"/>
            <w:u w:val="single" w:color="auto"/>
            <w:color w:val="0000FF"/>
          </w:rPr>
          <w:t>Share Purchase Agreement, dated as of January 29, 2025, by and among</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Ermetic Ltd., Vulcan Cyber Ltd., the shareholders of Vulcan Cyber identified on</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the signature pages thereto, Shareholder Representative Services LLC and</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Tenable, Inc.</w:t>
        </w:r>
      </w:hyperlink>
    </w:p>
    <w:p>
      <w:pPr>
        <w:spacing w:after="0" w:line="2" w:lineRule="exact"/>
        <w:rPr>
          <w:rFonts w:ascii="Arial" w:cs="Arial" w:eastAsia="Arial" w:hAnsi="Arial"/>
          <w:sz w:val="16"/>
          <w:szCs w:val="16"/>
          <w:u w:val="single" w:color="auto"/>
          <w:color w:val="0000FF"/>
        </w:rPr>
      </w:pPr>
    </w:p>
    <w:p>
      <w:pPr>
        <w:ind w:left="1020" w:right="420" w:hanging="631"/>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130">
        <w:r>
          <w:rPr>
            <w:rFonts w:ascii="Arial" w:cs="Arial" w:eastAsia="Arial" w:hAnsi="Arial"/>
            <w:sz w:val="16"/>
            <w:szCs w:val="16"/>
            <w:u w:val="single" w:color="auto"/>
            <w:color w:val="0000FF"/>
          </w:rPr>
          <w:t>Form of Restricted Stock Unit Grant Notice and Agreement under the 2018</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Equity Incentive Plan</w:t>
        </w:r>
      </w:hyperlink>
    </w:p>
    <w:p>
      <w:pPr>
        <w:spacing w:after="0" w:line="1" w:lineRule="exact"/>
        <w:rPr>
          <w:sz w:val="20"/>
          <w:szCs w:val="20"/>
          <w:color w:val="auto"/>
        </w:rPr>
      </w:pPr>
    </w:p>
    <w:p>
      <w:pPr>
        <w:ind w:left="1020" w:right="420" w:hanging="631"/>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131">
        <w:r>
          <w:rPr>
            <w:rFonts w:ascii="Arial" w:cs="Arial" w:eastAsia="Arial" w:hAnsi="Arial"/>
            <w:sz w:val="16"/>
            <w:szCs w:val="16"/>
            <w:u w:val="single" w:color="auto"/>
            <w:color w:val="0000FF"/>
          </w:rPr>
          <w:t>Form of Restricted Stock Unit Grant Notice and Agreement under the 2018</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Equity Incentive Plan</w:t>
        </w:r>
      </w:hyperlink>
    </w:p>
    <w:p>
      <w:pPr>
        <w:spacing w:after="0" w:line="1" w:lineRule="exact"/>
        <w:rPr>
          <w:sz w:val="20"/>
          <w:szCs w:val="20"/>
          <w:color w:val="auto"/>
        </w:rPr>
      </w:pPr>
    </w:p>
    <w:p>
      <w:pPr>
        <w:ind w:left="1020" w:hanging="538"/>
        <w:spacing w:after="0" w:line="22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w:t>
      </w:r>
      <w:r>
        <w:rPr>
          <w:sz w:val="20"/>
          <w:szCs w:val="20"/>
          <w:color w:val="auto"/>
        </w:rPr>
        <w:tab/>
      </w:r>
      <w:hyperlink r:id="rId132">
        <w:r>
          <w:rPr>
            <w:rFonts w:ascii="Arial" w:cs="Arial" w:eastAsia="Arial" w:hAnsi="Arial"/>
            <w:sz w:val="16"/>
            <w:szCs w:val="16"/>
            <w:u w:val="single" w:color="auto"/>
            <w:color w:val="0000FF"/>
          </w:rPr>
          <w:t>Amendment No. 1 to Credit Agreement, dated as of June 1, 2023, by and among</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Tenable, Inc., the lenders party thereto and JPMorgan Chase Bank, N.A., as</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administrative agent and collateral agent.</w:t>
        </w:r>
      </w:hyperlink>
    </w:p>
    <w:p>
      <w:pPr>
        <w:spacing w:after="0" w:line="3" w:lineRule="exact"/>
        <w:rPr>
          <w:rFonts w:ascii="Arial" w:cs="Arial" w:eastAsia="Arial" w:hAnsi="Arial"/>
          <w:sz w:val="16"/>
          <w:szCs w:val="16"/>
          <w:u w:val="single" w:color="auto"/>
          <w:color w:val="0000FF"/>
        </w:rPr>
      </w:pPr>
    </w:p>
    <w:p>
      <w:pPr>
        <w:ind w:left="38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10.17+</w:t>
      </w:r>
      <w:r>
        <w:rPr>
          <w:sz w:val="20"/>
          <w:szCs w:val="20"/>
          <w:color w:val="auto"/>
        </w:rPr>
        <w:tab/>
      </w:r>
      <w:hyperlink r:id="rId133">
        <w:r>
          <w:rPr>
            <w:rFonts w:ascii="Arial" w:cs="Arial" w:eastAsia="Arial" w:hAnsi="Arial"/>
            <w:sz w:val="15"/>
            <w:szCs w:val="15"/>
            <w:u w:val="single" w:color="auto"/>
            <w:color w:val="0000FF"/>
          </w:rPr>
          <w:t>Non-Employee Director Compensation Policy</w:t>
        </w:r>
      </w:hyperlink>
    </w:p>
    <w:p>
      <w:pPr>
        <w:spacing w:after="0" w:line="346" w:lineRule="exact"/>
        <w:rPr>
          <w:rFonts w:ascii="Arial" w:cs="Arial" w:eastAsia="Arial" w:hAnsi="Arial"/>
          <w:sz w:val="16"/>
          <w:szCs w:val="16"/>
          <w:u w:val="single" w:color="auto"/>
          <w:color w:val="0000FF"/>
        </w:rPr>
      </w:pPr>
    </w:p>
    <w:p>
      <w:pPr>
        <w:ind w:left="560"/>
        <w:spacing w:after="0"/>
        <w:tabs>
          <w:tab w:leader="none" w:pos="1000"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5"/>
          <w:szCs w:val="15"/>
          <w:u w:val="single" w:color="auto"/>
          <w:color w:val="0000FF"/>
        </w:rPr>
        <w:t>Tenable Holdings, Inc. Insider Trading Policy</w:t>
      </w:r>
    </w:p>
    <w:p>
      <w:pPr>
        <w:spacing w:after="0" w:line="28" w:lineRule="exact"/>
        <w:rPr>
          <w:rFonts w:ascii="Arial" w:cs="Arial" w:eastAsia="Arial" w:hAnsi="Arial"/>
          <w:sz w:val="16"/>
          <w:szCs w:val="16"/>
          <w:u w:val="single" w:color="auto"/>
          <w:color w:val="0000FF"/>
        </w:rPr>
      </w:pPr>
    </w:p>
    <w:p>
      <w:pPr>
        <w:ind w:left="560"/>
        <w:spacing w:after="0"/>
        <w:tabs>
          <w:tab w:leader="none" w:pos="100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5"/>
          <w:szCs w:val="15"/>
          <w:u w:val="single" w:color="auto"/>
          <w:color w:val="0000FF"/>
        </w:rPr>
        <w:t>Subsidiaries of Tenable Holdings, Inc.</w:t>
      </w:r>
    </w:p>
    <w:p>
      <w:pPr>
        <w:spacing w:after="0" w:line="28" w:lineRule="exact"/>
        <w:rPr>
          <w:rFonts w:ascii="Arial" w:cs="Arial" w:eastAsia="Arial" w:hAnsi="Arial"/>
          <w:sz w:val="16"/>
          <w:szCs w:val="16"/>
          <w:u w:val="single" w:color="auto"/>
          <w:color w:val="0000FF"/>
        </w:rPr>
      </w:pPr>
    </w:p>
    <w:p>
      <w:pPr>
        <w:ind w:left="560"/>
        <w:spacing w:after="0"/>
        <w:tabs>
          <w:tab w:leader="none" w:pos="100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5"/>
          <w:szCs w:val="15"/>
          <w:u w:val="single" w:color="auto"/>
          <w:color w:val="0000FF"/>
        </w:rPr>
        <w:t>Consent of Ernst &amp; Young LLP, independent registered public accounting firm</w:t>
      </w:r>
    </w:p>
    <w:p>
      <w:pPr>
        <w:spacing w:after="0" w:line="28" w:lineRule="exact"/>
        <w:rPr>
          <w:rFonts w:ascii="Arial" w:cs="Arial" w:eastAsia="Arial" w:hAnsi="Arial"/>
          <w:sz w:val="16"/>
          <w:szCs w:val="16"/>
          <w:u w:val="single" w:color="auto"/>
          <w:color w:val="0000FF"/>
        </w:rPr>
      </w:pPr>
    </w:p>
    <w:p>
      <w:pPr>
        <w:ind w:left="560"/>
        <w:spacing w:after="0"/>
        <w:tabs>
          <w:tab w:leader="none" w:pos="100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5"/>
          <w:szCs w:val="15"/>
          <w:u w:val="single" w:color="auto"/>
          <w:color w:val="0000FF"/>
        </w:rPr>
        <w:t>Power of Attorney</w:t>
      </w:r>
    </w:p>
    <w:p>
      <w:pPr>
        <w:spacing w:after="0" w:line="28" w:lineRule="exact"/>
        <w:rPr>
          <w:rFonts w:ascii="Arial" w:cs="Arial" w:eastAsia="Arial" w:hAnsi="Arial"/>
          <w:sz w:val="16"/>
          <w:szCs w:val="16"/>
          <w:u w:val="single" w:color="auto"/>
          <w:color w:val="0000FF"/>
        </w:rPr>
      </w:pPr>
    </w:p>
    <w:p>
      <w:pPr>
        <w:ind w:left="1020" w:right="40" w:hanging="450"/>
        <w:spacing w:after="0" w:line="229" w:lineRule="auto"/>
        <w:tabs>
          <w:tab w:leader="none" w:pos="100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of the Principal Executive Officer and Principal Financial Officer pursuant to Rules 13a-14(a) and 15d-14(a) under the Exchange Act, as adopted pursuant to Section 302 of the Sarbanes-Oxley Act of 2002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90" w:lineRule="exact"/>
        <w:rPr>
          <w:rFonts w:ascii="Arial" w:cs="Arial" w:eastAsia="Arial" w:hAnsi="Arial"/>
          <w:sz w:val="16"/>
          <w:szCs w:val="16"/>
          <w:u w:val="single" w:color="auto"/>
          <w:color w:val="0000FF"/>
        </w:rPr>
      </w:pPr>
    </w:p>
    <w:p>
      <w:pPr>
        <w:ind w:right="140"/>
        <w:spacing w:after="0" w:line="229" w:lineRule="auto"/>
        <w:rPr>
          <w:sz w:val="20"/>
          <w:szCs w:val="20"/>
          <w:color w:val="auto"/>
        </w:rPr>
      </w:pPr>
      <w:r>
        <w:rPr>
          <w:rFonts w:ascii="Arial" w:cs="Arial" w:eastAsia="Arial" w:hAnsi="Arial"/>
          <w:sz w:val="16"/>
          <w:szCs w:val="16"/>
          <w:color w:val="auto"/>
        </w:rPr>
        <w:t>Previously filed as Exhibit 10.1 to the Company's Current Report on Form 8-K (File No. 001-38600) filed on February 28, 2022</w:t>
      </w:r>
    </w:p>
    <w:p>
      <w:pPr>
        <w:spacing w:after="0" w:line="3" w:lineRule="exact"/>
        <w:rPr>
          <w:rFonts w:ascii="Arial" w:cs="Arial" w:eastAsia="Arial" w:hAnsi="Arial"/>
          <w:sz w:val="16"/>
          <w:szCs w:val="16"/>
          <w:u w:val="single" w:color="auto"/>
          <w:color w:val="0000FF"/>
        </w:rPr>
      </w:pPr>
    </w:p>
    <w:p>
      <w:pPr>
        <w:ind w:right="400"/>
        <w:spacing w:after="0" w:line="229" w:lineRule="auto"/>
        <w:rPr>
          <w:sz w:val="20"/>
          <w:szCs w:val="20"/>
          <w:color w:val="auto"/>
        </w:rPr>
      </w:pPr>
      <w:r>
        <w:rPr>
          <w:rFonts w:ascii="Arial" w:cs="Arial" w:eastAsia="Arial" w:hAnsi="Arial"/>
          <w:sz w:val="16"/>
          <w:szCs w:val="16"/>
          <w:color w:val="auto"/>
        </w:rPr>
        <w:t>Previously filed as Exhibit 10.5 to the Company's Registration Statement on Form S-8 (File No. 333-226347) on July 26, 2018</w:t>
      </w:r>
    </w:p>
    <w:p>
      <w:pPr>
        <w:spacing w:after="0" w:line="3" w:lineRule="exact"/>
        <w:rPr>
          <w:rFonts w:ascii="Arial" w:cs="Arial" w:eastAsia="Arial" w:hAnsi="Arial"/>
          <w:sz w:val="16"/>
          <w:szCs w:val="16"/>
          <w:u w:val="single" w:color="auto"/>
          <w:color w:val="0000FF"/>
        </w:rPr>
      </w:pPr>
    </w:p>
    <w:p>
      <w:pPr>
        <w:ind w:right="400"/>
        <w:spacing w:after="0" w:line="229" w:lineRule="auto"/>
        <w:rPr>
          <w:sz w:val="20"/>
          <w:szCs w:val="20"/>
          <w:color w:val="auto"/>
        </w:rPr>
      </w:pPr>
      <w:r>
        <w:rPr>
          <w:rFonts w:ascii="Arial" w:cs="Arial" w:eastAsia="Arial" w:hAnsi="Arial"/>
          <w:sz w:val="16"/>
          <w:szCs w:val="16"/>
          <w:color w:val="auto"/>
        </w:rPr>
        <w:t>Previously filed as Exhibit 10.6 to the Company's Registration Statement on Form S-1 (File No. 333-226002) on July 16, 2018</w:t>
      </w:r>
    </w:p>
    <w:p>
      <w:pPr>
        <w:spacing w:after="0" w:line="3" w:lineRule="exact"/>
        <w:rPr>
          <w:rFonts w:ascii="Arial" w:cs="Arial" w:eastAsia="Arial" w:hAnsi="Arial"/>
          <w:sz w:val="16"/>
          <w:szCs w:val="16"/>
          <w:u w:val="single" w:color="auto"/>
          <w:color w:val="0000FF"/>
        </w:rPr>
      </w:pPr>
    </w:p>
    <w:p>
      <w:pPr>
        <w:ind w:right="260"/>
        <w:spacing w:after="0" w:line="229" w:lineRule="auto"/>
        <w:rPr>
          <w:sz w:val="20"/>
          <w:szCs w:val="20"/>
          <w:color w:val="auto"/>
        </w:rPr>
      </w:pPr>
      <w:r>
        <w:rPr>
          <w:rFonts w:ascii="Arial" w:cs="Arial" w:eastAsia="Arial" w:hAnsi="Arial"/>
          <w:sz w:val="16"/>
          <w:szCs w:val="16"/>
          <w:color w:val="auto"/>
        </w:rPr>
        <w:t>Previously filed as Exhibit 10.1 to the Company's Current Report on Form 8-K (File No. 001-38600) on February 22, 2019</w:t>
      </w:r>
    </w:p>
    <w:p>
      <w:pPr>
        <w:spacing w:after="0" w:line="3" w:lineRule="exact"/>
        <w:rPr>
          <w:rFonts w:ascii="Arial" w:cs="Arial" w:eastAsia="Arial" w:hAnsi="Arial"/>
          <w:sz w:val="16"/>
          <w:szCs w:val="16"/>
          <w:u w:val="single" w:color="auto"/>
          <w:color w:val="0000FF"/>
        </w:rPr>
      </w:pPr>
    </w:p>
    <w:p>
      <w:pPr>
        <w:ind w:right="260"/>
        <w:spacing w:after="0" w:line="229" w:lineRule="auto"/>
        <w:rPr>
          <w:sz w:val="20"/>
          <w:szCs w:val="20"/>
          <w:color w:val="auto"/>
        </w:rPr>
      </w:pPr>
      <w:r>
        <w:rPr>
          <w:rFonts w:ascii="Arial" w:cs="Arial" w:eastAsia="Arial" w:hAnsi="Arial"/>
          <w:sz w:val="16"/>
          <w:szCs w:val="16"/>
          <w:color w:val="auto"/>
        </w:rPr>
        <w:t>Previously filed as Exhibit 10.2 to the Company's Current Report on Form 8-K (File No. 001-38600) on February 22, 2019</w:t>
      </w:r>
    </w:p>
    <w:p>
      <w:pPr>
        <w:spacing w:after="0" w:line="3" w:lineRule="exact"/>
        <w:rPr>
          <w:rFonts w:ascii="Arial" w:cs="Arial" w:eastAsia="Arial" w:hAnsi="Arial"/>
          <w:sz w:val="16"/>
          <w:szCs w:val="16"/>
          <w:u w:val="single" w:color="auto"/>
          <w:color w:val="0000FF"/>
        </w:rPr>
      </w:pPr>
    </w:p>
    <w:p>
      <w:pPr>
        <w:ind w:right="200"/>
        <w:spacing w:after="0" w:line="229" w:lineRule="auto"/>
        <w:rPr>
          <w:sz w:val="20"/>
          <w:szCs w:val="20"/>
          <w:color w:val="auto"/>
        </w:rPr>
      </w:pPr>
      <w:r>
        <w:rPr>
          <w:rFonts w:ascii="Arial" w:cs="Arial" w:eastAsia="Arial" w:hAnsi="Arial"/>
          <w:sz w:val="16"/>
          <w:szCs w:val="16"/>
          <w:color w:val="auto"/>
        </w:rPr>
        <w:t>Previously filed as Exhibit 10.11 to the Company's Annual Report on Form 10-K (File No. 001-38600) on February 24, 2023</w:t>
      </w:r>
    </w:p>
    <w:p>
      <w:pPr>
        <w:spacing w:after="0" w:line="3" w:lineRule="exact"/>
        <w:rPr>
          <w:rFonts w:ascii="Arial" w:cs="Arial" w:eastAsia="Arial" w:hAnsi="Arial"/>
          <w:sz w:val="16"/>
          <w:szCs w:val="16"/>
          <w:u w:val="single" w:color="auto"/>
          <w:color w:val="0000FF"/>
        </w:rPr>
      </w:pPr>
    </w:p>
    <w:p>
      <w:pPr>
        <w:jc w:val="both"/>
        <w:ind w:right="400"/>
        <w:spacing w:after="0" w:line="229" w:lineRule="auto"/>
        <w:rPr>
          <w:sz w:val="20"/>
          <w:szCs w:val="20"/>
          <w:color w:val="auto"/>
        </w:rPr>
      </w:pPr>
      <w:r>
        <w:rPr>
          <w:rFonts w:ascii="Arial" w:cs="Arial" w:eastAsia="Arial" w:hAnsi="Arial"/>
          <w:sz w:val="16"/>
          <w:szCs w:val="16"/>
          <w:color w:val="auto"/>
        </w:rPr>
        <w:t>Previously filed as Exhibit 10.12 to the Company's Registration Statement on Form S-1 (File No. 333-226002) on July 16, 2018</w:t>
      </w:r>
    </w:p>
    <w:p>
      <w:pPr>
        <w:spacing w:after="0" w:line="3" w:lineRule="exact"/>
        <w:rPr>
          <w:rFonts w:ascii="Arial" w:cs="Arial" w:eastAsia="Arial" w:hAnsi="Arial"/>
          <w:sz w:val="16"/>
          <w:szCs w:val="16"/>
          <w:u w:val="single" w:color="auto"/>
          <w:color w:val="0000FF"/>
        </w:rPr>
      </w:pPr>
    </w:p>
    <w:p>
      <w:pPr>
        <w:ind w:right="120"/>
        <w:spacing w:after="0" w:line="241" w:lineRule="auto"/>
        <w:rPr>
          <w:sz w:val="20"/>
          <w:szCs w:val="20"/>
          <w:color w:val="auto"/>
        </w:rPr>
      </w:pPr>
      <w:r>
        <w:rPr>
          <w:rFonts w:ascii="Arial" w:cs="Arial" w:eastAsia="Arial" w:hAnsi="Arial"/>
          <w:sz w:val="16"/>
          <w:szCs w:val="16"/>
          <w:color w:val="auto"/>
        </w:rPr>
        <w:t>Previously filed as Exhibit 10.2 to the Company's Form 10-Q (File No. 001-38600) on August 2, 2021</w:t>
      </w:r>
    </w:p>
    <w:p>
      <w:pPr>
        <w:spacing w:after="0" w:line="213" w:lineRule="exact"/>
        <w:rPr>
          <w:rFonts w:ascii="Arial" w:cs="Arial" w:eastAsia="Arial" w:hAnsi="Arial"/>
          <w:sz w:val="16"/>
          <w:szCs w:val="16"/>
          <w:u w:val="single" w:color="auto"/>
          <w:color w:val="0000FF"/>
        </w:rPr>
      </w:pPr>
    </w:p>
    <w:p>
      <w:pPr>
        <w:jc w:val="both"/>
        <w:spacing w:after="0" w:line="229" w:lineRule="auto"/>
        <w:rPr>
          <w:sz w:val="20"/>
          <w:szCs w:val="20"/>
          <w:color w:val="auto"/>
        </w:rPr>
      </w:pPr>
      <w:r>
        <w:rPr>
          <w:rFonts w:ascii="Arial" w:cs="Arial" w:eastAsia="Arial" w:hAnsi="Arial"/>
          <w:sz w:val="16"/>
          <w:szCs w:val="16"/>
          <w:color w:val="auto"/>
        </w:rPr>
        <w:t>Previously filed as Exhibit 2.1 to the Company's Current Report on Form 8-K (File No. 001-38600) on September 7, 2023</w:t>
      </w:r>
    </w:p>
    <w:p>
      <w:pPr>
        <w:spacing w:after="0" w:line="3" w:lineRule="exact"/>
        <w:rPr>
          <w:rFonts w:ascii="Arial" w:cs="Arial" w:eastAsia="Arial" w:hAnsi="Arial"/>
          <w:sz w:val="16"/>
          <w:szCs w:val="16"/>
          <w:u w:val="single" w:color="auto"/>
          <w:color w:val="0000FF"/>
        </w:rPr>
      </w:pPr>
    </w:p>
    <w:p>
      <w:pPr>
        <w:ind w:right="40"/>
        <w:spacing w:after="0" w:line="229" w:lineRule="auto"/>
        <w:rPr>
          <w:sz w:val="20"/>
          <w:szCs w:val="20"/>
          <w:color w:val="auto"/>
        </w:rPr>
      </w:pPr>
      <w:r>
        <w:rPr>
          <w:rFonts w:ascii="Arial" w:cs="Arial" w:eastAsia="Arial" w:hAnsi="Arial"/>
          <w:sz w:val="16"/>
          <w:szCs w:val="16"/>
          <w:color w:val="auto"/>
        </w:rPr>
        <w:t>Previously filed as Exhibit 2.1 to the Company's Current Report on Form 8-K (File No. 001-38600) on January 29, 2025</w:t>
      </w:r>
    </w:p>
    <w:p>
      <w:pPr>
        <w:spacing w:after="0" w:line="162" w:lineRule="exact"/>
        <w:rPr>
          <w:rFonts w:ascii="Arial" w:cs="Arial" w:eastAsia="Arial" w:hAnsi="Arial"/>
          <w:sz w:val="16"/>
          <w:szCs w:val="16"/>
          <w:u w:val="single" w:color="auto"/>
          <w:color w:val="0000FF"/>
        </w:rPr>
      </w:pPr>
    </w:p>
    <w:p>
      <w:pPr>
        <w:ind w:right="120"/>
        <w:spacing w:after="0" w:line="241" w:lineRule="auto"/>
        <w:rPr>
          <w:sz w:val="20"/>
          <w:szCs w:val="20"/>
          <w:color w:val="auto"/>
        </w:rPr>
      </w:pPr>
      <w:r>
        <w:rPr>
          <w:rFonts w:ascii="Arial" w:cs="Arial" w:eastAsia="Arial" w:hAnsi="Arial"/>
          <w:sz w:val="16"/>
          <w:szCs w:val="16"/>
          <w:color w:val="auto"/>
        </w:rPr>
        <w:t>Previously filed as Exhibit 10.2 to the Company's Form 10-Q (File No. 001-38600) on August 2, 2023</w:t>
      </w:r>
    </w:p>
    <w:p>
      <w:pPr>
        <w:spacing w:after="0" w:line="1" w:lineRule="exact"/>
        <w:rPr>
          <w:rFonts w:ascii="Arial" w:cs="Arial" w:eastAsia="Arial" w:hAnsi="Arial"/>
          <w:sz w:val="16"/>
          <w:szCs w:val="16"/>
          <w:u w:val="single" w:color="auto"/>
          <w:color w:val="0000FF"/>
        </w:rPr>
      </w:pPr>
    </w:p>
    <w:p>
      <w:pPr>
        <w:ind w:right="120"/>
        <w:spacing w:after="0" w:line="258" w:lineRule="auto"/>
        <w:rPr>
          <w:sz w:val="20"/>
          <w:szCs w:val="20"/>
          <w:color w:val="auto"/>
        </w:rPr>
      </w:pPr>
      <w:r>
        <w:rPr>
          <w:rFonts w:ascii="Arial" w:cs="Arial" w:eastAsia="Arial" w:hAnsi="Arial"/>
          <w:sz w:val="15"/>
          <w:szCs w:val="15"/>
          <w:color w:val="auto"/>
        </w:rPr>
        <w:t>Previously filed as Exhibit 10.1 to the Company's Form 10-Q (File No. 001-38600) on November 9, 2023</w:t>
      </w:r>
    </w:p>
    <w:p>
      <w:pPr>
        <w:ind w:right="120"/>
        <w:spacing w:after="0" w:line="241" w:lineRule="auto"/>
        <w:rPr>
          <w:sz w:val="20"/>
          <w:szCs w:val="20"/>
          <w:color w:val="auto"/>
        </w:rPr>
      </w:pPr>
      <w:r>
        <w:rPr>
          <w:rFonts w:ascii="Arial" w:cs="Arial" w:eastAsia="Arial" w:hAnsi="Arial"/>
          <w:sz w:val="16"/>
          <w:szCs w:val="16"/>
          <w:color w:val="auto"/>
        </w:rPr>
        <w:t>Previously filed as Exhibit 10.1 to the Company's Form 10-Q (File No. 001-38600) on August 2, 2023</w:t>
      </w:r>
    </w:p>
    <w:p>
      <w:pPr>
        <w:spacing w:after="0" w:line="160" w:lineRule="exact"/>
        <w:rPr>
          <w:rFonts w:ascii="Arial" w:cs="Arial" w:eastAsia="Arial" w:hAnsi="Arial"/>
          <w:sz w:val="16"/>
          <w:szCs w:val="16"/>
          <w:u w:val="single" w:color="auto"/>
          <w:color w:val="0000FF"/>
        </w:rPr>
      </w:pPr>
    </w:p>
    <w:p>
      <w:pPr>
        <w:ind w:right="260"/>
        <w:spacing w:after="0" w:line="229" w:lineRule="auto"/>
        <w:rPr>
          <w:sz w:val="20"/>
          <w:szCs w:val="20"/>
          <w:color w:val="auto"/>
        </w:rPr>
      </w:pPr>
      <w:r>
        <w:rPr>
          <w:rFonts w:ascii="Arial" w:cs="Arial" w:eastAsia="Arial" w:hAnsi="Arial"/>
          <w:sz w:val="16"/>
          <w:szCs w:val="16"/>
          <w:color w:val="auto"/>
        </w:rPr>
        <w:t>Previously filed as Exhibit 10.1 to the Company's Current Report on Form 8-K (File No. 001-38600) on May 23, 2024</w:t>
      </w:r>
    </w:p>
    <w:p>
      <w:pPr>
        <w:spacing w:after="0" w:line="3"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542" w:lineRule="exact"/>
        <w:rPr>
          <w:rFonts w:ascii="Arial" w:cs="Arial" w:eastAsia="Arial" w:hAnsi="Arial"/>
          <w:sz w:val="16"/>
          <w:szCs w:val="16"/>
          <w:u w:val="single" w:color="auto"/>
          <w:color w:val="0000FF"/>
        </w:rPr>
      </w:pPr>
    </w:p>
    <w:p>
      <w:pPr>
        <w:sectPr>
          <w:pgSz w:w="11900" w:h="16838" w:orient="portrait"/>
          <w:cols w:equalWidth="0" w:num="2">
            <w:col w:w="6700" w:space="160"/>
            <w:col w:w="3960"/>
          </w:cols>
          <w:pgMar w:left="320" w:top="121" w:right="759" w:bottom="1440" w:gutter="0" w:footer="0" w:header="0"/>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28" w:lineRule="exact"/>
        <w:rPr>
          <w:rFonts w:ascii="Arial" w:cs="Arial" w:eastAsia="Arial" w:hAnsi="Arial"/>
          <w:sz w:val="16"/>
          <w:szCs w:val="16"/>
          <w:u w:val="single" w:color="auto"/>
          <w:color w:val="0000FF"/>
        </w:rPr>
      </w:pPr>
    </w:p>
    <w:p>
      <w:pPr>
        <w:ind w:left="5640"/>
        <w:spacing w:after="0"/>
        <w:rPr>
          <w:sz w:val="20"/>
          <w:szCs w:val="20"/>
          <w:color w:val="auto"/>
        </w:rPr>
      </w:pPr>
      <w:r>
        <w:rPr>
          <w:rFonts w:ascii="Arial" w:cs="Arial" w:eastAsia="Arial" w:hAnsi="Arial"/>
          <w:sz w:val="17"/>
          <w:szCs w:val="17"/>
          <w:color w:val="auto"/>
        </w:rPr>
        <w:t>104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32.1*</w:t>
            </w:r>
          </w:p>
        </w:tc>
        <w:tc>
          <w:tcPr>
            <w:tcW w:w="5620" w:type="dxa"/>
            <w:vAlign w:val="bottom"/>
            <w:gridSpan w:val="5"/>
          </w:tcPr>
          <w:p>
            <w:pPr>
              <w:spacing w:after="0"/>
              <w:rPr>
                <w:sz w:val="20"/>
                <w:szCs w:val="20"/>
                <w:color w:val="auto"/>
              </w:rPr>
            </w:pPr>
            <w:r>
              <w:rPr>
                <w:rFonts w:ascii="Arial" w:cs="Arial" w:eastAsia="Arial" w:hAnsi="Arial"/>
                <w:sz w:val="16"/>
                <w:szCs w:val="16"/>
                <w:color w:val="0000FF"/>
                <w:w w:val="99"/>
              </w:rPr>
              <w:t>Certification of the Principal Executive Officer and the Principal Financial Officer</w:t>
            </w:r>
          </w:p>
        </w:tc>
      </w:tr>
      <w:tr>
        <w:trPr>
          <w:trHeight w:val="139"/>
        </w:trPr>
        <w:tc>
          <w:tcPr>
            <w:tcW w:w="780" w:type="dxa"/>
            <w:vAlign w:val="bottom"/>
          </w:tcPr>
          <w:p>
            <w:pPr>
              <w:spacing w:after="0"/>
              <w:rPr>
                <w:sz w:val="12"/>
                <w:szCs w:val="12"/>
                <w:color w:val="auto"/>
              </w:rPr>
            </w:pPr>
          </w:p>
        </w:tc>
        <w:tc>
          <w:tcPr>
            <w:tcW w:w="5600" w:type="dxa"/>
            <w:vAlign w:val="bottom"/>
            <w:tcBorders>
              <w:top w:val="single" w:sz="8" w:color="0000FF"/>
            </w:tcBorders>
            <w:gridSpan w:val="4"/>
          </w:tcPr>
          <w:p>
            <w:pPr>
              <w:spacing w:after="0" w:line="139" w:lineRule="exact"/>
              <w:rPr>
                <w:sz w:val="20"/>
                <w:szCs w:val="20"/>
                <w:color w:val="auto"/>
              </w:rPr>
            </w:pPr>
            <w:r>
              <w:rPr>
                <w:rFonts w:ascii="Arial" w:cs="Arial" w:eastAsia="Arial" w:hAnsi="Arial"/>
                <w:sz w:val="16"/>
                <w:szCs w:val="16"/>
                <w:color w:val="0000FF"/>
              </w:rPr>
              <w:t>pursuant to 18 U.S.C. Section 1350, as adopted pursuant to Section 906 of the</w:t>
            </w:r>
          </w:p>
        </w:tc>
        <w:tc>
          <w:tcPr>
            <w:tcW w:w="20" w:type="dxa"/>
            <w:vAlign w:val="bottom"/>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5540" w:type="dxa"/>
            <w:vAlign w:val="bottom"/>
            <w:tcBorders>
              <w:top w:val="single" w:sz="8" w:color="0000FF"/>
            </w:tcBorders>
            <w:gridSpan w:val="3"/>
          </w:tcPr>
          <w:p>
            <w:pPr>
              <w:spacing w:after="0" w:line="139" w:lineRule="exact"/>
              <w:rPr>
                <w:sz w:val="20"/>
                <w:szCs w:val="20"/>
                <w:color w:val="auto"/>
              </w:rPr>
            </w:pPr>
            <w:r>
              <w:rPr>
                <w:rFonts w:ascii="Arial" w:cs="Arial" w:eastAsia="Arial" w:hAnsi="Arial"/>
                <w:sz w:val="16"/>
                <w:szCs w:val="16"/>
                <w:color w:val="0000FF"/>
              </w:rPr>
              <w:t>Sarbanes-Oxley Act of 2002</w:t>
            </w:r>
          </w:p>
        </w:tc>
        <w:tc>
          <w:tcPr>
            <w:tcW w:w="80" w:type="dxa"/>
            <w:vAlign w:val="bottom"/>
            <w:gridSpan w:val="2"/>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97.1</w:t>
            </w:r>
          </w:p>
        </w:tc>
        <w:tc>
          <w:tcPr>
            <w:tcW w:w="3120" w:type="dxa"/>
            <w:vAlign w:val="bottom"/>
            <w:tcBorders>
              <w:bottom w:val="single" w:sz="8" w:color="0000FF"/>
            </w:tcBorders>
            <w:gridSpan w:val="2"/>
          </w:tcPr>
          <w:p>
            <w:pPr>
              <w:spacing w:after="0"/>
              <w:rPr>
                <w:rFonts w:ascii="Arial" w:cs="Arial" w:eastAsia="Arial" w:hAnsi="Arial"/>
                <w:sz w:val="16"/>
                <w:szCs w:val="16"/>
                <w:color w:val="0000FF"/>
                <w:w w:val="98"/>
              </w:rPr>
            </w:pPr>
            <w:r>
              <w:rPr>
                <w:rFonts w:ascii="Arial" w:cs="Arial" w:eastAsia="Arial" w:hAnsi="Arial"/>
                <w:sz w:val="16"/>
                <w:szCs w:val="16"/>
                <w:color w:val="0000FF"/>
                <w:w w:val="98"/>
              </w:rPr>
              <w:t xml:space="preserve">Incentive </w:t>
            </w:r>
            <w:hyperlink r:id="rId135">
              <w:r>
                <w:rPr>
                  <w:rFonts w:ascii="Arial" w:cs="Arial" w:eastAsia="Arial" w:hAnsi="Arial"/>
                  <w:sz w:val="16"/>
                  <w:szCs w:val="16"/>
                  <w:color w:val="0000FF"/>
                  <w:w w:val="98"/>
                </w:rPr>
                <w:t>Compensation Recoupment Policy</w:t>
              </w:r>
            </w:hyperlink>
          </w:p>
        </w:tc>
        <w:tc>
          <w:tcPr>
            <w:tcW w:w="2500" w:type="dxa"/>
            <w:vAlign w:val="bottom"/>
            <w:gridSpan w:val="3"/>
          </w:tcPr>
          <w:p>
            <w:pPr>
              <w:spacing w:after="0"/>
              <w:rPr>
                <w:sz w:val="16"/>
                <w:szCs w:val="16"/>
                <w:color w:val="auto"/>
              </w:rPr>
            </w:pPr>
          </w:p>
        </w:tc>
      </w:tr>
      <w:tr>
        <w:trPr>
          <w:trHeight w:val="547"/>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5"/>
              </w:rPr>
              <w:t>101.SCH</w:t>
            </w:r>
          </w:p>
        </w:tc>
        <w:tc>
          <w:tcPr>
            <w:tcW w:w="562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9"/>
              </w:rPr>
              <w:t>101.CAL</w:t>
            </w:r>
          </w:p>
        </w:tc>
        <w:tc>
          <w:tcPr>
            <w:tcW w:w="562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8"/>
              </w:rPr>
              <w:t>101.DEF</w:t>
            </w:r>
          </w:p>
        </w:tc>
        <w:tc>
          <w:tcPr>
            <w:tcW w:w="562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101.LAB</w:t>
            </w:r>
          </w:p>
        </w:tc>
        <w:tc>
          <w:tcPr>
            <w:tcW w:w="562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6"/>
              </w:rPr>
              <w:t>101.PRE</w:t>
            </w:r>
          </w:p>
        </w:tc>
        <w:tc>
          <w:tcPr>
            <w:tcW w:w="562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 w:lineRule="exact"/>
        <w:rPr>
          <w:sz w:val="20"/>
          <w:szCs w:val="20"/>
          <w:color w:val="auto"/>
        </w:rPr>
      </w:pPr>
    </w:p>
    <w:p>
      <w:pPr>
        <w:ind w:left="1020" w:right="360" w:hanging="409"/>
        <w:spacing w:after="0" w:line="229"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 and 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346" w:lineRule="exact"/>
        <w:rPr>
          <w:sz w:val="20"/>
          <w:szCs w:val="20"/>
          <w:color w:val="auto"/>
        </w:rPr>
      </w:pPr>
    </w:p>
    <w:p>
      <w:pPr>
        <w:jc w:val="both"/>
        <w:ind w:right="320"/>
        <w:spacing w:after="0" w:line="229" w:lineRule="auto"/>
        <w:rPr>
          <w:sz w:val="20"/>
          <w:szCs w:val="20"/>
          <w:color w:val="auto"/>
        </w:rPr>
      </w:pPr>
      <w:r>
        <w:rPr>
          <w:rFonts w:ascii="Arial" w:cs="Arial" w:eastAsia="Arial" w:hAnsi="Arial"/>
          <w:sz w:val="16"/>
          <w:szCs w:val="16"/>
          <w:color w:val="auto"/>
        </w:rPr>
        <w:t>Previously filed as Exhibit 97.1 to the Company's Annual Report on Form 10-K (File No. 001-38600) on February 28, 2024</w:t>
      </w:r>
    </w:p>
    <w:p>
      <w:pPr>
        <w:spacing w:after="0" w:line="1674" w:lineRule="exact"/>
        <w:rPr>
          <w:sz w:val="20"/>
          <w:szCs w:val="20"/>
          <w:color w:val="auto"/>
        </w:rPr>
      </w:pPr>
    </w:p>
    <w:p>
      <w:pPr>
        <w:sectPr>
          <w:pgSz w:w="11900" w:h="16838" w:orient="portrait"/>
          <w:cols w:equalWidth="0" w:num="2">
            <w:col w:w="6620" w:space="240"/>
            <w:col w:w="4300"/>
          </w:cols>
          <w:pgMar w:left="320" w:top="121" w:right="419" w:bottom="1440" w:gutter="0" w:footer="0" w:header="0"/>
        </w:sectPr>
      </w:pPr>
    </w:p>
    <w:p>
      <w:pPr>
        <w:spacing w:after="0"/>
        <w:rPr>
          <w:sz w:val="20"/>
          <w:szCs w:val="20"/>
          <w:color w:val="auto"/>
        </w:rPr>
      </w:pPr>
      <w:r>
        <w:rPr>
          <w:rFonts w:ascii="Arial" w:cs="Arial" w:eastAsia="Arial" w:hAnsi="Arial"/>
          <w:sz w:val="11"/>
          <w:szCs w:val="11"/>
          <w:color w:val="auto"/>
        </w:rPr>
        <w:t>________________</w:t>
      </w:r>
    </w:p>
    <w:p>
      <w:pPr>
        <w:spacing w:after="0" w:line="45" w:lineRule="exact"/>
        <w:rPr>
          <w:sz w:val="20"/>
          <w:szCs w:val="20"/>
          <w:color w:val="auto"/>
        </w:rPr>
      </w:pPr>
    </w:p>
    <w:p>
      <w:pPr>
        <w:ind w:firstLine="6"/>
        <w:spacing w:after="0" w:line="267" w:lineRule="auto"/>
        <w:tabs>
          <w:tab w:leader="none" w:pos="34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62" w:lineRule="exact"/>
        <w:rPr>
          <w:sz w:val="20"/>
          <w:szCs w:val="20"/>
          <w:color w:val="auto"/>
        </w:rPr>
      </w:pPr>
    </w:p>
    <w:p>
      <w:pPr>
        <w:ind w:left="380" w:hanging="374"/>
        <w:spacing w:after="0"/>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21" w:lineRule="exact"/>
        <w:rPr>
          <w:sz w:val="20"/>
          <w:szCs w:val="20"/>
          <w:color w:val="auto"/>
        </w:rPr>
      </w:pPr>
    </w:p>
    <w:p>
      <w:pPr>
        <w:ind w:right="340" w:firstLine="6"/>
        <w:spacing w:after="0" w:line="275" w:lineRule="auto"/>
        <w:tabs>
          <w:tab w:leader="none" w:pos="3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Confidential treatment has been granted as to certain portions, indicated by asterisks, which portions have been omitted and filed separately with the Securities and Exchange Commission.</w:t>
      </w:r>
    </w:p>
    <w:p>
      <w:pPr>
        <w:spacing w:after="0" w:line="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480" w:type="dxa"/>
            <w:vAlign w:val="bottom"/>
          </w:tcPr>
          <w:p>
            <w:pPr>
              <w:spacing w:after="0"/>
              <w:rPr>
                <w:sz w:val="21"/>
                <w:szCs w:val="21"/>
                <w:color w:val="auto"/>
              </w:rPr>
            </w:pPr>
          </w:p>
        </w:tc>
        <w:tc>
          <w:tcPr>
            <w:tcW w:w="77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TENABLE HOLDINGS, INC.</w:t>
            </w:r>
          </w:p>
        </w:tc>
      </w:tr>
      <w:tr>
        <w:trPr>
          <w:trHeight w:val="477"/>
        </w:trPr>
        <w:tc>
          <w:tcPr>
            <w:tcW w:w="3480" w:type="dxa"/>
            <w:vAlign w:val="bottom"/>
          </w:tcPr>
          <w:p>
            <w:pPr>
              <w:spacing w:after="0"/>
              <w:rPr>
                <w:sz w:val="20"/>
                <w:szCs w:val="20"/>
                <w:color w:val="auto"/>
              </w:rPr>
            </w:pPr>
            <w:r>
              <w:rPr>
                <w:rFonts w:ascii="Arial" w:cs="Arial" w:eastAsia="Arial" w:hAnsi="Arial"/>
                <w:sz w:val="18"/>
                <w:szCs w:val="18"/>
                <w:color w:val="auto"/>
              </w:rPr>
              <w:t>Date:   February 21, 2025</w:t>
            </w:r>
          </w:p>
        </w:tc>
        <w:tc>
          <w:tcPr>
            <w:tcW w:w="7740" w:type="dxa"/>
            <w:vAlign w:val="bottom"/>
            <w:gridSpan w:val="2"/>
          </w:tcPr>
          <w:p>
            <w:pPr>
              <w:ind w:left="1380"/>
              <w:spacing w:after="0"/>
              <w:rPr>
                <w:sz w:val="20"/>
                <w:szCs w:val="20"/>
                <w:color w:val="auto"/>
              </w:rPr>
            </w:pPr>
            <w:r>
              <w:rPr>
                <w:rFonts w:ascii="Arial" w:cs="Arial" w:eastAsia="Arial" w:hAnsi="Arial"/>
                <w:sz w:val="18"/>
                <w:szCs w:val="18"/>
                <w:color w:val="auto"/>
              </w:rPr>
              <w:t>By:  /s/ Stephen A. Vintz</w:t>
            </w:r>
          </w:p>
        </w:tc>
      </w:tr>
      <w:tr>
        <w:trPr>
          <w:trHeight w:val="215"/>
        </w:trPr>
        <w:tc>
          <w:tcPr>
            <w:tcW w:w="3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32"/>
        </w:trPr>
        <w:tc>
          <w:tcPr>
            <w:tcW w:w="3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Co-Chief Executive Officer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19"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A. Vintz and J. Barron Anschutz,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06"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34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58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7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 and Chief Financial Officer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Stephen A. Vintz</w:t>
            </w:r>
          </w:p>
        </w:tc>
        <w:tc>
          <w:tcPr>
            <w:tcW w:w="12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/s/ J. Barron Anschutz</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Senior Vice President, Finance and Accounting</w:t>
            </w: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14"/>
        </w:trPr>
        <w:tc>
          <w:tcPr>
            <w:tcW w:w="3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J. Barron Anschutz</w:t>
            </w:r>
          </w:p>
        </w:tc>
        <w:tc>
          <w:tcPr>
            <w:tcW w:w="12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Arthur W. Coviello,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Arthur W. Coviello, Jr.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Zecher Higgins</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Linda Zecher Higgins</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Niloofar Razi Howe</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Niloofar Razi Howe</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 Huffard,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John C. Huffard, Jr.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Margaret Keane</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Margaret Keane</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Brooke Seawell</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A. Brooke Seawell</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Alexander Tosheff</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George Alexander Tosheff</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Vicks,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21, 2025</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Raymond Vicks, Jr.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320" w:top="121" w:right="239" w:bottom="1440" w:gutter="0" w:footer="0" w:header="0"/>
        </w:sectPr>
      </w:pPr>
    </w:p>
    <w:bookmarkStart w:id="107" w:name="page108"/>
    <w:bookmarkEnd w:id="107"/>
    <w:p>
      <w:pPr>
        <w:ind w:left="4240"/>
        <w:spacing w:after="0"/>
        <w:rPr>
          <w:sz w:val="20"/>
          <w:szCs w:val="20"/>
          <w:color w:val="auto"/>
        </w:rPr>
      </w:pPr>
      <w:r>
        <w:rPr>
          <w:rFonts w:ascii="Times New Roman" w:cs="Times New Roman" w:eastAsia="Times New Roman" w:hAnsi="Times New Roman"/>
          <w:sz w:val="21"/>
          <w:szCs w:val="21"/>
          <w:b w:val="1"/>
          <w:bCs w:val="1"/>
          <w:color w:val="auto"/>
        </w:rPr>
        <w:t>TENABLE HOLDINGS, INC.</w:t>
      </w:r>
    </w:p>
    <w:p>
      <w:pPr>
        <w:spacing w:after="0" w:line="3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INTRODUCTION</w:t>
      </w:r>
    </w:p>
    <w:p>
      <w:pPr>
        <w:spacing w:after="0" w:line="2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During the course of your relationship with Tenable Holdings, Inc. (“</w:t>
      </w:r>
      <w:r>
        <w:rPr>
          <w:rFonts w:ascii="Times New Roman" w:cs="Times New Roman" w:eastAsia="Times New Roman" w:hAnsi="Times New Roman"/>
          <w:sz w:val="21"/>
          <w:szCs w:val="21"/>
          <w:b w:val="1"/>
          <w:bCs w:val="1"/>
          <w:i w:val="1"/>
          <w:iCs w:val="1"/>
          <w:color w:val="auto"/>
        </w:rPr>
        <w:t>Tenable</w:t>
      </w:r>
      <w:r>
        <w:rPr>
          <w:rFonts w:ascii="Times New Roman" w:cs="Times New Roman" w:eastAsia="Times New Roman" w:hAnsi="Times New Roman"/>
          <w:sz w:val="21"/>
          <w:szCs w:val="21"/>
          <w:color w:val="auto"/>
        </w:rPr>
        <w:t>”), you may receive important information that is not yet publicly available (“</w:t>
      </w:r>
      <w:r>
        <w:rPr>
          <w:rFonts w:ascii="Times New Roman" w:cs="Times New Roman" w:eastAsia="Times New Roman" w:hAnsi="Times New Roman"/>
          <w:sz w:val="21"/>
          <w:szCs w:val="21"/>
          <w:b w:val="1"/>
          <w:bCs w:val="1"/>
          <w:i w:val="1"/>
          <w:iCs w:val="1"/>
          <w:color w:val="auto"/>
        </w:rPr>
        <w:t>inside information</w:t>
      </w:r>
      <w:r>
        <w:rPr>
          <w:rFonts w:ascii="Times New Roman" w:cs="Times New Roman" w:eastAsia="Times New Roman" w:hAnsi="Times New Roman"/>
          <w:sz w:val="21"/>
          <w:szCs w:val="21"/>
          <w:color w:val="auto"/>
        </w:rPr>
        <w:t>”) about Tenable or other publicly traded companies that Tenable has business relationships with. Inside information may give you or someone you pass that information on to a leg up over others when deciding whether to buy, sell, or otherwise deal in Tenable’s stock or the stock of another publicly traded company. This policy sets forth acceptable transactions by our employees, directors, and consultants in Tenable securities, as well as derivative securities that are not issued by Tenable, such as exchange-traded put or call options or swaps relating to Tenable’s securities. Accordingly, for purposes of this policy, the terms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transactions</w:t>
      </w:r>
      <w:r>
        <w:rPr>
          <w:rFonts w:ascii="Times New Roman" w:cs="Times New Roman" w:eastAsia="Times New Roman" w:hAnsi="Times New Roman"/>
          <w:sz w:val="21"/>
          <w:szCs w:val="21"/>
          <w:color w:val="auto"/>
        </w:rPr>
        <w:t>” include not only purchases and sales of Tenable’s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Securities Transactions</w:t>
      </w:r>
    </w:p>
    <w:p>
      <w:pPr>
        <w:spacing w:after="0" w:line="2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Using inside information for personal gain or passing this information (also known as a “</w:t>
      </w:r>
      <w:r>
        <w:rPr>
          <w:rFonts w:ascii="Times New Roman" w:cs="Times New Roman" w:eastAsia="Times New Roman" w:hAnsi="Times New Roman"/>
          <w:sz w:val="21"/>
          <w:szCs w:val="21"/>
          <w:b w:val="1"/>
          <w:bCs w:val="1"/>
          <w:i w:val="1"/>
          <w:iCs w:val="1"/>
          <w:color w:val="auto"/>
        </w:rPr>
        <w:t>tip</w:t>
      </w:r>
      <w:r>
        <w:rPr>
          <w:rFonts w:ascii="Times New Roman" w:cs="Times New Roman" w:eastAsia="Times New Roman" w:hAnsi="Times New Roman"/>
          <w:sz w:val="21"/>
          <w:szCs w:val="21"/>
          <w:color w:val="auto"/>
        </w:rPr>
        <w:t>”) to someone who uses it for personal gain (a “</w:t>
      </w:r>
      <w:r>
        <w:rPr>
          <w:rFonts w:ascii="Times New Roman" w:cs="Times New Roman" w:eastAsia="Times New Roman" w:hAnsi="Times New Roman"/>
          <w:sz w:val="21"/>
          <w:szCs w:val="21"/>
          <w:b w:val="1"/>
          <w:bCs w:val="1"/>
          <w:i w:val="1"/>
          <w:iCs w:val="1"/>
          <w:color w:val="auto"/>
        </w:rPr>
        <w:t>tippee</w:t>
      </w:r>
      <w:r>
        <w:rPr>
          <w:rFonts w:ascii="Times New Roman" w:cs="Times New Roman" w:eastAsia="Times New Roman" w:hAnsi="Times New Roman"/>
          <w:sz w:val="21"/>
          <w:szCs w:val="21"/>
          <w:color w:val="auto"/>
        </w:rPr>
        <w:t>”) is illegal and squarely prohibited by this policy. Exploiting inside information like this remains unlawful regardless of how many shares are bought or sold. You can be held liable for your own transactions, as well as the transactions by a tippee and even the transactions of a tippee’s tippee. Although it is imperative to refrain from any insider trading, it is equally important to avoid even the appearance of insider trading.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Inside Information</w:t>
      </w:r>
    </w:p>
    <w:p>
      <w:pPr>
        <w:spacing w:after="0" w:line="2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It is not always easy to figure out whether you possess inside information. But there is one important factor to determine whether nonpublic information you know about a company is inside information: whether sharing the information would likely affect the market price of that company’s stock or be considered important or “material” by investors who are considering trading that company’s stock. If the information makes you want to trade, it would probably have the same effect on others. Keep in mind that both positive and negative information can be material.</w:t>
      </w:r>
    </w:p>
    <w:p>
      <w:pPr>
        <w:spacing w:after="0" w:line="19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The following items may be considered inside information until publicly disclosed. There may be other types of information that would qualify as inside information as well; use this list merely as a non-exhaustive guide:</w:t>
      </w:r>
    </w:p>
    <w:p>
      <w:pPr>
        <w:spacing w:after="0" w:line="168" w:lineRule="exact"/>
        <w:rPr>
          <w:sz w:val="20"/>
          <w:szCs w:val="20"/>
          <w:color w:val="auto"/>
        </w:rPr>
      </w:pPr>
    </w:p>
    <w:p>
      <w:pPr>
        <w:ind w:left="1180" w:hanging="379"/>
        <w:spacing w:after="0"/>
        <w:tabs>
          <w:tab w:leader="none" w:pos="118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21"/>
          <w:szCs w:val="21"/>
          <w:color w:val="auto"/>
        </w:rPr>
        <w:t>financial results or forecasts;</w:t>
      </w:r>
    </w:p>
    <w:p>
      <w:pPr>
        <w:spacing w:after="0" w:line="35" w:lineRule="exact"/>
        <w:rPr>
          <w:rFonts w:ascii="Arial" w:cs="Arial" w:eastAsia="Arial" w:hAnsi="Arial"/>
          <w:sz w:val="19"/>
          <w:szCs w:val="19"/>
          <w:color w:val="auto"/>
        </w:rPr>
      </w:pPr>
    </w:p>
    <w:p>
      <w:pPr>
        <w:ind w:left="1180" w:hanging="379"/>
        <w:spacing w:after="0"/>
        <w:tabs>
          <w:tab w:leader="none" w:pos="118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major new products, features, or processes;</w:t>
      </w:r>
    </w:p>
    <w:p>
      <w:pPr>
        <w:sectPr>
          <w:pgSz w:w="11900" w:h="16838" w:orient="portrait"/>
          <w:cols w:equalWidth="0" w:num="1">
            <w:col w:w="11240"/>
          </w:cols>
          <w:pgMar w:left="320" w:top="1393" w:right="339" w:bottom="1440" w:gutter="0" w:footer="0" w:header="0"/>
        </w:sectPr>
      </w:pPr>
    </w:p>
    <w:bookmarkStart w:id="108" w:name="page109"/>
    <w:bookmarkEnd w:id="108"/>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acquisitions or dispositions of assets, divisions, or companies;</w:t>
      </w:r>
    </w:p>
    <w:p>
      <w:pPr>
        <w:spacing w:after="0" w:line="35"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restructuring of Tenable;</w:t>
      </w:r>
    </w:p>
    <w:p>
      <w:pPr>
        <w:spacing w:after="0" w:line="22"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pending public or private sales of debt or equity securities;</w:t>
      </w:r>
    </w:p>
    <w:p>
      <w:pPr>
        <w:spacing w:after="0" w:line="11"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stock splits, dividends, or changes in dividend policy;</w:t>
      </w:r>
    </w:p>
    <w:p>
      <w:pPr>
        <w:spacing w:after="0" w:line="22"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major contract awards or cancellations;</w:t>
      </w:r>
    </w:p>
    <w:p>
      <w:pPr>
        <w:spacing w:after="0" w:line="11"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key management or control changes;</w:t>
      </w:r>
    </w:p>
    <w:p>
      <w:pPr>
        <w:spacing w:after="0" w:line="23"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possible tender offers or proxy fights;</w:t>
      </w:r>
    </w:p>
    <w:p>
      <w:pPr>
        <w:spacing w:after="0" w:line="22"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significant accounting writeoffs;</w:t>
      </w:r>
    </w:p>
    <w:p>
      <w:pPr>
        <w:spacing w:after="0" w:line="11"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significant litigation or settlements;</w:t>
      </w:r>
    </w:p>
    <w:p>
      <w:pPr>
        <w:spacing w:after="0" w:line="22" w:lineRule="exact"/>
        <w:rPr>
          <w:rFonts w:ascii="Times New Roman" w:cs="Times New Roman" w:eastAsia="Times New Roman" w:hAnsi="Times New Roman"/>
          <w:sz w:val="19"/>
          <w:szCs w:val="19"/>
          <w:color w:val="auto"/>
        </w:rPr>
      </w:pPr>
    </w:p>
    <w:p>
      <w:pPr>
        <w:ind w:left="1200" w:right="460" w:hanging="399"/>
        <w:spacing w:after="0" w:line="254" w:lineRule="auto"/>
        <w:tabs>
          <w:tab w:leader="none" w:pos="118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significant actual or potential cybersecurity incidents (e.g., a data breach or any other significant disruption in Tenable’s operations, or loss, potential loss, breach or unauthorized access of its property or assets, whether at its facilities or through its information technology infrastructure);</w:t>
      </w:r>
    </w:p>
    <w:p>
      <w:pPr>
        <w:spacing w:after="0" w:line="1"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impending bankruptcy;</w:t>
      </w:r>
    </w:p>
    <w:p>
      <w:pPr>
        <w:spacing w:after="0" w:line="11"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gain or loss of a significant license agreement or other contracts with customers or suppliers;</w:t>
      </w:r>
    </w:p>
    <w:p>
      <w:pPr>
        <w:spacing w:after="0" w:line="23"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major marketing changes;</w:t>
      </w:r>
    </w:p>
    <w:p>
      <w:pPr>
        <w:spacing w:after="0" w:line="22"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pricing changes or discount policies; and</w:t>
      </w:r>
    </w:p>
    <w:p>
      <w:pPr>
        <w:spacing w:after="0" w:line="11" w:lineRule="exact"/>
        <w:rPr>
          <w:rFonts w:ascii="Times New Roman" w:cs="Times New Roman" w:eastAsia="Times New Roman" w:hAnsi="Times New Roman"/>
          <w:sz w:val="19"/>
          <w:szCs w:val="19"/>
          <w:color w:val="auto"/>
        </w:rPr>
      </w:pPr>
    </w:p>
    <w:p>
      <w:pPr>
        <w:ind w:left="1180" w:hanging="379"/>
        <w:spacing w:after="0"/>
        <w:tabs>
          <w:tab w:leader="none" w:pos="11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changes or new corporate partner relationships.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If you do possess inside information, you may not trade in a company’s stock, advise anyone else to do so, or communicate the information to anyone else until you know that the information has been publicly disseminated. This policy also applies to all family members, other household members of individuals covered by this policy, and all companies controlled by individuals covered by this policy. You should never recommend to another person or entity that they buy, hold, or sell our stock. In some circumstances, you may need to forgo a planned transaction even if you had planned it before learning of the inside information. This prohibition is absolute. So even if you believe you may suffer an economic loss or sacrifice an anticipated profit by waiting to trade, you must wait.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includes engaging in short sales, transactions in put or call options, hedging transactions, and other inherently speculative transactions.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prohibition on trading when you have inside information lifts once that information becomes publicly disseminated. But for information to be considered publicly disseminated, it must be widely disclosed through a press release, an SEC filing, or other public announcement and enough time must have passed for the information to be widely known. Generally speaking, information will be considered publicly disseminated after two full trading days have elapsed since the information was publicly disclosed. For example, if we announce inside information before trading begins on Wednesday, then you may execute a transaction in Tenable securities on Friday.</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addition, it is the policy of Tenable that no person subject to this policy who, in the course of his or her relationship with Tenable, learns of any confidential information that is material to another company, including but not limited to a customer, vendor, or partner of Tenable or an economically-linked company such as a competitor of Tenable, may trade in that other company’s securities until the information becomes public or is no longer material to that other company. This includes so-</w:t>
      </w:r>
    </w:p>
    <w:p>
      <w:pPr>
        <w:sectPr>
          <w:pgSz w:w="11900" w:h="16838" w:orient="portrait"/>
          <w:cols w:equalWidth="0" w:num="1">
            <w:col w:w="11240"/>
          </w:cols>
          <w:pgMar w:left="320" w:top="1397" w:right="339" w:bottom="1440" w:gutter="0" w:footer="0" w:header="0"/>
        </w:sectPr>
      </w:pPr>
    </w:p>
    <w:bookmarkStart w:id="109" w:name="page110"/>
    <w:bookmarkEnd w:id="109"/>
    <w:p>
      <w:pPr>
        <w:jc w:val="both"/>
        <w:ind w:right="20"/>
        <w:spacing w:after="0" w:line="285" w:lineRule="auto"/>
        <w:rPr>
          <w:sz w:val="20"/>
          <w:szCs w:val="20"/>
          <w:color w:val="auto"/>
        </w:rPr>
      </w:pPr>
      <w:r>
        <w:rPr>
          <w:rFonts w:ascii="Times New Roman" w:cs="Times New Roman" w:eastAsia="Times New Roman" w:hAnsi="Times New Roman"/>
          <w:sz w:val="21"/>
          <w:szCs w:val="21"/>
          <w:color w:val="auto"/>
        </w:rPr>
        <w:t>called “shadow trading” where Tenable’s inside information may be material to another traded company such as a competitor, customer, vendor or partner of Tenable.</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b w:val="1"/>
          <w:bCs w:val="1"/>
          <w:color w:val="auto"/>
        </w:rPr>
        <w:t>STOCK TRADING BY TENABLE EMPLOYEES, DIRECTORS, AND CONSULTANTS</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Because our workplace culture tends to be open, odds are that the vast majority of Tenable employees, directors, and consultants will possess inside information at certain points throughout the year. To minimize even the appearance of insider trading among our employees, directors, and consultants we have established blackout periods during which Tenable employees, directors, and consultants—regardless of whether they possess insider information or not—may not conduct any trades in Tenable securities. That means that all Tenable employees, directors, and consultants will be able to sell Tenable securities only during limited trading windows that open after Tenable has disseminated its quarterly and annual financial results, provided such employees, directors, or consultants do not otherwise possess inside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Covered Insiders</w:t>
      </w:r>
    </w:p>
    <w:p>
      <w:pPr>
        <w:spacing w:after="0" w:line="2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This Insider Trading Policy sets forth a basic set of rules for all employees, directors, and consultants and a separate set of more stringent rules for officers, directors, and other members of management. What’s more, any entities, immediate family members, or others whose trading activities are controlled by persons subject to this policy are likewise subject to the same restrictions.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Open Window</w:t>
      </w: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Generally, except as described in this policy, all Tenable employees, directors, and consultants may buy or sell Tenable securities only during an “</w:t>
      </w:r>
      <w:r>
        <w:rPr>
          <w:rFonts w:ascii="Times New Roman" w:cs="Times New Roman" w:eastAsia="Times New Roman" w:hAnsi="Times New Roman"/>
          <w:sz w:val="21"/>
          <w:szCs w:val="21"/>
          <w:b w:val="1"/>
          <w:bCs w:val="1"/>
          <w:i w:val="1"/>
          <w:iCs w:val="1"/>
          <w:color w:val="auto"/>
        </w:rPr>
        <w:t>open window</w:t>
      </w:r>
      <w:r>
        <w:rPr>
          <w:rFonts w:ascii="Times New Roman" w:cs="Times New Roman" w:eastAsia="Times New Roman" w:hAnsi="Times New Roman"/>
          <w:sz w:val="21"/>
          <w:szCs w:val="21"/>
          <w:color w:val="auto"/>
        </w:rPr>
        <w:t>” that opens after two full trading days have elapsed since the public dissemination of Tenable’s earnings results for the applicable year or quarter and closes at the end of the last trading day two weeks before the end of the next fiscal quarter. This open window may be closed early or may not open at all if, in the judgment of the Chief Executive Officer, Chief Financial Officer, or General Counsel, there exists undisclosed information that would make trades by employees, directors, and consultants inappropriate. The fact that the open window has closed early or has not opened should be considered inside information. An employee, director, or consultant who believes that special circumstances require them to trade outside the open window should consult the General Counsel. Permission to trade outside the open window will be granted only where the circumstances are extenuating and there appears to be no significant risk that the trade may be subsequently questioned.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Exceptions to Blackout Period Restriction</w:t>
      </w:r>
    </w:p>
    <w:p>
      <w:pPr>
        <w:spacing w:after="0" w:line="249" w:lineRule="exact"/>
        <w:rPr>
          <w:sz w:val="20"/>
          <w:szCs w:val="20"/>
          <w:color w:val="auto"/>
        </w:rPr>
      </w:pPr>
    </w:p>
    <w:p>
      <w:pPr>
        <w:jc w:val="both"/>
        <w:ind w:firstLine="324"/>
        <w:spacing w:after="0" w:line="259" w:lineRule="auto"/>
        <w:tabs>
          <w:tab w:leader="none" w:pos="636" w:val="left"/>
        </w:tabs>
        <w:numPr>
          <w:ilvl w:val="0"/>
          <w:numId w:val="5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Option Exercises and RSU Net Settlement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Employees, directors, and consultants may (i) exercise options for cash or by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net settlement, if eligible, granted under Tenable’s stock-option plans, and (ii) net settle restricted stock units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and have Tenable withhold shares of common stock to satisfy tax withholding obligations when RSUs settle outside of the open window period. But this Insider Trading Policy would then apply to any later sales of stock (including sales of stock in a cashless exercise) that were acquired on the exercise of options or delivery of the vested RSUs.</w:t>
      </w:r>
    </w:p>
    <w:p>
      <w:pPr>
        <w:sectPr>
          <w:pgSz w:w="11900" w:h="16838" w:orient="portrait"/>
          <w:cols w:equalWidth="0" w:num="1">
            <w:col w:w="11240"/>
          </w:cols>
          <w:pgMar w:left="320" w:top="1397" w:right="339" w:bottom="1440" w:gutter="0" w:footer="0" w:header="0"/>
        </w:sectPr>
      </w:pPr>
    </w:p>
    <w:bookmarkStart w:id="110" w:name="page111"/>
    <w:bookmarkEnd w:id="110"/>
    <w:p>
      <w:pPr>
        <w:spacing w:after="0" w:line="192" w:lineRule="exact"/>
        <w:rPr>
          <w:sz w:val="20"/>
          <w:szCs w:val="20"/>
          <w:color w:val="auto"/>
        </w:rPr>
      </w:pPr>
    </w:p>
    <w:p>
      <w:pPr>
        <w:jc w:val="both"/>
        <w:ind w:firstLine="324"/>
        <w:spacing w:after="0" w:line="256" w:lineRule="auto"/>
        <w:tabs>
          <w:tab w:leader="none" w:pos="636"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10b5-1 Automatic Trading Programs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Under Rule 10b5-1 of the Securities Exchange Act of 1934, as amended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employees, directors, and consultants may establish a trading plan under which a broker is instructed to buy and sell Tenable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based on pre- determined criteria (a “</w:t>
      </w:r>
      <w:r>
        <w:rPr>
          <w:rFonts w:ascii="Times New Roman" w:cs="Times New Roman" w:eastAsia="Times New Roman" w:hAnsi="Times New Roman"/>
          <w:sz w:val="21"/>
          <w:szCs w:val="21"/>
          <w:b w:val="1"/>
          <w:bCs w:val="1"/>
          <w:i w:val="1"/>
          <w:iCs w:val="1"/>
          <w:color w:val="auto"/>
        </w:rPr>
        <w:t>Trading Plan</w:t>
      </w:r>
      <w:r>
        <w:rPr>
          <w:rFonts w:ascii="Times New Roman" w:cs="Times New Roman" w:eastAsia="Times New Roman" w:hAnsi="Times New Roman"/>
          <w:sz w:val="21"/>
          <w:szCs w:val="21"/>
          <w:color w:val="auto"/>
        </w:rPr>
        <w:t>”). So long as a Trading Plan is properly established, purchases and sales of Tenable securities pursuant to that Trading Plan are not subject to this policy. An employee’s, director’s, or consultant’s Trading Plan must be established in compliance with the requirements of Rule 10b5-1 and Tenable’s 10b5-1 Trading Plan Guidelines, which require that a participant establish a Trading Plan when such participant does not possess any inside information about Tenable and when Tenable is not in a trading blackout period. Moreover, all Trading Plans must be reviewed by Tenable before being established. That is because Tenable wants to confirm that the Trading Plan complies with all pertinent company policies and securities laws. Any adoption of a new Trading Plan, or modification or amendment (including early termination) to any existing Trading Plan, must be submitted to the General Counsel for approval in accordance with Tenable’s 10b5-1 Trading Plan Guidelines. No further pre-approval of transactions conducted pursuant to the Trading Plan is required.</w:t>
      </w:r>
    </w:p>
    <w:p>
      <w:pPr>
        <w:spacing w:after="0" w:line="200" w:lineRule="exact"/>
        <w:rPr>
          <w:rFonts w:ascii="Times New Roman" w:cs="Times New Roman" w:eastAsia="Times New Roman" w:hAnsi="Times New Roman"/>
          <w:sz w:val="21"/>
          <w:szCs w:val="21"/>
          <w:b w:val="1"/>
          <w:bCs w:val="1"/>
          <w:color w:val="auto"/>
        </w:rPr>
      </w:pPr>
    </w:p>
    <w:p>
      <w:pPr>
        <w:jc w:val="both"/>
        <w:ind w:firstLine="324"/>
        <w:spacing w:after="0" w:line="260" w:lineRule="auto"/>
        <w:tabs>
          <w:tab w:leader="none" w:pos="636"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Employee Stock Purchase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This policy does not apply to purchases of Tenable securities in any employee 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purchase plan maintained by Tenable resulting from your periodic contribution of money to the plan pursuant to the election you previously made. This policy also does not apply to purchases of Tenable securities resulting from lump sum contributions to the plan, provided that you elected to participate by lump sum payment at the beginning of the applicable enrollment period. This policy does apply, however, to your election to participate in any such plan for any enrollment period, and to your sales of Tenable securities purchased pursuant to the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Prohibition of Speculative or Short-term Trading</w:t>
      </w: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No employee, director, or consultant to Tenable may engage in short sales, transactions in put or call options, hedging transactions, margin accounts, pledges, or other inherently speculative transactions with respect to Tenable’s stock. Therefore, it is Tenable’s policy that employees, directors, and consultants may not engage in any of the following transactions, or should otherwise consider Tenable’s preferences as described below:</w:t>
      </w:r>
    </w:p>
    <w:p>
      <w:pPr>
        <w:spacing w:after="0" w:line="184" w:lineRule="exact"/>
        <w:rPr>
          <w:sz w:val="20"/>
          <w:szCs w:val="20"/>
          <w:color w:val="auto"/>
        </w:rPr>
      </w:pPr>
    </w:p>
    <w:p>
      <w:pPr>
        <w:jc w:val="both"/>
        <w:ind w:firstLine="324"/>
        <w:spacing w:after="0" w:line="263" w:lineRule="auto"/>
        <w:tabs>
          <w:tab w:leader="none" w:pos="636" w:val="left"/>
        </w:tabs>
        <w:numPr>
          <w:ilvl w:val="0"/>
          <w:numId w:val="6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t>Short-Term Trading</w:t>
      </w:r>
      <w:r>
        <w:rPr>
          <w:rFonts w:ascii="Times New Roman" w:cs="Times New Roman" w:eastAsia="Times New Roman" w:hAnsi="Times New Roman"/>
          <w:sz w:val="21"/>
          <w:szCs w:val="21"/>
          <w:color w:val="auto"/>
        </w:rPr>
        <w:t>. Short-term trading of Tenable securities may be distracting to the person and may unduly focus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person on Tenable’s short-term stock market performance instead of Tenable’s long-term business objectives. For these reasons, any director, officer or employee of Tenable who purchases Tenable securities in the open market may not sell any Tenable securities of the same class during the six months following the purchase (or vice versa) without the prior review and approval of the General Counsel.</w:t>
      </w:r>
    </w:p>
    <w:p>
      <w:pPr>
        <w:spacing w:after="0" w:line="187" w:lineRule="exact"/>
        <w:rPr>
          <w:rFonts w:ascii="Times New Roman" w:cs="Times New Roman" w:eastAsia="Times New Roman" w:hAnsi="Times New Roman"/>
          <w:sz w:val="21"/>
          <w:szCs w:val="21"/>
          <w:b w:val="1"/>
          <w:bCs w:val="1"/>
          <w:i w:val="1"/>
          <w:iCs w:val="1"/>
          <w:color w:val="auto"/>
        </w:rPr>
      </w:pPr>
    </w:p>
    <w:p>
      <w:pPr>
        <w:jc w:val="both"/>
        <w:ind w:firstLine="324"/>
        <w:spacing w:after="0" w:line="267" w:lineRule="auto"/>
        <w:tabs>
          <w:tab w:leader="none" w:pos="636"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Short Sales</w:t>
      </w:r>
      <w:r>
        <w:rPr>
          <w:rFonts w:ascii="Times New Roman" w:cs="Times New Roman" w:eastAsia="Times New Roman" w:hAnsi="Times New Roman"/>
          <w:sz w:val="21"/>
          <w:szCs w:val="21"/>
          <w:color w:val="auto"/>
        </w:rPr>
        <w:t>. Short sales of Tenable securities (i.e., the sale of a security that the seller does not own) may evidence an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expectation on the part of the seller that the securities will decline in value and therefore have the potential to signal to the market that the seller lacks confidence in Tenable’s prospects. In addition, short sales may reduce a seller’s incentive to seek to improve Tenable’s performance. For these reasons, short sales of Tenable securities are prohibited. In</w:t>
      </w:r>
    </w:p>
    <w:p>
      <w:pPr>
        <w:sectPr>
          <w:pgSz w:w="11900" w:h="16838" w:orient="portrait"/>
          <w:cols w:equalWidth="0" w:num="1">
            <w:col w:w="11240"/>
          </w:cols>
          <w:pgMar w:left="320" w:top="144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1"/>
          <w:szCs w:val="21"/>
          <w:color w:val="auto"/>
        </w:rPr>
        <w:t>addition, Section 16(c) of the Exchange Act prohibits officers and directors from engaging in short sales.</w:t>
      </w:r>
    </w:p>
    <w:p>
      <w:pPr>
        <w:spacing w:after="0" w:line="245" w:lineRule="exact"/>
        <w:rPr>
          <w:sz w:val="20"/>
          <w:szCs w:val="20"/>
          <w:color w:val="auto"/>
        </w:rPr>
      </w:pPr>
    </w:p>
    <w:p>
      <w:pPr>
        <w:jc w:val="both"/>
        <w:ind w:firstLine="324"/>
        <w:spacing w:after="0" w:line="267" w:lineRule="auto"/>
        <w:tabs>
          <w:tab w:leader="none" w:pos="636"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Publicly-Traded Options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Given the relatively short term of publicly-traded options, transactions in options may create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appearance that a director, officer or employee is trading based on inside information and focus a director’s, officer’s or other employee's attention on short-term performance at the expense of Tenable’s long-term objectives. Accordingly, transactions in put options, call options or other derivative securities, on an exchange or in any other organized market, are prohibited by this policy.</w:t>
      </w:r>
    </w:p>
    <w:p>
      <w:pPr>
        <w:spacing w:after="0" w:line="184" w:lineRule="exact"/>
        <w:rPr>
          <w:rFonts w:ascii="Times New Roman" w:cs="Times New Roman" w:eastAsia="Times New Roman" w:hAnsi="Times New Roman"/>
          <w:sz w:val="21"/>
          <w:szCs w:val="21"/>
          <w:b w:val="1"/>
          <w:bCs w:val="1"/>
          <w:color w:val="auto"/>
        </w:rPr>
      </w:pPr>
    </w:p>
    <w:p>
      <w:pPr>
        <w:jc w:val="both"/>
        <w:ind w:firstLine="324"/>
        <w:spacing w:after="0" w:line="258" w:lineRule="auto"/>
        <w:tabs>
          <w:tab w:leader="none" w:pos="636"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Hedging Transactions</w:t>
      </w:r>
      <w:r>
        <w:rPr>
          <w:rFonts w:ascii="Times New Roman" w:cs="Times New Roman" w:eastAsia="Times New Roman" w:hAnsi="Times New Roman"/>
          <w:sz w:val="21"/>
          <w:szCs w:val="21"/>
          <w:color w:val="auto"/>
        </w:rPr>
        <w:t>. Hedging or monetization transactions can be accomplished through a number of possible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mechanisms, including through the use of financial instruments such as prepaid variable forward contracts, equity swaps, collars and exchange funds or other transactions which hedge or offset, or are designed to hedge or offset, any decrease in the market value of Tenable securities. Such hedging transactions may permit a director, officer or employee to continue to own Tenable securities directly or indirectly, including those obtained through employee benefit plans or otherwise, but without the full risks and rewards of ownership. When that occurs, the director, officer or employee may no longer have the same objectives as Tenable’s other shareholders. Therefore, directors, officers and employees are prohibited from engaging in any such transactions.</w:t>
      </w:r>
    </w:p>
    <w:p>
      <w:pPr>
        <w:spacing w:after="0" w:line="196" w:lineRule="exact"/>
        <w:rPr>
          <w:rFonts w:ascii="Times New Roman" w:cs="Times New Roman" w:eastAsia="Times New Roman" w:hAnsi="Times New Roman"/>
          <w:sz w:val="21"/>
          <w:szCs w:val="21"/>
          <w:b w:val="1"/>
          <w:bCs w:val="1"/>
          <w:color w:val="auto"/>
        </w:rPr>
      </w:pPr>
    </w:p>
    <w:p>
      <w:pPr>
        <w:jc w:val="both"/>
        <w:ind w:firstLine="324"/>
        <w:spacing w:after="0" w:line="260" w:lineRule="auto"/>
        <w:tabs>
          <w:tab w:leader="none" w:pos="636"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Margin Accounts and Pledged Securities</w:t>
      </w:r>
      <w:r>
        <w:rPr>
          <w:rFonts w:ascii="Times New Roman" w:cs="Times New Roman" w:eastAsia="Times New Roman" w:hAnsi="Times New Roman"/>
          <w:sz w:val="21"/>
          <w:szCs w:val="21"/>
          <w:color w:val="auto"/>
        </w:rPr>
        <w:t>. Securities held in a margin account as collateral for a margin loan may be sold by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broker without the customer's consent if the customer fails to meet a margin call. Similarly, securities pledged (or hypothecated) as collateral for a loan maybe sold in foreclosure if the borrower defaults on the loan. Because a margin sale or foreclosure sale may occur at a time when the pledgor is aware of inside information or otherwise is not permitted to trade in Tenable securities, directors, officers and other employees are prohibited from holding Tenable securities in a margin account or otherwise pledging Tenable securities as collateral for a loan.</w:t>
      </w:r>
    </w:p>
    <w:p>
      <w:pPr>
        <w:spacing w:after="0" w:line="192" w:lineRule="exact"/>
        <w:rPr>
          <w:rFonts w:ascii="Times New Roman" w:cs="Times New Roman" w:eastAsia="Times New Roman" w:hAnsi="Times New Roman"/>
          <w:sz w:val="21"/>
          <w:szCs w:val="21"/>
          <w:b w:val="1"/>
          <w:bCs w:val="1"/>
          <w:color w:val="auto"/>
        </w:rPr>
      </w:pPr>
    </w:p>
    <w:p>
      <w:pPr>
        <w:jc w:val="both"/>
        <w:ind w:firstLine="324"/>
        <w:spacing w:after="0" w:line="256" w:lineRule="auto"/>
        <w:tabs>
          <w:tab w:leader="none" w:pos="636"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Standing and Limit Orders</w:t>
      </w:r>
      <w:r>
        <w:rPr>
          <w:rFonts w:ascii="Times New Roman" w:cs="Times New Roman" w:eastAsia="Times New Roman" w:hAnsi="Times New Roman"/>
          <w:sz w:val="21"/>
          <w:szCs w:val="21"/>
          <w:color w:val="auto"/>
        </w:rPr>
        <w:t>. Standing and limit orders (except standing and limit orders under approved Trading Plans,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discussed above) create heightened risks for insider trading violations similar to the use of margin accounts. Tenable’s stock plan administrator, Fidelity Stock Plan Services, LLC (“</w:t>
      </w:r>
      <w:r>
        <w:rPr>
          <w:rFonts w:ascii="Times New Roman" w:cs="Times New Roman" w:eastAsia="Times New Roman" w:hAnsi="Times New Roman"/>
          <w:sz w:val="21"/>
          <w:szCs w:val="21"/>
          <w:b w:val="1"/>
          <w:bCs w:val="1"/>
          <w:i w:val="1"/>
          <w:iCs w:val="1"/>
          <w:color w:val="auto"/>
        </w:rPr>
        <w:t>Fidelity Stock Plan Administrator</w:t>
      </w:r>
      <w:r>
        <w:rPr>
          <w:rFonts w:ascii="Times New Roman" w:cs="Times New Roman" w:eastAsia="Times New Roman" w:hAnsi="Times New Roman"/>
          <w:sz w:val="21"/>
          <w:szCs w:val="21"/>
          <w:color w:val="auto"/>
        </w:rPr>
        <w:t>”), will automatically cancel standing and limit orders when Tenable is in a blackout period. With other brokers, including brokerage accounts managed by Fidelity entities other than the Fidelity Stock Plan Administrator, there is no control over the timing of purchases or sales that result from standing instructions to a broker, and as a result the broker could execute a transaction when a Tenable employee, director or consultant is in possession of inside information. Tenable therefore discourages placing standing or limit orders on Tenable’s securities through any brokerage account other than one managed by the Fidelity Stock Plan Administrator. If a person subject to this policy determines that they must use a standing order or limit order (other than under an approved Trading Plan as discussed above or at a broker other than Fidelity Stock Plan Administrator), the order should be limited to short duration and the person using such standing order or limit order is required to cancel such instructions immediately in the event restrictions are imposed on their ability to trade pursuant to the open window provisions above.</w:t>
      </w:r>
    </w:p>
    <w:p>
      <w:pPr>
        <w:sectPr>
          <w:pgSz w:w="11900" w:h="16838" w:orient="portrait"/>
          <w:cols w:equalWidth="0" w:num="1">
            <w:col w:w="11240"/>
          </w:cols>
          <w:pgMar w:left="320" w:top="1397" w:right="339" w:bottom="1440" w:gutter="0" w:footer="0" w:header="0"/>
        </w:sectPr>
      </w:pPr>
    </w:p>
    <w:bookmarkStart w:id="112" w:name="page113"/>
    <w:bookmarkEnd w:id="11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Pre-Clearance and Advance Notice of Transactions</w:t>
      </w:r>
    </w:p>
    <w:p>
      <w:pPr>
        <w:spacing w:after="0" w:line="2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Tenable’s securities, including any purchase or sale in the open market, loan, or other transfer of beneficial ownership without first obtaining pre-clearance of the transaction from Tenable’s General Counsel at least two business days before the proposed transaction. The General Counsel will then determine whether the transaction may proceed and, if so, will direct the Compliance Coordinator (as identified in Tenable’s Section 16 Compliance Program) to help comply with any required reporting requirements under Section 16(a) of the Exchange Act. If a person subject to pre- clearance seeks pre-clearance and the request is denied, then he or she must refrain from engaging in any transaction in Tenable securities, and must not inform any other person of the restriction. Pre- clearance does not, in any circumstance, relieve anyone of their legal obligation to refrain from trading while in possession of inside information. In other words, even if pre-clearance is received, if the requesting person becomes aware of inside information or becomes subject to a blackout period or event-specific trading restriction, the transaction may not be completed. Pre-cleared transactions not completed within five business days will require new pre-clearance. Tenable may choose to shorten this period.</w:t>
      </w:r>
    </w:p>
    <w:p>
      <w:pPr>
        <w:spacing w:after="0" w:line="216" w:lineRule="exact"/>
        <w:rPr>
          <w:sz w:val="20"/>
          <w:szCs w:val="20"/>
          <w:color w:val="auto"/>
        </w:rPr>
      </w:pPr>
    </w:p>
    <w:p>
      <w:pPr>
        <w:ind w:right="3080"/>
        <w:spacing w:after="0" w:line="285" w:lineRule="auto"/>
        <w:rPr>
          <w:sz w:val="20"/>
          <w:szCs w:val="20"/>
          <w:color w:val="auto"/>
        </w:rPr>
      </w:pPr>
      <w:r>
        <w:rPr>
          <w:rFonts w:ascii="Times New Roman" w:cs="Times New Roman" w:eastAsia="Times New Roman" w:hAnsi="Times New Roman"/>
          <w:sz w:val="21"/>
          <w:szCs w:val="21"/>
          <w:color w:val="auto"/>
        </w:rPr>
        <w:t xml:space="preserve">In order to request pre-clearance, please submit the “Request for Preclearance” form attached as </w:t>
      </w:r>
      <w:r>
        <w:rPr>
          <w:rFonts w:ascii="Times New Roman" w:cs="Times New Roman" w:eastAsia="Times New Roman" w:hAnsi="Times New Roman"/>
          <w:sz w:val="21"/>
          <w:szCs w:val="21"/>
          <w:b w:val="1"/>
          <w:bCs w:val="1"/>
          <w:color w:val="auto"/>
        </w:rPr>
        <w:t xml:space="preserve">Exhibit B </w:t>
      </w:r>
      <w:r>
        <w:rPr>
          <w:rFonts w:ascii="Times New Roman" w:cs="Times New Roman" w:eastAsia="Times New Roman" w:hAnsi="Times New Roman"/>
          <w:sz w:val="21"/>
          <w:szCs w:val="21"/>
          <w:color w:val="auto"/>
        </w:rPr>
        <w:t>to this policy.</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For persons subject to pre-clearance, advance notice of plans to exercise an outstanding stock option and bonafide gifts must be given to the General Counsel. Once any transaction takes place, the officer, director, or applicable member of management must immediately notify the Compliance Coordinator and any other individuals identified under the heading “Notification of Execution of Transaction” in Tenable’s Section 16 Compliance Program so that Tenable may assist in any Section 16 reporting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16 Reports, Short-Swing Trading, and Control Stock</w:t>
      </w:r>
    </w:p>
    <w:p>
      <w:pPr>
        <w:spacing w:after="0" w:line="25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Officers and directors must file all appropriate Section 16(a) reports (Forms 3, 4, and 5), as described in Tenable’s Section 16 Compliance Program.</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1"/>
          <w:szCs w:val="21"/>
          <w:color w:val="auto"/>
        </w:rPr>
        <w:t>Officers and directors are also subject to short-swing trading liability under Section 16(b) of the Exchange Act (as described above and in Tenable’s Section 16 Compliance Program).</w:t>
      </w:r>
    </w:p>
    <w:p>
      <w:pPr>
        <w:spacing w:after="0" w:line="15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In addition, executive officers and directors must comply with the requirements of Rule 144 of the Securities Act of 1933, as amended, relating to sales by control persons.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Prohibition of Trading During Pension Fund Blackouts</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57" w:lineRule="auto"/>
        <w:rPr>
          <w:sz w:val="20"/>
          <w:szCs w:val="20"/>
          <w:color w:val="auto"/>
        </w:rPr>
      </w:pPr>
      <w:r>
        <w:rPr>
          <w:rFonts w:ascii="Times New Roman" w:cs="Times New Roman" w:eastAsia="Times New Roman" w:hAnsi="Times New Roman"/>
          <w:sz w:val="21"/>
          <w:szCs w:val="21"/>
          <w:color w:val="auto"/>
        </w:rPr>
        <w:t>In accordance with Regulation BTR under the Exchange Act, no director or executive officer of Tenable may, directly or indirectly, purchase, sell or otherwise acquire or transfer any equity security of Tenable (other than an exempt security) during any “blackout period’’ (as defined in Regulation BTR) with respect to such equity security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Tenable’s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acquisitions or dispositions of equity securities involving a bona fide gift or by will or the laws of descent or pursuant to a domestic relations order. Tenable will notify each director and executive officer of any blackout periods in accordance with the provisions of Regulation BTR.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Exceptions</w:t>
      </w:r>
    </w:p>
    <w:p>
      <w:pPr>
        <w:spacing w:after="0" w:line="2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The only exceptions to these trading restrictions are permitted transactions directly with Tenable, such as option exercises for cash or by net settlement. However, the subsequent sale, including the sale of shares in a cashless exercise or other disposition of stock into the open market (including the sale of shares to cover taxes upon the vesting of an award) is subject to these restrictions.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b w:val="1"/>
          <w:bCs w:val="1"/>
          <w:color w:val="auto"/>
        </w:rPr>
        <w:t>POLICY’S DURATION</w:t>
      </w: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policy continues to apply to your transactions in Tenable’s stock or the stock of other companies engaged in business transactions with Tenable or economically-linked to Tenable even after your relationship with Tenable has ended. If you possess inside information when your relationship with Tenable ends, you may not trade Tenable’s stock or the stock of other companies until the inside information has been publicly disseminated or is no longer material.</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b w:val="1"/>
          <w:bCs w:val="1"/>
          <w:color w:val="auto"/>
        </w:rPr>
        <w:t>INDIVIDUAL RESPONSIBILITY</w:t>
      </w: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Persons subject to this policy have ethical and legal obligations to maintain the confidentiality of information about Tenable and to not engage in transactions in Tenable’s securities or the securities of other applicable companies while aware of inside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“Covered Insiders” above, also comply with this policy. In all cases, the responsibility for determining whether an individual is aware of inside information rests with that individual, and any action on the part of Tenable or any employee or director of Tenable pursuant to this policy (or otherwise) does not in any way constitute legal advice or insulate an individual from liability under applicable securities laws. You could be subject to severe legal penalties and disciplinary action by Tenable for any conduct prohibited by this policy or applicable securities laws. See “Penalties” below.</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b w:val="1"/>
          <w:bCs w:val="1"/>
          <w:color w:val="auto"/>
        </w:rPr>
        <w:t>PENALTIES</w:t>
      </w:r>
    </w:p>
    <w:p>
      <w:pPr>
        <w:sectPr>
          <w:pgSz w:w="11900" w:h="16838" w:orient="portrait"/>
          <w:cols w:equalWidth="0" w:num="1">
            <w:col w:w="11240"/>
          </w:cols>
          <w:pgMar w:left="320" w:top="1397" w:right="339" w:bottom="1440" w:gutter="0" w:footer="0" w:header="0"/>
        </w:sectPr>
      </w:pPr>
    </w:p>
    <w:bookmarkStart w:id="114" w:name="page115"/>
    <w:bookmarkEnd w:id="114"/>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Anyone who engages in insider trading or otherwise violates this Insider Trading Policy may be subject to both civil liability and criminal penalties. Violators also risk disciplinary action by Tenable, including termination. Anyone who has questions about this policy should contact their own attorney or General Counsel. Please also see Frequently Asked Questions, which are attached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 C</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b w:val="1"/>
          <w:bCs w:val="1"/>
          <w:color w:val="auto"/>
        </w:rPr>
        <w:t>AMENDMENTS</w:t>
      </w:r>
    </w:p>
    <w:p>
      <w:pPr>
        <w:spacing w:after="0" w:line="25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21"/>
          <w:szCs w:val="21"/>
          <w:color w:val="auto"/>
        </w:rPr>
        <w:t>Tenable is committed to continuously reviewing and updating its policies and procedures. Tenable therefore reserves the right to amend, alter or terminate this policy at any time and for any reason. A current copy of Tenable’s policies regarding insider trading may be obtained by contacting the Compliance Coordinator.</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1"/>
          <w:szCs w:val="21"/>
          <w:color w:val="auto"/>
        </w:rPr>
        <w:t xml:space="preserve">You must sign, date and return the Certification attached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(or any other certification the General Counsel deems appropriate) stating that you have received, read, understand and agree to comply with this policy. Tenable may require you to sign this Certification on an annual basis, including in electronic format. Please note that you are bound by the policy whether or not you sign the Certification.</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REPORTING</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Every employee, officer and director has the responsibility to ask questions, seek guidance, report suspected violations and express concerns regarding compliance with this policy. Any employee, officer or director who knows or suspects that any other employee or representative of Tenable has engaged or is engaging in Company-related conduct that violates applicable law or this policy has an affirmative obligation to report such information.</w:t>
      </w:r>
    </w:p>
    <w:p>
      <w:pPr>
        <w:spacing w:after="0" w:line="19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1"/>
          <w:szCs w:val="21"/>
          <w:color w:val="auto"/>
        </w:rPr>
        <w:t xml:space="preserve">Tenable provides a variety </w:t>
      </w:r>
      <w:r>
        <w:rPr>
          <w:rFonts w:ascii="Times New Roman" w:cs="Times New Roman" w:eastAsia="Times New Roman" w:hAnsi="Times New Roman"/>
          <w:sz w:val="19"/>
          <w:szCs w:val="19"/>
          <w:color w:val="auto"/>
        </w:rPr>
        <w:t>of</w:t>
      </w:r>
      <w:r>
        <w:rPr>
          <w:rFonts w:ascii="Times New Roman" w:cs="Times New Roman" w:eastAsia="Times New Roman" w:hAnsi="Times New Roman"/>
          <w:sz w:val="21"/>
          <w:szCs w:val="21"/>
          <w:color w:val="auto"/>
        </w:rPr>
        <w:t xml:space="preserve"> ways to report suspected violations, express concerns regarding compliance with this Tenable Policy, and ask questions or seek guidance, including:</w:t>
      </w:r>
    </w:p>
    <w:p>
      <w:pPr>
        <w:spacing w:after="0" w:line="156" w:lineRule="exact"/>
        <w:rPr>
          <w:sz w:val="20"/>
          <w:szCs w:val="20"/>
          <w:color w:val="auto"/>
        </w:rPr>
      </w:pPr>
    </w:p>
    <w:p>
      <w:pPr>
        <w:ind w:left="820" w:hanging="178"/>
        <w:spacing w:after="0"/>
        <w:tabs>
          <w:tab w:leader="none" w:pos="8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to your manager, the Chief People Officer, or the General Counsel</w:t>
      </w:r>
    </w:p>
    <w:p>
      <w:pPr>
        <w:spacing w:after="0" w:line="248" w:lineRule="exact"/>
        <w:rPr>
          <w:rFonts w:ascii="Times New Roman" w:cs="Times New Roman" w:eastAsia="Times New Roman" w:hAnsi="Times New Roman"/>
          <w:sz w:val="21"/>
          <w:szCs w:val="21"/>
          <w:color w:val="auto"/>
        </w:rPr>
      </w:pPr>
    </w:p>
    <w:p>
      <w:pPr>
        <w:ind w:left="820" w:hanging="178"/>
        <w:spacing w:after="0"/>
        <w:tabs>
          <w:tab w:leader="none" w:pos="8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email to Tenable’s internal reporting alias at WeCare@tenable.com</w:t>
      </w:r>
    </w:p>
    <w:p>
      <w:pPr>
        <w:spacing w:after="0" w:line="262" w:lineRule="exact"/>
        <w:rPr>
          <w:rFonts w:ascii="Times New Roman" w:cs="Times New Roman" w:eastAsia="Times New Roman" w:hAnsi="Times New Roman"/>
          <w:sz w:val="21"/>
          <w:szCs w:val="21"/>
          <w:color w:val="auto"/>
        </w:rPr>
      </w:pPr>
    </w:p>
    <w:p>
      <w:pPr>
        <w:jc w:val="both"/>
        <w:ind w:firstLine="642"/>
        <w:spacing w:after="0" w:line="267" w:lineRule="auto"/>
        <w:tabs>
          <w:tab w:leader="none" w:pos="83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Via Tenable’s ethics hotline, by calling 1-866-854-1450 (in the US) or +1 (402) 517-3533 (outside the US) or by visiting https://www.openboard.info/TENB/index.cfm. Please note, reports made via the hotline, whether by phone or online, may be made anonymously.</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You may report any violation of this policy on a confidential or anonymous basis. Whether you make such a report openly or anonymously, Tenable will not discipline, discriminate against or retaliate against any employee who reports such conduct in good faith. Any manager who receives a report of a violation of this policy must immediately email WeCare@tenable.com.</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Employees, officers and directors are required to cooperate fully and honestly with any inquiry or investigation by Tenable regarding an alleged violation of this policy. You must answer all questions truthfully. Never do anything that would interfere with an investigation, including destroying or fabricating evidence, intimidating witnesses, or improperly disclosing information in a manner that impedes a fair review. Failure to cooperate fully and honestly with any such inquiry or investigation may result in disciplinary action, up to and including discharge.</w:t>
      </w:r>
    </w:p>
    <w:p>
      <w:pPr>
        <w:spacing w:after="0" w:line="19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Tenable leadership shall determine whether violations of this policy have occurred and, if so, shall determine the disciplinary measures to be taken against any employee who has violated this policy.</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Failure to comply with the standards outlined in this policy will result in disciplinary action including, but not limited to, reprimands, warnings, probation or suspension without pay, demotions, reductions in salary, discharge and restitution. Moreover, any manager who directs or approves of any conduct in violation of this policy, or who has knowledge of such conduct and does not immediately report it, also will be subject to disciplinary action, up to and including discharge.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We will not retaliate against any individual for reporting violations in good faith. Nor will we retaliate against anyone participating in the investigation of such report solely because they participated. Finally, we will not permit retaliation by any manager or executive officer. If you believe you have been subjected to retaliation or the threat of retaliation, please file a complaint with our Chief People Officer and/or our General Counsel. We will take appropriate corrective action if you experience an improper response in violation of this policy.</w:t>
      </w:r>
    </w:p>
    <w:p>
      <w:pPr>
        <w:sectPr>
          <w:pgSz w:w="11900" w:h="16838" w:orient="portrait"/>
          <w:cols w:equalWidth="0" w:num="1">
            <w:col w:w="11240"/>
          </w:cols>
          <w:pgMar w:left="320" w:top="144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TENABLE HOLDINGS, INC.</w:t>
      </w:r>
    </w:p>
    <w:p>
      <w:pPr>
        <w:sectPr>
          <w:pgSz w:w="11900" w:h="16838" w:orient="portrait"/>
          <w:cols w:equalWidth="0" w:num="1">
            <w:col w:w="11220"/>
          </w:cols>
          <w:pgMar w:left="340" w:top="121" w:right="3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Subsidiary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Tenable, Inc.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Accurics, Inc.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Ermetic Ltd.</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Eureka Security Ltd.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Tenable Israel Ltd.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Indegy Ltd.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Bit Discovery, Inc.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Tenable Network Security Ireland Limited</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Alsid, SAS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Tenable Network Security Pte. Limited</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Tenable Public Sector LLC</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of Incorporation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900" w:space="720"/>
            <w:col w:w="5600"/>
          </w:cols>
          <w:pgMar w:left="340" w:top="121"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51" w:lineRule="exact"/>
        <w:rPr>
          <w:sz w:val="20"/>
          <w:szCs w:val="20"/>
          <w:color w:val="auto"/>
        </w:rPr>
      </w:pPr>
    </w:p>
    <w:p>
      <w:pPr>
        <w:ind w:left="760" w:hanging="373"/>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S-3ASR No. 333-240164) of Tenable Holdings, Inc.,</w:t>
      </w:r>
    </w:p>
    <w:p>
      <w:pPr>
        <w:spacing w:after="0" w:line="270" w:lineRule="exact"/>
        <w:rPr>
          <w:rFonts w:ascii="Arial" w:cs="Arial" w:eastAsia="Arial" w:hAnsi="Arial"/>
          <w:sz w:val="18"/>
          <w:szCs w:val="18"/>
          <w:color w:val="auto"/>
        </w:rPr>
      </w:pPr>
    </w:p>
    <w:p>
      <w:pPr>
        <w:ind w:left="760" w:right="540" w:hanging="373"/>
        <w:spacing w:after="0" w:line="274"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333-236759) pertaining to the Tenable Holdings, Inc. 2018 Equity Incentive Plan, and the Tenable Holdings, Inc. 2018 Employee Stock Purchase Plan,</w:t>
      </w:r>
    </w:p>
    <w:p>
      <w:pPr>
        <w:spacing w:after="0" w:line="216" w:lineRule="exact"/>
        <w:rPr>
          <w:rFonts w:ascii="Arial" w:cs="Arial" w:eastAsia="Arial" w:hAnsi="Arial"/>
          <w:sz w:val="18"/>
          <w:szCs w:val="18"/>
          <w:color w:val="auto"/>
        </w:rPr>
      </w:pPr>
    </w:p>
    <w:p>
      <w:pPr>
        <w:ind w:left="760" w:right="540" w:hanging="373"/>
        <w:spacing w:after="0" w:line="268"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333-253376) pertaining to the Tenable Holdings, Inc. 2018 Equity Incentive Plan, and the Tenable Holdings, Inc. 2018 Employee Stock Purchase Plan,</w:t>
      </w:r>
    </w:p>
    <w:p>
      <w:pPr>
        <w:spacing w:after="0" w:line="14" w:lineRule="exact"/>
        <w:rPr>
          <w:rFonts w:ascii="Arial" w:cs="Arial" w:eastAsia="Arial" w:hAnsi="Arial"/>
          <w:sz w:val="18"/>
          <w:szCs w:val="18"/>
          <w:color w:val="auto"/>
        </w:rPr>
      </w:pPr>
    </w:p>
    <w:p>
      <w:pPr>
        <w:ind w:left="760" w:right="100" w:hanging="373"/>
        <w:spacing w:after="0" w:line="255"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333-226347) pertaining to the Tenable Holdings, Inc. 2002 Stock Incentive Plan, as amended and restated; the Tenable Holdings, Inc. 2012 Stock Incentive Plan, as amended and restated; the Tenable Holdings, Inc. 2016 Stock Incentive Plan, as amended and restated; the Tenable Holdings, Inc. 2018 Equity Incentive Plan; and the Tenable Holdings, Inc. 2018 Employee Stock Purchase Plan,</w:t>
      </w:r>
    </w:p>
    <w:p>
      <w:pPr>
        <w:spacing w:after="0" w:line="233" w:lineRule="exact"/>
        <w:rPr>
          <w:rFonts w:ascii="Arial" w:cs="Arial" w:eastAsia="Arial" w:hAnsi="Arial"/>
          <w:sz w:val="18"/>
          <w:szCs w:val="18"/>
          <w:color w:val="auto"/>
        </w:rPr>
      </w:pPr>
    </w:p>
    <w:p>
      <w:pPr>
        <w:ind w:left="760" w:right="600" w:hanging="373"/>
        <w:spacing w:after="0" w:line="268"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333-230040) pertaining to the Tenable Holdings, Inc. 2018 Equity Incentive Plan and the Tenable Holdings, Inc. 2018 Employee Stock Purchase Plan,</w:t>
      </w:r>
    </w:p>
    <w:p>
      <w:pPr>
        <w:spacing w:after="0" w:line="14" w:lineRule="exact"/>
        <w:rPr>
          <w:rFonts w:ascii="Arial" w:cs="Arial" w:eastAsia="Arial" w:hAnsi="Arial"/>
          <w:sz w:val="18"/>
          <w:szCs w:val="18"/>
          <w:color w:val="auto"/>
        </w:rPr>
      </w:pPr>
    </w:p>
    <w:p>
      <w:pPr>
        <w:ind w:left="760" w:right="600" w:hanging="373"/>
        <w:spacing w:after="0" w:line="268"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333-263050) pertaining to the Tenable Holdings, Inc. 2018 Equity Incentive Plan and the Tenable Holdings, Inc. 2018 Employee Stock Purchase Plan,</w:t>
      </w:r>
    </w:p>
    <w:p>
      <w:pPr>
        <w:spacing w:after="0" w:line="14" w:lineRule="exact"/>
        <w:rPr>
          <w:rFonts w:ascii="Arial" w:cs="Arial" w:eastAsia="Arial" w:hAnsi="Arial"/>
          <w:sz w:val="18"/>
          <w:szCs w:val="18"/>
          <w:color w:val="auto"/>
        </w:rPr>
      </w:pPr>
    </w:p>
    <w:p>
      <w:pPr>
        <w:ind w:left="760" w:right="600" w:hanging="373"/>
        <w:spacing w:after="0" w:line="268"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333-270021) pertaining to the Tenable Holdings, Inc. 2018 Equity Incentive Plan and the Tenable Holdings, Inc. 2018 Employee Stock Purchase Plan, and</w:t>
      </w:r>
    </w:p>
    <w:p>
      <w:pPr>
        <w:spacing w:after="0" w:line="14" w:lineRule="exact"/>
        <w:rPr>
          <w:rFonts w:ascii="Arial" w:cs="Arial" w:eastAsia="Arial" w:hAnsi="Arial"/>
          <w:sz w:val="18"/>
          <w:szCs w:val="18"/>
          <w:color w:val="auto"/>
        </w:rPr>
      </w:pPr>
    </w:p>
    <w:p>
      <w:pPr>
        <w:ind w:left="760" w:right="600" w:hanging="373"/>
        <w:spacing w:after="0" w:line="274"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333-277466) pertaining to the Tenable Holdings, Inc. 2018 Equity Incentive Plan and the Tenable Holdings, Inc. 2018 Employee Stock Purchase Plan:</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of our reports dated February 21, 2025, with respect to the consolidated financial statements and schedule of Tenable Holdings, Inc. and the effectiveness of internal control over financial reporting of Tenable Holdings, Inc. included in this Annual Report (Form 10-K) for the year ended December 31, 2024.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2025</w:t>
      </w:r>
    </w:p>
    <w:p>
      <w:pPr>
        <w:sectPr>
          <w:pgSz w:w="11900" w:h="16838" w:orient="portrait"/>
          <w:cols w:equalWidth="0" w:num="1">
            <w:col w:w="11240"/>
          </w:cols>
          <w:pgMar w:left="320" w:top="121" w:right="339" w:bottom="1440" w:gutter="0" w:footer="0" w:header="0"/>
        </w:sectPr>
      </w:pPr>
    </w:p>
    <w:bookmarkStart w:id="118" w:name="page119"/>
    <w:bookmarkEnd w:id="118"/>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EXCHANGE ACT RULES 13a-14(a) AND 15d-14(a) AS ADOPTED PURSUANT TO 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11"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1" w:lineRule="exact"/>
        <w:rPr>
          <w:rFonts w:ascii="Arial" w:cs="Arial" w:eastAsia="Arial" w:hAnsi="Arial"/>
          <w:sz w:val="18"/>
          <w:szCs w:val="18"/>
          <w:color w:val="auto"/>
        </w:rPr>
      </w:pPr>
    </w:p>
    <w:p>
      <w:pPr>
        <w:ind w:left="640" w:right="120" w:hanging="316"/>
        <w:spacing w:after="0" w:line="260" w:lineRule="auto"/>
        <w:tabs>
          <w:tab w:leader="none" w:pos="6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160" w:hanging="316"/>
        <w:spacing w:after="0" w:line="304" w:lineRule="auto"/>
        <w:tabs>
          <w:tab w:leader="none" w:pos="628"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7"/>
          <w:szCs w:val="17"/>
          <w:color w:val="auto"/>
        </w:rPr>
      </w:pPr>
    </w:p>
    <w:p>
      <w:pPr>
        <w:ind w:left="640" w:right="120" w:hanging="316"/>
        <w:spacing w:after="0" w:line="270" w:lineRule="auto"/>
        <w:tabs>
          <w:tab w:leader="none" w:pos="62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5" w:lineRule="exact"/>
        <w:rPr>
          <w:rFonts w:ascii="Arial" w:cs="Arial" w:eastAsia="Arial" w:hAnsi="Arial"/>
          <w:sz w:val="17"/>
          <w:szCs w:val="17"/>
          <w:color w:val="auto"/>
        </w:rPr>
      </w:pPr>
    </w:p>
    <w:p>
      <w:pPr>
        <w:ind w:left="1280" w:right="320" w:hanging="320"/>
        <w:spacing w:after="0" w:line="260" w:lineRule="auto"/>
        <w:tabs>
          <w:tab w:leader="none" w:pos="12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320" w:hanging="320"/>
        <w:spacing w:after="0" w:line="260" w:lineRule="auto"/>
        <w:tabs>
          <w:tab w:leader="none" w:pos="12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260" w:hanging="320"/>
        <w:spacing w:after="0" w:line="260" w:lineRule="auto"/>
        <w:tabs>
          <w:tab w:leader="none" w:pos="12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380" w:hanging="320"/>
        <w:spacing w:after="0" w:line="260" w:lineRule="auto"/>
        <w:tabs>
          <w:tab w:leader="none" w:pos="12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640" w:right="140" w:hanging="316"/>
        <w:spacing w:after="0" w:line="260" w:lineRule="auto"/>
        <w:tabs>
          <w:tab w:leader="none" w:pos="6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240" w:hanging="320"/>
        <w:spacing w:after="0" w:line="260" w:lineRule="auto"/>
        <w:tabs>
          <w:tab w:leader="none" w:pos="12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180" w:hanging="320"/>
        <w:spacing w:after="0" w:line="274" w:lineRule="auto"/>
        <w:tabs>
          <w:tab w:leader="none" w:pos="12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Date:   February 21, 2025</w:t>
            </w:r>
          </w:p>
        </w:tc>
        <w:tc>
          <w:tcPr>
            <w:tcW w:w="7080" w:type="dxa"/>
            <w:vAlign w:val="bottom"/>
            <w:gridSpan w:val="2"/>
          </w:tcPr>
          <w:p>
            <w:pPr>
              <w:ind w:left="1820"/>
              <w:spacing w:after="0"/>
              <w:rPr>
                <w:sz w:val="20"/>
                <w:szCs w:val="20"/>
                <w:color w:val="auto"/>
              </w:rPr>
            </w:pPr>
            <w:r>
              <w:rPr>
                <w:rFonts w:ascii="Arial" w:cs="Arial" w:eastAsia="Arial" w:hAnsi="Arial"/>
                <w:sz w:val="18"/>
                <w:szCs w:val="18"/>
                <w:color w:val="auto"/>
              </w:rPr>
              <w:t>By:  /s/ Stephen A. Vintz</w:t>
            </w:r>
          </w:p>
        </w:tc>
      </w:tr>
      <w:tr>
        <w:trPr>
          <w:trHeight w:val="215"/>
        </w:trPr>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25"/>
        </w:trPr>
        <w:tc>
          <w:tcPr>
            <w:tcW w:w="3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Co-Chief Executive Officer and Chief Financial Officer</w:t>
            </w:r>
          </w:p>
        </w:tc>
      </w:tr>
      <w:tr>
        <w:trPr>
          <w:trHeight w:val="232"/>
        </w:trPr>
        <w:tc>
          <w:tcPr>
            <w:tcW w:w="3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ectPr>
          <w:pgSz w:w="11900" w:h="16838" w:orient="portrait"/>
          <w:cols w:equalWidth="0" w:num="1">
            <w:col w:w="11340"/>
          </w:cols>
          <w:pgMar w:left="320" w:top="121" w:right="239" w:bottom="1440" w:gutter="0" w:footer="0" w:header="0"/>
        </w:sectPr>
      </w:pPr>
    </w:p>
    <w:bookmarkStart w:id="119" w:name="page120"/>
    <w:bookmarkEnd w:id="119"/>
    <w:p>
      <w:pPr>
        <w:jc w:val="right"/>
        <w:ind w:right="10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undersigned hereby certifies, pursuant to 18 U.S.C. Section 1350, as adopted pursuant to Section 906 of the Sarbanes-Oxley Act of 2002, that the Annual Report on Form 10-K of Tenable Holdings, Inc. for the fiscal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Tenable Holdings, Inc.</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Date:   February 21, 2025</w:t>
            </w:r>
          </w:p>
        </w:tc>
        <w:tc>
          <w:tcPr>
            <w:tcW w:w="7080" w:type="dxa"/>
            <w:vAlign w:val="bottom"/>
            <w:gridSpan w:val="2"/>
          </w:tcPr>
          <w:p>
            <w:pPr>
              <w:ind w:left="1820"/>
              <w:spacing w:after="0"/>
              <w:rPr>
                <w:sz w:val="20"/>
                <w:szCs w:val="20"/>
                <w:color w:val="auto"/>
              </w:rPr>
            </w:pPr>
            <w:r>
              <w:rPr>
                <w:rFonts w:ascii="Arial" w:cs="Arial" w:eastAsia="Arial" w:hAnsi="Arial"/>
                <w:sz w:val="18"/>
                <w:szCs w:val="18"/>
                <w:color w:val="auto"/>
              </w:rPr>
              <w:t>By:  /s/ Stephen A. Vintz</w:t>
            </w:r>
          </w:p>
        </w:tc>
      </w:tr>
      <w:tr>
        <w:trPr>
          <w:trHeight w:val="215"/>
        </w:trPr>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25"/>
        </w:trPr>
        <w:tc>
          <w:tcPr>
            <w:tcW w:w="3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Co-Chief Executive Officer and Chief Financial Officer</w:t>
            </w:r>
          </w:p>
        </w:tc>
      </w:tr>
      <w:tr>
        <w:trPr>
          <w:trHeight w:val="232"/>
        </w:trPr>
        <w:tc>
          <w:tcPr>
            <w:tcW w:w="3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pacing w:after="0" w:line="1" w:lineRule="exact"/>
        <w:rPr>
          <w:sz w:val="20"/>
          <w:szCs w:val="20"/>
          <w:color w:val="auto"/>
        </w:rPr>
      </w:pPr>
    </w:p>
    <w:sectPr>
      <w:pgSz w:w="11900" w:h="16838" w:orient="portrait"/>
      <w:cols w:equalWidth="0" w:num="1">
        <w:col w:w="11340"/>
      </w:cols>
      <w:pgMar w:left="32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04"/>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2"/>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3"/>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34"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11" Type="http://schemas.openxmlformats.org/officeDocument/2006/relationships/hyperlink" Target="https://www.sec.gov/Archives/edgar/data/1660280/000119312518231446/d562353dex31.htm" TargetMode="External"/><Relationship Id="rId112" Type="http://schemas.openxmlformats.org/officeDocument/2006/relationships/hyperlink" Target="https://www.sec.gov/Archives/edgar/data/1660280/000166028023000147/ex31.htm" TargetMode="External"/><Relationship Id="rId113" Type="http://schemas.openxmlformats.org/officeDocument/2006/relationships/hyperlink" Target="https://www.sec.gov/Archives/edgar/data/1660280/000119312518218215/d548092dex41.htm" TargetMode="External"/><Relationship Id="rId114" Type="http://schemas.openxmlformats.org/officeDocument/2006/relationships/hyperlink" Target="https://www.sec.gov/Archives/edgar/data/1660280/000166028020000012/ex41descriptionoftenab.htm" TargetMode="External"/><Relationship Id="rId115" Type="http://schemas.openxmlformats.org/officeDocument/2006/relationships/hyperlink" Target="https://www.sec.gov/Archives/edgar/data/1660280/000119312518226924/d494510dex101.htm" TargetMode="External"/><Relationship Id="rId116" Type="http://schemas.openxmlformats.org/officeDocument/2006/relationships/hyperlink" Target="https://www.sec.gov/Archives/edgar/data/1660280/000119312518226924/d494510dex102.htm" TargetMode="External"/><Relationship Id="rId117" Type="http://schemas.openxmlformats.org/officeDocument/2006/relationships/hyperlink" Target="https://www.sec.gov/Archives/edgar/data/1660280/000119312518226924/d494510dex104.htm" TargetMode="External"/><Relationship Id="rId120" Type="http://schemas.openxmlformats.org/officeDocument/2006/relationships/hyperlink" Target="https://www.sec.gov/Archives/edgar/data/1660280/000166028022000039/ex101performancevestrsuagr.htm" TargetMode="External"/><Relationship Id="rId121" Type="http://schemas.openxmlformats.org/officeDocument/2006/relationships/hyperlink" Target="https://www.sec.gov/Archives/edgar/data/1660280/000119312518226924/d494510dex105.htm" TargetMode="External"/><Relationship Id="rId122" Type="http://schemas.openxmlformats.org/officeDocument/2006/relationships/hyperlink" Target="https://www.sec.gov/Archives/edgar/data/0001660280/000119312518209705/d548092dex106.htm" TargetMode="External"/><Relationship Id="rId123" Type="http://schemas.openxmlformats.org/officeDocument/2006/relationships/hyperlink" Target="https://www.sec.gov/Archives/edgar/data/1660280/000166028019000005/yoranamendedandrestatedemp.htm" TargetMode="External"/><Relationship Id="rId124" Type="http://schemas.openxmlformats.org/officeDocument/2006/relationships/hyperlink" Target="https://www.sec.gov/Archives/edgar/data/1660280/000166028019000005/vintz-amendedandrestatedem.htm" TargetMode="External"/><Relationship Id="rId125" Type="http://schemas.openxmlformats.org/officeDocument/2006/relationships/hyperlink" Target="https://www.sec.gov/Archives/edgar/data/1660280/000166028023000032/q42022exhibit1011.htm" TargetMode="External"/><Relationship Id="rId126" Type="http://schemas.openxmlformats.org/officeDocument/2006/relationships/hyperlink" Target="https://www.sec.gov/Archives/edgar/data/0001660280/000119312518209705/d548092dex1012.htm" TargetMode="External"/><Relationship Id="rId127" Type="http://schemas.openxmlformats.org/officeDocument/2006/relationships/hyperlink" Target="https://www.sec.gov/Archives/edgar/data/1660280/000166028021000127/tenable-creditagreement.htm" TargetMode="External"/><Relationship Id="rId128" Type="http://schemas.openxmlformats.org/officeDocument/2006/relationships/hyperlink" Target="https://www.sec.gov/Archives/edgar/data/1660280/000166028023000127/projectelectra-sharepurc.htm" TargetMode="External"/><Relationship Id="rId129" Type="http://schemas.openxmlformats.org/officeDocument/2006/relationships/hyperlink" Target="https://www.sec.gov/Archives/edgar/data/1660280/000166028025000007/ex21sharepurchaseagreeme.htm" TargetMode="External"/><Relationship Id="rId130" Type="http://schemas.openxmlformats.org/officeDocument/2006/relationships/hyperlink" Target="https://www.sec.gov/Archives/edgar/data/1660280/000166028023000107/q22023exhibit102.htm" TargetMode="External"/><Relationship Id="rId131" Type="http://schemas.openxmlformats.org/officeDocument/2006/relationships/hyperlink" Target="https://www.sec.gov/Archives/edgar/data/1660280/000166028023000144/q32023exhibit101.htm" TargetMode="External"/><Relationship Id="rId132" Type="http://schemas.openxmlformats.org/officeDocument/2006/relationships/hyperlink" Target="https://www.sec.gov/Archives/edgar/data/1660280/000166028023000107/libortransitionamendment.htm" TargetMode="External"/><Relationship Id="rId133" Type="http://schemas.openxmlformats.org/officeDocument/2006/relationships/hyperlink" Target="https://www.sec.gov/Archives/edgar/data/0001660280/000166028024000081/a05222024ex101.htm" TargetMode="External"/><Relationship Id="rId135" Type="http://schemas.openxmlformats.org/officeDocument/2006/relationships/hyperlink" Target="https://www.sec.gov/Archives/edgar/data/0001660280/000166028024000033/q42023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2025-02-24T05:15:20Z</dcterms:created>
  <dcterms:modified xsi:type="dcterms:W3CDTF">2025-02-24T05:15:20Z</dcterms:modified>
</cp:coreProperties>
</file>