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8-K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18"/>
        </w:rPr>
        <w:t>Date of report (Date of earliest event reported):</w:t>
      </w:r>
      <w:r>
        <w:rPr>
          <w:color w:val="000000"/>
        </w:rPr>
        <w:t> </w:t>
      </w:r>
      <w:r>
        <w:rPr>
          <w:rFonts w:ascii="Arial;sans-serif" w:hAnsi="Arial;sans-serif"/>
          <w:b/>
          <w:color w:val="000000"/>
          <w:sz w:val="18"/>
        </w:rPr>
        <w:t xml:space="preserve">October 29, 2025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9373" w:type="dxa"/>
        <w:jc w:val="left"/>
        <w:tblInd w:w="0" w:type="dxa"/>
        <w:tblLayout w:type="fixed"/>
        <w:tblCellMar>
          <w:top w:w="28" w:type="dxa"/>
          <w:left w:w="28" w:type="dxa"/>
          <w:bottom w:w="28" w:type="dxa"/>
          <w:right w:w="28" w:type="dxa"/>
        </w:tblCellMar>
      </w:tblPr>
      <w:tblGrid>
        <w:gridCol w:w="1566"/>
        <w:gridCol w:w="1374"/>
        <w:gridCol w:w="1395"/>
        <w:gridCol w:w="682"/>
        <w:gridCol w:w="682"/>
        <w:gridCol w:w="690"/>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001-38600</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6100 Merriweather Drive, Columbia, Maryland 21044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October 29, 2025, Tenable Holdings, Inc. (the "Company") reported financial results for the quarter ended September 30, 2025. A copy of the press release is furnished as Exhibit 99.1 to this report and incorporated by reference.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22"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265"/>
        <w:gridCol w:w="2265"/>
        <w:gridCol w:w="3225"/>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32025financialresults-ear.htm">
              <w:r>
                <w:rPr>
                  <w:rStyle w:val="InternetLink"/>
                  <w:rFonts w:ascii="Arial;sans-serif" w:hAnsi="Arial;sans-serif"/>
                  <w:b w:val="false"/>
                  <w:color w:val="000080"/>
                  <w:sz w:val="20"/>
                  <w:u w:val="single"/>
                </w:rPr>
                <w:t xml:space="preserve">Press release — "Tenable Announces </w:t>
              </w:r>
            </w:hyperlink>
            <w:hyperlink w:anchor="q32025financialresults-ear.htm">
              <w:r>
                <w:rPr>
                  <w:rStyle w:val="InternetLink"/>
                  <w:rFonts w:ascii="Arial;sans-serif" w:hAnsi="Arial;sans-serif"/>
                  <w:b w:val="false"/>
                  <w:color w:val="000080"/>
                  <w:sz w:val="20"/>
                  <w:u w:val="single"/>
                </w:rPr>
                <w:t>Third</w:t>
              </w:r>
            </w:hyperlink>
            <w:hyperlink w:anchor="q32025financialresults-ear.htm">
              <w:r>
                <w:rPr>
                  <w:rStyle w:val="InternetLink"/>
                  <w:rFonts w:ascii="Arial;sans-serif" w:hAnsi="Arial;sans-serif"/>
                  <w:b w:val="false"/>
                  <w:color w:val="000080"/>
                  <w:sz w:val="20"/>
                  <w:u w:val="single"/>
                </w:rPr>
                <w:t xml:space="preserve"> Quarter 2025 Financial Results"</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cover page from Tenable's 8-K filed on October 29, 2025,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369"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412"/>
        <w:gridCol w:w="412"/>
        <w:gridCol w:w="412"/>
        <w:gridCol w:w="1145"/>
        <w:gridCol w:w="1145"/>
        <w:gridCol w:w="16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29, 2025</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Tenable Announces Third Quarter 2025 Financial Results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 Exceeds Q3 Revenue and Profit Expectations, Raises Full-Year Outlook</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Revenue of $252.4 million, year-over-year growth of 11%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growth of 8%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operating margin of 2.8%; Non-GAAP operating margin of 23.3%, year-over-year increase of 350 basis points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COLUMBIA, Maryland, October 29, 2025 — Tenable Holdings, Inc. ("Tenable") (Nasdaq: TENB), the exposure management company, today announced financial results for the quarter ended September 30,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delivered better-than-expected results on both the top and bottom line driven by strong demand for our Tenable One Exposure Management platform," said Steve Vintz, Co-CEO of Tenable. "Our outperformance reflects the industry's shift toward a more preemptive approach to cybersecurity."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 is leading the industry’s shift to exposure management, helping our tens of thousands of customers build stronger, smarter defenses for the AI era," said Mark Thurmond, Co-CEO of Tenable. "Enterprises are turning to Tenable to move from reacting to risk to staying ahead of it. They are trusting our platform to deliver the visibility and context required to see and take action on threats before they strike."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Third Quarter 2025 Financial Highlights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was $252.4 million, an 11%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was $267.5 million, an 8% increase year-over-year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income from operations was $7.1 million, compared to a loss of $2.1 million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operating margin was 2.8%, compared to (0.9)%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income from operations was $58.9 million, compared to $45.0 million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operating margin was 23.3%, compared to 19.8%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income was $2.3 million, compared to a loss of $9.2 million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GAAP net earnings per share was $0.02, compared to a net loss of $0.08 per share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was $51.4 million, compared to $39.3 million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was $0.42, compared to $0.32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Net cash provided by operating activities was $53.9 million, compared to $54.6 million in the third quarter of 2024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Unlevered free cash flow was $58.5 million, compared to $60.8 million in the third quarter of 2024</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Repurchased 2.0 million shares of our common stock for $60.0 million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Business Highlights</w:t>
      </w:r>
    </w:p>
    <w:p>
      <w:pPr>
        <w:pStyle w:val="TextBody"/>
        <w:bidi w:val="0"/>
        <w:spacing w:lineRule="auto" w:line="288" w:before="0" w:after="60"/>
        <w:ind w:left="0" w:right="0" w:hanging="360"/>
        <w:jc w:val="left"/>
        <w:rPr/>
      </w:pPr>
      <w:r>
        <w:rPr>
          <w:color w:val="222222"/>
        </w:rPr>
        <w:t>•</w:t>
      </w:r>
      <w:r>
        <w:rPr>
          <w:rFonts w:ascii="Arial;sans-serif" w:hAnsi="Arial;sans-serif"/>
          <w:b w:val="false"/>
          <w:color w:val="000000"/>
          <w:sz w:val="20"/>
        </w:rPr>
        <w:t>Added 437 new enterprise platform customers and 38 net new six-figure customers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Appointed industry veteran Matthew Brown as Chief Financial Officer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Launched Tenable AI Exposure, a comprehensive solution to see, manage and control the risks introduced by generative AI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Released the next evolution of industry-leading Tenable Vulnerability Priority Rating (VPR), sharpening precision and enabling organizations to focus on risks that pose the greatest threat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Named a “Leader” in both Worldwide Exposure Management by IDC and Unified Vulnerability Management by Forrester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Ranked #1 in Device Vulnerability and Exposure Management market share by IDC for the seventh consecutive year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Financial Outlook</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fourth quarter of 2025, we currently expect: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in the range of $249.1 million to $253.1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income from operations in the range of $55.7 million to $59.7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in the range of $47.9 million to $51.9 million, assuming interest expense of $7.0 million, interest income of $3.2 million and a provision for income taxes of $3.4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in the range of $0.39 to $0.43</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121.5 million diluted weighted average shares outstanding</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year ending December 31, 2025, we currently expect: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Calculated current billings in the range of $1.040 billion to $1.048 billion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Revenue in the range of $988.0 million to $992.0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income from operations in the range of $211.0 million to $215.0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net income in the range of $185.0 million to $189.0 million, assuming interest expense of $28.4 million, interest income of $15.8 million and a provision for income taxes of $12.6 million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Non-GAAP diluted earnings per share in the range of $1.51 to $1.54</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122.5 million diluted weighted average shares outstanding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Unlevered free cash flow in the range of $265.0 million to $275.0 million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Conference Call Information </w:t>
      </w:r>
    </w:p>
    <w:p>
      <w:pPr>
        <w:pStyle w:val="TextBody"/>
        <w:bidi w:val="0"/>
        <w:spacing w:lineRule="auto" w:line="288" w:before="0" w:after="240"/>
        <w:jc w:val="left"/>
        <w:rPr/>
      </w:pPr>
      <w:r>
        <w:rPr>
          <w:rFonts w:ascii="Arial;sans-serif" w:hAnsi="Arial;sans-serif"/>
          <w:b w:val="false"/>
          <w:color w:val="000000"/>
          <w:sz w:val="20"/>
        </w:rPr>
        <w:t xml:space="preserve">Tenable will host a conference call on October 29, 2025 at 4:30 p.m. Eastern Time to discuss its financial results. The conference call can be accessed at 877-407-9716 (U.S.) and 201-493-6779 (international). A live webcast of the event will be available on the Tenable Investor Relations website at </w:t>
      </w:r>
      <w:r>
        <w:rPr>
          <w:rFonts w:ascii="Arial;sans-serif" w:hAnsi="Arial;sans-serif"/>
          <w:b w:val="false"/>
          <w:color w:val="000000"/>
          <w:sz w:val="20"/>
          <w:u w:val="single"/>
        </w:rPr>
        <w:t>https://investors.tenable.com</w:t>
      </w:r>
      <w:r>
        <w:rPr>
          <w:rFonts w:ascii="Arial;sans-serif" w:hAnsi="Arial;sans-serif"/>
          <w:b w:val="false"/>
          <w:color w:val="000000"/>
          <w:sz w:val="20"/>
        </w:rPr>
        <w:t>. An archived replay of the live broadcast will be available on the Investor Relations page of the website following the call.</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About Tenable</w:t>
      </w:r>
    </w:p>
    <w:p>
      <w:pPr>
        <w:pStyle w:val="TextBody"/>
        <w:bidi w:val="0"/>
        <w:spacing w:lineRule="auto" w:line="288" w:before="0" w:after="240"/>
        <w:jc w:val="left"/>
        <w:rPr/>
      </w:pPr>
      <w:r>
        <w:rPr>
          <w:rFonts w:ascii="Arial;sans-serif" w:hAnsi="Arial;sans-serif"/>
          <w:b w:val="false"/>
          <w:color w:val="000000"/>
          <w:sz w:val="20"/>
        </w:rPr>
        <w:t>Tenable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is the exposure management company, exposing and closing the cybersecurity gaps that erode business value, reputation and trust. The company’s AI-powered exposure management platform radically unifies security visibility, insight and action across the attack surface, equipping modern organizations to protect against attacks from IT infrastructure to cloud environments to critical infrastructure and everywhere in between. By protecting enterprises from security exposure, Tenable reduces business risk for approximately 44,000 customers around the globe. Learn more at </w:t>
      </w:r>
      <w:r>
        <w:rPr>
          <w:rFonts w:ascii="Arial;sans-serif" w:hAnsi="Arial;sans-serif"/>
          <w:b w:val="false"/>
          <w:color w:val="000000"/>
          <w:sz w:val="20"/>
          <w:u w:val="single"/>
        </w:rPr>
        <w:t>tenable.com</w:t>
      </w:r>
      <w:r>
        <w:rPr>
          <w:rFonts w:ascii="Arial;sans-serif" w:hAnsi="Arial;sans-serif"/>
          <w:b w:val="false"/>
          <w:color w:val="000000"/>
          <w:sz w:val="20"/>
        </w:rPr>
        <w:t xml:space="preserve">.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Contact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investors@tenable.com</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88" w:before="0" w:after="240"/>
        <w:jc w:val="left"/>
        <w:rPr>
          <w:rFonts w:ascii="Arial;sans-serif" w:hAnsi="Arial;sans-serif"/>
          <w:b w:val="false"/>
          <w:color w:val="000000"/>
          <w:sz w:val="20"/>
          <w:u w:val="single"/>
        </w:rPr>
      </w:pPr>
      <w:r>
        <w:rPr>
          <w:rFonts w:ascii="Arial;sans-serif" w:hAnsi="Arial;sans-serif"/>
          <w:b w:val="false"/>
          <w:color w:val="000000"/>
          <w:sz w:val="20"/>
          <w:u w:val="single"/>
        </w:rPr>
        <w:t>tenablepr@tenable.com</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This press release includes forward-looking statements within the meaning of the "safe harbor" provisions of the Private Securities Litigation Reform Act of 1995. All statements contained in this press release other than statements of historical fact, including statements regarding our future results of operations and financial position, our platform's ability to help organizations move to a more strategic and effective defense, manage and control risks introduced by generative AI and focus on risks that pose the greatest threat, and our business strategy and plans and objectives for future operations, are forward-looking statements and represent our views as of the date of this press release. The words “anticipate,” "believe,” “continue,” “estimate,” “expect,” “intend,” “may,” “will” and similar expressions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assumptions and risks and uncertainties, many of which involve factors or circumstances that are beyond our control that could affect our financial results. These risks and uncertainties are detailed in the sections titled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"Risk Factors" and "Management's Discussion and Analysis of Financial Condition and Results of Operations" in our Annual Report on Form 10-K for the year ended December 31, 2024 and other filings that we make from time to time with the SEC, which are available on the SEC's website at sec.gov.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press release may not occur and actual results could differ materially and adversely from those anticipated or implied in any forward-looking statements. Except as required by law, we are under no obligation to update these forward-looking statements subsequent to the date of this press release, or to update the reasons if actual results differ materially from those anticipated in the forward-looking statements.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believe that these non-GAAP financial measures provide useful information about our financial performance, enhance the overall understanding of our past performance and future prospects and allow for greater transparency with respect to important metrics used by management for financial and operational decision-making. We include these non-GAAP financial measures to present our financial performance using a management view and because we believe that these measures provide an additional comparison of our core financial performance over multiple periods with other companies in our industry.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Reconciliations of non-GAAP financial measures to the most directly comparable GAAP financial measures are included in the financial tables accompanying this press release. </w:t>
      </w:r>
    </w:p>
    <w:p>
      <w:pPr>
        <w:pStyle w:val="TextBody"/>
        <w:bidi w:val="0"/>
        <w:spacing w:lineRule="auto" w:line="288" w:before="0" w:after="240"/>
        <w:jc w:val="left"/>
        <w:rPr/>
      </w:pPr>
      <w:r>
        <w:rPr>
          <w:rFonts w:ascii="Arial;sans-serif" w:hAnsi="Arial;sans-serif"/>
          <w:b w:val="false"/>
          <w:color w:val="000000"/>
          <w:sz w:val="20"/>
          <w:u w:val="single"/>
        </w:rPr>
        <w:t>Calculated Current Billings:</w:t>
      </w:r>
      <w:r>
        <w:rPr>
          <w:color w:val="000000"/>
        </w:rPr>
        <w:t xml:space="preserve"> </w:t>
      </w:r>
      <w:r>
        <w:rPr>
          <w:rFonts w:ascii="Arial;sans-serif" w:hAnsi="Arial;sans-serif"/>
          <w:b w:val="false"/>
          <w:color w:val="000000"/>
          <w:sz w:val="20"/>
        </w:rPr>
        <w:t xml:space="preserve">We define calculated current billings, a non-GAAP financial measure, as total revenue recognized in a period plus the change in current deferred revenue in the corresponding period. We believe that calculated current billings is a key metric to measure our periodic performance. Given that most of our customers pay in advance (including multi-year contracts), but we generally recognize the related revenue ratably over time, we use calculated current billings to measure and monitor our ability to provide our business with the working capital generated by upfront payments from our customers.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t>
      </w:r>
    </w:p>
    <w:p>
      <w:pPr>
        <w:pStyle w:val="TextBody"/>
        <w:bidi w:val="0"/>
        <w:spacing w:lineRule="auto" w:line="288" w:before="0" w:after="240"/>
        <w:jc w:val="left"/>
        <w:rPr/>
      </w:pPr>
      <w:r>
        <w:rPr>
          <w:rFonts w:ascii="Arial;sans-serif" w:hAnsi="Arial;sans-serif"/>
          <w:b w:val="false"/>
          <w:color w:val="000000"/>
          <w:sz w:val="20"/>
          <w:u w:val="single"/>
        </w:rPr>
        <w:t>Free Cash Flow and Unlevered Free Cash Flow:</w:t>
      </w:r>
      <w:r>
        <w:rPr>
          <w:color w:val="000000"/>
        </w:rPr>
        <w:t xml:space="preserve"> </w:t>
      </w:r>
      <w:r>
        <w:rPr>
          <w:rFonts w:ascii="Arial;sans-serif" w:hAnsi="Arial;sans-serif"/>
          <w:b w:val="false"/>
          <w:color w:val="000000"/>
          <w:sz w:val="20"/>
        </w:rPr>
        <w:t>We define free cash flow, a non-GAAP financial measure, as net cash provided by operating activities less purchases of property and equipment and capitalized software development costs. We believe free cash flow is an important liquidity measure of the cash that is available (if any), after purchases of property and equipment and capitalized software development costs, for investment in our business and to make acquisitions. We believe that free cash flow is useful as a liquidity measure because it measures our ability to generate cash. We define unlevered free cash flow as free cash flow plus cash paid for interest and other financing costs. We believe unlevered free cash flow is useful as a liquidity measure as it measures the cash that is available to invest in our business and meet our current debt obligations and future financing needs. However, given our debt obligations, non-cancelable commitments and other contractual obligations, unlevered free cash flow does not represent residual cash flow available for discretionary expenses.</w:t>
      </w:r>
    </w:p>
    <w:p>
      <w:pPr>
        <w:pStyle w:val="TextBody"/>
        <w:bidi w:val="0"/>
        <w:spacing w:lineRule="auto" w:line="288" w:before="0" w:after="240"/>
        <w:jc w:val="left"/>
        <w:rPr/>
      </w:pPr>
      <w:r>
        <w:rPr>
          <w:rFonts w:ascii="Arial;sans-serif" w:hAnsi="Arial;sans-serif"/>
          <w:b w:val="false"/>
          <w:color w:val="000000"/>
          <w:sz w:val="20"/>
          <w:u w:val="single"/>
        </w:rPr>
        <w:t>Non-GAAP Income from Operations and Non-GAAP Operating Margin:</w:t>
      </w:r>
      <w:r>
        <w:rPr>
          <w:color w:val="000000"/>
        </w:rPr>
        <w:t xml:space="preserve"> </w:t>
      </w:r>
      <w:r>
        <w:rPr>
          <w:rFonts w:ascii="Arial;sans-serif" w:hAnsi="Arial;sans-serif"/>
          <w:b w:val="false"/>
          <w:color w:val="000000"/>
          <w:sz w:val="20"/>
        </w:rPr>
        <w:t xml:space="preserve">We define these non-GAAP financial measures as their respective GAAP measures, excluding the effect of 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 transfer of acquired intellectual property. Restructuring expenses include non-ordinary course severance, employee related benefits, and other charges to reorganize business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believe that the exclusion of these expenses provides for a useful comparison of our operating results to prior periods and to our peer companies, which commonly exclude restructuring expenses.</w:t>
      </w:r>
    </w:p>
    <w:p>
      <w:pPr>
        <w:pStyle w:val="TextBody"/>
        <w:bidi w:val="0"/>
        <w:spacing w:lineRule="auto" w:line="288" w:before="0" w:after="240"/>
        <w:jc w:val="left"/>
        <w:rPr/>
      </w:pPr>
      <w:r>
        <w:rPr>
          <w:rFonts w:ascii="Arial;sans-serif" w:hAnsi="Arial;sans-serif"/>
          <w:b w:val="false"/>
          <w:color w:val="000000"/>
          <w:sz w:val="20"/>
          <w:u w:val="single"/>
        </w:rPr>
        <w:t>Non-GAAP Net Income and Non-GAAP Earnings Per Share:</w:t>
      </w:r>
      <w:r>
        <w:rPr>
          <w:color w:val="000000"/>
        </w:rPr>
        <w:t xml:space="preserve"> </w:t>
      </w:r>
      <w:r>
        <w:rPr>
          <w:rFonts w:ascii="Arial;sans-serif" w:hAnsi="Arial;sans-serif"/>
          <w:b w:val="false"/>
          <w:color w:val="000000"/>
          <w:sz w:val="20"/>
        </w:rPr>
        <w:t>We define non-GAAP net income as GAAP net income (loss), excluding the effect of stock-based compensation, acquisition-related expenses, restructuring expenses and amortization of acquired intangible assets, including the applicable tax impacts. In addition, we exclude the tax impact and related costs of intra-entity asset transfers resulting from the internal restructuring of legal entities as well as deferred income tax benefits recognized in connection with acquisitions. We use non-GAAP net income to calculate non-GAAP earnings per share.</w:t>
      </w:r>
    </w:p>
    <w:p>
      <w:pPr>
        <w:pStyle w:val="TextBody"/>
        <w:bidi w:val="0"/>
        <w:spacing w:lineRule="auto" w:line="288" w:before="0" w:after="180"/>
        <w:jc w:val="left"/>
        <w:rPr/>
      </w:pPr>
      <w:r>
        <w:rPr>
          <w:rFonts w:ascii="Arial;sans-serif" w:hAnsi="Arial;sans-serif"/>
          <w:b w:val="false"/>
          <w:color w:val="000000"/>
          <w:sz w:val="20"/>
          <w:u w:val="single"/>
        </w:rPr>
        <w:t>Non-GAAP Gross Profit and Non-GAAP Gross Margin:</w:t>
      </w:r>
      <w:r>
        <w:rPr>
          <w:color w:val="000000"/>
        </w:rPr>
        <w:t xml:space="preserve"> </w:t>
      </w:r>
      <w:r>
        <w:rPr>
          <w:rFonts w:ascii="Arial;sans-serif" w:hAnsi="Arial;sans-serif"/>
          <w:b w:val="false"/>
          <w:color w:val="000000"/>
          <w:sz w:val="20"/>
        </w:rPr>
        <w:t xml:space="preserve">We define non-GAAP gross profit as GAAP gross profit, excluding the effect of stock-based compensation and amortization of acquired intangible assets. Non-GAAP gross margin is defined as non-GAAP gross profit as a percentage of revenue. </w:t>
      </w:r>
    </w:p>
    <w:p>
      <w:pPr>
        <w:pStyle w:val="TextBody"/>
        <w:bidi w:val="0"/>
        <w:spacing w:lineRule="auto" w:line="288" w:before="0" w:after="180"/>
        <w:jc w:val="left"/>
        <w:rPr/>
      </w:pPr>
      <w:r>
        <w:rPr>
          <w:rFonts w:ascii="Arial;sans-serif" w:hAnsi="Arial;sans-serif"/>
          <w:b w:val="false"/>
          <w:color w:val="000000"/>
          <w:sz w:val="20"/>
          <w:u w:val="single"/>
        </w:rPr>
        <w:t>Non-GAAP Sales and Marketing Expense, Non-GAAP Research and Development Expense and Non-GAAP General and Administrative Expense:</w:t>
      </w:r>
      <w:r>
        <w:rPr>
          <w:color w:val="000000"/>
        </w:rPr>
        <w:t xml:space="preserve"> </w:t>
      </w:r>
      <w:r>
        <w:rPr>
          <w:rFonts w:ascii="Arial;sans-serif" w:hAnsi="Arial;sans-serif"/>
          <w:b w:val="false"/>
          <w:color w:val="000000"/>
          <w:sz w:val="20"/>
        </w:rPr>
        <w:t>We define these non-GAAP measures as their respective GAAP measures, excluding stock-based compensation, acquisition-related expenses and costs related to intra-entity asset transfers resulting from the internal restructuring of legal entities.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66"/>
        <w:gridCol w:w="1192"/>
        <w:gridCol w:w="1199"/>
        <w:gridCol w:w="229"/>
        <w:gridCol w:w="931"/>
        <w:gridCol w:w="118"/>
        <w:gridCol w:w="118"/>
        <w:gridCol w:w="118"/>
        <w:gridCol w:w="118"/>
        <w:gridCol w:w="229"/>
        <w:gridCol w:w="931"/>
        <w:gridCol w:w="118"/>
        <w:gridCol w:w="109"/>
        <w:gridCol w:w="109"/>
        <w:gridCol w:w="109"/>
        <w:gridCol w:w="225"/>
        <w:gridCol w:w="913"/>
        <w:gridCol w:w="116"/>
        <w:gridCol w:w="116"/>
        <w:gridCol w:w="116"/>
        <w:gridCol w:w="116"/>
        <w:gridCol w:w="225"/>
        <w:gridCol w:w="913"/>
        <w:gridCol w:w="171"/>
      </w:tblGrid>
      <w:tr>
        <w:trPr/>
        <w:tc>
          <w:tcPr>
            <w:tcW w:w="166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738,872 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664,290 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 of revenue</w:t>
            </w:r>
            <w:r>
              <w:rPr>
                <w:rFonts w:ascii="Arial;sans-serif" w:hAnsi="Arial;sans-serif"/>
                <w:b w:val="false"/>
                <w:color w:val="000000"/>
                <w:sz w:val="13"/>
              </w:rPr>
              <w:t>(1)</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195,687 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575,225 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Sales and marketing</w:t>
            </w:r>
            <w:r>
              <w:rPr>
                <w:rFonts w:ascii="Arial;sans-serif" w:hAnsi="Arial;sans-serif"/>
                <w:b w:val="false"/>
                <w:color w:val="000000"/>
                <w:sz w:val="13"/>
              </w:rPr>
              <w:t>(1)</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593,248 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535,892 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(27,435)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(38,169)</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per share:</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earnings (loss) per share:</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0"/>
        <w:jc w:val="left"/>
        <w:rPr/>
      </w:pPr>
      <w:r>
        <w:rPr>
          <w:rFonts w:ascii="Arial;sans-serif" w:hAnsi="Arial;sans-serif"/>
          <w:b w:val="false"/>
          <w:color w:val="000000"/>
          <w:sz w:val="12"/>
        </w:rPr>
        <w:t>(1)</w:t>
      </w:r>
      <w:r>
        <w:rPr>
          <w:color w:val="000000"/>
        </w:rPr>
        <w:t>    </w:t>
      </w:r>
      <w:r>
        <w:rPr>
          <w:rFonts w:ascii="Arial;sans-serif" w:hAnsi="Arial;sans-serif"/>
          <w:b w:val="false"/>
          <w:color w:val="000000"/>
          <w:sz w:val="18"/>
        </w:rPr>
        <w:t>Includes stock-based compensation as follows:</w:t>
      </w:r>
    </w:p>
    <w:tbl>
      <w:tblPr>
        <w:tblW w:w="9516" w:type="dxa"/>
        <w:jc w:val="center"/>
        <w:tblInd w:w="0" w:type="dxa"/>
        <w:tblLayout w:type="fixed"/>
        <w:tblCellMar>
          <w:top w:w="28" w:type="dxa"/>
          <w:left w:w="28" w:type="dxa"/>
          <w:bottom w:w="28" w:type="dxa"/>
          <w:right w:w="28" w:type="dxa"/>
        </w:tblCellMar>
      </w:tblPr>
      <w:tblGrid>
        <w:gridCol w:w="1071"/>
        <w:gridCol w:w="940"/>
        <w:gridCol w:w="943"/>
        <w:gridCol w:w="269"/>
        <w:gridCol w:w="958"/>
        <w:gridCol w:w="139"/>
        <w:gridCol w:w="139"/>
        <w:gridCol w:w="139"/>
        <w:gridCol w:w="139"/>
        <w:gridCol w:w="269"/>
        <w:gridCol w:w="958"/>
        <w:gridCol w:w="139"/>
        <w:gridCol w:w="109"/>
        <w:gridCol w:w="109"/>
        <w:gridCol w:w="109"/>
        <w:gridCol w:w="239"/>
        <w:gridCol w:w="971"/>
        <w:gridCol w:w="123"/>
        <w:gridCol w:w="123"/>
        <w:gridCol w:w="123"/>
        <w:gridCol w:w="123"/>
        <w:gridCol w:w="239"/>
        <w:gridCol w:w="971"/>
        <w:gridCol w:w="17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35,395 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(2)</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147,311 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122,801 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120"/>
        <w:jc w:val="left"/>
        <w:rPr/>
      </w:pPr>
      <w:r>
        <w:rPr>
          <w:rFonts w:ascii="Arial;sans-serif" w:hAnsi="Arial;sans-serif"/>
          <w:b w:val="false"/>
          <w:color w:val="000000"/>
          <w:sz w:val="12"/>
        </w:rPr>
        <w:t>(2)</w:t>
      </w:r>
      <w:r>
        <w:rPr>
          <w:color w:val="000000"/>
        </w:rPr>
        <w:t>    </w:t>
      </w:r>
      <w:r>
        <w:rPr>
          <w:rFonts w:ascii="Arial;sans-serif" w:hAnsi="Arial;sans-serif"/>
          <w:b w:val="false"/>
          <w:color w:val="000000"/>
          <w:sz w:val="18"/>
        </w:rPr>
        <w:t>Stock-based compensation in the nine months ended September 30, 2025 includes $14.6 million of expense related to the accelerated vesting of equity awards in Q1 for our late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589"/>
        <w:gridCol w:w="2083"/>
        <w:gridCol w:w="2095"/>
        <w:gridCol w:w="242"/>
        <w:gridCol w:w="1174"/>
        <w:gridCol w:w="125"/>
        <w:gridCol w:w="109"/>
        <w:gridCol w:w="109"/>
        <w:gridCol w:w="109"/>
        <w:gridCol w:w="238"/>
        <w:gridCol w:w="1155"/>
        <w:gridCol w:w="177"/>
      </w:tblGrid>
      <w:tr>
        <w:trPr/>
        <w:tc>
          <w:tcPr>
            <w:tcW w:w="258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Assets </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 for doubtful accounts of $845 and $525 at September 30, 2025 and December 31, 2024, respectively)</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assets </w:t>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679,332 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940,745 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Property and equipment, net </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commissions (net of current portion)</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 net</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697,886 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541,292 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assets </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assets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1,652,622 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1,742,119 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liabilities: </w:t>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639,614 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650,372 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current liabilities </w:t>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720,311 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738,092 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Deferred revenue (net of current portion) </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net of issuance costs (net of current portion)</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354,820 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356,705 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liabilities </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liabilities </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1,308,246 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1,342,165 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(par value: $0.01; 500,000 shares authorized; 128,348 and 122,371 shares issued at September 30, 2025 and December 31, 2024, respectively)</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1,540,611 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1,374,659 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8,314 and 2,673 shares at September 30, 2025 and December 31, 2024, respectively)</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(301,208)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(896,717)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(861,336)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344,376 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399,954 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1,652,622 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1,742,119 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42"/>
        <w:gridCol w:w="2111"/>
        <w:gridCol w:w="2117"/>
        <w:gridCol w:w="323"/>
        <w:gridCol w:w="1315"/>
        <w:gridCol w:w="166"/>
        <w:gridCol w:w="121"/>
        <w:gridCol w:w="121"/>
        <w:gridCol w:w="121"/>
        <w:gridCol w:w="235"/>
        <w:gridCol w:w="957"/>
        <w:gridCol w:w="176"/>
      </w:tblGrid>
      <w:tr>
        <w:trPr/>
        <w:tc>
          <w:tcPr>
            <w:tcW w:w="2442"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6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(38,169)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provided by operating activities: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accretion of discounts and amortization of premiums on short-term investments</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other investments</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accrued expenses and accrued compensation</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maturities of short-term investments</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other investments</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other investments</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combinations, net of cash acquired</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(170,290)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term loan</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stock issued in connection with the employee stock purchase plan</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taxes related to net share settlement of equity awards</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(49,991)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(171,208)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and restricted cash</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 and restricted cash</w:t>
            </w:r>
          </w:p>
        </w:tc>
        <w:tc>
          <w:tcPr>
            <w:tcW w:w="1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(156,795)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beginning of period</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end of period</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171,852 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312,207 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TENABLE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REVENUE COMPONENTS AND RECONCILIATION OF GAAP TO NON-GAAP FINANCIAL MEASURES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44"/>
        <w:gridCol w:w="1175"/>
        <w:gridCol w:w="1187"/>
        <w:gridCol w:w="245"/>
        <w:gridCol w:w="994"/>
        <w:gridCol w:w="126"/>
        <w:gridCol w:w="126"/>
        <w:gridCol w:w="126"/>
        <w:gridCol w:w="126"/>
        <w:gridCol w:w="245"/>
        <w:gridCol w:w="994"/>
        <w:gridCol w:w="126"/>
        <w:gridCol w:w="109"/>
        <w:gridCol w:w="109"/>
        <w:gridCol w:w="109"/>
        <w:gridCol w:w="236"/>
        <w:gridCol w:w="962"/>
        <w:gridCol w:w="121"/>
        <w:gridCol w:w="121"/>
        <w:gridCol w:w="121"/>
        <w:gridCol w:w="121"/>
        <w:gridCol w:w="236"/>
        <w:gridCol w:w="962"/>
        <w:gridCol w:w="184"/>
      </w:tblGrid>
      <w:tr>
        <w:trPr/>
        <w:tc>
          <w:tcPr>
            <w:tcW w:w="1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revenue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680,685 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608,727 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Perpetual license and maintenance revenue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34,051 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35,941 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 and other revenue</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Revenue</w:t>
            </w:r>
            <w:r>
              <w:rPr>
                <w:rFonts w:ascii="Arial;sans-serif" w:hAnsi="Arial;sans-serif"/>
                <w:b w:val="false"/>
                <w:color w:val="000000"/>
                <w:sz w:val="13"/>
              </w:rPr>
              <w:t>(1)</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252,440 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227,088 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738,872 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664,290 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w:t>
      </w:r>
    </w:p>
    <w:p>
      <w:pPr>
        <w:pStyle w:val="TextBody"/>
        <w:bidi w:val="0"/>
        <w:spacing w:lineRule="auto" w:line="288" w:before="0" w:after="240"/>
        <w:jc w:val="left"/>
        <w:rPr/>
      </w:pPr>
      <w:r>
        <w:rPr>
          <w:rFonts w:ascii="Arial;sans-serif" w:hAnsi="Arial;sans-serif"/>
          <w:b w:val="false"/>
          <w:color w:val="000000"/>
          <w:sz w:val="12"/>
        </w:rPr>
        <w:t>(1)    </w:t>
      </w:r>
      <w:r>
        <w:rPr>
          <w:rFonts w:ascii="Arial;sans-serif" w:hAnsi="Arial;sans-serif"/>
          <w:b w:val="false"/>
          <w:color w:val="000000"/>
          <w:sz w:val="18"/>
        </w:rPr>
        <w:t>Recurring revenue, which includes revenue from subscription arrangements for software (both recognized ratably over the subscription term and upon delivery) and cloud-based solutions and maintenance associated with perpetual licenses, represented 95% and 96%, respectively of revenue in the three and nine months ended September 30, 2025 and 96% in the three and nine months ended September 30, 2024.</w:t>
      </w:r>
    </w:p>
    <w:tbl>
      <w:tblPr>
        <w:tblW w:w="10205" w:type="dxa"/>
        <w:jc w:val="center"/>
        <w:tblInd w:w="0" w:type="dxa"/>
        <w:tblLayout w:type="fixed"/>
        <w:tblCellMar>
          <w:top w:w="28" w:type="dxa"/>
          <w:left w:w="28" w:type="dxa"/>
          <w:bottom w:w="28" w:type="dxa"/>
          <w:right w:w="28" w:type="dxa"/>
        </w:tblCellMar>
      </w:tblPr>
      <w:tblGrid>
        <w:gridCol w:w="1371"/>
        <w:gridCol w:w="1201"/>
        <w:gridCol w:w="1205"/>
        <w:gridCol w:w="241"/>
        <w:gridCol w:w="981"/>
        <w:gridCol w:w="124"/>
        <w:gridCol w:w="124"/>
        <w:gridCol w:w="124"/>
        <w:gridCol w:w="124"/>
        <w:gridCol w:w="241"/>
        <w:gridCol w:w="981"/>
        <w:gridCol w:w="124"/>
        <w:gridCol w:w="109"/>
        <w:gridCol w:w="109"/>
        <w:gridCol w:w="109"/>
        <w:gridCol w:w="234"/>
        <w:gridCol w:w="952"/>
        <w:gridCol w:w="120"/>
        <w:gridCol w:w="120"/>
        <w:gridCol w:w="120"/>
        <w:gridCol w:w="120"/>
        <w:gridCol w:w="234"/>
        <w:gridCol w:w="952"/>
        <w:gridCol w:w="185"/>
      </w:tblGrid>
      <w:tr>
        <w:trPr/>
        <w:tc>
          <w:tcPr>
            <w:tcW w:w="137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Calculated Current Billings</w:t>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738,872 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664,290 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 end of period</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639,614 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583,940 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639,614 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583,940 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Deferred revenue (current), beginning of period</w:t>
            </w:r>
            <w:r>
              <w:rPr>
                <w:rFonts w:ascii="Arial;sans-serif" w:hAnsi="Arial;sans-serif"/>
                <w:b w:val="false"/>
                <w:color w:val="000000"/>
                <w:sz w:val="13"/>
              </w:rPr>
              <w:t>(1)</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(624,548)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(562,587)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(657,035)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(580,887)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Calculated current billings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267,506 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248,441 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721,451 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667,343 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________________</w:t>
      </w:r>
    </w:p>
    <w:p>
      <w:pPr>
        <w:pStyle w:val="TextBody"/>
        <w:bidi w:val="0"/>
        <w:spacing w:lineRule="auto" w:line="288" w:before="0" w:after="240"/>
        <w:jc w:val="left"/>
        <w:rPr/>
      </w:pPr>
      <w:r>
        <w:rPr>
          <w:rFonts w:ascii="Arial;sans-serif" w:hAnsi="Arial;sans-serif"/>
          <w:b w:val="false"/>
          <w:color w:val="000000"/>
          <w:sz w:val="12"/>
        </w:rPr>
        <w:t>(1)    </w:t>
      </w:r>
      <w:r>
        <w:rPr>
          <w:rFonts w:ascii="Arial;sans-serif" w:hAnsi="Arial;sans-serif"/>
          <w:b w:val="false"/>
          <w:color w:val="000000"/>
          <w:sz w:val="18"/>
        </w:rPr>
        <w:t>Deferred revenue (current), beginning of period for the nine months ended September 30, 2025 and 2024 includes, $6.7 million and $0.1 million, respectively, related to acquired deferred revenue.</w:t>
      </w:r>
    </w:p>
    <w:tbl>
      <w:tblPr>
        <w:tblW w:w="8205" w:type="dxa"/>
        <w:jc w:val="left"/>
        <w:tblInd w:w="0" w:type="dxa"/>
        <w:tblLayout w:type="fixed"/>
        <w:tblCellMar>
          <w:top w:w="28" w:type="dxa"/>
          <w:left w:w="28" w:type="dxa"/>
          <w:bottom w:w="28" w:type="dxa"/>
          <w:right w:w="28" w:type="dxa"/>
        </w:tblCellMar>
      </w:tblPr>
      <w:tblGrid>
        <w:gridCol w:w="1509"/>
        <w:gridCol w:w="1329"/>
        <w:gridCol w:w="1331"/>
        <w:gridCol w:w="211"/>
        <w:gridCol w:w="856"/>
        <w:gridCol w:w="109"/>
        <w:gridCol w:w="109"/>
        <w:gridCol w:w="109"/>
        <w:gridCol w:w="109"/>
        <w:gridCol w:w="211"/>
        <w:gridCol w:w="856"/>
        <w:gridCol w:w="109"/>
        <w:gridCol w:w="109"/>
        <w:gridCol w:w="109"/>
        <w:gridCol w:w="109"/>
        <w:gridCol w:w="270"/>
        <w:gridCol w:w="271"/>
        <w:gridCol w:w="489"/>
      </w:tblGrid>
      <w:tr>
        <w:trPr/>
        <w:tc>
          <w:tcPr>
            <w:tcW w:w="15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Remaining Performance Obligations</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 short-term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 long-term</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performance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394"/>
        <w:gridCol w:w="1196"/>
        <w:gridCol w:w="1204"/>
        <w:gridCol w:w="260"/>
        <w:gridCol w:w="927"/>
        <w:gridCol w:w="134"/>
        <w:gridCol w:w="134"/>
        <w:gridCol w:w="134"/>
        <w:gridCol w:w="134"/>
        <w:gridCol w:w="260"/>
        <w:gridCol w:w="927"/>
        <w:gridCol w:w="134"/>
        <w:gridCol w:w="109"/>
        <w:gridCol w:w="109"/>
        <w:gridCol w:w="109"/>
        <w:gridCol w:w="234"/>
        <w:gridCol w:w="954"/>
        <w:gridCol w:w="120"/>
        <w:gridCol w:w="120"/>
        <w:gridCol w:w="120"/>
        <w:gridCol w:w="120"/>
        <w:gridCol w:w="234"/>
        <w:gridCol w:w="954"/>
        <w:gridCol w:w="184"/>
      </w:tblGrid>
      <w:tr>
        <w:trPr/>
        <w:tc>
          <w:tcPr>
            <w:tcW w:w="13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 and Unlevered Free Cash Flow</w:t>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54,607 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136,357 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51,630 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52,711 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169,276 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128,503 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and other financing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Unlevered free cash flow</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58,484 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60,766 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189,563 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152,008 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Free cash flow and unlevered free cash flow for the periods presented were impacted by:</w:t>
      </w:r>
    </w:p>
    <w:tbl>
      <w:tblPr>
        <w:tblW w:w="10055" w:type="dxa"/>
        <w:jc w:val="left"/>
        <w:tblInd w:w="0" w:type="dxa"/>
        <w:tblLayout w:type="fixed"/>
        <w:tblCellMar>
          <w:top w:w="28" w:type="dxa"/>
          <w:left w:w="28" w:type="dxa"/>
          <w:bottom w:w="28" w:type="dxa"/>
          <w:right w:w="28" w:type="dxa"/>
        </w:tblCellMar>
      </w:tblPr>
      <w:tblGrid>
        <w:gridCol w:w="1267"/>
        <w:gridCol w:w="1112"/>
        <w:gridCol w:w="1115"/>
        <w:gridCol w:w="283"/>
        <w:gridCol w:w="926"/>
        <w:gridCol w:w="146"/>
        <w:gridCol w:w="146"/>
        <w:gridCol w:w="146"/>
        <w:gridCol w:w="146"/>
        <w:gridCol w:w="283"/>
        <w:gridCol w:w="926"/>
        <w:gridCol w:w="146"/>
        <w:gridCol w:w="109"/>
        <w:gridCol w:w="109"/>
        <w:gridCol w:w="109"/>
        <w:gridCol w:w="272"/>
        <w:gridCol w:w="892"/>
        <w:gridCol w:w="140"/>
        <w:gridCol w:w="140"/>
        <w:gridCol w:w="140"/>
        <w:gridCol w:w="140"/>
        <w:gridCol w:w="272"/>
        <w:gridCol w:w="892"/>
        <w:gridCol w:w="198"/>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 activity</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(6,283)</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97"/>
        <w:gridCol w:w="1105"/>
        <w:gridCol w:w="1112"/>
        <w:gridCol w:w="222"/>
        <w:gridCol w:w="793"/>
        <w:gridCol w:w="302"/>
        <w:gridCol w:w="114"/>
        <w:gridCol w:w="114"/>
        <w:gridCol w:w="114"/>
        <w:gridCol w:w="222"/>
        <w:gridCol w:w="793"/>
        <w:gridCol w:w="302"/>
        <w:gridCol w:w="109"/>
        <w:gridCol w:w="109"/>
        <w:gridCol w:w="109"/>
        <w:gridCol w:w="211"/>
        <w:gridCol w:w="857"/>
        <w:gridCol w:w="286"/>
        <w:gridCol w:w="109"/>
        <w:gridCol w:w="109"/>
        <w:gridCol w:w="109"/>
        <w:gridCol w:w="211"/>
        <w:gridCol w:w="857"/>
        <w:gridCol w:w="339"/>
      </w:tblGrid>
      <w:tr>
        <w:trPr/>
        <w:tc>
          <w:tcPr>
            <w:tcW w:w="15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Income from Operations and Non-GAAP Operating Margin</w:t>
            </w:r>
          </w:p>
        </w:tc>
        <w:tc>
          <w:tcPr>
            <w:tcW w:w="2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(19,831)</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122,801 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income from operations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58,913 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155,286 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124,767 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10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786"/>
        <w:gridCol w:w="1224"/>
        <w:gridCol w:w="1232"/>
        <w:gridCol w:w="235"/>
        <w:gridCol w:w="838"/>
        <w:gridCol w:w="121"/>
        <w:gridCol w:w="121"/>
        <w:gridCol w:w="121"/>
        <w:gridCol w:w="121"/>
        <w:gridCol w:w="235"/>
        <w:gridCol w:w="838"/>
        <w:gridCol w:w="121"/>
        <w:gridCol w:w="109"/>
        <w:gridCol w:w="109"/>
        <w:gridCol w:w="109"/>
        <w:gridCol w:w="222"/>
        <w:gridCol w:w="904"/>
        <w:gridCol w:w="114"/>
        <w:gridCol w:w="114"/>
        <w:gridCol w:w="114"/>
        <w:gridCol w:w="114"/>
        <w:gridCol w:w="222"/>
        <w:gridCol w:w="904"/>
        <w:gridCol w:w="177"/>
      </w:tblGrid>
      <w:tr>
        <w:trPr/>
        <w:tc>
          <w:tcPr>
            <w:tcW w:w="178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Net Income and Non-GAAP Earnings Per Share</w:t>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per share data)</w:t>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(38,169)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(2)</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acquisitions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51,438 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39,323 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107,925 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 per share, diluted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stock-based compensation</w:t>
            </w:r>
            <w:r>
              <w:rPr>
                <w:rFonts w:ascii="Arial;sans-serif" w:hAnsi="Arial;sans-serif"/>
                <w:b w:val="false"/>
                <w:color w:val="000000"/>
                <w:sz w:val="13"/>
              </w:rPr>
              <w:t>(1)</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Acquisition-related expenses</w:t>
            </w:r>
            <w:r>
              <w:rPr>
                <w:rFonts w:ascii="Arial;sans-serif" w:hAnsi="Arial;sans-serif"/>
                <w:b w:val="false"/>
                <w:color w:val="000000"/>
                <w:sz w:val="13"/>
              </w:rPr>
              <w:t>(2)</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Restructuring</w:t>
            </w:r>
            <w:r>
              <w:rPr>
                <w:rFonts w:ascii="Arial;sans-serif" w:hAnsi="Arial;sans-serif"/>
                <w:b w:val="false"/>
                <w:color w:val="000000"/>
                <w:sz w:val="13"/>
              </w:rPr>
              <w:t>(2)</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Amortization of acquired intangible assets</w:t>
            </w:r>
            <w:r>
              <w:rPr>
                <w:rFonts w:ascii="Arial;sans-serif" w:hAnsi="Arial;sans-serif"/>
                <w:b w:val="false"/>
                <w:color w:val="000000"/>
                <w:sz w:val="13"/>
              </w:rPr>
              <w:t>(2)</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impact of acquisitions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 to diluted earnings per share</w:t>
            </w:r>
            <w:r>
              <w:rPr>
                <w:rFonts w:ascii="Arial;sans-serif" w:hAnsi="Arial;sans-serif"/>
                <w:b w:val="false"/>
                <w:color w:val="000000"/>
                <w:sz w:val="13"/>
              </w:rPr>
              <w:t>(3)</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earnings per share, diluted</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GAAP net earnings (loss) per share, diluted</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120,516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118,466</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non-GAAP earnings per share, diluted</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122,995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123,206</w:t>
            </w:r>
          </w:p>
        </w:tc>
      </w:tr>
    </w:tbl>
    <w:p>
      <w:pPr>
        <w:pStyle w:val="TextBody"/>
        <w:bidi w:val="0"/>
        <w:spacing w:lineRule="auto" w:line="288" w:before="0" w:after="6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40"/>
        <w:jc w:val="left"/>
        <w:rPr/>
      </w:pPr>
      <w:r>
        <w:rPr>
          <w:rFonts w:ascii="Arial;sans-serif" w:hAnsi="Arial;sans-serif"/>
          <w:b w:val="false"/>
          <w:color w:val="000000"/>
          <w:sz w:val="12"/>
          <w:shd w:fill="FFFFFF" w:val="clear"/>
        </w:rPr>
        <w:t>(1)</w:t>
      </w:r>
      <w:r>
        <w:rPr>
          <w:color w:val="000000"/>
          <w:shd w:fill="FFFFFF" w:val="clear"/>
        </w:rPr>
        <w:t>    </w:t>
      </w:r>
      <w:r>
        <w:rPr>
          <w:rFonts w:ascii="Arial;sans-serif" w:hAnsi="Arial;sans-serif"/>
          <w:b w:val="false"/>
          <w:color w:val="000000"/>
          <w:sz w:val="18"/>
        </w:rPr>
        <w:t>The tax impact of stock-based compensation is based on the tax treatment for the applicable tax jurisdictions.</w:t>
      </w:r>
    </w:p>
    <w:p>
      <w:pPr>
        <w:pStyle w:val="TextBody"/>
        <w:bidi w:val="0"/>
        <w:spacing w:lineRule="auto" w:line="288" w:before="0" w:after="40"/>
        <w:jc w:val="left"/>
        <w:rPr/>
      </w:pPr>
      <w:r>
        <w:rPr>
          <w:rFonts w:ascii="Arial;sans-serif" w:hAnsi="Arial;sans-serif"/>
          <w:b w:val="false"/>
          <w:color w:val="000000"/>
          <w:sz w:val="12"/>
        </w:rPr>
        <w:t>(2)</w:t>
      </w:r>
      <w:r>
        <w:rPr>
          <w:color w:val="000000"/>
        </w:rPr>
        <w:t>    </w:t>
      </w:r>
      <w:r>
        <w:rPr>
          <w:rFonts w:ascii="Arial;sans-serif" w:hAnsi="Arial;sans-serif"/>
          <w:b w:val="false"/>
          <w:color w:val="000000"/>
          <w:sz w:val="18"/>
        </w:rPr>
        <w:t>The tax impact of acquisition-related expenses, restructuring and the amortization of acquired intangible assets are not material.</w:t>
      </w:r>
    </w:p>
    <w:p>
      <w:pPr>
        <w:pStyle w:val="TextBody"/>
        <w:bidi w:val="0"/>
        <w:spacing w:lineRule="auto" w:line="288" w:before="0" w:after="40"/>
        <w:jc w:val="left"/>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shd w:fill="FFFFFF" w:val="clear"/>
        </w:rPr>
        <w:t>An adjustment to reconcile GAAP net earnings (loss) per share, which excludes potentially dilutive shares, to non-GAAP earnings per share, which includes potentially dilutive shares.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87"/>
        <w:gridCol w:w="1142"/>
        <w:gridCol w:w="1149"/>
        <w:gridCol w:w="216"/>
        <w:gridCol w:w="879"/>
        <w:gridCol w:w="293"/>
        <w:gridCol w:w="111"/>
        <w:gridCol w:w="111"/>
        <w:gridCol w:w="111"/>
        <w:gridCol w:w="216"/>
        <w:gridCol w:w="879"/>
        <w:gridCol w:w="293"/>
        <w:gridCol w:w="109"/>
        <w:gridCol w:w="109"/>
        <w:gridCol w:w="109"/>
        <w:gridCol w:w="211"/>
        <w:gridCol w:w="858"/>
        <w:gridCol w:w="286"/>
        <w:gridCol w:w="109"/>
        <w:gridCol w:w="109"/>
        <w:gridCol w:w="109"/>
        <w:gridCol w:w="211"/>
        <w:gridCol w:w="858"/>
        <w:gridCol w:w="340"/>
      </w:tblGrid>
      <w:tr>
        <w:trPr/>
        <w:tc>
          <w:tcPr>
            <w:tcW w:w="138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Gross Profit and Non-GAAP Gross Margin</w:t>
            </w:r>
          </w:p>
        </w:tc>
        <w:tc>
          <w:tcPr>
            <w:tcW w:w="3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195,687 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176,589 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575,225 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516,061 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205,964 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184,819 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604,678 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539,990 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77.7 </w:t>
            </w:r>
          </w:p>
        </w:tc>
        <w:tc>
          <w:tcPr>
            <w:tcW w:w="3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419"/>
        <w:gridCol w:w="1162"/>
        <w:gridCol w:w="1169"/>
        <w:gridCol w:w="227"/>
        <w:gridCol w:w="809"/>
        <w:gridCol w:w="308"/>
        <w:gridCol w:w="117"/>
        <w:gridCol w:w="117"/>
        <w:gridCol w:w="117"/>
        <w:gridCol w:w="227"/>
        <w:gridCol w:w="809"/>
        <w:gridCol w:w="308"/>
        <w:gridCol w:w="109"/>
        <w:gridCol w:w="109"/>
        <w:gridCol w:w="109"/>
        <w:gridCol w:w="211"/>
        <w:gridCol w:w="858"/>
        <w:gridCol w:w="286"/>
        <w:gridCol w:w="109"/>
        <w:gridCol w:w="109"/>
        <w:gridCol w:w="109"/>
        <w:gridCol w:w="211"/>
        <w:gridCol w:w="858"/>
        <w:gridCol w:w="338"/>
      </w:tblGrid>
      <w:tr>
        <w:trPr/>
        <w:tc>
          <w:tcPr>
            <w:tcW w:w="14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Sales and Marketing Expense</w:t>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expense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99,949 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99,083 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300,037 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47,517 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expenses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sales and marketing expense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82,890 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83,139 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257,403 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252,468 </w:t>
            </w:r>
          </w:p>
        </w:tc>
        <w:tc>
          <w:tcPr>
            <w:tcW w:w="3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Non-GAAP sales and marketing expense % of revenue</w:t>
            </w:r>
          </w:p>
        </w:tc>
        <w:tc>
          <w:tcPr>
            <w:tcW w:w="10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3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3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389"/>
        <w:gridCol w:w="1192"/>
        <w:gridCol w:w="1198"/>
        <w:gridCol w:w="225"/>
        <w:gridCol w:w="802"/>
        <w:gridCol w:w="305"/>
        <w:gridCol w:w="116"/>
        <w:gridCol w:w="116"/>
        <w:gridCol w:w="116"/>
        <w:gridCol w:w="225"/>
        <w:gridCol w:w="802"/>
        <w:gridCol w:w="305"/>
        <w:gridCol w:w="109"/>
        <w:gridCol w:w="109"/>
        <w:gridCol w:w="109"/>
        <w:gridCol w:w="211"/>
        <w:gridCol w:w="857"/>
        <w:gridCol w:w="286"/>
        <w:gridCol w:w="109"/>
        <w:gridCol w:w="109"/>
        <w:gridCol w:w="109"/>
        <w:gridCol w:w="211"/>
        <w:gridCol w:w="857"/>
        <w:gridCol w:w="338"/>
      </w:tblGrid>
      <w:tr>
        <w:trPr/>
        <w:tc>
          <w:tcPr>
            <w:tcW w:w="13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Research and Development Expense</w:t>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56,265 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48,020 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136,896 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35,395 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expenses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research and development expense</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42,088 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35,585 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124,509 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101,521 </w:t>
            </w:r>
          </w:p>
        </w:tc>
        <w:tc>
          <w:tcPr>
            <w:tcW w:w="3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Non-GAAP research and development expense % of revenue</w:t>
            </w:r>
          </w:p>
        </w:tc>
        <w:tc>
          <w:tcPr>
            <w:tcW w:w="10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382"/>
        <w:gridCol w:w="1216"/>
        <w:gridCol w:w="1219"/>
        <w:gridCol w:w="225"/>
        <w:gridCol w:w="803"/>
        <w:gridCol w:w="305"/>
        <w:gridCol w:w="116"/>
        <w:gridCol w:w="116"/>
        <w:gridCol w:w="116"/>
        <w:gridCol w:w="225"/>
        <w:gridCol w:w="803"/>
        <w:gridCol w:w="305"/>
        <w:gridCol w:w="109"/>
        <w:gridCol w:w="109"/>
        <w:gridCol w:w="109"/>
        <w:gridCol w:w="215"/>
        <w:gridCol w:w="875"/>
        <w:gridCol w:w="292"/>
        <w:gridCol w:w="111"/>
        <w:gridCol w:w="111"/>
        <w:gridCol w:w="111"/>
        <w:gridCol w:w="215"/>
        <w:gridCol w:w="768"/>
        <w:gridCol w:w="349"/>
      </w:tblGrid>
      <w:tr>
        <w:trPr/>
        <w:tc>
          <w:tcPr>
            <w:tcW w:w="138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General and Administrative Expense</w:t>
            </w:r>
          </w:p>
        </w:tc>
        <w:tc>
          <w:tcPr>
            <w:tcW w:w="3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thousands)</w:t>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31,569 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114,302 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92,889 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Stock-based compensation</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Acquisition-related expenses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general and administrative expense</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22,073 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21,120 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67,480 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61,234 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Non-GAAP general and administrative expense % of revenue</w:t>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3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following adjustments to reconcile forecasted non-GAAP income from operations, non-GAAP net income, non-GAAP earnings per share, free cash flow and unlevered free cash flow are subject to a number of uncertainties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assumptions, each of which are inherently difficult to forecast. As a result, actual adjustments and GAAP results may differ materially. </w:t>
      </w:r>
    </w:p>
    <w:tbl>
      <w:tblPr>
        <w:tblW w:w="9449" w:type="dxa"/>
        <w:jc w:val="center"/>
        <w:tblInd w:w="0" w:type="dxa"/>
        <w:tblLayout w:type="fixed"/>
        <w:tblCellMar>
          <w:top w:w="28" w:type="dxa"/>
          <w:left w:w="28" w:type="dxa"/>
          <w:bottom w:w="28" w:type="dxa"/>
          <w:right w:w="28" w:type="dxa"/>
        </w:tblCellMar>
      </w:tblPr>
      <w:tblGrid>
        <w:gridCol w:w="1728"/>
        <w:gridCol w:w="1518"/>
        <w:gridCol w:w="1523"/>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Forecasted Non-GAAP Income from Operations</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Ending</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Ending </w:t>
              <w:br/>
              <w:t>December 31, 2025</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income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acquisition-related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non-GAAP 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36"/>
        <w:gridCol w:w="1656"/>
        <w:gridCol w:w="1661"/>
        <w:gridCol w:w="211"/>
        <w:gridCol w:w="575"/>
        <w:gridCol w:w="109"/>
        <w:gridCol w:w="109"/>
        <w:gridCol w:w="109"/>
        <w:gridCol w:w="109"/>
        <w:gridCol w:w="211"/>
        <w:gridCol w:w="575"/>
        <w:gridCol w:w="109"/>
        <w:gridCol w:w="109"/>
        <w:gridCol w:w="109"/>
        <w:gridCol w:w="109"/>
        <w:gridCol w:w="211"/>
        <w:gridCol w:w="646"/>
        <w:gridCol w:w="109"/>
        <w:gridCol w:w="109"/>
        <w:gridCol w:w="109"/>
        <w:gridCol w:w="109"/>
        <w:gridCol w:w="211"/>
        <w:gridCol w:w="646"/>
        <w:gridCol w:w="158"/>
      </w:tblGrid>
      <w:tr>
        <w:trPr/>
        <w:tc>
          <w:tcPr>
            <w:tcW w:w="213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Forecasted Non-GAAP Net Income and Non-GAAP Earnings Per Share</w:t>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Ending</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Ending </w:t>
              <w:br/>
              <w:t>December 31, 2025</w:t>
            </w:r>
          </w:p>
        </w:tc>
      </w:tr>
      <w:tr>
        <w:trPr/>
        <w:tc>
          <w:tcPr>
            <w:tcW w:w="5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millions, except per share data)</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Forecasted net loss</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stock-based compensation</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tax impact of stock-based compensation</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acquisition-related expenses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amortization of acquired intangible assets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tax impact of acquisitions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Forecasted net loss per share, diluted</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stock-based compensation</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tax impact of stock-based compensation</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acquisition-related expenses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amortization of acquired intangible assets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tax impact of acquisitions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Adjustment to diluted earnings per share</w:t>
            </w:r>
            <w:r>
              <w:rPr>
                <w:rFonts w:ascii="Arial;sans-serif" w:hAnsi="Arial;sans-serif"/>
                <w:b w:val="false"/>
                <w:color w:val="000000"/>
                <w:sz w:val="13"/>
              </w:rPr>
              <w:t>(2)</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non-GAAP earnings per share,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weighted-average shares used to compute GAAP net loss per share, diluted</w:t>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w:t>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Forecasted weighted-average shares used to compute non-GAAP earnings per share, diluted</w:t>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w:t>
            </w:r>
          </w:p>
        </w:tc>
      </w:tr>
    </w:tbl>
    <w:p>
      <w:pPr>
        <w:pStyle w:val="TextBody"/>
        <w:bidi w:val="0"/>
        <w:spacing w:lineRule="auto" w:line="288" w:before="0" w:after="0"/>
        <w:jc w:val="left"/>
        <w:rPr>
          <w:rFonts w:ascii="Arial;sans-serif" w:hAnsi="Arial;sans-serif"/>
          <w:b w:val="false"/>
          <w:color w:val="000000"/>
          <w:sz w:val="12"/>
          <w:shd w:fill="FFFFFF" w:val="clear"/>
        </w:rPr>
      </w:pPr>
      <w:r>
        <w:rPr>
          <w:rFonts w:ascii="Arial;sans-serif" w:hAnsi="Arial;sans-serif"/>
          <w:b w:val="false"/>
          <w:color w:val="000000"/>
          <w:sz w:val="12"/>
          <w:shd w:fill="FFFFFF" w:val="clear"/>
        </w:rPr>
        <w:t>________________</w:t>
      </w:r>
    </w:p>
    <w:p>
      <w:pPr>
        <w:pStyle w:val="TextBody"/>
        <w:bidi w:val="0"/>
        <w:spacing w:lineRule="auto" w:line="288" w:before="0" w:after="60"/>
        <w:jc w:val="left"/>
        <w:rPr/>
      </w:pPr>
      <w:r>
        <w:rPr>
          <w:rFonts w:ascii="Arial;sans-serif" w:hAnsi="Arial;sans-serif"/>
          <w:b w:val="false"/>
          <w:color w:val="000000"/>
          <w:sz w:val="12"/>
        </w:rPr>
        <w:t>(1)</w:t>
      </w:r>
      <w:r>
        <w:rPr>
          <w:color w:val="000000"/>
        </w:rPr>
        <w:t>    </w:t>
      </w:r>
      <w:r>
        <w:rPr>
          <w:rFonts w:ascii="Arial;sans-serif" w:hAnsi="Arial;sans-serif"/>
          <w:b w:val="false"/>
          <w:color w:val="000000"/>
          <w:sz w:val="18"/>
        </w:rPr>
        <w:t>The forecasted GAAP net loss assumes income tax expense of $5.6 million and $14.0 million in the three months and year ending December 31, 2025, respectively.</w:t>
      </w:r>
    </w:p>
    <w:p>
      <w:pPr>
        <w:pStyle w:val="TextBody"/>
        <w:bidi w:val="0"/>
        <w:spacing w:lineRule="auto" w:line="288" w:before="0" w:after="240"/>
        <w:jc w:val="left"/>
        <w:rPr/>
      </w:pPr>
      <w:r>
        <w:rPr>
          <w:rFonts w:ascii="Arial;sans-serif" w:hAnsi="Arial;sans-serif"/>
          <w:b w:val="false"/>
          <w:color w:val="000000"/>
          <w:sz w:val="12"/>
        </w:rPr>
        <w:t>(2)</w:t>
      </w:r>
      <w:r>
        <w:rPr>
          <w:color w:val="000000"/>
        </w:rPr>
        <w:t>    </w:t>
      </w:r>
      <w:r>
        <w:rPr>
          <w:rFonts w:ascii="Arial;sans-serif" w:hAnsi="Arial;sans-serif"/>
          <w:b w:val="false"/>
          <w:color w:val="000000"/>
          <w:sz w:val="18"/>
        </w:rPr>
        <w:t>Adjustment to reconcile GAAP net loss per share, which excludes potentially dilutive shares, to non-GAAP earnings per share, which includes potentially dilutive shares.</w:t>
      </w:r>
    </w:p>
    <w:tbl>
      <w:tblPr>
        <w:tblW w:w="7538" w:type="dxa"/>
        <w:jc w:val="left"/>
        <w:tblInd w:w="0" w:type="dxa"/>
        <w:tblLayout w:type="fixed"/>
        <w:tblCellMar>
          <w:top w:w="28" w:type="dxa"/>
          <w:left w:w="28" w:type="dxa"/>
          <w:bottom w:w="28" w:type="dxa"/>
          <w:right w:w="28" w:type="dxa"/>
        </w:tblCellMar>
      </w:tblPr>
      <w:tblGrid>
        <w:gridCol w:w="1896"/>
        <w:gridCol w:w="1667"/>
        <w:gridCol w:w="1671"/>
        <w:gridCol w:w="211"/>
        <w:gridCol w:w="646"/>
        <w:gridCol w:w="109"/>
        <w:gridCol w:w="109"/>
        <w:gridCol w:w="109"/>
        <w:gridCol w:w="109"/>
        <w:gridCol w:w="211"/>
        <w:gridCol w:w="646"/>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Forecasted Free Cash Flow and Unlevered Free Cash Flow</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Ending </w:t>
              <w:br/>
              <w:t>December 31, 2025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purchases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capitalized software development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free cash flow</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cash paid for interest and other financing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Forecasted unlevered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4966</Words>
  <Characters>28836</Characters>
  <CharactersWithSpaces>33085</CharactersWithSpaces>
  <Paragraphs>1277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